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8F68" w14:textId="77777777" w:rsidR="00A87CDD" w:rsidRDefault="00A87CDD" w:rsidP="00066C5F">
      <w:pPr>
        <w:pStyle w:val="Heading1"/>
        <w:numPr>
          <w:ilvl w:val="0"/>
          <w:numId w:val="0"/>
        </w:numPr>
        <w:spacing w:before="0"/>
      </w:pPr>
      <w:r>
        <w:t>Supporting Statement – Part A</w:t>
      </w:r>
    </w:p>
    <w:p w14:paraId="2B2A8863" w14:textId="77777777" w:rsidR="00F22378" w:rsidRPr="00A87CDD" w:rsidRDefault="00A87CDD" w:rsidP="00066C5F">
      <w:pPr>
        <w:pStyle w:val="Heading1"/>
        <w:numPr>
          <w:ilvl w:val="0"/>
          <w:numId w:val="0"/>
        </w:numPr>
      </w:pPr>
      <w:r w:rsidRPr="00A87CDD">
        <w:t>Evaluation of the CMS</w:t>
      </w:r>
      <w:r w:rsidR="00CA3B62">
        <w:t xml:space="preserve"> </w:t>
      </w:r>
      <w:r w:rsidRPr="00A87CDD">
        <w:t>Quality Improvement Organization</w:t>
      </w:r>
      <w:r w:rsidR="00B14712">
        <w:t>s</w:t>
      </w:r>
      <w:r w:rsidR="00EE2830">
        <w:t xml:space="preserve">: </w:t>
      </w:r>
      <w:r w:rsidR="00E229E7">
        <w:br/>
      </w:r>
      <w:r w:rsidR="00EE2830">
        <w:t>R</w:t>
      </w:r>
      <w:r w:rsidR="00EE2830" w:rsidRPr="00A87CDD">
        <w:t>educ</w:t>
      </w:r>
      <w:r w:rsidR="00EE2830">
        <w:t>ing</w:t>
      </w:r>
      <w:r w:rsidR="00EE2830" w:rsidRPr="00A87CDD">
        <w:t xml:space="preserve"> </w:t>
      </w:r>
      <w:r w:rsidRPr="00A87CDD">
        <w:t>Healthcare-Acquired Conditions in Nursing Homes</w:t>
      </w:r>
    </w:p>
    <w:p w14:paraId="19BEFE55" w14:textId="77777777" w:rsidR="00A87CDD" w:rsidRPr="00A87CDD" w:rsidRDefault="00A87CDD" w:rsidP="00066C5F">
      <w:pPr>
        <w:pStyle w:val="Heading2"/>
        <w:numPr>
          <w:ilvl w:val="0"/>
          <w:numId w:val="0"/>
        </w:numPr>
      </w:pPr>
      <w:r w:rsidRPr="00A87CDD">
        <w:t>Background</w:t>
      </w:r>
    </w:p>
    <w:p w14:paraId="4F2FB77A" w14:textId="49C372FC" w:rsidR="00BF4287" w:rsidRDefault="00A87CDD" w:rsidP="00066C5F">
      <w:pPr>
        <w:pStyle w:val="BodyText"/>
      </w:pPr>
      <w:r w:rsidRPr="00063BD5">
        <w:t>The purpose of this Information Collection Request (ICR) is to</w:t>
      </w:r>
      <w:r w:rsidR="00B71B5A">
        <w:t xml:space="preserve"> collect data to inform the</w:t>
      </w:r>
      <w:r w:rsidRPr="00063BD5">
        <w:t xml:space="preserve"> program </w:t>
      </w:r>
      <w:r>
        <w:t>evaluation</w:t>
      </w:r>
      <w:r w:rsidRPr="00063BD5">
        <w:t xml:space="preserve"> </w:t>
      </w:r>
      <w:r w:rsidR="00BF4287">
        <w:t>of</w:t>
      </w:r>
      <w:r>
        <w:t xml:space="preserve"> </w:t>
      </w:r>
      <w:r w:rsidRPr="00063BD5">
        <w:t>the Centers for Medicare &amp; Medicaid Services (CMS) Quality Improvement Organization</w:t>
      </w:r>
      <w:r w:rsidR="006061C1">
        <w:t>s</w:t>
      </w:r>
      <w:r w:rsidRPr="00063BD5">
        <w:t xml:space="preserve"> (QIO) </w:t>
      </w:r>
      <w:r w:rsidR="002C188A">
        <w:t>current contract known as the</w:t>
      </w:r>
      <w:r>
        <w:t>11</w:t>
      </w:r>
      <w:r w:rsidRPr="00063BD5">
        <w:rPr>
          <w:vertAlign w:val="superscript"/>
        </w:rPr>
        <w:t>th</w:t>
      </w:r>
      <w:r>
        <w:t xml:space="preserve"> Scope of Work (SOW)</w:t>
      </w:r>
      <w:r w:rsidR="002C188A">
        <w:t>.</w:t>
      </w:r>
      <w:r w:rsidR="006762F4" w:rsidRPr="008D0767">
        <w:rPr>
          <w:rStyle w:val="FootnoteReference"/>
          <w:vertAlign w:val="superscript"/>
        </w:rPr>
        <w:footnoteReference w:id="2"/>
      </w:r>
      <w:r>
        <w:t xml:space="preserve"> </w:t>
      </w:r>
      <w:r w:rsidR="00BF4287">
        <w:t xml:space="preserve">Given the breadth and scope of QIO activities, the current ICR focuses on evaluating one component of the quality improvement activities of the Quality Innovation Network Quality Improvement Organizations (QIN-QIOs) and is part of a larger evaluation of the overall impact of the QIO program. </w:t>
      </w:r>
      <w:r>
        <w:t xml:space="preserve">This ICR </w:t>
      </w:r>
      <w:r w:rsidR="00B71B5A">
        <w:t xml:space="preserve">aims </w:t>
      </w:r>
      <w:r>
        <w:t xml:space="preserve">to assess </w:t>
      </w:r>
      <w:r w:rsidR="00142980">
        <w:t>one</w:t>
      </w:r>
      <w:r w:rsidR="00BF4287">
        <w:t xml:space="preserve"> QIN-QIO </w:t>
      </w:r>
      <w:r w:rsidR="00142980">
        <w:t xml:space="preserve">SOW task, </w:t>
      </w:r>
      <w:r w:rsidR="00046A97">
        <w:t>T</w:t>
      </w:r>
      <w:r>
        <w:t xml:space="preserve">ask C.2., </w:t>
      </w:r>
      <w:r w:rsidRPr="00966B91">
        <w:rPr>
          <w:i/>
        </w:rPr>
        <w:t>Reducing Healthcare-Acquired Conditions in Nursing Homes</w:t>
      </w:r>
      <w:r w:rsidRPr="00063BD5">
        <w:t xml:space="preserve">. </w:t>
      </w:r>
      <w:r w:rsidR="00BF4287">
        <w:t xml:space="preserve">Subsequent ICRs will be submitted focusing on other tasks required under the </w:t>
      </w:r>
      <w:r w:rsidR="006762F4">
        <w:t>QIO</w:t>
      </w:r>
      <w:r w:rsidR="00FD4603">
        <w:t xml:space="preserve"> </w:t>
      </w:r>
      <w:r w:rsidR="00BF4287">
        <w:t>11</w:t>
      </w:r>
      <w:r w:rsidR="00BF4287" w:rsidRPr="00733E2C">
        <w:rPr>
          <w:vertAlign w:val="superscript"/>
        </w:rPr>
        <w:t>th</w:t>
      </w:r>
      <w:r w:rsidR="00BF4287">
        <w:t xml:space="preserve"> S</w:t>
      </w:r>
      <w:r w:rsidR="006762F4">
        <w:t>cope of Work</w:t>
      </w:r>
      <w:r w:rsidR="00FD4603">
        <w:t xml:space="preserve">, </w:t>
      </w:r>
      <w:r w:rsidR="00FD4603" w:rsidRPr="00FD4603">
        <w:t>which started 8/1/2014 and ends 7/31/2019</w:t>
      </w:r>
      <w:r w:rsidR="00BF4287">
        <w:t>.</w:t>
      </w:r>
      <w:r w:rsidR="00C26F85">
        <w:t xml:space="preserve"> For th</w:t>
      </w:r>
      <w:r w:rsidR="00EC27A8">
        <w:t>is</w:t>
      </w:r>
      <w:r w:rsidR="00C26F85">
        <w:t xml:space="preserve"> </w:t>
      </w:r>
      <w:proofErr w:type="gramStart"/>
      <w:r w:rsidR="00C26F85">
        <w:t>evaluation</w:t>
      </w:r>
      <w:proofErr w:type="gramEnd"/>
      <w:r w:rsidR="00C26F85">
        <w:t xml:space="preserve"> we are using a mixed methods design to incorporate qualitative and quantitative data from multiple stakeholders to compare quality </w:t>
      </w:r>
      <w:r w:rsidR="00523315">
        <w:t xml:space="preserve">improvement </w:t>
      </w:r>
      <w:r w:rsidR="00DD2DE0">
        <w:t>activities</w:t>
      </w:r>
      <w:r w:rsidR="00C26F85">
        <w:t xml:space="preserve"> of nursing homes participating in the </w:t>
      </w:r>
      <w:r w:rsidR="008D6AFA">
        <w:t xml:space="preserve">QIN-QIO </w:t>
      </w:r>
      <w:r w:rsidR="00C26F85">
        <w:t xml:space="preserve">program and nursing homes not participating in the </w:t>
      </w:r>
      <w:r w:rsidR="008D6AFA">
        <w:t xml:space="preserve">QIN-QIO </w:t>
      </w:r>
      <w:r w:rsidR="00C26F85">
        <w:t>program</w:t>
      </w:r>
      <w:r w:rsidR="008D6AFA">
        <w:t xml:space="preserve"> over time</w:t>
      </w:r>
      <w:r w:rsidR="00C26F85">
        <w:t>.</w:t>
      </w:r>
    </w:p>
    <w:p w14:paraId="749EB0CA" w14:textId="77777777" w:rsidR="00A87CDD" w:rsidRPr="00BE730E" w:rsidRDefault="00A87CDD" w:rsidP="00066C5F">
      <w:pPr>
        <w:pStyle w:val="BodyText"/>
      </w:pPr>
      <w:r>
        <w:t>A</w:t>
      </w:r>
      <w:r w:rsidRPr="00063BD5">
        <w:t xml:space="preserve">s </w:t>
      </w:r>
      <w:r w:rsidR="00B71B5A">
        <w:t>mandated</w:t>
      </w:r>
      <w:r w:rsidRPr="00063BD5">
        <w:t xml:space="preserve"> </w:t>
      </w:r>
      <w:r>
        <w:t>by</w:t>
      </w:r>
      <w:r w:rsidRPr="00063BD5">
        <w:t xml:space="preserve"> Sections 1152-1154 of the Social Security Act, CMS directs the QIO </w:t>
      </w:r>
      <w:r w:rsidR="00046A97">
        <w:t>p</w:t>
      </w:r>
      <w:r w:rsidRPr="00063BD5">
        <w:t>rogram, one of the largest federal programs dedicated to improving health quality</w:t>
      </w:r>
      <w:r w:rsidRPr="00CE5012">
        <w:t xml:space="preserve"> for Medicare beneficiaries. QIOs are groups of health quality experts, clinicians, and consumers who work to assist Medicare providers with quality improvement throughout the spectrum of care and to review quality concerns for the protection of beneficiaries and the Medicare Trust Fund</w:t>
      </w:r>
      <w:r w:rsidRPr="00CE5012">
        <w:rPr>
          <w:lang w:val="en"/>
        </w:rPr>
        <w:t>.</w:t>
      </w:r>
      <w:r w:rsidRPr="00733E2C">
        <w:rPr>
          <w:rStyle w:val="FootnoteReference"/>
          <w:vertAlign w:val="superscript"/>
        </w:rPr>
        <w:footnoteReference w:id="3"/>
      </w:r>
      <w:r w:rsidRPr="00733E2C">
        <w:rPr>
          <w:vertAlign w:val="superscript"/>
        </w:rPr>
        <w:t xml:space="preserve"> </w:t>
      </w:r>
      <w:r w:rsidRPr="00CE5012">
        <w:t>This program is a key component of the U.S. Department of Health and Human Services' (HHS) National Quality Strategy</w:t>
      </w:r>
      <w:r w:rsidRPr="00063BD5">
        <w:rPr>
          <w:rStyle w:val="FootnoteReference"/>
          <w:vertAlign w:val="superscript"/>
        </w:rPr>
        <w:footnoteReference w:id="4"/>
      </w:r>
      <w:r w:rsidRPr="00063BD5">
        <w:rPr>
          <w:vertAlign w:val="superscript"/>
        </w:rPr>
        <w:t xml:space="preserve"> </w:t>
      </w:r>
      <w:r w:rsidRPr="00CE5012">
        <w:t>and the CMS Quality Strategy</w:t>
      </w:r>
      <w:r>
        <w:t>,</w:t>
      </w:r>
      <w:r w:rsidRPr="00063BD5">
        <w:rPr>
          <w:rStyle w:val="FootnoteReference"/>
          <w:vertAlign w:val="superscript"/>
        </w:rPr>
        <w:footnoteReference w:id="5"/>
      </w:r>
      <w:r w:rsidRPr="00CE5012">
        <w:t xml:space="preserve"> </w:t>
      </w:r>
      <w:r>
        <w:t>with the overarching goals to achieve better health care, better health</w:t>
      </w:r>
      <w:r w:rsidR="003063F9">
        <w:t>,</w:t>
      </w:r>
      <w:r>
        <w:t xml:space="preserve"> and lower costs of care.</w:t>
      </w:r>
      <w:r w:rsidRPr="00CE5012">
        <w:t xml:space="preserve"> </w:t>
      </w:r>
      <w:r w:rsidR="00046A97" w:rsidRPr="00CE5012">
        <w:t xml:space="preserve">In the 11th SOW, CMS </w:t>
      </w:r>
      <w:r w:rsidR="00046A97">
        <w:t xml:space="preserve">restructured the QIO program to </w:t>
      </w:r>
      <w:r w:rsidR="00046A97" w:rsidRPr="00CE5012">
        <w:t xml:space="preserve">funded Quality Innovation Networks (QIN)-QIOs, Beneficiary </w:t>
      </w:r>
      <w:r w:rsidR="00046A97" w:rsidRPr="00523A18">
        <w:t>and Family-Centered Care (BFCC) organizations, National Coordinating Centers (NCCs), Program Collaboration Centers (PCCs), and the Strategic Innovation Engine (SIE).</w:t>
      </w:r>
      <w:r w:rsidR="00EF042F">
        <w:t xml:space="preserve"> In the current SOW, 14 QIN-QIOs coordinate the work of 53 QIOs nationwide</w:t>
      </w:r>
      <w:r w:rsidR="00991CF0">
        <w:t xml:space="preserve"> including all 50 states and other U.S. territories</w:t>
      </w:r>
      <w:r w:rsidR="00EF042F">
        <w:t>.</w:t>
      </w:r>
    </w:p>
    <w:p w14:paraId="06F11DB0" w14:textId="77777777" w:rsidR="0086654C" w:rsidRDefault="00B71B5A" w:rsidP="00066C5F">
      <w:pPr>
        <w:pStyle w:val="BodyText"/>
      </w:pPr>
      <w:r>
        <w:lastRenderedPageBreak/>
        <w:t>CMS evaluates</w:t>
      </w:r>
      <w:r w:rsidR="00A87CDD" w:rsidRPr="00CE5012">
        <w:t xml:space="preserve"> the quality and effectiveness of the QIO program</w:t>
      </w:r>
      <w:r>
        <w:t xml:space="preserve"> as authorized</w:t>
      </w:r>
      <w:r w:rsidRPr="00CE5012">
        <w:t xml:space="preserve"> in Part B of Title XI of the Social Security Act</w:t>
      </w:r>
      <w:r w:rsidR="00A87CDD" w:rsidRPr="00CE5012">
        <w:t>.</w:t>
      </w:r>
      <w:r w:rsidR="00A87CDD" w:rsidRPr="00733E2C">
        <w:rPr>
          <w:rStyle w:val="FootnoteReference"/>
          <w:vertAlign w:val="superscript"/>
        </w:rPr>
        <w:footnoteReference w:id="6"/>
      </w:r>
      <w:r w:rsidR="00A87CDD" w:rsidRPr="00CE5012">
        <w:t xml:space="preserve"> CMS created the Independent Evaluation Center (IEC) to provide CMS and its stakeholders with </w:t>
      </w:r>
      <w:r w:rsidR="00142980">
        <w:t xml:space="preserve">an </w:t>
      </w:r>
      <w:r w:rsidR="00A87CDD" w:rsidRPr="00CE5012">
        <w:t xml:space="preserve">independent and objective program evaluation of the 11th SOW. Evaluation activities will focus on analyzing how well the QIO </w:t>
      </w:r>
      <w:r w:rsidR="00A30BB2">
        <w:t xml:space="preserve">program </w:t>
      </w:r>
      <w:r w:rsidR="00A87CDD" w:rsidRPr="00CE5012">
        <w:t xml:space="preserve">is achieving the three aims of better care, better health, and lower cost as well as the effectiveness of the new QIO </w:t>
      </w:r>
      <w:r w:rsidR="00A30BB2">
        <w:t>p</w:t>
      </w:r>
      <w:r w:rsidR="00A87CDD" w:rsidRPr="00CE5012">
        <w:t xml:space="preserve">rogram structure. </w:t>
      </w:r>
    </w:p>
    <w:p w14:paraId="6B0C966B" w14:textId="77777777" w:rsidR="00895510" w:rsidRDefault="00B71B5A" w:rsidP="00066C5F">
      <w:pPr>
        <w:pStyle w:val="BodyText"/>
      </w:pPr>
      <w:r>
        <w:t>O</w:t>
      </w:r>
      <w:r w:rsidR="00BF4287">
        <w:t>ne of the</w:t>
      </w:r>
      <w:r>
        <w:t xml:space="preserve"> QIN-QIOs’</w:t>
      </w:r>
      <w:r w:rsidR="00BF4287">
        <w:t xml:space="preserve"> tasks to achieve these three aims</w:t>
      </w:r>
      <w:r>
        <w:t xml:space="preserve"> is</w:t>
      </w:r>
      <w:r w:rsidR="009D2D68">
        <w:t xml:space="preserve"> to support </w:t>
      </w:r>
      <w:r>
        <w:t xml:space="preserve">participating </w:t>
      </w:r>
      <w:r w:rsidR="009D2D68">
        <w:t xml:space="preserve">nursing homes in their efforts to improve quality </w:t>
      </w:r>
      <w:r w:rsidR="00BF4287">
        <w:t xml:space="preserve">of care and health outcomes among residents. </w:t>
      </w:r>
      <w:r w:rsidRPr="00F97FD0">
        <w:t xml:space="preserve">According to the </w:t>
      </w:r>
      <w:r w:rsidR="00523315" w:rsidRPr="00F97FD0">
        <w:t>201</w:t>
      </w:r>
      <w:r w:rsidR="00523315">
        <w:t>5</w:t>
      </w:r>
      <w:r w:rsidR="00523315" w:rsidRPr="00F97FD0">
        <w:t xml:space="preserve"> </w:t>
      </w:r>
      <w:r>
        <w:t>CMS</w:t>
      </w:r>
      <w:r w:rsidRPr="00F97FD0">
        <w:t xml:space="preserve"> Nursing Home Data </w:t>
      </w:r>
      <w:r>
        <w:t>C</w:t>
      </w:r>
      <w:r w:rsidRPr="00F97FD0">
        <w:t xml:space="preserve">ompendium, more than 15,000 nursing homes participate in Medicare and Medicaid programs with more than 1.4 million </w:t>
      </w:r>
      <w:r>
        <w:t>beneficiaries</w:t>
      </w:r>
      <w:r w:rsidRPr="00F97FD0">
        <w:t xml:space="preserve"> </w:t>
      </w:r>
      <w:r w:rsidR="00523315">
        <w:t>residing</w:t>
      </w:r>
      <w:r w:rsidR="00523315" w:rsidRPr="00F97FD0">
        <w:t xml:space="preserve"> </w:t>
      </w:r>
      <w:r w:rsidRPr="00F97FD0">
        <w:t>in U</w:t>
      </w:r>
      <w:r>
        <w:t>.</w:t>
      </w:r>
      <w:r w:rsidRPr="00F97FD0">
        <w:t>S</w:t>
      </w:r>
      <w:r>
        <w:t>.</w:t>
      </w:r>
      <w:r w:rsidRPr="00F97FD0">
        <w:t xml:space="preserve"> nursing homes.</w:t>
      </w:r>
      <w:r w:rsidR="00895510" w:rsidRPr="00895510">
        <w:rPr>
          <w:rStyle w:val="FootnoteReference"/>
          <w:vertAlign w:val="superscript"/>
        </w:rPr>
        <w:footnoteReference w:id="7"/>
      </w:r>
      <w:r w:rsidRPr="00895510">
        <w:rPr>
          <w:vertAlign w:val="superscript"/>
        </w:rPr>
        <w:t xml:space="preserve"> </w:t>
      </w:r>
      <w:r w:rsidRPr="00F97FD0">
        <w:t>Th</w:t>
      </w:r>
      <w:r>
        <w:t>e</w:t>
      </w:r>
      <w:r w:rsidRPr="00F97FD0">
        <w:t>se residents</w:t>
      </w:r>
      <w:r>
        <w:t xml:space="preserve"> and </w:t>
      </w:r>
      <w:r w:rsidRPr="00F97FD0">
        <w:t xml:space="preserve">their </w:t>
      </w:r>
      <w:r>
        <w:t>families rely</w:t>
      </w:r>
      <w:r w:rsidRPr="00F97FD0">
        <w:t xml:space="preserve"> on nursing homes to provide reliable, </w:t>
      </w:r>
      <w:r>
        <w:t xml:space="preserve">safe, </w:t>
      </w:r>
      <w:r w:rsidRPr="00F97FD0">
        <w:t>high quality care.</w:t>
      </w:r>
      <w:r w:rsidRPr="00F97FD0">
        <w:rPr>
          <w:vertAlign w:val="superscript"/>
        </w:rPr>
        <w:t xml:space="preserve"> </w:t>
      </w:r>
      <w:r w:rsidR="0056486A">
        <w:t>H</w:t>
      </w:r>
      <w:r>
        <w:t>owever,</w:t>
      </w:r>
      <w:r w:rsidRPr="00F97FD0">
        <w:t xml:space="preserve"> cognitive and functional impairments, pain, incontin</w:t>
      </w:r>
      <w:r w:rsidR="0056486A">
        <w:t xml:space="preserve">ence, </w:t>
      </w:r>
      <w:r>
        <w:t xml:space="preserve">antipsychotic drug use, </w:t>
      </w:r>
      <w:r w:rsidR="0056486A">
        <w:t>and</w:t>
      </w:r>
      <w:r>
        <w:t xml:space="preserve"> </w:t>
      </w:r>
      <w:r w:rsidR="00F47458">
        <w:t>healthcare acquired condition</w:t>
      </w:r>
      <w:r>
        <w:t xml:space="preserve">s (HAC), such as pressure ulcers and falls, </w:t>
      </w:r>
      <w:r w:rsidR="00142980">
        <w:t>remain</w:t>
      </w:r>
      <w:r>
        <w:t xml:space="preserve"> areas of concern. </w:t>
      </w:r>
    </w:p>
    <w:p w14:paraId="5CF36A86" w14:textId="62672859" w:rsidR="00FD4603" w:rsidRDefault="00263F2B" w:rsidP="00FD4603">
      <w:pPr>
        <w:pStyle w:val="BodyText"/>
      </w:pPr>
      <w:r w:rsidRPr="00B23C6F">
        <w:t>Section 6102(c)</w:t>
      </w:r>
      <w:r>
        <w:t xml:space="preserve"> of t</w:t>
      </w:r>
      <w:r w:rsidR="00CB64E3" w:rsidRPr="00B23C6F">
        <w:t xml:space="preserve">he Affordable Care Act of 2010 requires CMS to establish regulations in Quality Assurance and Performance Improvement (QAPI) and provide technical assistance to nursing homes to help them develop best practices to comply with the </w:t>
      </w:r>
      <w:r w:rsidR="00940115">
        <w:t xml:space="preserve">revised requirements for participating in the Medicare and Medicaid programs, which </w:t>
      </w:r>
      <w:proofErr w:type="gramStart"/>
      <w:r w:rsidR="00940115">
        <w:t>will be phased in</w:t>
      </w:r>
      <w:proofErr w:type="gramEnd"/>
      <w:r w:rsidR="00940115">
        <w:t xml:space="preserve"> from 2016 through 2019</w:t>
      </w:r>
      <w:r w:rsidR="00940115" w:rsidRPr="00B23C6F">
        <w:t>.</w:t>
      </w:r>
      <w:r w:rsidR="00940115" w:rsidRPr="00C57A38">
        <w:rPr>
          <w:rStyle w:val="FootnoteReference"/>
          <w:vertAlign w:val="superscript"/>
        </w:rPr>
        <w:footnoteReference w:id="8"/>
      </w:r>
      <w:r w:rsidR="00CB64E3" w:rsidRPr="00B23C6F">
        <w:t xml:space="preserve"> CMS has developed a program of technical assistance that includes tools, resources, and training materials to help nursing homes implement QAPI and establish best practices </w:t>
      </w:r>
      <w:proofErr w:type="gramStart"/>
      <w:r w:rsidR="00CB64E3" w:rsidRPr="00B23C6F">
        <w:t>to continuously improve</w:t>
      </w:r>
      <w:proofErr w:type="gramEnd"/>
      <w:r w:rsidR="00CB64E3" w:rsidRPr="00B23C6F">
        <w:t xml:space="preserve"> the care and services delivered in each nursing home.</w:t>
      </w:r>
      <w:r w:rsidR="00CB64E3">
        <w:rPr>
          <w:sz w:val="22"/>
        </w:rPr>
        <w:t xml:space="preserve"> </w:t>
      </w:r>
      <w:r w:rsidR="00CB64E3">
        <w:t>The QAPI guidelines underlie the</w:t>
      </w:r>
      <w:r w:rsidR="00CB64E3" w:rsidRPr="00F97FD0">
        <w:t xml:space="preserve"> </w:t>
      </w:r>
      <w:r w:rsidR="00CB64E3" w:rsidRPr="008D5EB8">
        <w:rPr>
          <w:i/>
        </w:rPr>
        <w:t>2012</w:t>
      </w:r>
      <w:r w:rsidR="00CB64E3">
        <w:rPr>
          <w:i/>
        </w:rPr>
        <w:t xml:space="preserve"> </w:t>
      </w:r>
      <w:r w:rsidR="00CB64E3" w:rsidRPr="008D5EB8">
        <w:rPr>
          <w:i/>
        </w:rPr>
        <w:t xml:space="preserve">Nursing Home Action </w:t>
      </w:r>
      <w:r w:rsidR="00CB64E3">
        <w:rPr>
          <w:i/>
        </w:rPr>
        <w:t>Plan,</w:t>
      </w:r>
      <w:r w:rsidR="00CB64E3" w:rsidRPr="00895510">
        <w:rPr>
          <w:rStyle w:val="FootnoteReference"/>
          <w:vertAlign w:val="superscript"/>
        </w:rPr>
        <w:footnoteReference w:id="9"/>
      </w:r>
      <w:r w:rsidR="0086654C">
        <w:t xml:space="preserve"> a</w:t>
      </w:r>
      <w:r w:rsidR="00B71B5A" w:rsidRPr="00BE730E">
        <w:t xml:space="preserve"> </w:t>
      </w:r>
      <w:r w:rsidR="0086654C" w:rsidRPr="00F97FD0">
        <w:t>comprehensive, actionable strategy for im</w:t>
      </w:r>
      <w:r w:rsidR="00895510">
        <w:t xml:space="preserve">proving the quality of care </w:t>
      </w:r>
      <w:r w:rsidR="0086654C">
        <w:t xml:space="preserve">received by </w:t>
      </w:r>
      <w:r w:rsidR="0086654C" w:rsidRPr="00F97FD0">
        <w:t xml:space="preserve">nursing home </w:t>
      </w:r>
      <w:r w:rsidR="00895510">
        <w:t>residents</w:t>
      </w:r>
      <w:r w:rsidR="00CB64E3">
        <w:t>.</w:t>
      </w:r>
      <w:r w:rsidR="0086654C">
        <w:t xml:space="preserve"> </w:t>
      </w:r>
      <w:r w:rsidR="002138FD">
        <w:t>In the 11</w:t>
      </w:r>
      <w:r w:rsidR="002138FD" w:rsidRPr="002138FD">
        <w:rPr>
          <w:vertAlign w:val="superscript"/>
        </w:rPr>
        <w:t>th</w:t>
      </w:r>
      <w:r w:rsidR="002138FD">
        <w:t xml:space="preserve"> SOW</w:t>
      </w:r>
      <w:r w:rsidR="001C044F">
        <w:t>,</w:t>
      </w:r>
      <w:r w:rsidR="002138FD">
        <w:t xml:space="preserve"> the QIN-QIO program is scaling up an approach to facilitate the goals of the </w:t>
      </w:r>
      <w:r w:rsidR="002138FD" w:rsidRPr="002138FD">
        <w:rPr>
          <w:i/>
        </w:rPr>
        <w:t>Action Plan</w:t>
      </w:r>
      <w:r w:rsidR="002138FD">
        <w:t xml:space="preserve"> called the National Nursing Home Quality Care Collaborative(s) or NNHQCC. I</w:t>
      </w:r>
      <w:r w:rsidR="0086654C" w:rsidRPr="00F97FD0">
        <w:t xml:space="preserve">n </w:t>
      </w:r>
      <w:r w:rsidR="0086654C">
        <w:t>concord</w:t>
      </w:r>
      <w:r w:rsidR="0086654C" w:rsidRPr="00F97FD0">
        <w:t xml:space="preserve">ance with the </w:t>
      </w:r>
      <w:r w:rsidR="0086654C" w:rsidRPr="00910FED">
        <w:rPr>
          <w:i/>
        </w:rPr>
        <w:t xml:space="preserve">2012 </w:t>
      </w:r>
      <w:r w:rsidR="0086654C" w:rsidRPr="00B90DE4">
        <w:rPr>
          <w:i/>
        </w:rPr>
        <w:t>Nursing</w:t>
      </w:r>
      <w:r w:rsidR="0086654C" w:rsidRPr="008D7341">
        <w:rPr>
          <w:i/>
        </w:rPr>
        <w:t xml:space="preserve"> Home Action Plan</w:t>
      </w:r>
      <w:r w:rsidR="0086654C" w:rsidRPr="00F97FD0">
        <w:t xml:space="preserve">, </w:t>
      </w:r>
      <w:r w:rsidR="002138FD">
        <w:t xml:space="preserve">the NNHQCC </w:t>
      </w:r>
      <w:r w:rsidR="0086654C" w:rsidRPr="00F97FD0">
        <w:t>aims to improve the Medicare program and ensure that every nursing home resident recei</w:t>
      </w:r>
      <w:r w:rsidR="0086654C">
        <w:t xml:space="preserve">ves the highest quality of care </w:t>
      </w:r>
      <w:r w:rsidR="0086654C" w:rsidRPr="00F97FD0">
        <w:t xml:space="preserve">by reducing the prevalence of </w:t>
      </w:r>
      <w:r w:rsidR="00F47458">
        <w:t>healthcare acquired condition</w:t>
      </w:r>
      <w:r w:rsidR="0086654C">
        <w:t>s (HAC</w:t>
      </w:r>
      <w:r w:rsidR="00C433C8">
        <w:t>s</w:t>
      </w:r>
      <w:r w:rsidR="0086654C">
        <w:t>)</w:t>
      </w:r>
      <w:r w:rsidR="0086654C" w:rsidRPr="00F97FD0">
        <w:t>.</w:t>
      </w:r>
      <w:r w:rsidR="0086654C" w:rsidRPr="00AB1447">
        <w:t xml:space="preserve"> </w:t>
      </w:r>
      <w:r w:rsidR="00FD4603">
        <w:t>QIN-QIOs will implement two phases of NNHQCC:</w:t>
      </w:r>
      <w:r w:rsidR="00352D1B" w:rsidRPr="00352D1B">
        <w:rPr>
          <w:rStyle w:val="FootnoteReference"/>
          <w:vertAlign w:val="superscript"/>
        </w:rPr>
        <w:footnoteReference w:id="10"/>
      </w:r>
      <w:r w:rsidR="00FD4603" w:rsidRPr="00352D1B">
        <w:rPr>
          <w:vertAlign w:val="superscript"/>
        </w:rPr>
        <w:t xml:space="preserve"> </w:t>
      </w:r>
    </w:p>
    <w:p w14:paraId="014A8700" w14:textId="77777777" w:rsidR="00FD4603" w:rsidRDefault="00FD4603" w:rsidP="00BC305F">
      <w:pPr>
        <w:pStyle w:val="ListParagraph"/>
        <w:widowControl w:val="0"/>
        <w:numPr>
          <w:ilvl w:val="1"/>
          <w:numId w:val="19"/>
        </w:numPr>
        <w:spacing w:before="120" w:after="120"/>
        <w:ind w:left="720"/>
        <w:contextualSpacing w:val="0"/>
      </w:pPr>
      <w:r w:rsidRPr="000267EC">
        <w:t xml:space="preserve">NNHQCC I: </w:t>
      </w:r>
      <w:r>
        <w:t>The first collaborative was conducted from</w:t>
      </w:r>
      <w:r w:rsidRPr="000267EC">
        <w:t xml:space="preserve"> April 1, 2015 – September 30, 2016</w:t>
      </w:r>
      <w:r>
        <w:t xml:space="preserve"> and </w:t>
      </w:r>
      <w:r w:rsidRPr="000267EC">
        <w:t>focus</w:t>
      </w:r>
      <w:r w:rsidR="002C188A">
        <w:t>ed</w:t>
      </w:r>
      <w:r w:rsidRPr="000267EC">
        <w:t xml:space="preserve"> on nursing home</w:t>
      </w:r>
      <w:r w:rsidR="002C188A">
        <w:t>s’</w:t>
      </w:r>
      <w:r w:rsidRPr="000267EC">
        <w:t xml:space="preserve"> system</w:t>
      </w:r>
      <w:r w:rsidR="002C188A">
        <w:t xml:space="preserve">s’ </w:t>
      </w:r>
      <w:r w:rsidRPr="000267EC">
        <w:t>improvement for areas identified by participating nursing homes, beneficiary/resident mobility</w:t>
      </w:r>
      <w:r w:rsidR="002C188A">
        <w:t>,</w:t>
      </w:r>
      <w:r w:rsidRPr="000267EC">
        <w:t xml:space="preserve"> and antipsychotic medication</w:t>
      </w:r>
      <w:r>
        <w:t>.</w:t>
      </w:r>
    </w:p>
    <w:p w14:paraId="2329C931" w14:textId="77777777" w:rsidR="00FD4603" w:rsidRPr="000267EC" w:rsidRDefault="00FD4603" w:rsidP="00BC305F">
      <w:pPr>
        <w:pStyle w:val="ListParagraph"/>
        <w:widowControl w:val="0"/>
        <w:numPr>
          <w:ilvl w:val="1"/>
          <w:numId w:val="19"/>
        </w:numPr>
        <w:spacing w:before="120" w:after="120"/>
        <w:ind w:left="720"/>
        <w:contextualSpacing w:val="0"/>
      </w:pPr>
      <w:r w:rsidRPr="000267EC">
        <w:lastRenderedPageBreak/>
        <w:t xml:space="preserve">NNHQCC II: </w:t>
      </w:r>
      <w:r>
        <w:t xml:space="preserve">The second collaborative </w:t>
      </w:r>
      <w:proofErr w:type="gramStart"/>
      <w:r>
        <w:t>will be conducted</w:t>
      </w:r>
      <w:proofErr w:type="gramEnd"/>
      <w:r>
        <w:t xml:space="preserve"> from </w:t>
      </w:r>
      <w:r w:rsidRPr="000267EC">
        <w:t>April 1, 2017 – September 30, 201</w:t>
      </w:r>
      <w:r w:rsidR="00CB30F8">
        <w:t xml:space="preserve">8. </w:t>
      </w:r>
      <w:r w:rsidRPr="000267EC">
        <w:t xml:space="preserve">Additional areas of focus </w:t>
      </w:r>
      <w:proofErr w:type="gramStart"/>
      <w:r w:rsidRPr="000267EC">
        <w:t>will be added</w:t>
      </w:r>
      <w:proofErr w:type="gramEnd"/>
      <w:r w:rsidRPr="000267EC">
        <w:t xml:space="preserve"> to beneficiary/resident mobility and antipsychotic medication</w:t>
      </w:r>
      <w:r>
        <w:t>.</w:t>
      </w:r>
    </w:p>
    <w:p w14:paraId="15182D81" w14:textId="77777777" w:rsidR="00C433C8" w:rsidRPr="007E6989" w:rsidRDefault="00C433C8" w:rsidP="00066C5F">
      <w:pPr>
        <w:pStyle w:val="BodyText"/>
      </w:pPr>
      <w:r w:rsidRPr="00C433C8">
        <w:t>The QIN-QIO program focuses on</w:t>
      </w:r>
      <w:r w:rsidR="00916AEC">
        <w:t xml:space="preserve"> </w:t>
      </w:r>
      <w:r w:rsidRPr="00C433C8">
        <w:t xml:space="preserve">increasing mobility among long-stay residents/beneficiaries, decreasing unnecessary use of antipsychotics in dementia residents/beneficiaries, </w:t>
      </w:r>
      <w:r w:rsidR="00916AEC">
        <w:t>reducing</w:t>
      </w:r>
      <w:r w:rsidRPr="00C433C8">
        <w:t xml:space="preserve"> </w:t>
      </w:r>
      <w:r w:rsidR="00916AEC">
        <w:t xml:space="preserve">preventable infections, and preventing </w:t>
      </w:r>
      <w:r w:rsidRPr="00C433C8">
        <w:t>potentially</w:t>
      </w:r>
      <w:r w:rsidR="00916AEC">
        <w:t xml:space="preserve"> avoidable hospitalizations and </w:t>
      </w:r>
      <w:proofErr w:type="spellStart"/>
      <w:proofErr w:type="gramStart"/>
      <w:r w:rsidR="00916AEC" w:rsidRPr="00CD7204">
        <w:t>rehospitalizations</w:t>
      </w:r>
      <w:proofErr w:type="spellEnd"/>
      <w:r w:rsidRPr="00CD7204">
        <w:t>.</w:t>
      </w:r>
      <w:r w:rsidR="00940115" w:rsidRPr="00CD7204">
        <w:rPr>
          <w:vertAlign w:val="superscript"/>
        </w:rPr>
        <w:footnoteReference w:id="11"/>
      </w:r>
      <w:r w:rsidR="00940115" w:rsidRPr="00CD7204">
        <w:rPr>
          <w:vertAlign w:val="superscript"/>
        </w:rPr>
        <w:t>,</w:t>
      </w:r>
      <w:proofErr w:type="gramEnd"/>
      <w:r w:rsidR="00940115" w:rsidRPr="00CD7204">
        <w:rPr>
          <w:vertAlign w:val="superscript"/>
        </w:rPr>
        <w:footnoteReference w:id="12"/>
      </w:r>
      <w:r w:rsidR="00940115" w:rsidRPr="00CD7204">
        <w:t xml:space="preserve"> </w:t>
      </w:r>
      <w:r w:rsidR="00F47458">
        <w:t xml:space="preserve"> </w:t>
      </w:r>
      <w:r w:rsidR="00543BDE">
        <w:t xml:space="preserve">These quality measures are among those </w:t>
      </w:r>
      <w:r w:rsidR="00543BDE" w:rsidRPr="00AA04EC">
        <w:t>reported</w:t>
      </w:r>
      <w:r w:rsidR="00543BDE">
        <w:t xml:space="preserve"> </w:t>
      </w:r>
      <w:r w:rsidR="00543BDE" w:rsidRPr="00AA04EC">
        <w:t>regularly</w:t>
      </w:r>
      <w:r w:rsidR="00543BDE">
        <w:t xml:space="preserve"> by nursing homes and entered into </w:t>
      </w:r>
      <w:r w:rsidR="00543BDE" w:rsidRPr="007E6989">
        <w:t>the Minimum Data Set Version 3 (MDS 3).</w:t>
      </w:r>
      <w:r w:rsidR="00940115" w:rsidRPr="007E6989">
        <w:rPr>
          <w:rStyle w:val="FootnoteReference"/>
          <w:vertAlign w:val="superscript"/>
        </w:rPr>
        <w:footnoteReference w:id="13"/>
      </w:r>
      <w:r w:rsidR="0004585C" w:rsidRPr="007E6989">
        <w:t xml:space="preserve"> </w:t>
      </w:r>
    </w:p>
    <w:p w14:paraId="5B965E87" w14:textId="78E56989" w:rsidR="00C433C8" w:rsidRPr="007E6989" w:rsidRDefault="00543BDE" w:rsidP="00066C5F">
      <w:pPr>
        <w:pStyle w:val="BodyText"/>
      </w:pPr>
      <w:r w:rsidRPr="007E6989">
        <w:t xml:space="preserve">Analysis of data </w:t>
      </w:r>
      <w:r w:rsidR="00875DC4" w:rsidRPr="007E6989">
        <w:t xml:space="preserve">originating </w:t>
      </w:r>
      <w:r w:rsidRPr="007E6989">
        <w:t xml:space="preserve">from MDS 3 and Medicare claims Parts A and B </w:t>
      </w:r>
      <w:proofErr w:type="gramStart"/>
      <w:r w:rsidR="00940115" w:rsidRPr="007E6989">
        <w:t>was completed</w:t>
      </w:r>
      <w:proofErr w:type="gramEnd"/>
      <w:r w:rsidR="00940115" w:rsidRPr="007E6989">
        <w:t xml:space="preserve"> in August 2016.</w:t>
      </w:r>
      <w:r w:rsidRPr="007E6989">
        <w:t xml:space="preserve"> Th</w:t>
      </w:r>
      <w:r w:rsidR="00875DC4" w:rsidRPr="007E6989">
        <w:t>e</w:t>
      </w:r>
      <w:r w:rsidRPr="007E6989">
        <w:t>s</w:t>
      </w:r>
      <w:r w:rsidR="00875DC4" w:rsidRPr="007E6989">
        <w:t>e</w:t>
      </w:r>
      <w:r w:rsidRPr="007E6989">
        <w:t xml:space="preserve"> analys</w:t>
      </w:r>
      <w:r w:rsidR="00875DC4" w:rsidRPr="007E6989">
        <w:t>e</w:t>
      </w:r>
      <w:r w:rsidRPr="007E6989">
        <w:t>s included use of antipsychotic medicine and hospital</w:t>
      </w:r>
      <w:r w:rsidR="00C04E1C" w:rsidRPr="007E6989">
        <w:t xml:space="preserve"> admission </w:t>
      </w:r>
      <w:r w:rsidRPr="007E6989">
        <w:t xml:space="preserve">rates for residents of nursing homes participating in the QIN-QIO program compared to residents of matched nursing homes that </w:t>
      </w:r>
      <w:proofErr w:type="gramStart"/>
      <w:r w:rsidRPr="007E6989">
        <w:t>were not enrolled</w:t>
      </w:r>
      <w:proofErr w:type="gramEnd"/>
      <w:r w:rsidRPr="007E6989">
        <w:t xml:space="preserve"> in the QIN-QIO program. </w:t>
      </w:r>
      <w:r w:rsidR="002138FD" w:rsidRPr="007E6989">
        <w:t xml:space="preserve">A common finding </w:t>
      </w:r>
      <w:r w:rsidR="009B5C27" w:rsidRPr="007E6989">
        <w:t>across</w:t>
      </w:r>
      <w:r w:rsidR="002138FD" w:rsidRPr="007E6989">
        <w:t xml:space="preserve"> the outcomes was that nursing homes participating in the QIN-QIO program improved over time</w:t>
      </w:r>
      <w:r w:rsidR="009B5C27" w:rsidRPr="007E6989">
        <w:t xml:space="preserve">, but improvements </w:t>
      </w:r>
      <w:proofErr w:type="gramStart"/>
      <w:r w:rsidR="009B5C27" w:rsidRPr="007E6989">
        <w:t>were also seen</w:t>
      </w:r>
      <w:proofErr w:type="gramEnd"/>
      <w:r w:rsidR="009B5C27" w:rsidRPr="007E6989">
        <w:t xml:space="preserve"> in facilities that did not participate. These findings require additional information to explain what </w:t>
      </w:r>
      <w:r w:rsidR="002C188A" w:rsidRPr="007E6989">
        <w:t xml:space="preserve">program-related or external factors </w:t>
      </w:r>
      <w:r w:rsidR="009B5C27" w:rsidRPr="007E6989">
        <w:t xml:space="preserve">drove improvements in </w:t>
      </w:r>
      <w:r w:rsidR="00940115" w:rsidRPr="007E6989">
        <w:t>both groups</w:t>
      </w:r>
      <w:r w:rsidR="009B5C27" w:rsidRPr="007E6989">
        <w:t xml:space="preserve">, and specifically if partnerships with other organizations resulted in NNHQCC strategies and resources permeating facilities in the comparison group. </w:t>
      </w:r>
      <w:r w:rsidR="00BF4287" w:rsidRPr="007E6989">
        <w:t>This I</w:t>
      </w:r>
      <w:r w:rsidR="00C04E1C" w:rsidRPr="007E6989">
        <w:t xml:space="preserve">nformation </w:t>
      </w:r>
      <w:r w:rsidR="00BF4287" w:rsidRPr="007E6989">
        <w:t>C</w:t>
      </w:r>
      <w:r w:rsidR="00C04E1C" w:rsidRPr="007E6989">
        <w:t xml:space="preserve">ollection </w:t>
      </w:r>
      <w:r w:rsidR="00BF4287" w:rsidRPr="007E6989">
        <w:t>R</w:t>
      </w:r>
      <w:r w:rsidR="00C04E1C" w:rsidRPr="007E6989">
        <w:t>equest</w:t>
      </w:r>
      <w:r w:rsidR="00BF4287" w:rsidRPr="007E6989">
        <w:t xml:space="preserve"> is to conduct </w:t>
      </w:r>
      <w:r w:rsidR="00A737EC" w:rsidRPr="007E6989">
        <w:t xml:space="preserve">data collection </w:t>
      </w:r>
      <w:r w:rsidR="0056486A" w:rsidRPr="007E6989">
        <w:t xml:space="preserve">to provide </w:t>
      </w:r>
      <w:r w:rsidR="00BF4287" w:rsidRPr="007E6989">
        <w:t xml:space="preserve">data </w:t>
      </w:r>
      <w:r w:rsidRPr="007E6989">
        <w:t xml:space="preserve">that will help explain findings from assessment of </w:t>
      </w:r>
      <w:r w:rsidR="00875DC4" w:rsidRPr="007E6989">
        <w:t>secondary</w:t>
      </w:r>
      <w:r w:rsidRPr="007E6989">
        <w:t xml:space="preserve"> data</w:t>
      </w:r>
      <w:r w:rsidR="00940115" w:rsidRPr="007E6989">
        <w:t>, including non-program influences (e.g. policy and environmental) on outcomes of interest,</w:t>
      </w:r>
      <w:r w:rsidRPr="007E6989">
        <w:t xml:space="preserve"> and </w:t>
      </w:r>
      <w:r w:rsidR="00940115" w:rsidRPr="007E6989">
        <w:t xml:space="preserve">to </w:t>
      </w:r>
      <w:r w:rsidRPr="007E6989">
        <w:t xml:space="preserve">provide information on processes leading to uptake of QAPI approaches and improved prevention of HACs. </w:t>
      </w:r>
      <w:r w:rsidR="00010094" w:rsidRPr="007E6989">
        <w:fldChar w:fldCharType="begin"/>
      </w:r>
      <w:r w:rsidR="00010094" w:rsidRPr="007E6989">
        <w:instrText xml:space="preserve"> REF _Ref449621004 \h </w:instrText>
      </w:r>
      <w:r w:rsidR="007E6989">
        <w:instrText xml:space="preserve"> \* MERGEFORMAT </w:instrText>
      </w:r>
      <w:r w:rsidR="00010094" w:rsidRPr="007E6989">
        <w:fldChar w:fldCharType="separate"/>
      </w:r>
      <w:r w:rsidR="00B950AC" w:rsidRPr="007E6989">
        <w:t>Table </w:t>
      </w:r>
      <w:r w:rsidR="00B950AC" w:rsidRPr="007E6989">
        <w:rPr>
          <w:noProof/>
        </w:rPr>
        <w:t>1</w:t>
      </w:r>
      <w:r w:rsidR="00010094" w:rsidRPr="007E6989">
        <w:fldChar w:fldCharType="end"/>
      </w:r>
      <w:r w:rsidR="00010094" w:rsidRPr="007E6989">
        <w:t xml:space="preserve"> provides an overview of </w:t>
      </w:r>
      <w:r w:rsidR="00142980" w:rsidRPr="007E6989">
        <w:t xml:space="preserve">the proposed </w:t>
      </w:r>
      <w:r w:rsidR="00A737EC" w:rsidRPr="007E6989">
        <w:t>data collection methods</w:t>
      </w:r>
      <w:r w:rsidR="00142980" w:rsidRPr="007E6989">
        <w:t xml:space="preserve">, including </w:t>
      </w:r>
      <w:r w:rsidR="003D1E09" w:rsidRPr="007E6989">
        <w:t>survey topics, respondents, and frequency of data collection</w:t>
      </w:r>
      <w:r w:rsidR="00010094" w:rsidRPr="007E6989">
        <w:t xml:space="preserve">. </w:t>
      </w:r>
      <w:r w:rsidR="00B904EE" w:rsidRPr="007E6989">
        <w:t xml:space="preserve">We </w:t>
      </w:r>
      <w:r w:rsidR="008D6AFA" w:rsidRPr="007E6989">
        <w:t>plan to</w:t>
      </w:r>
      <w:r w:rsidR="00B904EE" w:rsidRPr="007E6989">
        <w:t xml:space="preserve"> conduct an annual survey </w:t>
      </w:r>
      <w:r w:rsidR="00BB1409" w:rsidRPr="007E6989">
        <w:t xml:space="preserve">of Nursing Home Administrators and qualitative </w:t>
      </w:r>
      <w:r w:rsidR="008D6AFA" w:rsidRPr="007E6989">
        <w:t>data collection</w:t>
      </w:r>
      <w:r w:rsidR="00BB1409" w:rsidRPr="007E6989">
        <w:t xml:space="preserve"> with</w:t>
      </w:r>
      <w:r w:rsidR="008D6AFA" w:rsidRPr="007E6989">
        <w:t xml:space="preserve"> Nursing Home Administrators, QIN-QIO Nursing Home Task</w:t>
      </w:r>
      <w:r w:rsidR="00875DC4" w:rsidRPr="007E6989">
        <w:t xml:space="preserve"> Lead</w:t>
      </w:r>
      <w:r w:rsidR="008D6AFA" w:rsidRPr="007E6989">
        <w:t xml:space="preserve">s, and Nursing Home Peer Coaches. </w:t>
      </w:r>
      <w:r w:rsidR="00BB1409" w:rsidRPr="007E6989">
        <w:t xml:space="preserve"> </w:t>
      </w:r>
    </w:p>
    <w:p w14:paraId="32B54D21" w14:textId="3D1A7511" w:rsidR="003D7D87" w:rsidRPr="007E6989" w:rsidRDefault="00010094" w:rsidP="00066C5F">
      <w:pPr>
        <w:pStyle w:val="BodyText"/>
      </w:pPr>
      <w:r w:rsidRPr="007E6989">
        <w:t>W</w:t>
      </w:r>
      <w:r w:rsidR="00EC524A" w:rsidRPr="007E6989">
        <w:t>e will conduct a survey of administrators</w:t>
      </w:r>
      <w:r w:rsidR="00142980" w:rsidRPr="007E6989">
        <w:t xml:space="preserve"> of nursing homes</w:t>
      </w:r>
      <w:r w:rsidR="00EC524A" w:rsidRPr="007E6989">
        <w:t xml:space="preserve"> participating in the QIN-QIO program (intervention group) and </w:t>
      </w:r>
      <w:r w:rsidR="00142980" w:rsidRPr="007E6989">
        <w:t xml:space="preserve">administrators at </w:t>
      </w:r>
      <w:r w:rsidR="00EC524A" w:rsidRPr="007E6989">
        <w:t xml:space="preserve">nursing homes that are not participating in the QIN-QIO program (comparison group). </w:t>
      </w:r>
      <w:r w:rsidRPr="007E6989">
        <w:t xml:space="preserve">Our proposed survey assesses </w:t>
      </w:r>
      <w:r w:rsidR="00940115" w:rsidRPr="007E6989">
        <w:t xml:space="preserve">the level of engagement with the QIO, the extent to which QAPI strategies </w:t>
      </w:r>
      <w:proofErr w:type="gramStart"/>
      <w:r w:rsidR="00940115" w:rsidRPr="007E6989">
        <w:t>have been used</w:t>
      </w:r>
      <w:proofErr w:type="gramEnd"/>
      <w:r w:rsidR="00940115" w:rsidRPr="007E6989">
        <w:t xml:space="preserve">, and other influences </w:t>
      </w:r>
      <w:r w:rsidR="00C61724" w:rsidRPr="007E6989">
        <w:t>that</w:t>
      </w:r>
      <w:r w:rsidR="00940115" w:rsidRPr="007E6989">
        <w:t xml:space="preserve"> can help explain </w:t>
      </w:r>
      <w:r w:rsidRPr="007E6989">
        <w:t xml:space="preserve">progress towards the goals of the </w:t>
      </w:r>
      <w:r w:rsidR="00142980" w:rsidRPr="007E6989">
        <w:t xml:space="preserve">QIN-QIO </w:t>
      </w:r>
      <w:r w:rsidRPr="007E6989">
        <w:t>SOW, including activities and strategies to increase mobility among residents, reduce infections</w:t>
      </w:r>
      <w:r w:rsidR="00C61724" w:rsidRPr="007E6989">
        <w:t>,</w:t>
      </w:r>
      <w:r w:rsidR="00940115" w:rsidRPr="007E6989">
        <w:t xml:space="preserve"> and</w:t>
      </w:r>
      <w:r w:rsidRPr="007E6989">
        <w:t xml:space="preserve"> reduce use of inappropriate antipsychotic medication among long-term stay residents.</w:t>
      </w:r>
      <w:r w:rsidRPr="007E6989">
        <w:rPr>
          <w:vertAlign w:val="superscript"/>
        </w:rPr>
        <w:t xml:space="preserve"> </w:t>
      </w:r>
      <w:proofErr w:type="gramStart"/>
      <w:r w:rsidR="00940115" w:rsidRPr="007E6989">
        <w:t>The questions used for these constructs related to program and non-program influences have been adopted from previously used and/or validated instruments</w:t>
      </w:r>
      <w:r w:rsidR="00C61724" w:rsidRPr="007E6989">
        <w:t>.</w:t>
      </w:r>
      <w:r w:rsidR="00594CE7" w:rsidRPr="007E6989">
        <w:rPr>
          <w:rStyle w:val="FootnoteReference"/>
          <w:vertAlign w:val="superscript"/>
        </w:rPr>
        <w:footnoteReference w:id="14"/>
      </w:r>
      <w:r w:rsidR="00594CE7" w:rsidRPr="007E6989">
        <w:rPr>
          <w:vertAlign w:val="superscript"/>
        </w:rPr>
        <w:t>,</w:t>
      </w:r>
      <w:r w:rsidR="00594CE7" w:rsidRPr="007E6989">
        <w:rPr>
          <w:rStyle w:val="FootnoteReference"/>
          <w:vertAlign w:val="superscript"/>
        </w:rPr>
        <w:footnoteReference w:id="15"/>
      </w:r>
      <w:r w:rsidR="00940115" w:rsidRPr="007E6989">
        <w:t xml:space="preserve"> </w:t>
      </w:r>
      <w:r w:rsidRPr="007E6989">
        <w:t xml:space="preserve">The survey will also provide </w:t>
      </w:r>
      <w:r w:rsidR="00EC524A" w:rsidRPr="007E6989">
        <w:t>estimate</w:t>
      </w:r>
      <w:r w:rsidRPr="007E6989">
        <w:t>s of</w:t>
      </w:r>
      <w:r w:rsidR="00EC524A" w:rsidRPr="007E6989">
        <w:t xml:space="preserve"> the attribution of the QIN-QIO program for improved care processes and outcomes in nursing home</w:t>
      </w:r>
      <w:r w:rsidRPr="007E6989">
        <w:t>s</w:t>
      </w:r>
      <w:r w:rsidR="00EC524A" w:rsidRPr="007E6989">
        <w:t xml:space="preserve"> </w:t>
      </w:r>
      <w:r w:rsidR="00EC524A" w:rsidRPr="007E6989">
        <w:lastRenderedPageBreak/>
        <w:t>and report</w:t>
      </w:r>
      <w:r w:rsidRPr="007E6989">
        <w:t>ed</w:t>
      </w:r>
      <w:r w:rsidR="00EC524A" w:rsidRPr="007E6989">
        <w:t xml:space="preserve"> impact of the QIN-QIO program on nursing homes</w:t>
      </w:r>
      <w:r w:rsidRPr="007E6989">
        <w:t xml:space="preserve"> from the perspective of the nursing home</w:t>
      </w:r>
      <w:r w:rsidR="00895D1F" w:rsidRPr="007E6989">
        <w:t xml:space="preserve"> administrators</w:t>
      </w:r>
      <w:r w:rsidRPr="007E6989">
        <w:t>.</w:t>
      </w:r>
      <w:proofErr w:type="gramEnd"/>
      <w:r w:rsidR="00EE1EF2" w:rsidRPr="007E6989">
        <w:t xml:space="preserve"> </w:t>
      </w:r>
      <w:r w:rsidR="00B417E3" w:rsidRPr="007E6989">
        <w:t xml:space="preserve">The perceived influence on quality improvement efforts </w:t>
      </w:r>
      <w:proofErr w:type="gramStart"/>
      <w:r w:rsidR="00B417E3" w:rsidRPr="007E6989">
        <w:t>will be quantified</w:t>
      </w:r>
      <w:proofErr w:type="gramEnd"/>
      <w:r w:rsidR="00B417E3" w:rsidRPr="007E6989">
        <w:t xml:space="preserve"> and, along with econometric modeling methods, will be used to assess program</w:t>
      </w:r>
      <w:r w:rsidR="00FB5262" w:rsidRPr="007E6989">
        <w:t xml:space="preserve"> </w:t>
      </w:r>
      <w:r w:rsidR="00B417E3" w:rsidRPr="007E6989">
        <w:t xml:space="preserve">attribution. Estimating attribution is a contract requirement for the </w:t>
      </w:r>
      <w:r w:rsidR="00FD4603" w:rsidRPr="007E6989">
        <w:t>I</w:t>
      </w:r>
      <w:r w:rsidR="00B417E3" w:rsidRPr="007E6989">
        <w:t xml:space="preserve">EC. Since </w:t>
      </w:r>
      <w:r w:rsidR="00C61724" w:rsidRPr="007E6989">
        <w:t>current analytical</w:t>
      </w:r>
      <w:r w:rsidR="00B417E3" w:rsidRPr="007E6989">
        <w:t xml:space="preserve"> methods </w:t>
      </w:r>
      <w:r w:rsidR="00C61724" w:rsidRPr="007E6989">
        <w:t xml:space="preserve">do not </w:t>
      </w:r>
      <w:r w:rsidR="00B417E3" w:rsidRPr="007E6989">
        <w:t>adequately address the overlap of quality improvement initiatives targeting nursing homes, the IEC developed an innovative approach, combining survey input with modeling, to estimate the relative importance of the QIN-QIO program. The concept is supported at the highest level of administration for Quality Improvement at CMS and has been presented at national conferences.</w:t>
      </w:r>
      <w:r w:rsidR="00B417E3" w:rsidRPr="007E6989">
        <w:rPr>
          <w:rStyle w:val="FootnoteReference"/>
          <w:vertAlign w:val="superscript"/>
        </w:rPr>
        <w:footnoteReference w:id="16"/>
      </w:r>
      <w:r w:rsidR="00B417E3" w:rsidRPr="007E6989">
        <w:rPr>
          <w:vertAlign w:val="superscript"/>
        </w:rPr>
        <w:t>,</w:t>
      </w:r>
      <w:r w:rsidR="00B417E3" w:rsidRPr="007E6989">
        <w:rPr>
          <w:rStyle w:val="FootnoteReference"/>
          <w:vertAlign w:val="superscript"/>
        </w:rPr>
        <w:footnoteReference w:id="17"/>
      </w:r>
      <w:r w:rsidR="00B417E3" w:rsidRPr="007E6989">
        <w:rPr>
          <w:vertAlign w:val="superscript"/>
        </w:rPr>
        <w:t xml:space="preserve"> </w:t>
      </w:r>
      <w:r w:rsidR="00B417E3" w:rsidRPr="007E6989">
        <w:t xml:space="preserve">and </w:t>
      </w:r>
      <w:r w:rsidR="00E17BFD" w:rsidRPr="007E6989">
        <w:t xml:space="preserve">to </w:t>
      </w:r>
      <w:r w:rsidR="00B417E3" w:rsidRPr="007E6989">
        <w:t>CMS/CCSQ leadership</w:t>
      </w:r>
      <w:r w:rsidR="00E17BFD" w:rsidRPr="007E6989">
        <w:t>.</w:t>
      </w:r>
      <w:r w:rsidR="00E17BFD" w:rsidRPr="007E6989">
        <w:rPr>
          <w:rStyle w:val="FootnoteReference"/>
          <w:vertAlign w:val="superscript"/>
        </w:rPr>
        <w:footnoteReference w:id="18"/>
      </w:r>
      <w:proofErr w:type="gramStart"/>
      <w:r w:rsidR="00B417E3" w:rsidRPr="007E6989">
        <w:t xml:space="preserve">  </w:t>
      </w:r>
      <w:proofErr w:type="gramEnd"/>
      <w:r w:rsidR="00B417E3" w:rsidRPr="007E6989">
        <w:t xml:space="preserve">The survey data is an essential component of this method. </w:t>
      </w:r>
      <w:r w:rsidR="00786CB0" w:rsidRPr="007E6989">
        <w:t>Two</w:t>
      </w:r>
      <w:r w:rsidR="00C433C8" w:rsidRPr="007E6989">
        <w:t xml:space="preserve"> </w:t>
      </w:r>
      <w:r w:rsidR="00C26F85" w:rsidRPr="007E6989">
        <w:t xml:space="preserve">surveys are </w:t>
      </w:r>
      <w:r w:rsidR="008D6AFA" w:rsidRPr="007E6989">
        <w:t>necessary</w:t>
      </w:r>
      <w:r w:rsidR="00C26F85" w:rsidRPr="007E6989">
        <w:t xml:space="preserve"> </w:t>
      </w:r>
      <w:r w:rsidR="00EC27A8" w:rsidRPr="007E6989">
        <w:t xml:space="preserve">in order to assess </w:t>
      </w:r>
      <w:r w:rsidR="00FB5262" w:rsidRPr="007E6989">
        <w:t>the efforts of the two phases in the nursing home collaborative</w:t>
      </w:r>
      <w:r w:rsidR="002C188A" w:rsidRPr="007E6989">
        <w:t xml:space="preserve"> program </w:t>
      </w:r>
      <w:r w:rsidR="00FB5262" w:rsidRPr="007E6989">
        <w:t xml:space="preserve">as well as </w:t>
      </w:r>
      <w:r w:rsidR="00EC27A8" w:rsidRPr="007E6989">
        <w:t>changes</w:t>
      </w:r>
      <w:r w:rsidR="00C433C8" w:rsidRPr="007E6989">
        <w:t xml:space="preserve"> in </w:t>
      </w:r>
      <w:r w:rsidR="008D6AFA" w:rsidRPr="007E6989">
        <w:t xml:space="preserve">nursing home </w:t>
      </w:r>
      <w:r w:rsidR="00C433C8" w:rsidRPr="007E6989">
        <w:t>quality</w:t>
      </w:r>
      <w:r w:rsidR="008D6AFA" w:rsidRPr="007E6989">
        <w:t xml:space="preserve"> improvement</w:t>
      </w:r>
      <w:r w:rsidR="00C433C8" w:rsidRPr="007E6989">
        <w:t xml:space="preserve"> activities</w:t>
      </w:r>
      <w:r w:rsidR="008D6AFA" w:rsidRPr="007E6989">
        <w:t xml:space="preserve"> over</w:t>
      </w:r>
      <w:r w:rsidR="00EC27A8" w:rsidRPr="007E6989">
        <w:t xml:space="preserve"> time</w:t>
      </w:r>
      <w:r w:rsidR="008D6AFA" w:rsidRPr="007E6989">
        <w:t xml:space="preserve"> at the program level</w:t>
      </w:r>
      <w:r w:rsidR="00E17BFD" w:rsidRPr="007E6989">
        <w:t>. This is</w:t>
      </w:r>
      <w:r w:rsidR="008D6AFA" w:rsidRPr="007E6989">
        <w:t xml:space="preserve"> particularly</w:t>
      </w:r>
      <w:r w:rsidR="00E17BFD" w:rsidRPr="007E6989">
        <w:t xml:space="preserve"> important</w:t>
      </w:r>
      <w:r w:rsidR="008D6AFA" w:rsidRPr="007E6989">
        <w:t xml:space="preserve"> given changes in </w:t>
      </w:r>
      <w:r w:rsidR="007C714B" w:rsidRPr="007E6989">
        <w:t xml:space="preserve">the </w:t>
      </w:r>
      <w:r w:rsidR="009B5C27" w:rsidRPr="007E6989">
        <w:t xml:space="preserve">delivery of the </w:t>
      </w:r>
      <w:r w:rsidR="007C714B" w:rsidRPr="007E6989">
        <w:t xml:space="preserve">QIN-QIO program for </w:t>
      </w:r>
      <w:r w:rsidR="008D6AFA" w:rsidRPr="007E6989">
        <w:t>nursing home</w:t>
      </w:r>
      <w:r w:rsidR="007C714B" w:rsidRPr="007E6989">
        <w:t>s</w:t>
      </w:r>
      <w:r w:rsidR="009B5C27" w:rsidRPr="007E6989">
        <w:t xml:space="preserve"> through the NNHQCC</w:t>
      </w:r>
      <w:r w:rsidR="008D6AFA" w:rsidRPr="007E6989">
        <w:t xml:space="preserve"> and </w:t>
      </w:r>
      <w:r w:rsidR="000245DD" w:rsidRPr="007E6989">
        <w:t xml:space="preserve">changes in the focus on </w:t>
      </w:r>
      <w:r w:rsidR="008D6AFA" w:rsidRPr="007E6989">
        <w:t>quality measures required by CMS</w:t>
      </w:r>
      <w:r w:rsidR="00BA2B20" w:rsidRPr="007E6989">
        <w:t xml:space="preserve"> that have occurred during the 11</w:t>
      </w:r>
      <w:r w:rsidR="00BA2B20" w:rsidRPr="007E6989">
        <w:rPr>
          <w:vertAlign w:val="superscript"/>
        </w:rPr>
        <w:t>th</w:t>
      </w:r>
      <w:r w:rsidR="00BA2B20" w:rsidRPr="007E6989">
        <w:t xml:space="preserve"> SOW</w:t>
      </w:r>
      <w:r w:rsidR="00EC27A8" w:rsidRPr="007E6989">
        <w:t>.</w:t>
      </w:r>
    </w:p>
    <w:p w14:paraId="705CB251" w14:textId="3B09E85D" w:rsidR="003D7D87" w:rsidRPr="007E6989" w:rsidRDefault="00EE1EF2" w:rsidP="00066C5F">
      <w:pPr>
        <w:pStyle w:val="BodyText"/>
      </w:pPr>
      <w:r w:rsidRPr="007E6989">
        <w:t xml:space="preserve">We plan to conduct </w:t>
      </w:r>
      <w:r w:rsidR="00791EC3" w:rsidRPr="007E6989">
        <w:t>qualitative</w:t>
      </w:r>
      <w:r w:rsidRPr="007E6989">
        <w:t xml:space="preserve"> interviews with nursing home administrators to provide data on additional topics not included in the brief survey. </w:t>
      </w:r>
      <w:r w:rsidR="00E8403D" w:rsidRPr="007E6989">
        <w:t xml:space="preserve">These surveys </w:t>
      </w:r>
      <w:proofErr w:type="gramStart"/>
      <w:r w:rsidR="00E8403D" w:rsidRPr="007E6989">
        <w:t>will be conducted</w:t>
      </w:r>
      <w:proofErr w:type="gramEnd"/>
      <w:r w:rsidR="00E8403D" w:rsidRPr="007E6989">
        <w:t xml:space="preserve"> twice to follow-up on results from the survey. </w:t>
      </w:r>
      <w:proofErr w:type="gramStart"/>
      <w:r w:rsidR="00E8403D" w:rsidRPr="007E6989">
        <w:t xml:space="preserve">These </w:t>
      </w:r>
      <w:r w:rsidR="00FB4853" w:rsidRPr="007E6989">
        <w:t>interview</w:t>
      </w:r>
      <w:r w:rsidR="00E8403D" w:rsidRPr="007E6989">
        <w:t>s</w:t>
      </w:r>
      <w:r w:rsidR="00FB4853" w:rsidRPr="007E6989">
        <w:t xml:space="preserve"> will supplement the Nursing Home Survey and provide more in-depth contextual information about the QIN-QIO program </w:t>
      </w:r>
      <w:r w:rsidR="00895D1F" w:rsidRPr="007E6989">
        <w:t xml:space="preserve">implementation within </w:t>
      </w:r>
      <w:r w:rsidR="00791EC3" w:rsidRPr="007E6989">
        <w:t>nursing</w:t>
      </w:r>
      <w:r w:rsidR="00FB4853" w:rsidRPr="007E6989">
        <w:t xml:space="preserve"> homes, including</w:t>
      </w:r>
      <w:r w:rsidR="00895D1F" w:rsidRPr="007E6989">
        <w:t xml:space="preserve">: (i) </w:t>
      </w:r>
      <w:r w:rsidR="00FB4853" w:rsidRPr="007E6989">
        <w:t xml:space="preserve">their experience with, and perceived success of QIN-QIO </w:t>
      </w:r>
      <w:r w:rsidR="000245DD" w:rsidRPr="007E6989">
        <w:t>NNHQCC</w:t>
      </w:r>
      <w:r w:rsidR="00FB4853" w:rsidRPr="007E6989">
        <w:t xml:space="preserve">; </w:t>
      </w:r>
      <w:r w:rsidR="00895D1F" w:rsidRPr="007E6989">
        <w:t xml:space="preserve">(ii) </w:t>
      </w:r>
      <w:r w:rsidR="00FB4853" w:rsidRPr="007E6989">
        <w:t xml:space="preserve">their satisfaction with </w:t>
      </w:r>
      <w:r w:rsidR="00895D1F" w:rsidRPr="007E6989">
        <w:t xml:space="preserve">the QIN-QIO Collaborative and </w:t>
      </w:r>
      <w:r w:rsidR="00FB4853" w:rsidRPr="007E6989">
        <w:t xml:space="preserve">QIO support; </w:t>
      </w:r>
      <w:r w:rsidR="00895D1F" w:rsidRPr="007E6989">
        <w:t xml:space="preserve">(iii) </w:t>
      </w:r>
      <w:r w:rsidR="00FB4853" w:rsidRPr="007E6989">
        <w:t>perceived value and impact of QIO program</w:t>
      </w:r>
      <w:r w:rsidR="00895D1F" w:rsidRPr="007E6989">
        <w:t>;</w:t>
      </w:r>
      <w:r w:rsidR="00FB4853" w:rsidRPr="007E6989">
        <w:t xml:space="preserve"> and </w:t>
      </w:r>
      <w:r w:rsidR="00895D1F" w:rsidRPr="007E6989">
        <w:t>(iv)</w:t>
      </w:r>
      <w:r w:rsidR="00FB4853" w:rsidRPr="007E6989">
        <w:t xml:space="preserve"> drivers and barriers to QIN-QIO involvement and success.</w:t>
      </w:r>
      <w:proofErr w:type="gramEnd"/>
      <w:r w:rsidR="00EE2830" w:rsidRPr="007E6989">
        <w:t xml:space="preserve"> T</w:t>
      </w:r>
      <w:r w:rsidR="003D7D87" w:rsidRPr="007E6989">
        <w:t xml:space="preserve">his qualitative interview will provide perspectives from Nursing Home Administrators not selected for the survey using a similar sampling plan as the Nursing Home Administrator Survey, stratifying nursing homes by </w:t>
      </w:r>
      <w:r w:rsidR="00EE2830" w:rsidRPr="007E6989">
        <w:t xml:space="preserve">their </w:t>
      </w:r>
      <w:r w:rsidR="000245DD" w:rsidRPr="007E6989">
        <w:t>Five-S</w:t>
      </w:r>
      <w:r w:rsidR="003D7D87" w:rsidRPr="007E6989">
        <w:t>tar</w:t>
      </w:r>
      <w:r w:rsidR="000245DD" w:rsidRPr="007E6989">
        <w:t xml:space="preserve"> </w:t>
      </w:r>
      <w:r w:rsidR="003D7D87" w:rsidRPr="007E6989">
        <w:t>rating</w:t>
      </w:r>
      <w:r w:rsidR="00EE2830" w:rsidRPr="007E6989">
        <w:t xml:space="preserve"> (a measure of quality</w:t>
      </w:r>
      <w:r w:rsidR="000120DC" w:rsidRPr="007E6989">
        <w:t xml:space="preserve"> care</w:t>
      </w:r>
      <w:r w:rsidR="00EE2830" w:rsidRPr="007E6989">
        <w:t xml:space="preserve">) and geographic </w:t>
      </w:r>
      <w:r w:rsidR="003D7D87" w:rsidRPr="007E6989">
        <w:t>location.</w:t>
      </w:r>
    </w:p>
    <w:p w14:paraId="2F31CAA2" w14:textId="6B054C13" w:rsidR="00EE1EF2" w:rsidRPr="007E6989" w:rsidRDefault="006A5F46" w:rsidP="00066C5F">
      <w:pPr>
        <w:pStyle w:val="BodyText"/>
      </w:pPr>
      <w:r w:rsidRPr="007E6989">
        <w:t>In</w:t>
      </w:r>
      <w:r w:rsidR="00CB51A1" w:rsidRPr="007E6989">
        <w:t xml:space="preserve">formation from </w:t>
      </w:r>
      <w:r w:rsidR="0090562A" w:rsidRPr="007E6989">
        <w:t xml:space="preserve">QIO </w:t>
      </w:r>
      <w:r w:rsidR="009077F1" w:rsidRPr="007E6989">
        <w:t xml:space="preserve">leadership </w:t>
      </w:r>
      <w:r w:rsidR="00791EC3" w:rsidRPr="007E6989">
        <w:t>an</w:t>
      </w:r>
      <w:r w:rsidR="005305E3" w:rsidRPr="007E6989">
        <w:t>d</w:t>
      </w:r>
      <w:r w:rsidR="00CB51A1" w:rsidRPr="007E6989">
        <w:t xml:space="preserve">/or state/territory </w:t>
      </w:r>
      <w:r w:rsidR="0090562A" w:rsidRPr="007E6989">
        <w:t>t</w:t>
      </w:r>
      <w:r w:rsidR="00CB51A1" w:rsidRPr="007E6989">
        <w:t>ask leads</w:t>
      </w:r>
      <w:r w:rsidR="005305E3" w:rsidRPr="007E6989">
        <w:t xml:space="preserve"> </w:t>
      </w:r>
      <w:proofErr w:type="gramStart"/>
      <w:r w:rsidR="00CB51A1" w:rsidRPr="007E6989">
        <w:t>will be collected</w:t>
      </w:r>
      <w:proofErr w:type="gramEnd"/>
      <w:r w:rsidR="00CB51A1" w:rsidRPr="007E6989">
        <w:t xml:space="preserve"> by interviews</w:t>
      </w:r>
      <w:r w:rsidR="0090562A" w:rsidRPr="007E6989">
        <w:t xml:space="preserve"> and focus groups</w:t>
      </w:r>
      <w:r w:rsidR="00CB51A1" w:rsidRPr="007E6989">
        <w:t xml:space="preserve">. </w:t>
      </w:r>
      <w:r w:rsidR="00315107" w:rsidRPr="007E6989">
        <w:t>If the QIO leads are not available to participate in a focus group, we will conduct i</w:t>
      </w:r>
      <w:r w:rsidR="00CB51A1" w:rsidRPr="007E6989">
        <w:t xml:space="preserve">nterviews </w:t>
      </w:r>
      <w:r w:rsidR="00AB718D" w:rsidRPr="007E6989">
        <w:t>with Nursing Home T</w:t>
      </w:r>
      <w:r w:rsidR="00752266" w:rsidRPr="007E6989">
        <w:t xml:space="preserve">ask leaders </w:t>
      </w:r>
      <w:r w:rsidR="002C188A" w:rsidRPr="007E6989">
        <w:t>for</w:t>
      </w:r>
      <w:r w:rsidR="00752266" w:rsidRPr="007E6989">
        <w:t xml:space="preserve"> the QIN and QIO </w:t>
      </w:r>
      <w:r w:rsidR="00CB51A1" w:rsidRPr="007E6989">
        <w:t xml:space="preserve">in-person </w:t>
      </w:r>
      <w:r w:rsidR="00752266" w:rsidRPr="007E6989">
        <w:t>or</w:t>
      </w:r>
      <w:r w:rsidR="00CB51A1" w:rsidRPr="007E6989">
        <w:t xml:space="preserve"> over the phone. </w:t>
      </w:r>
      <w:r w:rsidR="00590ED6" w:rsidRPr="007E6989">
        <w:t xml:space="preserve">We will conduct </w:t>
      </w:r>
      <w:r w:rsidR="00315107" w:rsidRPr="007E6989">
        <w:t xml:space="preserve">two </w:t>
      </w:r>
      <w:r w:rsidR="00590ED6" w:rsidRPr="007E6989">
        <w:t>focus groups</w:t>
      </w:r>
      <w:r w:rsidR="00752266" w:rsidRPr="007E6989">
        <w:t xml:space="preserve"> with 14 </w:t>
      </w:r>
      <w:r w:rsidR="00590ED6" w:rsidRPr="007E6989">
        <w:t>QIO</w:t>
      </w:r>
      <w:r w:rsidR="00752266" w:rsidRPr="007E6989">
        <w:t>-level</w:t>
      </w:r>
      <w:r w:rsidR="00590ED6" w:rsidRPr="007E6989">
        <w:t xml:space="preserve"> Directors (</w:t>
      </w:r>
      <w:r w:rsidR="00A31D11" w:rsidRPr="007E6989">
        <w:t>seven</w:t>
      </w:r>
      <w:r w:rsidR="00590ED6" w:rsidRPr="007E6989">
        <w:t xml:space="preserve"> Directors x </w:t>
      </w:r>
      <w:r w:rsidR="00A31D11" w:rsidRPr="007E6989">
        <w:t>two</w:t>
      </w:r>
      <w:r w:rsidR="00590ED6" w:rsidRPr="007E6989">
        <w:t xml:space="preserve"> Focus Groups) during the CMS Quality conference</w:t>
      </w:r>
      <w:r w:rsidR="00315107" w:rsidRPr="007E6989">
        <w:t xml:space="preserve"> or the Quality Summit</w:t>
      </w:r>
      <w:r w:rsidR="00590ED6" w:rsidRPr="007E6989">
        <w:t xml:space="preserve">. </w:t>
      </w:r>
      <w:r w:rsidR="00C867AA" w:rsidRPr="007E6989">
        <w:t>The purpose of the interviews</w:t>
      </w:r>
      <w:r w:rsidR="00590ED6" w:rsidRPr="007E6989">
        <w:t xml:space="preserve"> and focus groups </w:t>
      </w:r>
      <w:r w:rsidR="00C867AA" w:rsidRPr="007E6989">
        <w:t xml:space="preserve">is to examine: (i) QIO processes for recruiting </w:t>
      </w:r>
      <w:r w:rsidR="00EE1EF2" w:rsidRPr="007E6989">
        <w:t>nursing homes, peer coaches, and beneficiaries</w:t>
      </w:r>
      <w:r w:rsidR="00C867AA" w:rsidRPr="007E6989">
        <w:t xml:space="preserve"> to participate in the program</w:t>
      </w:r>
      <w:r w:rsidR="00EE1EF2" w:rsidRPr="007E6989">
        <w:t>; (ii) strengths and challenges of QIN-</w:t>
      </w:r>
      <w:r w:rsidR="00C867AA" w:rsidRPr="007E6989">
        <w:t xml:space="preserve">QIO activities </w:t>
      </w:r>
      <w:r w:rsidR="009077F1" w:rsidRPr="007E6989">
        <w:t>related to nursing homes</w:t>
      </w:r>
      <w:r w:rsidR="00C867AA" w:rsidRPr="007E6989">
        <w:t xml:space="preserve">; (iii) </w:t>
      </w:r>
      <w:r w:rsidR="00590ED6" w:rsidRPr="007E6989">
        <w:t>partnership</w:t>
      </w:r>
      <w:r w:rsidR="005E477C" w:rsidRPr="007E6989">
        <w:t xml:space="preserve"> and coordination with other QIN-QIO tasks</w:t>
      </w:r>
      <w:r w:rsidR="00C867AA" w:rsidRPr="007E6989">
        <w:t xml:space="preserve">; </w:t>
      </w:r>
      <w:r w:rsidR="005E477C" w:rsidRPr="007E6989">
        <w:t xml:space="preserve">and </w:t>
      </w:r>
      <w:r w:rsidR="00C867AA" w:rsidRPr="007E6989">
        <w:t xml:space="preserve">(iv) </w:t>
      </w:r>
      <w:r w:rsidR="005E477C" w:rsidRPr="007E6989">
        <w:t>overall lessons learned</w:t>
      </w:r>
      <w:r w:rsidR="00DF207D" w:rsidRPr="007E6989">
        <w:t xml:space="preserve"> from each collaborative</w:t>
      </w:r>
      <w:r w:rsidR="005E477C" w:rsidRPr="007E6989">
        <w:t>.</w:t>
      </w:r>
      <w:r w:rsidR="00DF207D" w:rsidRPr="007E6989">
        <w:t xml:space="preserve"> The first round of interviews/focus groups will focus on activities related to the Nursing Home Collaborative</w:t>
      </w:r>
      <w:r w:rsidR="009D1161" w:rsidRPr="007E6989">
        <w:t xml:space="preserve"> I</w:t>
      </w:r>
      <w:r w:rsidR="00DF207D" w:rsidRPr="007E6989">
        <w:t xml:space="preserve"> and the second set of interviews and focus groups will focus on activities related to the Nursing Home Collaborative </w:t>
      </w:r>
      <w:r w:rsidR="009D1161" w:rsidRPr="007E6989">
        <w:t>II</w:t>
      </w:r>
      <w:r w:rsidR="00DF207D" w:rsidRPr="007E6989">
        <w:t>.</w:t>
      </w:r>
    </w:p>
    <w:p w14:paraId="24377069" w14:textId="77777777" w:rsidR="00150250" w:rsidRPr="007E6989" w:rsidRDefault="00EF042F" w:rsidP="00066C5F">
      <w:pPr>
        <w:pStyle w:val="BodyText"/>
      </w:pPr>
      <w:r w:rsidRPr="007E6989">
        <w:lastRenderedPageBreak/>
        <w:t xml:space="preserve">We will also conduct </w:t>
      </w:r>
      <w:r w:rsidR="00791EC3" w:rsidRPr="007E6989">
        <w:t>qualitative</w:t>
      </w:r>
      <w:r w:rsidR="003D1E09" w:rsidRPr="007E6989">
        <w:t xml:space="preserve"> </w:t>
      </w:r>
      <w:r w:rsidRPr="007E6989">
        <w:t>interviews</w:t>
      </w:r>
      <w:r w:rsidR="00E8403D" w:rsidRPr="007E6989">
        <w:t xml:space="preserve"> once</w:t>
      </w:r>
      <w:r w:rsidRPr="007E6989">
        <w:t xml:space="preserve"> with </w:t>
      </w:r>
      <w:r w:rsidR="00EE2830" w:rsidRPr="007E6989">
        <w:t xml:space="preserve">nursing home </w:t>
      </w:r>
      <w:r w:rsidRPr="007E6989">
        <w:t>peer coaches.</w:t>
      </w:r>
      <w:r w:rsidR="006A5F46" w:rsidRPr="007E6989">
        <w:t xml:space="preserve"> </w:t>
      </w:r>
      <w:r w:rsidR="00EE2830" w:rsidRPr="007E6989">
        <w:t>QIN-QIOs are responsible for recruiting high-performing nursing homes to act as “peer coaches” to other nursing homes. Peer</w:t>
      </w:r>
      <w:r w:rsidR="00DD2DE0" w:rsidRPr="007E6989">
        <w:t xml:space="preserve"> </w:t>
      </w:r>
      <w:r w:rsidR="00EE2830" w:rsidRPr="007E6989">
        <w:t>Coaches represent diverse levels of nursing home staff, both administrative and direct care, and include at least one resident/beneficiary or family member per participating area, state</w:t>
      </w:r>
      <w:r w:rsidR="003E77B3" w:rsidRPr="007E6989">
        <w:t>,</w:t>
      </w:r>
      <w:r w:rsidR="00EE2830" w:rsidRPr="007E6989">
        <w:t xml:space="preserve"> or territory. I</w:t>
      </w:r>
      <w:r w:rsidR="006A5F46" w:rsidRPr="007E6989">
        <w:t>nterview</w:t>
      </w:r>
      <w:r w:rsidR="00EE2830" w:rsidRPr="007E6989">
        <w:t>s with peer coaches</w:t>
      </w:r>
      <w:r w:rsidR="006A5F46" w:rsidRPr="007E6989">
        <w:t xml:space="preserve"> will provide information on the </w:t>
      </w:r>
      <w:proofErr w:type="gramStart"/>
      <w:r w:rsidR="006A5F46" w:rsidRPr="007E6989">
        <w:t>peer coaching</w:t>
      </w:r>
      <w:proofErr w:type="gramEnd"/>
      <w:r w:rsidR="006A5F46" w:rsidRPr="007E6989">
        <w:t xml:space="preserve"> program </w:t>
      </w:r>
      <w:r w:rsidR="00EE2830" w:rsidRPr="007E6989">
        <w:t>from the perspectives of</w:t>
      </w:r>
      <w:r w:rsidR="006A5F46" w:rsidRPr="007E6989">
        <w:t xml:space="preserve"> </w:t>
      </w:r>
      <w:r w:rsidR="008365CA" w:rsidRPr="007E6989">
        <w:t>participants. Interviews</w:t>
      </w:r>
      <w:r w:rsidR="00881683" w:rsidRPr="007E6989">
        <w:t xml:space="preserve"> will collect data about </w:t>
      </w:r>
      <w:r w:rsidR="008365CA" w:rsidRPr="007E6989">
        <w:t>organizational support and resources, participant rewards and satisfaction, and program barriers and challenges.</w:t>
      </w:r>
    </w:p>
    <w:p w14:paraId="7DE03186" w14:textId="77777777" w:rsidR="00C867AA" w:rsidRPr="007E6989" w:rsidRDefault="006A5F46" w:rsidP="00066C5F">
      <w:pPr>
        <w:pStyle w:val="BodyText"/>
      </w:pPr>
      <w:r w:rsidRPr="007E6989">
        <w:t>These interviews will be administered either on-site during site visits or by phone if in-person interviews are not feasible or cost-effective.</w:t>
      </w:r>
      <w:r w:rsidR="00EF042F" w:rsidRPr="007E6989">
        <w:t xml:space="preserve"> </w:t>
      </w:r>
      <w:r w:rsidR="003D1E09" w:rsidRPr="007E6989">
        <w:t>W</w:t>
      </w:r>
      <w:r w:rsidR="00EF042F" w:rsidRPr="007E6989">
        <w:t>e will conduct t</w:t>
      </w:r>
      <w:r w:rsidR="00C867AA" w:rsidRPr="007E6989">
        <w:t xml:space="preserve">wo </w:t>
      </w:r>
      <w:r w:rsidR="00F615F0" w:rsidRPr="007E6989">
        <w:t>waves</w:t>
      </w:r>
      <w:r w:rsidR="00C867AA" w:rsidRPr="007E6989">
        <w:t xml:space="preserve"> of site visits during </w:t>
      </w:r>
      <w:r w:rsidR="00791EC3" w:rsidRPr="007E6989">
        <w:t>the data collection</w:t>
      </w:r>
      <w:r w:rsidR="00C867AA" w:rsidRPr="007E6989">
        <w:t xml:space="preserve"> at six </w:t>
      </w:r>
      <w:r w:rsidR="00EF042F" w:rsidRPr="007E6989">
        <w:t xml:space="preserve">QIN-QIOs per </w:t>
      </w:r>
      <w:r w:rsidR="00F615F0" w:rsidRPr="007E6989">
        <w:t>wave</w:t>
      </w:r>
      <w:r w:rsidR="00EF042F" w:rsidRPr="007E6989">
        <w:t xml:space="preserve">. </w:t>
      </w:r>
      <w:r w:rsidR="00C867AA" w:rsidRPr="007E6989">
        <w:t xml:space="preserve">Site visits will include in-person interviews with QIO leadership, </w:t>
      </w:r>
      <w:r w:rsidR="00EE1EF2" w:rsidRPr="007E6989">
        <w:t>nursing home administrators, and peer coaches</w:t>
      </w:r>
      <w:r w:rsidR="00EF042F" w:rsidRPr="007E6989">
        <w:t>. Sites will be selected in order to maximize diversity in terms of performance (representing both high</w:t>
      </w:r>
      <w:r w:rsidR="0042549A" w:rsidRPr="007E6989">
        <w:t>-</w:t>
      </w:r>
      <w:r w:rsidR="00EF042F" w:rsidRPr="007E6989">
        <w:t xml:space="preserve"> and low-performing states) and represent diverse populations in different regions of the country. Telephone interviews </w:t>
      </w:r>
      <w:proofErr w:type="gramStart"/>
      <w:r w:rsidR="00EF042F" w:rsidRPr="007E6989">
        <w:t>will be used</w:t>
      </w:r>
      <w:proofErr w:type="gramEnd"/>
      <w:r w:rsidR="00EF042F" w:rsidRPr="007E6989">
        <w:t xml:space="preserve"> to collect data from QIO</w:t>
      </w:r>
      <w:r w:rsidR="00590ED6" w:rsidRPr="007E6989">
        <w:t xml:space="preserve"> directors</w:t>
      </w:r>
      <w:r w:rsidR="00EF042F" w:rsidRPr="007E6989">
        <w:t>, nursing home administrators, and peer coaches not available during site visits</w:t>
      </w:r>
      <w:r w:rsidR="00C867AA" w:rsidRPr="007E6989">
        <w:t xml:space="preserve">.  </w:t>
      </w:r>
    </w:p>
    <w:p w14:paraId="1CD8E987" w14:textId="140E960C" w:rsidR="00CD7204" w:rsidRPr="007E6989" w:rsidRDefault="003D1E09" w:rsidP="00856DD9">
      <w:pPr>
        <w:pStyle w:val="BodyText2"/>
        <w:ind w:left="0"/>
      </w:pPr>
      <w:r w:rsidRPr="007E6989">
        <w:t xml:space="preserve">An overview of the proposed data collection mode, including survey topics, respondents, and frequency of data collection </w:t>
      </w:r>
      <w:proofErr w:type="gramStart"/>
      <w:r w:rsidRPr="007E6989">
        <w:t>is shown</w:t>
      </w:r>
      <w:proofErr w:type="gramEnd"/>
      <w:r w:rsidRPr="007E6989">
        <w:t xml:space="preserve"> below in </w:t>
      </w:r>
      <w:r w:rsidR="00483188" w:rsidRPr="007E6989">
        <w:fldChar w:fldCharType="begin"/>
      </w:r>
      <w:r w:rsidR="00483188" w:rsidRPr="007E6989">
        <w:instrText xml:space="preserve"> REF _Ref449621004 \h </w:instrText>
      </w:r>
      <w:r w:rsidR="007E6989">
        <w:instrText xml:space="preserve"> \* MERGEFORMAT </w:instrText>
      </w:r>
      <w:r w:rsidR="00483188" w:rsidRPr="007E6989">
        <w:fldChar w:fldCharType="separate"/>
      </w:r>
      <w:r w:rsidR="00483188" w:rsidRPr="007E6989">
        <w:t>Table </w:t>
      </w:r>
      <w:r w:rsidR="00483188" w:rsidRPr="007E6989">
        <w:rPr>
          <w:noProof/>
        </w:rPr>
        <w:t>1</w:t>
      </w:r>
      <w:r w:rsidR="00483188" w:rsidRPr="007E6989">
        <w:fldChar w:fldCharType="end"/>
      </w:r>
      <w:r w:rsidRPr="007E6989">
        <w:t>.</w:t>
      </w:r>
      <w:r w:rsidR="009954D3" w:rsidRPr="007E6989">
        <w:t xml:space="preserve"> The data collection instruments, including the Nursing Home Survey and qualitative data collection protocols (interviews and focus groups), are found in Appendix A.</w:t>
      </w:r>
      <w:r w:rsidR="00856DD9" w:rsidRPr="007E6989">
        <w:t xml:space="preserve"> The information that </w:t>
      </w:r>
      <w:proofErr w:type="gramStart"/>
      <w:r w:rsidR="00856DD9" w:rsidRPr="007E6989">
        <w:t>will be collected</w:t>
      </w:r>
      <w:proofErr w:type="gramEnd"/>
      <w:r w:rsidR="00856DD9" w:rsidRPr="007E6989">
        <w:t xml:space="preserve"> through surveys, interviews, and focus groups will complement the existing data by helping identify factors associated with outcomes of interest </w:t>
      </w:r>
      <w:r w:rsidR="00CD7204" w:rsidRPr="007E6989">
        <w:t>from existing data sets such as</w:t>
      </w:r>
      <w:r w:rsidR="00856DD9" w:rsidRPr="007E6989">
        <w:t xml:space="preserve"> MDS 3 and Medicare claims. For example, survey information from long-term care facilities on their level of engagement with the QIO, uptake of QAPI strategies and activities, and influences from other quality improvement initiatives </w:t>
      </w:r>
      <w:proofErr w:type="gramStart"/>
      <w:r w:rsidR="00856DD9" w:rsidRPr="007E6989">
        <w:t>can be added</w:t>
      </w:r>
      <w:proofErr w:type="gramEnd"/>
      <w:r w:rsidR="00856DD9" w:rsidRPr="007E6989">
        <w:t xml:space="preserve"> to models that describe influences on outcomes such as changes in mobility, use of antipsychotics, </w:t>
      </w:r>
      <w:r w:rsidR="00415AA0" w:rsidRPr="007E6989">
        <w:t xml:space="preserve">prevention of HACs and </w:t>
      </w:r>
      <w:r w:rsidR="00856DD9" w:rsidRPr="007E6989">
        <w:t xml:space="preserve">infections, and hospital utility. </w:t>
      </w:r>
      <w:r w:rsidR="00CD7204" w:rsidRPr="007E6989">
        <w:t>Please see Attachment 1 that provides a crosswalk of how the existing and new data sources will meet address the evaluation questions.</w:t>
      </w:r>
    </w:p>
    <w:p w14:paraId="48839FA8" w14:textId="15A1257F" w:rsidR="00C867AA" w:rsidRPr="007E6989" w:rsidRDefault="00856DD9" w:rsidP="00BC305F">
      <w:pPr>
        <w:pStyle w:val="BodyText2"/>
        <w:ind w:left="0"/>
      </w:pPr>
      <w:r w:rsidRPr="007E6989">
        <w:t xml:space="preserve">CMS can use these findings to improve the </w:t>
      </w:r>
      <w:r w:rsidR="009D1161" w:rsidRPr="007E6989">
        <w:t>delivery of the QIN-QIO program. For</w:t>
      </w:r>
      <w:r w:rsidRPr="007E6989">
        <w:t xml:space="preserve"> example</w:t>
      </w:r>
      <w:r w:rsidR="009D1161" w:rsidRPr="007E6989">
        <w:t>, if we identify covariates that are influential in predicting desired outcomes, CMS can</w:t>
      </w:r>
      <w:r w:rsidRPr="007E6989">
        <w:t xml:space="preserve"> focus on ways to increas</w:t>
      </w:r>
      <w:r w:rsidR="009D1161" w:rsidRPr="007E6989">
        <w:t xml:space="preserve">e engagement with nursing homes or strategically recruit </w:t>
      </w:r>
      <w:r w:rsidRPr="007E6989">
        <w:t xml:space="preserve">facilities that are most likely to benefit from the program. </w:t>
      </w:r>
      <w:r w:rsidR="000E58F3" w:rsidRPr="007E6989">
        <w:t>We will use this information to identify QIO program</w:t>
      </w:r>
      <w:r w:rsidR="009D1161" w:rsidRPr="007E6989">
        <w:t xml:space="preserve"> elements</w:t>
      </w:r>
      <w:r w:rsidR="000E58F3" w:rsidRPr="007E6989">
        <w:t xml:space="preserve"> that help nursing homes comply with QAPI requirements. CMS can also use this information to modify future Scopes of Work</w:t>
      </w:r>
      <w:r w:rsidR="00CD7204" w:rsidRPr="007E6989">
        <w:t xml:space="preserve"> for QIOs </w:t>
      </w:r>
      <w:proofErr w:type="gramStart"/>
      <w:r w:rsidR="00CD7204" w:rsidRPr="007E6989">
        <w:t>to continually improve</w:t>
      </w:r>
      <w:proofErr w:type="gramEnd"/>
      <w:r w:rsidR="00CD7204" w:rsidRPr="007E6989">
        <w:t xml:space="preserve"> the program</w:t>
      </w:r>
      <w:r w:rsidR="000E58F3" w:rsidRPr="007E6989">
        <w:t>.</w:t>
      </w:r>
    </w:p>
    <w:p w14:paraId="7C90D209" w14:textId="77777777" w:rsidR="00EC524A" w:rsidRPr="007E6989" w:rsidRDefault="00EC524A" w:rsidP="00066C5F">
      <w:pPr>
        <w:pStyle w:val="Caption"/>
        <w:ind w:left="720"/>
      </w:pPr>
      <w:bookmarkStart w:id="0" w:name="_Ref449621004"/>
      <w:r w:rsidRPr="007E6989">
        <w:lastRenderedPageBreak/>
        <w:t>Table </w:t>
      </w:r>
      <w:r w:rsidR="0010352D">
        <w:fldChar w:fldCharType="begin"/>
      </w:r>
      <w:r w:rsidR="0010352D">
        <w:instrText xml:space="preserve"> SEQ Table \* ARABIC </w:instrText>
      </w:r>
      <w:r w:rsidR="0010352D">
        <w:fldChar w:fldCharType="separate"/>
      </w:r>
      <w:r w:rsidRPr="007E6989">
        <w:rPr>
          <w:noProof/>
        </w:rPr>
        <w:t>1</w:t>
      </w:r>
      <w:r w:rsidR="0010352D">
        <w:rPr>
          <w:noProof/>
        </w:rPr>
        <w:fldChar w:fldCharType="end"/>
      </w:r>
      <w:bookmarkEnd w:id="0"/>
      <w:r w:rsidRPr="007E6989">
        <w:t>: Overview of Nursing Home Data Collection</w:t>
      </w:r>
    </w:p>
    <w:tbl>
      <w:tblPr>
        <w:tblStyle w:val="TableGrid"/>
        <w:tblW w:w="5000" w:type="pct"/>
        <w:jc w:val="center"/>
        <w:tblCellMar>
          <w:top w:w="43" w:type="dxa"/>
          <w:left w:w="115" w:type="dxa"/>
          <w:bottom w:w="43" w:type="dxa"/>
          <w:right w:w="115" w:type="dxa"/>
        </w:tblCellMar>
        <w:tblLook w:val="04A0" w:firstRow="1" w:lastRow="0" w:firstColumn="1" w:lastColumn="0" w:noHBand="0" w:noVBand="1"/>
        <w:tblDescription w:val="Data Collection Methods, Survey Topics, Respondents and Frequency are shown"/>
      </w:tblPr>
      <w:tblGrid>
        <w:gridCol w:w="2004"/>
        <w:gridCol w:w="3205"/>
        <w:gridCol w:w="2753"/>
        <w:gridCol w:w="1388"/>
      </w:tblGrid>
      <w:tr w:rsidR="007E6989" w:rsidRPr="007E6989" w14:paraId="2F152934" w14:textId="77777777" w:rsidTr="007E70E6">
        <w:trPr>
          <w:cantSplit/>
          <w:tblHeader/>
          <w:jc w:val="center"/>
        </w:trPr>
        <w:tc>
          <w:tcPr>
            <w:tcW w:w="1072" w:type="pct"/>
            <w:shd w:val="clear" w:color="auto" w:fill="D0CECE" w:themeFill="background2" w:themeFillShade="E6"/>
            <w:vAlign w:val="bottom"/>
            <w:hideMark/>
          </w:tcPr>
          <w:p w14:paraId="5AD69396" w14:textId="77777777" w:rsidR="00EC524A" w:rsidRPr="007E6989" w:rsidRDefault="00EC524A" w:rsidP="007E70E6">
            <w:pPr>
              <w:jc w:val="center"/>
              <w:rPr>
                <w:b/>
                <w:sz w:val="22"/>
                <w:szCs w:val="22"/>
              </w:rPr>
            </w:pPr>
            <w:r w:rsidRPr="007E6989">
              <w:rPr>
                <w:b/>
                <w:sz w:val="22"/>
                <w:szCs w:val="22"/>
              </w:rPr>
              <w:t xml:space="preserve">Data Collection </w:t>
            </w:r>
            <w:r w:rsidR="00590ED6" w:rsidRPr="007E6989">
              <w:rPr>
                <w:b/>
                <w:sz w:val="22"/>
                <w:szCs w:val="22"/>
              </w:rPr>
              <w:t>Method</w:t>
            </w:r>
          </w:p>
        </w:tc>
        <w:tc>
          <w:tcPr>
            <w:tcW w:w="1714" w:type="pct"/>
            <w:shd w:val="clear" w:color="auto" w:fill="D0CECE" w:themeFill="background2" w:themeFillShade="E6"/>
            <w:vAlign w:val="bottom"/>
            <w:hideMark/>
          </w:tcPr>
          <w:p w14:paraId="74E8C61E" w14:textId="77777777" w:rsidR="00EC524A" w:rsidRPr="007E6989" w:rsidRDefault="00EC524A" w:rsidP="007E70E6">
            <w:pPr>
              <w:jc w:val="center"/>
              <w:rPr>
                <w:b/>
                <w:sz w:val="22"/>
                <w:szCs w:val="22"/>
              </w:rPr>
            </w:pPr>
            <w:r w:rsidRPr="007E6989">
              <w:rPr>
                <w:b/>
                <w:sz w:val="22"/>
                <w:szCs w:val="22"/>
              </w:rPr>
              <w:t>Survey Topics</w:t>
            </w:r>
          </w:p>
        </w:tc>
        <w:tc>
          <w:tcPr>
            <w:tcW w:w="1472" w:type="pct"/>
            <w:shd w:val="clear" w:color="auto" w:fill="D0CECE" w:themeFill="background2" w:themeFillShade="E6"/>
            <w:vAlign w:val="bottom"/>
            <w:hideMark/>
          </w:tcPr>
          <w:p w14:paraId="21056AEE" w14:textId="77777777" w:rsidR="00EC524A" w:rsidRPr="007E6989" w:rsidRDefault="00EC524A" w:rsidP="007E70E6">
            <w:pPr>
              <w:jc w:val="center"/>
              <w:rPr>
                <w:b/>
                <w:sz w:val="22"/>
                <w:szCs w:val="22"/>
              </w:rPr>
            </w:pPr>
            <w:r w:rsidRPr="007E6989">
              <w:rPr>
                <w:b/>
                <w:sz w:val="22"/>
                <w:szCs w:val="22"/>
              </w:rPr>
              <w:t>Respondents</w:t>
            </w:r>
          </w:p>
        </w:tc>
        <w:tc>
          <w:tcPr>
            <w:tcW w:w="742" w:type="pct"/>
            <w:shd w:val="clear" w:color="auto" w:fill="D0CECE" w:themeFill="background2" w:themeFillShade="E6"/>
            <w:vAlign w:val="bottom"/>
            <w:hideMark/>
          </w:tcPr>
          <w:p w14:paraId="67E3F404" w14:textId="77777777" w:rsidR="00EC524A" w:rsidRPr="007E6989" w:rsidRDefault="00EC524A" w:rsidP="007E70E6">
            <w:pPr>
              <w:jc w:val="center"/>
              <w:rPr>
                <w:b/>
                <w:sz w:val="22"/>
                <w:szCs w:val="22"/>
              </w:rPr>
            </w:pPr>
            <w:r w:rsidRPr="007E6989">
              <w:rPr>
                <w:b/>
                <w:sz w:val="22"/>
                <w:szCs w:val="22"/>
              </w:rPr>
              <w:t>Frequency</w:t>
            </w:r>
          </w:p>
        </w:tc>
      </w:tr>
      <w:tr w:rsidR="00EC524A" w:rsidRPr="007E6989" w14:paraId="56EC2212" w14:textId="77777777" w:rsidTr="007E70E6">
        <w:trPr>
          <w:cantSplit/>
          <w:jc w:val="center"/>
        </w:trPr>
        <w:tc>
          <w:tcPr>
            <w:tcW w:w="1072" w:type="pct"/>
          </w:tcPr>
          <w:p w14:paraId="59DA6B02" w14:textId="77777777" w:rsidR="00EC524A" w:rsidRPr="007E6989" w:rsidRDefault="00EC524A" w:rsidP="007E70E6">
            <w:pPr>
              <w:rPr>
                <w:sz w:val="22"/>
                <w:szCs w:val="22"/>
              </w:rPr>
            </w:pPr>
            <w:r w:rsidRPr="007E6989">
              <w:rPr>
                <w:sz w:val="22"/>
                <w:szCs w:val="22"/>
              </w:rPr>
              <w:t>Telephone survey of Nursing Home Administrators, Directors of Nursing, or staff member most responsible for quality improvement activities (called Nursing Home Administrators)</w:t>
            </w:r>
          </w:p>
        </w:tc>
        <w:tc>
          <w:tcPr>
            <w:tcW w:w="1714" w:type="pct"/>
          </w:tcPr>
          <w:p w14:paraId="2B4811A1" w14:textId="77777777" w:rsidR="00EC524A" w:rsidRPr="007E6989" w:rsidRDefault="00EC524A" w:rsidP="007E70E6">
            <w:pPr>
              <w:pStyle w:val="ListBullet"/>
              <w:spacing w:before="0" w:after="0"/>
              <w:rPr>
                <w:sz w:val="22"/>
                <w:szCs w:val="22"/>
              </w:rPr>
            </w:pPr>
            <w:r w:rsidRPr="007E6989">
              <w:rPr>
                <w:sz w:val="22"/>
                <w:szCs w:val="22"/>
              </w:rPr>
              <w:t>QIN-QIO’s progress towards the programs Task C.2 goals</w:t>
            </w:r>
          </w:p>
          <w:p w14:paraId="06D92888" w14:textId="77777777" w:rsidR="00EC524A" w:rsidRPr="007E6989" w:rsidRDefault="00EC524A" w:rsidP="007E70E6">
            <w:pPr>
              <w:pStyle w:val="ListBullet"/>
              <w:spacing w:before="0" w:after="0"/>
              <w:rPr>
                <w:sz w:val="22"/>
                <w:szCs w:val="22"/>
              </w:rPr>
            </w:pPr>
            <w:r w:rsidRPr="007E6989">
              <w:rPr>
                <w:sz w:val="22"/>
                <w:szCs w:val="22"/>
              </w:rPr>
              <w:t>Attribution of the QIN-QIO program for quality improvement outcomes</w:t>
            </w:r>
          </w:p>
          <w:p w14:paraId="53F4911E" w14:textId="77777777" w:rsidR="00EC524A" w:rsidRPr="007E6989" w:rsidRDefault="00EC524A" w:rsidP="007E70E6">
            <w:pPr>
              <w:pStyle w:val="ListBullet"/>
              <w:spacing w:before="0" w:after="0"/>
              <w:rPr>
                <w:sz w:val="22"/>
                <w:szCs w:val="22"/>
              </w:rPr>
            </w:pPr>
            <w:r w:rsidRPr="007E6989">
              <w:rPr>
                <w:sz w:val="22"/>
                <w:szCs w:val="22"/>
              </w:rPr>
              <w:t>Level of intensity of engagement with QIN-QIO program</w:t>
            </w:r>
          </w:p>
          <w:p w14:paraId="68701013" w14:textId="77777777" w:rsidR="00EC524A" w:rsidRPr="007E6989" w:rsidRDefault="00EC524A" w:rsidP="007E70E6">
            <w:pPr>
              <w:pStyle w:val="ListBullet"/>
              <w:spacing w:before="0" w:after="0"/>
              <w:rPr>
                <w:sz w:val="22"/>
                <w:szCs w:val="22"/>
              </w:rPr>
            </w:pPr>
            <w:r w:rsidRPr="007E6989">
              <w:rPr>
                <w:sz w:val="22"/>
                <w:szCs w:val="22"/>
              </w:rPr>
              <w:t xml:space="preserve">Perceived impact of QIN-QIO program </w:t>
            </w:r>
          </w:p>
        </w:tc>
        <w:tc>
          <w:tcPr>
            <w:tcW w:w="1472" w:type="pct"/>
          </w:tcPr>
          <w:p w14:paraId="2E25A37D" w14:textId="77777777" w:rsidR="00EC524A" w:rsidRPr="007E6989" w:rsidRDefault="00EC524A" w:rsidP="007E70E6">
            <w:pPr>
              <w:pStyle w:val="ListBullet"/>
              <w:spacing w:before="0" w:after="0"/>
              <w:rPr>
                <w:sz w:val="22"/>
                <w:szCs w:val="22"/>
              </w:rPr>
            </w:pPr>
            <w:r w:rsidRPr="007E6989">
              <w:rPr>
                <w:sz w:val="22"/>
                <w:szCs w:val="22"/>
              </w:rPr>
              <w:t xml:space="preserve">400 Nursing Home Administrators participating in the QIN-QIO program (intervention group) </w:t>
            </w:r>
          </w:p>
          <w:p w14:paraId="74FDAC2D" w14:textId="77777777" w:rsidR="00EC524A" w:rsidRPr="007E6989" w:rsidRDefault="00EC524A" w:rsidP="007E70E6">
            <w:pPr>
              <w:pStyle w:val="ListBullet"/>
              <w:spacing w:before="0" w:after="0"/>
              <w:rPr>
                <w:sz w:val="22"/>
                <w:szCs w:val="22"/>
              </w:rPr>
            </w:pPr>
            <w:r w:rsidRPr="007E6989">
              <w:rPr>
                <w:sz w:val="22"/>
                <w:szCs w:val="22"/>
              </w:rPr>
              <w:t>400 Nursing Home Administrators of CMS certified nursing homes not participating in the QIN-QIO program (comparison group)</w:t>
            </w:r>
          </w:p>
        </w:tc>
        <w:tc>
          <w:tcPr>
            <w:tcW w:w="742" w:type="pct"/>
          </w:tcPr>
          <w:p w14:paraId="42C33C46" w14:textId="454469DE" w:rsidR="00EC524A" w:rsidRPr="007E6989" w:rsidRDefault="00E8403D" w:rsidP="00E8403D">
            <w:pPr>
              <w:rPr>
                <w:sz w:val="22"/>
                <w:szCs w:val="22"/>
              </w:rPr>
            </w:pPr>
            <w:r w:rsidRPr="007E6989">
              <w:rPr>
                <w:sz w:val="22"/>
                <w:szCs w:val="22"/>
              </w:rPr>
              <w:t xml:space="preserve">Twice (during 2017 and 2019) </w:t>
            </w:r>
          </w:p>
        </w:tc>
      </w:tr>
      <w:tr w:rsidR="00081C61" w:rsidRPr="0015274D" w14:paraId="6B56BDC2" w14:textId="77777777" w:rsidTr="007E70E6">
        <w:trPr>
          <w:cantSplit/>
          <w:jc w:val="center"/>
        </w:trPr>
        <w:tc>
          <w:tcPr>
            <w:tcW w:w="1072" w:type="pct"/>
          </w:tcPr>
          <w:p w14:paraId="3BE3E1CF" w14:textId="77777777" w:rsidR="00081C61" w:rsidRPr="007E6989" w:rsidRDefault="00237EB7" w:rsidP="007E70E6">
            <w:pPr>
              <w:rPr>
                <w:sz w:val="22"/>
                <w:szCs w:val="22"/>
              </w:rPr>
            </w:pPr>
            <w:r w:rsidRPr="007E6989">
              <w:rPr>
                <w:sz w:val="22"/>
                <w:szCs w:val="22"/>
              </w:rPr>
              <w:t xml:space="preserve">In-person or telephone </w:t>
            </w:r>
            <w:r w:rsidR="00590ED6" w:rsidRPr="007E6989">
              <w:rPr>
                <w:sz w:val="22"/>
                <w:szCs w:val="22"/>
              </w:rPr>
              <w:t>qualitative interviews</w:t>
            </w:r>
            <w:r w:rsidRPr="007E6989">
              <w:rPr>
                <w:sz w:val="22"/>
                <w:szCs w:val="22"/>
              </w:rPr>
              <w:t xml:space="preserve"> with Nursing Home Administrators not participating in the survey</w:t>
            </w:r>
          </w:p>
        </w:tc>
        <w:tc>
          <w:tcPr>
            <w:tcW w:w="1714" w:type="pct"/>
          </w:tcPr>
          <w:p w14:paraId="305A90CD" w14:textId="77777777" w:rsidR="00FB4853" w:rsidRPr="007E6989" w:rsidRDefault="00FB4853" w:rsidP="007E70E6">
            <w:pPr>
              <w:pStyle w:val="ListParagraph"/>
              <w:ind w:left="0"/>
              <w:contextualSpacing w:val="0"/>
              <w:rPr>
                <w:sz w:val="22"/>
                <w:szCs w:val="22"/>
              </w:rPr>
            </w:pPr>
            <w:r w:rsidRPr="007E6989">
              <w:rPr>
                <w:sz w:val="22"/>
                <w:szCs w:val="22"/>
              </w:rPr>
              <w:t xml:space="preserve">Designed to supplement the Nursing Home Survey and examine: </w:t>
            </w:r>
          </w:p>
          <w:p w14:paraId="1D71D0B5" w14:textId="77777777" w:rsidR="00FB4853" w:rsidRPr="007E6989" w:rsidRDefault="00FB4853" w:rsidP="007E70E6">
            <w:pPr>
              <w:pStyle w:val="ListBullet"/>
              <w:spacing w:before="0" w:after="0"/>
              <w:rPr>
                <w:sz w:val="22"/>
                <w:szCs w:val="22"/>
              </w:rPr>
            </w:pPr>
            <w:r w:rsidRPr="007E6989">
              <w:rPr>
                <w:sz w:val="22"/>
                <w:szCs w:val="22"/>
              </w:rPr>
              <w:t xml:space="preserve">Experience with, satisfaction with, and perceived success of QIN-QIO </w:t>
            </w:r>
            <w:r w:rsidR="003E77B3" w:rsidRPr="007E6989">
              <w:rPr>
                <w:sz w:val="22"/>
                <w:szCs w:val="22"/>
              </w:rPr>
              <w:t>NNHQCC</w:t>
            </w:r>
          </w:p>
          <w:p w14:paraId="32606721" w14:textId="77777777" w:rsidR="00FB4853" w:rsidRPr="007E6989" w:rsidRDefault="00FB4853" w:rsidP="007E70E6">
            <w:pPr>
              <w:pStyle w:val="ListBullet"/>
              <w:spacing w:before="0" w:after="0"/>
              <w:rPr>
                <w:sz w:val="22"/>
                <w:szCs w:val="22"/>
              </w:rPr>
            </w:pPr>
            <w:r w:rsidRPr="007E6989">
              <w:rPr>
                <w:sz w:val="22"/>
                <w:szCs w:val="22"/>
              </w:rPr>
              <w:t>Satisfaction with QIO support</w:t>
            </w:r>
          </w:p>
          <w:p w14:paraId="37611962" w14:textId="77777777" w:rsidR="00FB4853" w:rsidRPr="007E6989" w:rsidRDefault="00FB4853" w:rsidP="007E70E6">
            <w:pPr>
              <w:pStyle w:val="ListBullet"/>
              <w:spacing w:before="0" w:after="0"/>
              <w:rPr>
                <w:sz w:val="22"/>
                <w:szCs w:val="22"/>
              </w:rPr>
            </w:pPr>
            <w:r w:rsidRPr="007E6989">
              <w:rPr>
                <w:sz w:val="22"/>
                <w:szCs w:val="22"/>
              </w:rPr>
              <w:t xml:space="preserve">Perceived value and impact of QIO program </w:t>
            </w:r>
          </w:p>
          <w:p w14:paraId="23178784" w14:textId="77777777" w:rsidR="00081C61" w:rsidRPr="007E6989" w:rsidRDefault="00FB4853" w:rsidP="007E70E6">
            <w:pPr>
              <w:pStyle w:val="ListBullet"/>
              <w:spacing w:before="0" w:after="0"/>
              <w:rPr>
                <w:sz w:val="22"/>
                <w:szCs w:val="22"/>
              </w:rPr>
            </w:pPr>
            <w:r w:rsidRPr="007E6989">
              <w:rPr>
                <w:sz w:val="22"/>
                <w:szCs w:val="22"/>
              </w:rPr>
              <w:t>Drivers and barriers to QIN-QIO involvement</w:t>
            </w:r>
          </w:p>
        </w:tc>
        <w:tc>
          <w:tcPr>
            <w:tcW w:w="1472" w:type="pct"/>
          </w:tcPr>
          <w:p w14:paraId="58B68E4C" w14:textId="77777777" w:rsidR="00150250" w:rsidRPr="007E6989" w:rsidRDefault="00150250" w:rsidP="007E70E6">
            <w:pPr>
              <w:pStyle w:val="ListBullet"/>
              <w:spacing w:before="0" w:after="0"/>
              <w:rPr>
                <w:sz w:val="22"/>
                <w:szCs w:val="22"/>
              </w:rPr>
            </w:pPr>
            <w:r w:rsidRPr="007E6989">
              <w:rPr>
                <w:sz w:val="22"/>
                <w:szCs w:val="22"/>
              </w:rPr>
              <w:t>28 Nursing Home Administrators or Directors of Nursing of nursing homes participating in the QIN-QIO Program (2 per 14 QIN-QIOs)</w:t>
            </w:r>
          </w:p>
        </w:tc>
        <w:tc>
          <w:tcPr>
            <w:tcW w:w="742" w:type="pct"/>
          </w:tcPr>
          <w:p w14:paraId="6E7DCE0D" w14:textId="6C9E31F4" w:rsidR="00081C61" w:rsidRPr="007E70E6" w:rsidRDefault="00E8403D" w:rsidP="007E70E6">
            <w:pPr>
              <w:rPr>
                <w:sz w:val="22"/>
                <w:szCs w:val="22"/>
              </w:rPr>
            </w:pPr>
            <w:r w:rsidRPr="007E6989">
              <w:rPr>
                <w:sz w:val="22"/>
                <w:szCs w:val="22"/>
              </w:rPr>
              <w:t>Twice (2017 and 2019)</w:t>
            </w:r>
          </w:p>
        </w:tc>
      </w:tr>
      <w:tr w:rsidR="00081C61" w:rsidRPr="0015274D" w14:paraId="70A0C0E3" w14:textId="77777777" w:rsidTr="007E70E6">
        <w:trPr>
          <w:cantSplit/>
          <w:jc w:val="center"/>
        </w:trPr>
        <w:tc>
          <w:tcPr>
            <w:tcW w:w="1072" w:type="pct"/>
          </w:tcPr>
          <w:p w14:paraId="79BAB130" w14:textId="77777777" w:rsidR="00081C61" w:rsidRPr="007E70E6" w:rsidRDefault="00237EB7" w:rsidP="007E70E6">
            <w:pPr>
              <w:rPr>
                <w:sz w:val="22"/>
                <w:szCs w:val="22"/>
              </w:rPr>
            </w:pPr>
            <w:r w:rsidRPr="007E70E6">
              <w:rPr>
                <w:sz w:val="22"/>
                <w:szCs w:val="22"/>
              </w:rPr>
              <w:t xml:space="preserve">In-person or telephone </w:t>
            </w:r>
            <w:r w:rsidR="00590ED6" w:rsidRPr="007E70E6">
              <w:rPr>
                <w:sz w:val="22"/>
                <w:szCs w:val="22"/>
              </w:rPr>
              <w:t xml:space="preserve">qualitative </w:t>
            </w:r>
            <w:r w:rsidRPr="007E70E6">
              <w:rPr>
                <w:sz w:val="22"/>
                <w:szCs w:val="22"/>
              </w:rPr>
              <w:t xml:space="preserve">interviews with </w:t>
            </w:r>
            <w:r w:rsidR="00752266" w:rsidRPr="007E70E6">
              <w:rPr>
                <w:sz w:val="22"/>
                <w:szCs w:val="22"/>
              </w:rPr>
              <w:t xml:space="preserve">QIN and </w:t>
            </w:r>
            <w:r w:rsidRPr="007E70E6">
              <w:rPr>
                <w:sz w:val="22"/>
                <w:szCs w:val="22"/>
              </w:rPr>
              <w:t>QIO</w:t>
            </w:r>
            <w:r w:rsidR="00752266" w:rsidRPr="007E70E6">
              <w:rPr>
                <w:sz w:val="22"/>
                <w:szCs w:val="22"/>
              </w:rPr>
              <w:t xml:space="preserve"> leaders for</w:t>
            </w:r>
            <w:r w:rsidR="00590ED6" w:rsidRPr="007E70E6">
              <w:rPr>
                <w:sz w:val="22"/>
                <w:szCs w:val="22"/>
              </w:rPr>
              <w:t xml:space="preserve"> the </w:t>
            </w:r>
            <w:r w:rsidR="001B50B6" w:rsidRPr="007E70E6">
              <w:rPr>
                <w:sz w:val="22"/>
                <w:szCs w:val="22"/>
              </w:rPr>
              <w:t xml:space="preserve">nursing home </w:t>
            </w:r>
            <w:r w:rsidR="00AB718D" w:rsidRPr="007E70E6">
              <w:rPr>
                <w:sz w:val="22"/>
                <w:szCs w:val="22"/>
              </w:rPr>
              <w:t>task</w:t>
            </w:r>
            <w:r w:rsidR="001B50B6" w:rsidRPr="007E70E6">
              <w:rPr>
                <w:sz w:val="22"/>
                <w:szCs w:val="22"/>
              </w:rPr>
              <w:t xml:space="preserve"> </w:t>
            </w:r>
          </w:p>
        </w:tc>
        <w:tc>
          <w:tcPr>
            <w:tcW w:w="1714" w:type="pct"/>
          </w:tcPr>
          <w:p w14:paraId="0A2C6611" w14:textId="77777777" w:rsidR="00081C61" w:rsidRPr="007E70E6" w:rsidRDefault="00D373E2" w:rsidP="007E70E6">
            <w:pPr>
              <w:pStyle w:val="ListBullet"/>
              <w:spacing w:before="0" w:after="0"/>
              <w:rPr>
                <w:sz w:val="22"/>
                <w:szCs w:val="22"/>
              </w:rPr>
            </w:pPr>
            <w:r w:rsidRPr="007E70E6">
              <w:rPr>
                <w:sz w:val="22"/>
                <w:szCs w:val="22"/>
              </w:rPr>
              <w:t>Recruitment of nursing homes, peer coaches, and beneficiaries/family members</w:t>
            </w:r>
          </w:p>
          <w:p w14:paraId="645455BE" w14:textId="77777777" w:rsidR="00D373E2" w:rsidRPr="007E70E6" w:rsidRDefault="00D373E2" w:rsidP="007E70E6">
            <w:pPr>
              <w:pStyle w:val="ListBullet"/>
              <w:spacing w:before="0" w:after="0"/>
              <w:rPr>
                <w:sz w:val="22"/>
                <w:szCs w:val="22"/>
              </w:rPr>
            </w:pPr>
            <w:r w:rsidRPr="007E70E6">
              <w:rPr>
                <w:sz w:val="22"/>
                <w:szCs w:val="22"/>
              </w:rPr>
              <w:t xml:space="preserve">Strengths and challenges of QIN-QIO </w:t>
            </w:r>
            <w:r w:rsidR="001B50B6" w:rsidRPr="007E70E6">
              <w:rPr>
                <w:sz w:val="22"/>
                <w:szCs w:val="22"/>
              </w:rPr>
              <w:t>program</w:t>
            </w:r>
            <w:r w:rsidR="003D1E09" w:rsidRPr="007E70E6">
              <w:rPr>
                <w:sz w:val="22"/>
                <w:szCs w:val="22"/>
              </w:rPr>
              <w:t xml:space="preserve"> implementation</w:t>
            </w:r>
          </w:p>
          <w:p w14:paraId="126A4360" w14:textId="77777777" w:rsidR="005E477C" w:rsidRPr="007E70E6" w:rsidRDefault="005E477C" w:rsidP="007E70E6">
            <w:pPr>
              <w:pStyle w:val="ListBullet"/>
              <w:spacing w:before="0" w:after="0"/>
              <w:rPr>
                <w:sz w:val="22"/>
                <w:szCs w:val="22"/>
              </w:rPr>
            </w:pPr>
            <w:r w:rsidRPr="007E70E6">
              <w:rPr>
                <w:sz w:val="22"/>
                <w:szCs w:val="22"/>
              </w:rPr>
              <w:t>Coordination and collaboration of QIN-QIOs among other tasks</w:t>
            </w:r>
          </w:p>
        </w:tc>
        <w:tc>
          <w:tcPr>
            <w:tcW w:w="1472" w:type="pct"/>
          </w:tcPr>
          <w:p w14:paraId="11A77C31" w14:textId="77777777" w:rsidR="00081C61" w:rsidRPr="007E70E6" w:rsidRDefault="00590ED6" w:rsidP="007E70E6">
            <w:pPr>
              <w:pStyle w:val="ListBullet"/>
              <w:spacing w:before="0" w:after="0"/>
              <w:rPr>
                <w:sz w:val="22"/>
                <w:szCs w:val="22"/>
              </w:rPr>
            </w:pPr>
            <w:r w:rsidRPr="007E70E6">
              <w:rPr>
                <w:sz w:val="22"/>
                <w:szCs w:val="22"/>
              </w:rPr>
              <w:t>2</w:t>
            </w:r>
            <w:r w:rsidR="0090562A" w:rsidRPr="007E70E6">
              <w:rPr>
                <w:sz w:val="22"/>
                <w:szCs w:val="22"/>
              </w:rPr>
              <w:t>8</w:t>
            </w:r>
            <w:r w:rsidRPr="007E70E6">
              <w:rPr>
                <w:sz w:val="22"/>
                <w:szCs w:val="22"/>
              </w:rPr>
              <w:t xml:space="preserve"> </w:t>
            </w:r>
            <w:r w:rsidR="00752266" w:rsidRPr="007E70E6">
              <w:rPr>
                <w:sz w:val="22"/>
                <w:szCs w:val="22"/>
              </w:rPr>
              <w:t xml:space="preserve">QIN- or </w:t>
            </w:r>
            <w:r w:rsidRPr="007E70E6">
              <w:rPr>
                <w:sz w:val="22"/>
                <w:szCs w:val="22"/>
              </w:rPr>
              <w:t>QIO</w:t>
            </w:r>
            <w:r w:rsidR="00752266" w:rsidRPr="007E70E6">
              <w:rPr>
                <w:sz w:val="22"/>
                <w:szCs w:val="22"/>
              </w:rPr>
              <w:t>-level</w:t>
            </w:r>
            <w:r w:rsidRPr="007E70E6">
              <w:rPr>
                <w:sz w:val="22"/>
                <w:szCs w:val="22"/>
              </w:rPr>
              <w:t xml:space="preserve"> directors, quality managers, or </w:t>
            </w:r>
            <w:r w:rsidR="00AB718D" w:rsidRPr="007E70E6">
              <w:rPr>
                <w:sz w:val="22"/>
                <w:szCs w:val="22"/>
              </w:rPr>
              <w:t>task</w:t>
            </w:r>
            <w:r w:rsidRPr="007E70E6">
              <w:rPr>
                <w:sz w:val="22"/>
                <w:szCs w:val="22"/>
              </w:rPr>
              <w:t xml:space="preserve"> leaders</w:t>
            </w:r>
            <w:r w:rsidR="0090562A" w:rsidRPr="007E70E6">
              <w:rPr>
                <w:sz w:val="22"/>
                <w:szCs w:val="22"/>
              </w:rPr>
              <w:t xml:space="preserve"> (2 per 14 QIN-QIOs)</w:t>
            </w:r>
            <w:r w:rsidRPr="007E70E6">
              <w:rPr>
                <w:sz w:val="22"/>
                <w:szCs w:val="22"/>
              </w:rPr>
              <w:t xml:space="preserve"> </w:t>
            </w:r>
          </w:p>
        </w:tc>
        <w:tc>
          <w:tcPr>
            <w:tcW w:w="742" w:type="pct"/>
          </w:tcPr>
          <w:p w14:paraId="61540DC2" w14:textId="0BEF4259" w:rsidR="00081C61" w:rsidRPr="007E70E6" w:rsidRDefault="00E8403D" w:rsidP="007E70E6">
            <w:pPr>
              <w:rPr>
                <w:sz w:val="22"/>
                <w:szCs w:val="22"/>
              </w:rPr>
            </w:pPr>
            <w:r>
              <w:rPr>
                <w:sz w:val="22"/>
                <w:szCs w:val="22"/>
              </w:rPr>
              <w:t>Once</w:t>
            </w:r>
          </w:p>
        </w:tc>
      </w:tr>
      <w:tr w:rsidR="00081C61" w:rsidRPr="0015274D" w14:paraId="42F6D591" w14:textId="77777777" w:rsidTr="007E70E6">
        <w:trPr>
          <w:cantSplit/>
          <w:jc w:val="center"/>
        </w:trPr>
        <w:tc>
          <w:tcPr>
            <w:tcW w:w="1072" w:type="pct"/>
          </w:tcPr>
          <w:p w14:paraId="6214B681" w14:textId="77777777" w:rsidR="00081C61" w:rsidRPr="007E70E6" w:rsidRDefault="00C814EB" w:rsidP="007E70E6">
            <w:pPr>
              <w:rPr>
                <w:sz w:val="22"/>
                <w:szCs w:val="22"/>
              </w:rPr>
            </w:pPr>
            <w:r w:rsidRPr="007E70E6">
              <w:rPr>
                <w:sz w:val="22"/>
                <w:szCs w:val="22"/>
              </w:rPr>
              <w:t xml:space="preserve">In-person focus groups with </w:t>
            </w:r>
            <w:r w:rsidR="00590ED6" w:rsidRPr="007E70E6">
              <w:rPr>
                <w:sz w:val="22"/>
                <w:szCs w:val="22"/>
              </w:rPr>
              <w:t>QI</w:t>
            </w:r>
            <w:r w:rsidR="00AB718D" w:rsidRPr="007E70E6">
              <w:rPr>
                <w:sz w:val="22"/>
                <w:szCs w:val="22"/>
              </w:rPr>
              <w:t>N-QI</w:t>
            </w:r>
            <w:r w:rsidR="00590ED6" w:rsidRPr="007E70E6">
              <w:rPr>
                <w:sz w:val="22"/>
                <w:szCs w:val="22"/>
              </w:rPr>
              <w:t>O</w:t>
            </w:r>
            <w:r w:rsidR="00237EB7" w:rsidRPr="007E70E6">
              <w:rPr>
                <w:sz w:val="22"/>
                <w:szCs w:val="22"/>
              </w:rPr>
              <w:t xml:space="preserve"> </w:t>
            </w:r>
            <w:r w:rsidR="00296098" w:rsidRPr="007E70E6">
              <w:rPr>
                <w:sz w:val="22"/>
                <w:szCs w:val="22"/>
              </w:rPr>
              <w:t xml:space="preserve">nursing home </w:t>
            </w:r>
            <w:r w:rsidR="00AB718D" w:rsidRPr="007E70E6">
              <w:rPr>
                <w:sz w:val="22"/>
                <w:szCs w:val="22"/>
              </w:rPr>
              <w:t>task</w:t>
            </w:r>
            <w:r w:rsidR="00237EB7" w:rsidRPr="007E70E6">
              <w:rPr>
                <w:sz w:val="22"/>
                <w:szCs w:val="22"/>
              </w:rPr>
              <w:t xml:space="preserve"> leaders</w:t>
            </w:r>
          </w:p>
        </w:tc>
        <w:tc>
          <w:tcPr>
            <w:tcW w:w="1714" w:type="pct"/>
          </w:tcPr>
          <w:p w14:paraId="4FAA5E62" w14:textId="77777777" w:rsidR="001B50B6" w:rsidRPr="007E70E6" w:rsidRDefault="001B50B6" w:rsidP="007E70E6">
            <w:pPr>
              <w:pStyle w:val="ListBullet"/>
              <w:spacing w:before="0" w:after="0"/>
              <w:rPr>
                <w:sz w:val="22"/>
                <w:szCs w:val="22"/>
              </w:rPr>
            </w:pPr>
            <w:r w:rsidRPr="007E70E6">
              <w:rPr>
                <w:sz w:val="22"/>
                <w:szCs w:val="22"/>
              </w:rPr>
              <w:t>Recruitment of nursing homes, peer coaches, and resident/family members</w:t>
            </w:r>
          </w:p>
          <w:p w14:paraId="55F3C88A" w14:textId="77777777" w:rsidR="00081C61" w:rsidRPr="007E70E6" w:rsidRDefault="00944D55" w:rsidP="007E70E6">
            <w:pPr>
              <w:pStyle w:val="ListBullet"/>
              <w:spacing w:before="0" w:after="0"/>
              <w:rPr>
                <w:sz w:val="22"/>
                <w:szCs w:val="22"/>
              </w:rPr>
            </w:pPr>
            <w:r w:rsidRPr="007E70E6">
              <w:rPr>
                <w:sz w:val="22"/>
                <w:szCs w:val="22"/>
              </w:rPr>
              <w:t>Program implementation strengths and challenges</w:t>
            </w:r>
          </w:p>
          <w:p w14:paraId="04614867" w14:textId="77777777" w:rsidR="00944D55" w:rsidRPr="007E70E6" w:rsidRDefault="001B50B6" w:rsidP="007E70E6">
            <w:pPr>
              <w:pStyle w:val="ListBullet"/>
              <w:spacing w:before="0" w:after="0"/>
              <w:rPr>
                <w:sz w:val="22"/>
                <w:szCs w:val="22"/>
              </w:rPr>
            </w:pPr>
            <w:r w:rsidRPr="007E70E6">
              <w:rPr>
                <w:sz w:val="22"/>
                <w:szCs w:val="22"/>
              </w:rPr>
              <w:t>Possible environmental and contextual factors influencing outcomes</w:t>
            </w:r>
          </w:p>
        </w:tc>
        <w:tc>
          <w:tcPr>
            <w:tcW w:w="1472" w:type="pct"/>
          </w:tcPr>
          <w:p w14:paraId="23234AF9" w14:textId="77777777" w:rsidR="00081C61" w:rsidRPr="007E70E6" w:rsidRDefault="00C814EB" w:rsidP="007E70E6">
            <w:pPr>
              <w:pStyle w:val="ListBullet"/>
              <w:spacing w:before="0" w:after="0"/>
              <w:rPr>
                <w:sz w:val="22"/>
                <w:szCs w:val="22"/>
              </w:rPr>
            </w:pPr>
            <w:r w:rsidRPr="007E70E6">
              <w:rPr>
                <w:sz w:val="22"/>
                <w:szCs w:val="22"/>
              </w:rPr>
              <w:t xml:space="preserve">14 </w:t>
            </w:r>
            <w:r w:rsidR="00590ED6" w:rsidRPr="007E70E6">
              <w:rPr>
                <w:sz w:val="22"/>
                <w:szCs w:val="22"/>
              </w:rPr>
              <w:t>QI</w:t>
            </w:r>
            <w:r w:rsidR="00AB718D" w:rsidRPr="007E70E6">
              <w:rPr>
                <w:sz w:val="22"/>
                <w:szCs w:val="22"/>
              </w:rPr>
              <w:t>N-QI</w:t>
            </w:r>
            <w:r w:rsidR="00590ED6" w:rsidRPr="007E70E6">
              <w:rPr>
                <w:sz w:val="22"/>
                <w:szCs w:val="22"/>
              </w:rPr>
              <w:t xml:space="preserve">O directors or </w:t>
            </w:r>
            <w:r w:rsidR="00AB718D" w:rsidRPr="007E70E6">
              <w:rPr>
                <w:sz w:val="22"/>
                <w:szCs w:val="22"/>
              </w:rPr>
              <w:t>task</w:t>
            </w:r>
            <w:r w:rsidR="00590ED6" w:rsidRPr="007E70E6">
              <w:rPr>
                <w:sz w:val="22"/>
                <w:szCs w:val="22"/>
              </w:rPr>
              <w:t xml:space="preserve"> leaders</w:t>
            </w:r>
          </w:p>
        </w:tc>
        <w:tc>
          <w:tcPr>
            <w:tcW w:w="742" w:type="pct"/>
          </w:tcPr>
          <w:p w14:paraId="1BFFE4BD" w14:textId="7CF2D21A" w:rsidR="00081C61" w:rsidRPr="007E70E6" w:rsidRDefault="002C188A" w:rsidP="002C188A">
            <w:pPr>
              <w:rPr>
                <w:sz w:val="22"/>
                <w:szCs w:val="22"/>
              </w:rPr>
            </w:pPr>
            <w:r>
              <w:rPr>
                <w:sz w:val="22"/>
                <w:szCs w:val="22"/>
              </w:rPr>
              <w:t>Twice (</w:t>
            </w:r>
            <w:r w:rsidR="00D113D7">
              <w:rPr>
                <w:sz w:val="22"/>
                <w:szCs w:val="22"/>
              </w:rPr>
              <w:t xml:space="preserve">during </w:t>
            </w:r>
            <w:r>
              <w:rPr>
                <w:sz w:val="22"/>
                <w:szCs w:val="22"/>
              </w:rPr>
              <w:t xml:space="preserve">2018 and 2019) </w:t>
            </w:r>
          </w:p>
        </w:tc>
      </w:tr>
      <w:tr w:rsidR="00237EB7" w:rsidRPr="0015274D" w14:paraId="4F44AAF8" w14:textId="77777777" w:rsidTr="007E70E6">
        <w:trPr>
          <w:cantSplit/>
          <w:jc w:val="center"/>
        </w:trPr>
        <w:tc>
          <w:tcPr>
            <w:tcW w:w="1072" w:type="pct"/>
          </w:tcPr>
          <w:p w14:paraId="126BEA47" w14:textId="77777777" w:rsidR="00237EB7" w:rsidRPr="007E70E6" w:rsidRDefault="00237EB7" w:rsidP="007E70E6">
            <w:pPr>
              <w:rPr>
                <w:sz w:val="22"/>
                <w:szCs w:val="22"/>
              </w:rPr>
            </w:pPr>
            <w:r w:rsidRPr="007E70E6">
              <w:rPr>
                <w:sz w:val="22"/>
                <w:szCs w:val="22"/>
              </w:rPr>
              <w:lastRenderedPageBreak/>
              <w:t xml:space="preserve">In-person or telephone interviews with </w:t>
            </w:r>
            <w:r w:rsidR="00EF042F" w:rsidRPr="007E70E6">
              <w:rPr>
                <w:sz w:val="22"/>
                <w:szCs w:val="22"/>
              </w:rPr>
              <w:t>n</w:t>
            </w:r>
            <w:r w:rsidRPr="007E70E6">
              <w:rPr>
                <w:sz w:val="22"/>
                <w:szCs w:val="22"/>
              </w:rPr>
              <w:t xml:space="preserve">ursing </w:t>
            </w:r>
            <w:r w:rsidR="00EF042F" w:rsidRPr="007E70E6">
              <w:rPr>
                <w:sz w:val="22"/>
                <w:szCs w:val="22"/>
              </w:rPr>
              <w:t>h</w:t>
            </w:r>
            <w:r w:rsidRPr="007E70E6">
              <w:rPr>
                <w:sz w:val="22"/>
                <w:szCs w:val="22"/>
              </w:rPr>
              <w:t>ome peer coaches</w:t>
            </w:r>
          </w:p>
        </w:tc>
        <w:tc>
          <w:tcPr>
            <w:tcW w:w="1714" w:type="pct"/>
          </w:tcPr>
          <w:p w14:paraId="51076E06" w14:textId="77777777" w:rsidR="00D373E2" w:rsidRPr="007E70E6" w:rsidRDefault="00D373E2" w:rsidP="007E70E6">
            <w:pPr>
              <w:pStyle w:val="ListBullet"/>
              <w:spacing w:before="0" w:after="0"/>
              <w:rPr>
                <w:sz w:val="22"/>
                <w:szCs w:val="22"/>
              </w:rPr>
            </w:pPr>
            <w:r w:rsidRPr="007E70E6">
              <w:rPr>
                <w:sz w:val="22"/>
                <w:szCs w:val="22"/>
              </w:rPr>
              <w:t>Organizational support and resources</w:t>
            </w:r>
          </w:p>
          <w:p w14:paraId="2514B9EB" w14:textId="77777777" w:rsidR="00D373E2" w:rsidRPr="007E70E6" w:rsidRDefault="00D373E2" w:rsidP="007E70E6">
            <w:pPr>
              <w:pStyle w:val="ListBullet"/>
              <w:spacing w:before="0" w:after="0"/>
              <w:rPr>
                <w:sz w:val="22"/>
                <w:szCs w:val="22"/>
              </w:rPr>
            </w:pPr>
            <w:r w:rsidRPr="007E70E6">
              <w:rPr>
                <w:sz w:val="22"/>
                <w:szCs w:val="22"/>
              </w:rPr>
              <w:t>Participant rewards and satisfaction</w:t>
            </w:r>
          </w:p>
          <w:p w14:paraId="272D28C4" w14:textId="77777777" w:rsidR="00D373E2" w:rsidRPr="007E70E6" w:rsidRDefault="00D373E2" w:rsidP="007E70E6">
            <w:pPr>
              <w:pStyle w:val="ListBullet"/>
              <w:spacing w:before="0" w:after="0"/>
              <w:rPr>
                <w:sz w:val="22"/>
                <w:szCs w:val="22"/>
              </w:rPr>
            </w:pPr>
            <w:r w:rsidRPr="007E70E6">
              <w:rPr>
                <w:sz w:val="22"/>
                <w:szCs w:val="22"/>
              </w:rPr>
              <w:t xml:space="preserve">Program barriers and challenges </w:t>
            </w:r>
          </w:p>
        </w:tc>
        <w:tc>
          <w:tcPr>
            <w:tcW w:w="1472" w:type="pct"/>
          </w:tcPr>
          <w:p w14:paraId="0A81AA1E" w14:textId="77777777" w:rsidR="00237EB7" w:rsidRPr="007E70E6" w:rsidRDefault="00150250" w:rsidP="007E70E6">
            <w:pPr>
              <w:pStyle w:val="ListBullet"/>
              <w:spacing w:before="0" w:after="0"/>
              <w:rPr>
                <w:sz w:val="22"/>
                <w:szCs w:val="22"/>
              </w:rPr>
            </w:pPr>
            <w:r w:rsidRPr="007E70E6">
              <w:rPr>
                <w:sz w:val="22"/>
                <w:szCs w:val="22"/>
              </w:rPr>
              <w:t xml:space="preserve">28 </w:t>
            </w:r>
            <w:r w:rsidR="00944D55" w:rsidRPr="007E70E6">
              <w:rPr>
                <w:sz w:val="22"/>
                <w:szCs w:val="22"/>
              </w:rPr>
              <w:t>peer coaches</w:t>
            </w:r>
            <w:r w:rsidRPr="007E70E6">
              <w:rPr>
                <w:sz w:val="22"/>
                <w:szCs w:val="22"/>
              </w:rPr>
              <w:t xml:space="preserve"> participating in the QIN-QIO Program (2 per 14 QIN-QIOs)</w:t>
            </w:r>
          </w:p>
        </w:tc>
        <w:tc>
          <w:tcPr>
            <w:tcW w:w="742" w:type="pct"/>
          </w:tcPr>
          <w:p w14:paraId="2B67FC3E" w14:textId="1243E599" w:rsidR="00237EB7" w:rsidRPr="007E70E6" w:rsidRDefault="00E8403D" w:rsidP="007E70E6">
            <w:pPr>
              <w:rPr>
                <w:sz w:val="22"/>
                <w:szCs w:val="22"/>
              </w:rPr>
            </w:pPr>
            <w:r>
              <w:rPr>
                <w:sz w:val="22"/>
                <w:szCs w:val="22"/>
              </w:rPr>
              <w:t>Once</w:t>
            </w:r>
          </w:p>
        </w:tc>
      </w:tr>
    </w:tbl>
    <w:p w14:paraId="185FBAC5" w14:textId="77777777" w:rsidR="00BF4287" w:rsidRDefault="00BF4287" w:rsidP="007E70E6"/>
    <w:p w14:paraId="2B8CE6C4" w14:textId="77777777" w:rsidR="00A87CDD" w:rsidRPr="00A87CDD" w:rsidRDefault="00A87CDD" w:rsidP="007E70E6">
      <w:pPr>
        <w:pStyle w:val="Heading2"/>
        <w:numPr>
          <w:ilvl w:val="0"/>
          <w:numId w:val="0"/>
        </w:numPr>
        <w:ind w:left="360" w:hanging="360"/>
      </w:pPr>
      <w:r w:rsidRPr="00A87CDD">
        <w:t>Justification</w:t>
      </w:r>
    </w:p>
    <w:p w14:paraId="577DC6D1" w14:textId="77777777" w:rsidR="00A87CDD" w:rsidRPr="00A87CDD" w:rsidRDefault="00A87CDD" w:rsidP="00066C5F">
      <w:pPr>
        <w:pStyle w:val="Heading3"/>
      </w:pPr>
      <w:r w:rsidRPr="00A87CDD">
        <w:t>Need and Legal Basis</w:t>
      </w:r>
    </w:p>
    <w:p w14:paraId="0F41230F" w14:textId="77777777" w:rsidR="00A87CDD" w:rsidRPr="00CE5012" w:rsidRDefault="00A87CDD" w:rsidP="007E70E6">
      <w:pPr>
        <w:pStyle w:val="BodyText2"/>
      </w:pPr>
      <w:r w:rsidRPr="00CE5012">
        <w:t xml:space="preserve">The QIO </w:t>
      </w:r>
      <w:r w:rsidR="006061C1">
        <w:t>p</w:t>
      </w:r>
      <w:r w:rsidRPr="00CE5012">
        <w:t xml:space="preserve">rogram </w:t>
      </w:r>
      <w:proofErr w:type="gramStart"/>
      <w:r w:rsidRPr="00CE5012">
        <w:t xml:space="preserve">is </w:t>
      </w:r>
      <w:r>
        <w:t>mandated</w:t>
      </w:r>
      <w:proofErr w:type="gramEnd"/>
      <w:r w:rsidRPr="00CE5012">
        <w:t xml:space="preserve"> by Sections 1152-1154 of Part B of Title XI of the Social Security Act, as amended by the Peer Review Improvement Act of 1982 and by the Trade Adjustment Assistance reauthorization bill (Pub. L. 112-40) signed by the President in October 2011. This law includes </w:t>
      </w:r>
      <w:proofErr w:type="gramStart"/>
      <w:r w:rsidRPr="00CE5012">
        <w:t xml:space="preserve">language </w:t>
      </w:r>
      <w:r w:rsidR="00104343">
        <w:t>authorizing</w:t>
      </w:r>
      <w:proofErr w:type="gramEnd"/>
      <w:r w:rsidR="00104343">
        <w:t xml:space="preserve"> evaluation of</w:t>
      </w:r>
      <w:r w:rsidRPr="00CE5012">
        <w:t xml:space="preserve"> the QIO </w:t>
      </w:r>
      <w:r w:rsidR="006061C1">
        <w:t>p</w:t>
      </w:r>
      <w:r w:rsidRPr="00CE5012">
        <w:t>rogram:</w:t>
      </w:r>
      <w:r w:rsidR="00445D0D">
        <w:t xml:space="preserve"> </w:t>
      </w:r>
    </w:p>
    <w:p w14:paraId="50EAB5D6" w14:textId="77777777" w:rsidR="00A87CDD" w:rsidRPr="00CE5012" w:rsidRDefault="00A87CDD" w:rsidP="007E70E6">
      <w:pPr>
        <w:pStyle w:val="BodyText2"/>
      </w:pPr>
      <w:bookmarkStart w:id="1" w:name="act-1153-c-2"/>
      <w:r w:rsidRPr="00CE5012">
        <w:t>§</w:t>
      </w:r>
      <w:r w:rsidRPr="00CE5012">
        <w:rPr>
          <w:smallCaps/>
        </w:rPr>
        <w:t xml:space="preserve"> </w:t>
      </w:r>
      <w:r w:rsidRPr="00CE5012">
        <w:t>Social Security Section. </w:t>
      </w:r>
      <w:bookmarkStart w:id="2" w:name="act-1153"/>
      <w:r w:rsidRPr="00CE5012">
        <w:t>1153</w:t>
      </w:r>
      <w:bookmarkEnd w:id="2"/>
      <w:r w:rsidRPr="00CE5012">
        <w:t>. [42 U.S.C. 1320c–2] </w:t>
      </w:r>
      <w:proofErr w:type="gramStart"/>
      <w:r w:rsidRPr="00CE5012">
        <w:t>c(</w:t>
      </w:r>
      <w:proofErr w:type="gramEnd"/>
      <w:r w:rsidRPr="00CE5012">
        <w:t>2)</w:t>
      </w:r>
      <w:bookmarkEnd w:id="1"/>
      <w:r w:rsidRPr="00CE5012">
        <w:t>: “the Secretary shall have the right to evaluate the quality and effectiveness of the organization in carrying out the functions specified in the contract.”</w:t>
      </w:r>
      <w:r w:rsidRPr="006B6E85">
        <w:rPr>
          <w:rStyle w:val="FootnoteReference"/>
          <w:vertAlign w:val="superscript"/>
        </w:rPr>
        <w:footnoteReference w:id="19"/>
      </w:r>
    </w:p>
    <w:p w14:paraId="574EC635" w14:textId="77777777" w:rsidR="00A87CDD" w:rsidRDefault="003D1135" w:rsidP="007E70E6">
      <w:pPr>
        <w:pStyle w:val="BodyText2"/>
      </w:pPr>
      <w:r w:rsidRPr="00CE5012">
        <w:t xml:space="preserve">Our proposed data collection </w:t>
      </w:r>
      <w:r>
        <w:t>is necessary for</w:t>
      </w:r>
      <w:r w:rsidRPr="00CE5012">
        <w:t xml:space="preserve"> CMS to </w:t>
      </w:r>
      <w:r>
        <w:t xml:space="preserve">evaluate the QIO program and </w:t>
      </w:r>
      <w:r w:rsidRPr="00CE5012">
        <w:t>provide reports on the performance of QIO</w:t>
      </w:r>
      <w:r>
        <w:t>s</w:t>
      </w:r>
      <w:r w:rsidRPr="00CE5012">
        <w:t>.</w:t>
      </w:r>
      <w:r>
        <w:t xml:space="preserve"> </w:t>
      </w:r>
      <w:r w:rsidRPr="00CE5012">
        <w:t>Sections 1152-1154 of Part B of Titl</w:t>
      </w:r>
      <w:r>
        <w:t>e XI of the Social Security Act</w:t>
      </w:r>
      <w:r w:rsidR="00A87CDD" w:rsidRPr="00CE5012">
        <w:t xml:space="preserve"> requires CMS to “regularly furnish each quality improvement organization with a contract under this section with a report that documents the performance of the organization in relation to the performance of other such organizations.” </w:t>
      </w:r>
    </w:p>
    <w:p w14:paraId="0416B593" w14:textId="77777777" w:rsidR="00A87CDD" w:rsidRPr="00CE5012" w:rsidRDefault="00A87CDD" w:rsidP="007E70E6">
      <w:pPr>
        <w:pStyle w:val="BodyText2"/>
      </w:pPr>
      <w:r w:rsidRPr="00CE5012">
        <w:t>As required by this law, CMS published the general criteria and standards used for evaluating the efficient and effective performance of contract obligations for the program and provided the opportunity for public comment in the following Federal Register notice:</w:t>
      </w:r>
    </w:p>
    <w:p w14:paraId="76408577" w14:textId="77777777" w:rsidR="00A87CDD" w:rsidRDefault="00A87CDD" w:rsidP="00066C5F">
      <w:pPr>
        <w:pStyle w:val="ListBullet"/>
        <w:tabs>
          <w:tab w:val="clear" w:pos="360"/>
          <w:tab w:val="num" w:pos="1080"/>
        </w:tabs>
        <w:ind w:left="1080"/>
      </w:pPr>
      <w:r w:rsidRPr="00A87CDD">
        <w:t xml:space="preserve">Medicare Program; Evaluation Criteria and Standards for Quality Improvement Networks Quality Improvement Program Contracts [Base and Task Order(s)]: 60-day Notice published on August 11, 2014 in Federal Register Volume 79, Number 154, pg. 46830-46835 (CMS–3300–NC); Final Notice published on December 30, 2014 in Federal Register Volume 79, Number 249, pg. 78440-78442 CMS–3300–FN). </w:t>
      </w:r>
    </w:p>
    <w:p w14:paraId="244D27DC" w14:textId="2B9F0736" w:rsidR="00CB30F8" w:rsidRPr="00CB30F8" w:rsidRDefault="00CB30F8" w:rsidP="00CB30F8">
      <w:pPr>
        <w:pStyle w:val="ListBullet"/>
        <w:numPr>
          <w:ilvl w:val="0"/>
          <w:numId w:val="0"/>
        </w:numPr>
        <w:ind w:left="360"/>
      </w:pPr>
      <w:r w:rsidRPr="00CB30F8">
        <w:t xml:space="preserve">These evaluation criteria are required </w:t>
      </w:r>
      <w:r>
        <w:t>for contract monitoring</w:t>
      </w:r>
      <w:r w:rsidRPr="00CB30F8">
        <w:t xml:space="preserve"> rather than evaluation of overall impact of the program. We will use </w:t>
      </w:r>
      <w:r w:rsidR="009D1161">
        <w:t>the</w:t>
      </w:r>
      <w:r w:rsidRPr="00CB30F8">
        <w:t xml:space="preserve"> data required for </w:t>
      </w:r>
      <w:r>
        <w:t>contract monitoring</w:t>
      </w:r>
      <w:r w:rsidRPr="00CB30F8">
        <w:t xml:space="preserve"> </w:t>
      </w:r>
      <w:r w:rsidR="009D1161">
        <w:t xml:space="preserve">along with the proposed data </w:t>
      </w:r>
      <w:r w:rsidRPr="00CB30F8">
        <w:t>in outcome and impact analyses</w:t>
      </w:r>
      <w:r w:rsidR="00B44E77">
        <w:t>.</w:t>
      </w:r>
      <w:r w:rsidRPr="00CB30F8">
        <w:t xml:space="preserve"> Attachment 1 provides a crosswalk</w:t>
      </w:r>
      <w:r w:rsidRPr="00CB30F8">
        <w:rPr>
          <w:b/>
        </w:rPr>
        <w:t xml:space="preserve"> </w:t>
      </w:r>
      <w:r w:rsidRPr="00CB30F8">
        <w:t xml:space="preserve">between the evaluation </w:t>
      </w:r>
      <w:r w:rsidR="009D1161">
        <w:t xml:space="preserve">data needs, </w:t>
      </w:r>
      <w:r w:rsidRPr="00CB30F8">
        <w:t xml:space="preserve">existing data, and the </w:t>
      </w:r>
      <w:r w:rsidR="009D1161">
        <w:t>proposed</w:t>
      </w:r>
      <w:r w:rsidRPr="00CB30F8">
        <w:t xml:space="preserve"> data to be collected under this information collection request</w:t>
      </w:r>
      <w:r>
        <w:t xml:space="preserve"> to show how the data </w:t>
      </w:r>
      <w:proofErr w:type="gramStart"/>
      <w:r>
        <w:t>will be integrated</w:t>
      </w:r>
      <w:proofErr w:type="gramEnd"/>
      <w:r>
        <w:t xml:space="preserve"> efficiently to assess the impact of the program</w:t>
      </w:r>
      <w:r w:rsidRPr="00CB30F8">
        <w:t>.</w:t>
      </w:r>
    </w:p>
    <w:p w14:paraId="3EFEDFB0" w14:textId="77777777" w:rsidR="00A87CDD" w:rsidRPr="00CE5012" w:rsidRDefault="00A87CDD" w:rsidP="00066C5F">
      <w:pPr>
        <w:pStyle w:val="Heading3"/>
      </w:pPr>
      <w:r w:rsidRPr="00CE5012">
        <w:lastRenderedPageBreak/>
        <w:t>Information Users</w:t>
      </w:r>
    </w:p>
    <w:p w14:paraId="52D848B0" w14:textId="77777777" w:rsidR="00A87CDD" w:rsidRDefault="00A87CDD" w:rsidP="007E70E6">
      <w:pPr>
        <w:pStyle w:val="BodyText2"/>
      </w:pPr>
      <w:r w:rsidRPr="003F4F25">
        <w:t xml:space="preserve">The purpose of this data collection is to </w:t>
      </w:r>
      <w:r>
        <w:t>inform the</w:t>
      </w:r>
      <w:r w:rsidRPr="003F4F25">
        <w:t xml:space="preserve"> program evaluation of the QIO program’s 11</w:t>
      </w:r>
      <w:r w:rsidRPr="003F4F25">
        <w:rPr>
          <w:vertAlign w:val="superscript"/>
        </w:rPr>
        <w:t>th</w:t>
      </w:r>
      <w:r w:rsidRPr="003F4F25">
        <w:t xml:space="preserve"> SOW as required in Sections 1152-1154 of the Social Security Act. The </w:t>
      </w:r>
      <w:r w:rsidR="006E28AF">
        <w:t xml:space="preserve">current </w:t>
      </w:r>
      <w:r w:rsidR="00EC524A">
        <w:t>data collection</w:t>
      </w:r>
      <w:r w:rsidRPr="003F4F25">
        <w:t xml:space="preserve"> will focus on the impact of the QIO program </w:t>
      </w:r>
      <w:r>
        <w:t xml:space="preserve">on </w:t>
      </w:r>
      <w:r w:rsidR="00D308CF">
        <w:t xml:space="preserve">disseminating the QAPI approach and </w:t>
      </w:r>
      <w:r>
        <w:t xml:space="preserve">reducing </w:t>
      </w:r>
      <w:r w:rsidR="00895510">
        <w:t>HAC</w:t>
      </w:r>
      <w:r>
        <w:t>s among nursing home residents in participating nursing homes</w:t>
      </w:r>
      <w:r w:rsidR="00895510">
        <w:t xml:space="preserve"> compared to nursing homes not participating in the program</w:t>
      </w:r>
      <w:r>
        <w:t>.</w:t>
      </w:r>
      <w:r>
        <w:rPr>
          <w:lang w:eastAsia="zh-TW"/>
        </w:rPr>
        <w:t xml:space="preserve"> </w:t>
      </w:r>
      <w:r w:rsidRPr="003F4F25">
        <w:t xml:space="preserve">The findings </w:t>
      </w:r>
      <w:proofErr w:type="gramStart"/>
      <w:r w:rsidRPr="003F4F25">
        <w:t>will also be used</w:t>
      </w:r>
      <w:proofErr w:type="gramEnd"/>
      <w:r w:rsidRPr="003F4F25">
        <w:t xml:space="preserve"> to inform CMS’ annual reports to Congress, reports and briefings to OMB,</w:t>
      </w:r>
      <w:r>
        <w:t xml:space="preserve"> and other stakeholder groups. </w:t>
      </w:r>
      <w:r w:rsidRPr="003F4F25">
        <w:t xml:space="preserve">The results from this data collection </w:t>
      </w:r>
      <w:proofErr w:type="gramStart"/>
      <w:r>
        <w:t>may</w:t>
      </w:r>
      <w:r w:rsidRPr="003F4F25">
        <w:t xml:space="preserve"> be published</w:t>
      </w:r>
      <w:proofErr w:type="gramEnd"/>
      <w:r w:rsidRPr="003F4F25">
        <w:t xml:space="preserve"> in annual program reports and peer-reviewed journal publications.</w:t>
      </w:r>
    </w:p>
    <w:p w14:paraId="4E697B67" w14:textId="77777777" w:rsidR="00A87CDD" w:rsidRDefault="00A87CDD" w:rsidP="00066C5F">
      <w:pPr>
        <w:pStyle w:val="Heading3"/>
      </w:pPr>
      <w:r>
        <w:t>Use of Information Technology</w:t>
      </w:r>
    </w:p>
    <w:p w14:paraId="3FAFF4BC" w14:textId="77777777" w:rsidR="00A87CDD" w:rsidRDefault="00FB4853" w:rsidP="007E70E6">
      <w:pPr>
        <w:pStyle w:val="BodyText2"/>
      </w:pPr>
      <w:r w:rsidRPr="003F4F25">
        <w:t>We</w:t>
      </w:r>
      <w:r>
        <w:t xml:space="preserve"> will conduct telephone surveys and telephone or in-person interviews </w:t>
      </w:r>
      <w:proofErr w:type="gramStart"/>
      <w:r>
        <w:t>to</w:t>
      </w:r>
      <w:r w:rsidRPr="003F4F25">
        <w:t xml:space="preserve"> effectively balance</w:t>
      </w:r>
      <w:proofErr w:type="gramEnd"/>
      <w:r w:rsidRPr="003F4F25">
        <w:t xml:space="preserve"> the need for program information with the costs of data collection and potential burden on program staff and stakeholders. </w:t>
      </w:r>
      <w:r w:rsidR="00A87CDD" w:rsidRPr="003F4F25">
        <w:t>We</w:t>
      </w:r>
      <w:r w:rsidR="00A87CDD">
        <w:t xml:space="preserve"> will conduct telephone surveys </w:t>
      </w:r>
      <w:r w:rsidR="00AB7307">
        <w:t>using Computer-Assisted Telephone Interviews (CATI) technology</w:t>
      </w:r>
      <w:r w:rsidR="00A87CDD" w:rsidRPr="003F4F25">
        <w:t xml:space="preserve">. Phone surveys will be brief and focused on the essential data needs to address the evaluation questions to reduce the burden on participants. We will conduct pretests to improve clarity and understandability of the survey questions, to reduce participant burden, and to enhance </w:t>
      </w:r>
      <w:r w:rsidR="00A87CDD">
        <w:t>survey</w:t>
      </w:r>
      <w:r w:rsidR="00A87CDD" w:rsidRPr="003F4F25">
        <w:t xml:space="preserve"> administration. We will keep the survey a reasonable length to minimize break-offs. Tested recruitment and data collection procedures </w:t>
      </w:r>
      <w:proofErr w:type="gramStart"/>
      <w:r w:rsidR="00A87CDD" w:rsidRPr="003F4F25">
        <w:t>will be used</w:t>
      </w:r>
      <w:proofErr w:type="gramEnd"/>
      <w:r w:rsidR="00A87CDD" w:rsidRPr="003F4F25">
        <w:t xml:space="preserve"> to maximize cooperation and to achieve the desired response rates. </w:t>
      </w:r>
    </w:p>
    <w:p w14:paraId="5C4CB3BA" w14:textId="77777777" w:rsidR="00A87CDD" w:rsidRDefault="00A87CDD" w:rsidP="007E70E6">
      <w:pPr>
        <w:pStyle w:val="BodyText2"/>
      </w:pPr>
      <w:r>
        <w:t xml:space="preserve">This data collection request does not require a signature from participants. Consent </w:t>
      </w:r>
      <w:proofErr w:type="gramStart"/>
      <w:r>
        <w:t>will be obtained</w:t>
      </w:r>
      <w:proofErr w:type="gramEnd"/>
      <w:r>
        <w:t xml:space="preserve"> verbally.</w:t>
      </w:r>
    </w:p>
    <w:p w14:paraId="0597C1D6" w14:textId="77777777" w:rsidR="00A87CDD" w:rsidRDefault="00A87CDD" w:rsidP="00066C5F">
      <w:pPr>
        <w:pStyle w:val="Heading3"/>
      </w:pPr>
      <w:r>
        <w:t>Duplication of Efforts</w:t>
      </w:r>
    </w:p>
    <w:p w14:paraId="29F3EB5C" w14:textId="77777777" w:rsidR="00A87CDD" w:rsidRDefault="00A87CDD" w:rsidP="007E70E6">
      <w:pPr>
        <w:pStyle w:val="BodyText2"/>
      </w:pPr>
      <w:r w:rsidRPr="00CE5012">
        <w:t xml:space="preserve">This information collection does not duplicate any other effort and the information </w:t>
      </w:r>
      <w:proofErr w:type="gramStart"/>
      <w:r w:rsidRPr="00CE5012">
        <w:t>cannot be obtained</w:t>
      </w:r>
      <w:proofErr w:type="gramEnd"/>
      <w:r w:rsidRPr="00CE5012">
        <w:t xml:space="preserve"> from any other source. </w:t>
      </w:r>
      <w:r w:rsidR="00745C96">
        <w:t xml:space="preserve">Data are regularly collected from QIN-QIOs, but not from nursing homes related to </w:t>
      </w:r>
      <w:proofErr w:type="gramStart"/>
      <w:r w:rsidR="00745C96">
        <w:t>these quality improvement</w:t>
      </w:r>
      <w:proofErr w:type="gramEnd"/>
      <w:r w:rsidR="00745C96">
        <w:t xml:space="preserve"> of efforts. </w:t>
      </w:r>
      <w:r w:rsidRPr="00CE5012">
        <w:t>In order to prevent duplication of data collection, the IEC developed a Baseline Current Environment Report and Data Inventory, which outline</w:t>
      </w:r>
      <w:r>
        <w:t>d</w:t>
      </w:r>
      <w:r w:rsidRPr="00CE5012">
        <w:t xml:space="preserve"> the current CMS and secondary datasets and sources that </w:t>
      </w:r>
      <w:proofErr w:type="gramStart"/>
      <w:r w:rsidRPr="00CE5012">
        <w:t>can be used</w:t>
      </w:r>
      <w:proofErr w:type="gramEnd"/>
      <w:r w:rsidRPr="00CE5012">
        <w:t xml:space="preserve"> to inform the evaluation, including Medicare claims data. Additional data collection </w:t>
      </w:r>
      <w:proofErr w:type="gramStart"/>
      <w:r w:rsidRPr="00CE5012">
        <w:t>is only proposed</w:t>
      </w:r>
      <w:proofErr w:type="gramEnd"/>
      <w:r w:rsidRPr="00CE5012">
        <w:t xml:space="preserve"> when data necessary to inform the QIO evaluation questions are not available in current data sets, program reports, or other sources. The IEC is </w:t>
      </w:r>
      <w:r>
        <w:t>collaborating</w:t>
      </w:r>
      <w:r w:rsidRPr="00CE5012">
        <w:t xml:space="preserve"> with the QIN National Coordinating Center (NCC), the BFCC NCC, and other program components to share information and data in order to avoid any duplication of data collections from QIO providers and beneficiaries.</w:t>
      </w:r>
    </w:p>
    <w:p w14:paraId="0D99003E" w14:textId="72B8F145" w:rsidR="00940115" w:rsidRPr="00CE5012" w:rsidRDefault="00CD7204" w:rsidP="007E70E6">
      <w:pPr>
        <w:pStyle w:val="BodyText2"/>
      </w:pPr>
      <w:r>
        <w:t xml:space="preserve">The existing datasets </w:t>
      </w:r>
      <w:r w:rsidR="00415AA0">
        <w:t>and</w:t>
      </w:r>
      <w:r>
        <w:t xml:space="preserve"> newly collected data </w:t>
      </w:r>
      <w:r w:rsidR="00415AA0">
        <w:t xml:space="preserve">will be integrated to address the evaluation questions and meet the goals of the data collection as previously described in the Background Section (see also Attachment 1). For example, analysis of secondary data will show trends </w:t>
      </w:r>
      <w:r w:rsidR="001B3F0B">
        <w:t xml:space="preserve">in need of </w:t>
      </w:r>
      <w:r w:rsidR="00415AA0">
        <w:t>follow-up during qualitative interviews and focus groups. T</w:t>
      </w:r>
      <w:r w:rsidR="00940115">
        <w:t xml:space="preserve">he information collected through surveys, interviews, and focus groups </w:t>
      </w:r>
      <w:r w:rsidR="00415AA0">
        <w:t>may help</w:t>
      </w:r>
      <w:r w:rsidR="00940115">
        <w:t xml:space="preserve"> identify factors associated with </w:t>
      </w:r>
      <w:r w:rsidR="00415AA0">
        <w:t xml:space="preserve">evaluation </w:t>
      </w:r>
      <w:r w:rsidR="00CB30F8">
        <w:t>outcomes, which</w:t>
      </w:r>
      <w:r w:rsidR="00940115">
        <w:t xml:space="preserve"> </w:t>
      </w:r>
      <w:proofErr w:type="gramStart"/>
      <w:r w:rsidR="00940115">
        <w:t>can be accessed</w:t>
      </w:r>
      <w:proofErr w:type="gramEnd"/>
      <w:r w:rsidR="00940115">
        <w:t xml:space="preserve"> in MDS 3 and Medicare claims</w:t>
      </w:r>
      <w:r w:rsidR="00415AA0">
        <w:t xml:space="preserve">, including </w:t>
      </w:r>
      <w:r w:rsidR="00415AA0" w:rsidRPr="00CD4077">
        <w:t>uptake of QAPI approaches</w:t>
      </w:r>
      <w:r w:rsidR="00940115">
        <w:t xml:space="preserve">. </w:t>
      </w:r>
    </w:p>
    <w:p w14:paraId="41AAF981" w14:textId="77777777" w:rsidR="00A87CDD" w:rsidRDefault="00A87CDD" w:rsidP="00066C5F">
      <w:pPr>
        <w:pStyle w:val="Heading3"/>
      </w:pPr>
      <w:r>
        <w:lastRenderedPageBreak/>
        <w:t>Small Businesses</w:t>
      </w:r>
    </w:p>
    <w:p w14:paraId="57329F6E" w14:textId="77777777" w:rsidR="00A87CDD" w:rsidRPr="00CE5012" w:rsidRDefault="00A87CDD" w:rsidP="007E70E6">
      <w:pPr>
        <w:pStyle w:val="BodyText2"/>
      </w:pPr>
      <w:r>
        <w:t xml:space="preserve">QIOs and </w:t>
      </w:r>
      <w:r w:rsidR="00745C96">
        <w:t>n</w:t>
      </w:r>
      <w:r>
        <w:t xml:space="preserve">ursing </w:t>
      </w:r>
      <w:r w:rsidR="00745C96">
        <w:t>ho</w:t>
      </w:r>
      <w:r>
        <w:t xml:space="preserve">mes </w:t>
      </w:r>
      <w:r w:rsidRPr="00CE5012">
        <w:t>may be small or large business</w:t>
      </w:r>
      <w:r w:rsidR="00745C96" w:rsidRPr="00840494">
        <w:t xml:space="preserve"> </w:t>
      </w:r>
      <w:r w:rsidR="00840494">
        <w:t xml:space="preserve">based on the definition of the Small </w:t>
      </w:r>
      <w:r w:rsidR="00745C96" w:rsidRPr="00840494">
        <w:t xml:space="preserve">Business Paperwork </w:t>
      </w:r>
      <w:r w:rsidR="00840494">
        <w:t>Relief Task Force</w:t>
      </w:r>
      <w:r w:rsidR="00745C96" w:rsidRPr="00840494">
        <w:t xml:space="preserve"> as having 500 or fewer employees or $6M or less in receipts</w:t>
      </w:r>
      <w:r w:rsidR="00840494" w:rsidRPr="00840494">
        <w:t>.</w:t>
      </w:r>
      <w:r w:rsidR="00840494" w:rsidRPr="00840494">
        <w:rPr>
          <w:vertAlign w:val="superscript"/>
        </w:rPr>
        <w:footnoteReference w:id="20"/>
      </w:r>
      <w:r w:rsidR="00745C96" w:rsidRPr="00840494">
        <w:rPr>
          <w:vertAlign w:val="superscript"/>
        </w:rPr>
        <w:t xml:space="preserve"> </w:t>
      </w:r>
      <w:r w:rsidR="00840494">
        <w:t>Approximately 30% of nursing homes may be small businesses based on a revenue of less than $6 Million.</w:t>
      </w:r>
      <w:r w:rsidR="00840494" w:rsidRPr="00382236">
        <w:rPr>
          <w:rStyle w:val="FootnoteReference"/>
          <w:vertAlign w:val="superscript"/>
        </w:rPr>
        <w:footnoteReference w:id="21"/>
      </w:r>
      <w:r w:rsidR="00840494" w:rsidRPr="00382236">
        <w:rPr>
          <w:vertAlign w:val="superscript"/>
        </w:rPr>
        <w:t xml:space="preserve"> </w:t>
      </w:r>
      <w:r w:rsidRPr="00CE5012">
        <w:t xml:space="preserve">To reduce the impact on </w:t>
      </w:r>
      <w:r>
        <w:t xml:space="preserve">these </w:t>
      </w:r>
      <w:r w:rsidRPr="00CE5012">
        <w:t xml:space="preserve">small businesses and entities, data collection </w:t>
      </w:r>
      <w:proofErr w:type="gramStart"/>
      <w:r w:rsidRPr="00CE5012">
        <w:t>will be streamlined and focused,</w:t>
      </w:r>
      <w:proofErr w:type="gramEnd"/>
      <w:r w:rsidRPr="00CE5012">
        <w:t xml:space="preserve"> limited to only the collection of data required to an</w:t>
      </w:r>
      <w:r>
        <w:t xml:space="preserve">swer the evaluation questions. </w:t>
      </w:r>
      <w:r w:rsidR="0086654C">
        <w:t xml:space="preserve">Surveys will be 10-20 minutes or less annually and the same participants </w:t>
      </w:r>
      <w:proofErr w:type="gramStart"/>
      <w:r w:rsidR="0086654C">
        <w:t>will not be surveyed</w:t>
      </w:r>
      <w:proofErr w:type="gramEnd"/>
      <w:r w:rsidR="0086654C">
        <w:t xml:space="preserve"> each year. </w:t>
      </w:r>
      <w:r w:rsidR="003D700F">
        <w:t>Surveys</w:t>
      </w:r>
      <w:r>
        <w:t xml:space="preserve"> will occur by telephone </w:t>
      </w:r>
      <w:r w:rsidRPr="00CE5012">
        <w:t>at times that are convenient to the participants</w:t>
      </w:r>
      <w:r>
        <w:t>.</w:t>
      </w:r>
      <w:r w:rsidR="00081C61">
        <w:t xml:space="preserve"> </w:t>
      </w:r>
      <w:r w:rsidR="003D700F">
        <w:t xml:space="preserve">Nursing Home Administrator Interviews </w:t>
      </w:r>
      <w:proofErr w:type="gramStart"/>
      <w:r w:rsidR="003D700F">
        <w:t>will be conducted</w:t>
      </w:r>
      <w:proofErr w:type="gramEnd"/>
      <w:r w:rsidR="003D700F">
        <w:t xml:space="preserve"> with respondents who have not participated in the survey in order to reduce response burden on individual facilities. </w:t>
      </w:r>
      <w:r w:rsidR="00D64642">
        <w:t>Pre</w:t>
      </w:r>
      <w:r w:rsidR="00237EB7">
        <w:t>-</w:t>
      </w:r>
      <w:r w:rsidR="00081C61">
        <w:t xml:space="preserve">notification emails </w:t>
      </w:r>
      <w:proofErr w:type="gramStart"/>
      <w:r w:rsidR="00081C61">
        <w:t>will be sent out</w:t>
      </w:r>
      <w:proofErr w:type="gramEnd"/>
      <w:r w:rsidR="00081C61">
        <w:t xml:space="preserve"> </w:t>
      </w:r>
      <w:r w:rsidR="00D64642">
        <w:t xml:space="preserve">to respondents </w:t>
      </w:r>
      <w:r w:rsidR="00081C61">
        <w:t>prio</w:t>
      </w:r>
      <w:r w:rsidR="00D64642">
        <w:t xml:space="preserve">r to data collection to inform them about the purpose of the data collection, expected time required, and </w:t>
      </w:r>
      <w:r w:rsidR="000B7D15">
        <w:t xml:space="preserve">to </w:t>
      </w:r>
      <w:r w:rsidR="001E2196">
        <w:t xml:space="preserve">provide </w:t>
      </w:r>
      <w:r w:rsidR="00D64642">
        <w:t xml:space="preserve">other elements of informed consent (Appendix </w:t>
      </w:r>
      <w:r w:rsidR="009954D3">
        <w:t>B</w:t>
      </w:r>
      <w:r w:rsidR="00081C61">
        <w:t>)</w:t>
      </w:r>
      <w:r w:rsidR="00237EB7">
        <w:t>.</w:t>
      </w:r>
    </w:p>
    <w:p w14:paraId="4C1B296F" w14:textId="77777777" w:rsidR="00A87CDD" w:rsidRDefault="00A87CDD" w:rsidP="00066C5F">
      <w:pPr>
        <w:pStyle w:val="Heading3"/>
      </w:pPr>
      <w:r>
        <w:t>Less Frequent Collection</w:t>
      </w:r>
    </w:p>
    <w:p w14:paraId="4911656F" w14:textId="77777777" w:rsidR="00A87CDD" w:rsidRPr="00CE5012" w:rsidRDefault="00A87CDD" w:rsidP="007E70E6">
      <w:pPr>
        <w:pStyle w:val="BodyText2"/>
      </w:pPr>
      <w:r w:rsidRPr="00CE5012">
        <w:t xml:space="preserve">If these information collection activities </w:t>
      </w:r>
      <w:proofErr w:type="gramStart"/>
      <w:r w:rsidRPr="00CE5012">
        <w:t>are not conducted</w:t>
      </w:r>
      <w:proofErr w:type="gramEnd"/>
      <w:r w:rsidRPr="00CE5012">
        <w:t>, CMS will not be able to fulfill the mandates of the Social Security Act Title XI Section 1153 to evaluate the QIO program and provide a report on performance to contracted QIOs. If the data collection occurs less frequently, QIOs will not receive timely feedback in order to improve their services and programs to meet the goals of the 11</w:t>
      </w:r>
      <w:r w:rsidRPr="00CE5012">
        <w:rPr>
          <w:vertAlign w:val="superscript"/>
        </w:rPr>
        <w:t>th</w:t>
      </w:r>
      <w:r w:rsidRPr="00CE5012">
        <w:t xml:space="preserve"> SOW. </w:t>
      </w:r>
      <w:r>
        <w:t>Evaluating the program tasks of the</w:t>
      </w:r>
      <w:r w:rsidRPr="00CE5012">
        <w:t xml:space="preserve"> 11</w:t>
      </w:r>
      <w:r w:rsidRPr="00CE5012">
        <w:rPr>
          <w:vertAlign w:val="superscript"/>
        </w:rPr>
        <w:t>th</w:t>
      </w:r>
      <w:r w:rsidRPr="00CE5012">
        <w:t xml:space="preserve"> SOW require early and frequent input to make appropriate changes in time for the 12</w:t>
      </w:r>
      <w:r w:rsidRPr="00CE5012">
        <w:rPr>
          <w:vertAlign w:val="superscript"/>
        </w:rPr>
        <w:t>th</w:t>
      </w:r>
      <w:r w:rsidRPr="00CE5012">
        <w:t xml:space="preserve"> SOW.</w:t>
      </w:r>
    </w:p>
    <w:p w14:paraId="3B6D328F" w14:textId="77777777" w:rsidR="00A87CDD" w:rsidRDefault="00A87CDD" w:rsidP="00066C5F">
      <w:pPr>
        <w:pStyle w:val="Heading3"/>
      </w:pPr>
      <w:r>
        <w:t>Special Circumstances</w:t>
      </w:r>
    </w:p>
    <w:p w14:paraId="67396C9E" w14:textId="77777777" w:rsidR="00A87CDD" w:rsidRPr="00CE5012" w:rsidRDefault="00A87CDD" w:rsidP="007E70E6">
      <w:pPr>
        <w:pStyle w:val="BodyText2"/>
      </w:pPr>
      <w:r w:rsidRPr="00CE5012">
        <w:t>There are no special circumstances relating to the Guidelines of 5 CFR 1320.5.</w:t>
      </w:r>
    </w:p>
    <w:p w14:paraId="2108CCFB" w14:textId="77777777" w:rsidR="00A87CDD" w:rsidRDefault="00A87CDD" w:rsidP="00066C5F">
      <w:pPr>
        <w:pStyle w:val="Heading3"/>
      </w:pPr>
      <w:r>
        <w:t>Federal Register/Outside Consultation</w:t>
      </w:r>
    </w:p>
    <w:p w14:paraId="69AC7C04" w14:textId="13F2D35D" w:rsidR="00A87CDD" w:rsidRPr="00CE5012" w:rsidRDefault="00AA00E1" w:rsidP="00D113D7">
      <w:pPr>
        <w:pStyle w:val="Default"/>
        <w:spacing w:after="240"/>
        <w:ind w:left="360"/>
      </w:pPr>
      <w:r>
        <w:t xml:space="preserve">The 60-day Federal Register notice published on </w:t>
      </w:r>
      <w:r w:rsidR="008D6AFA">
        <w:t>June 30, 2016</w:t>
      </w:r>
      <w:r>
        <w:t xml:space="preserve"> (</w:t>
      </w:r>
      <w:r w:rsidR="00566A2D">
        <w:t>81 FR 42710</w:t>
      </w:r>
      <w:r>
        <w:t xml:space="preserve">). </w:t>
      </w:r>
      <w:r w:rsidR="00E8403D">
        <w:t xml:space="preserve">One </w:t>
      </w:r>
      <w:r w:rsidR="00262F20">
        <w:t xml:space="preserve">general </w:t>
      </w:r>
      <w:r w:rsidR="00E8403D">
        <w:t xml:space="preserve">comment </w:t>
      </w:r>
      <w:proofErr w:type="gramStart"/>
      <w:r w:rsidR="00A4450D">
        <w:t>was received</w:t>
      </w:r>
      <w:proofErr w:type="gramEnd"/>
      <w:r w:rsidR="00A4450D">
        <w:t xml:space="preserve"> </w:t>
      </w:r>
      <w:r w:rsidR="00262F20">
        <w:rPr>
          <w:color w:val="auto"/>
        </w:rPr>
        <w:t xml:space="preserve">from </w:t>
      </w:r>
      <w:r w:rsidR="00262F20" w:rsidRPr="00F7405D">
        <w:t>a member of the public related to CMS-</w:t>
      </w:r>
      <w:r w:rsidR="00262F20">
        <w:t>10622 about incentives for nursing homes</w:t>
      </w:r>
      <w:r w:rsidR="00415AA0">
        <w:t>, and a</w:t>
      </w:r>
      <w:r w:rsidR="00262F20">
        <w:t xml:space="preserve"> response to the comment was submitted. </w:t>
      </w:r>
      <w:r w:rsidR="00A4450D">
        <w:t xml:space="preserve">The 30-day Federal Register notice published on </w:t>
      </w:r>
      <w:r w:rsidR="00262F20">
        <w:t>October 31, 2016 (81 FR 75409-75410)</w:t>
      </w:r>
      <w:r w:rsidR="00A4450D">
        <w:t xml:space="preserve"> and received no comments. </w:t>
      </w:r>
      <w:r>
        <w:t>In addition to the required public notices, w</w:t>
      </w:r>
      <w:r w:rsidR="00A87CDD" w:rsidRPr="00CE5012">
        <w:t>e pre-test</w:t>
      </w:r>
      <w:r w:rsidR="00A4450D">
        <w:t>ed</w:t>
      </w:r>
      <w:r w:rsidR="00A87CDD" w:rsidRPr="00CE5012">
        <w:t xml:space="preserve"> instruments</w:t>
      </w:r>
      <w:r w:rsidR="00A87CDD">
        <w:t xml:space="preserve"> among respondents</w:t>
      </w:r>
      <w:r w:rsidR="00A87CDD" w:rsidRPr="00CE5012">
        <w:t xml:space="preserve"> to obtain their views on the availability of data, frequency of collection, the clarity of instructions and recordkeeping, disclosure, or reporting format, and on the data elements to be </w:t>
      </w:r>
      <w:proofErr w:type="gramStart"/>
      <w:r w:rsidR="00A87CDD" w:rsidRPr="00CE5012">
        <w:t>recorded</w:t>
      </w:r>
      <w:proofErr w:type="gramEnd"/>
      <w:r w:rsidR="00A87CDD" w:rsidRPr="00CE5012">
        <w:t>, disclosed, or reported</w:t>
      </w:r>
      <w:r w:rsidR="00A87CDD">
        <w:t>.</w:t>
      </w:r>
    </w:p>
    <w:p w14:paraId="191EA68F" w14:textId="77777777" w:rsidR="00A87CDD" w:rsidRDefault="00A87CDD" w:rsidP="00066C5F">
      <w:pPr>
        <w:pStyle w:val="Heading3"/>
      </w:pPr>
      <w:r>
        <w:lastRenderedPageBreak/>
        <w:t>Payments/Gifts to Respondents</w:t>
      </w:r>
    </w:p>
    <w:p w14:paraId="47E86E27" w14:textId="4783DA0F" w:rsidR="00A87CDD" w:rsidRDefault="00A87CDD" w:rsidP="007E70E6">
      <w:pPr>
        <w:pStyle w:val="BodyText2"/>
        <w:rPr>
          <w:rFonts w:eastAsia="Calibri"/>
          <w:color w:val="000000"/>
        </w:rPr>
      </w:pPr>
      <w:r w:rsidRPr="00CE5012">
        <w:t xml:space="preserve">We </w:t>
      </w:r>
      <w:r w:rsidR="00104343">
        <w:t>do not plan to use payments or incentives for</w:t>
      </w:r>
      <w:r w:rsidRPr="00CE5012">
        <w:t xml:space="preserve"> </w:t>
      </w:r>
      <w:r w:rsidR="00104343">
        <w:t>participants.</w:t>
      </w:r>
      <w:r w:rsidRPr="00CE5012">
        <w:t xml:space="preserve"> The burden of the response is low, so we do not think this will </w:t>
      </w:r>
      <w:proofErr w:type="gramStart"/>
      <w:r w:rsidRPr="00CE5012">
        <w:t>impact</w:t>
      </w:r>
      <w:proofErr w:type="gramEnd"/>
      <w:r w:rsidRPr="00CE5012">
        <w:t xml:space="preserve"> response rates. </w:t>
      </w:r>
      <w:r w:rsidRPr="00CE5012">
        <w:rPr>
          <w:rFonts w:eastAsia="Calibri"/>
          <w:color w:val="000000"/>
        </w:rPr>
        <w:t>While incentives have the potential to encoura</w:t>
      </w:r>
      <w:r>
        <w:rPr>
          <w:rFonts w:eastAsia="Calibri"/>
          <w:color w:val="000000"/>
        </w:rPr>
        <w:t>ge participation</w:t>
      </w:r>
      <w:r w:rsidRPr="00CE5012">
        <w:rPr>
          <w:rFonts w:eastAsia="Calibri"/>
          <w:color w:val="000000"/>
        </w:rPr>
        <w:t xml:space="preserve">, our team and other projects have had </w:t>
      </w:r>
      <w:proofErr w:type="gramStart"/>
      <w:r w:rsidRPr="00CE5012">
        <w:rPr>
          <w:rFonts w:eastAsia="Calibri"/>
          <w:color w:val="000000"/>
        </w:rPr>
        <w:t>success</w:t>
      </w:r>
      <w:proofErr w:type="gramEnd"/>
      <w:r w:rsidRPr="00CE5012">
        <w:rPr>
          <w:rFonts w:eastAsia="Calibri"/>
          <w:color w:val="000000"/>
        </w:rPr>
        <w:t xml:space="preserve"> conducting </w:t>
      </w:r>
      <w:r>
        <w:rPr>
          <w:rFonts w:eastAsia="Calibri"/>
          <w:color w:val="000000"/>
        </w:rPr>
        <w:t>surveys</w:t>
      </w:r>
      <w:r w:rsidRPr="00CE5012">
        <w:rPr>
          <w:rFonts w:eastAsia="Calibri"/>
          <w:color w:val="000000"/>
        </w:rPr>
        <w:t xml:space="preserve"> with </w:t>
      </w:r>
      <w:r>
        <w:rPr>
          <w:rFonts w:eastAsia="Calibri"/>
          <w:color w:val="000000"/>
        </w:rPr>
        <w:t>program stakeholders</w:t>
      </w:r>
      <w:r w:rsidRPr="00CE5012">
        <w:rPr>
          <w:rFonts w:eastAsia="Calibri"/>
          <w:color w:val="000000"/>
        </w:rPr>
        <w:t xml:space="preserve"> without incentives. Strategies for successful recruiting include scheduling </w:t>
      </w:r>
      <w:r>
        <w:rPr>
          <w:rFonts w:eastAsia="Calibri"/>
          <w:color w:val="000000"/>
        </w:rPr>
        <w:t>surveys</w:t>
      </w:r>
      <w:r w:rsidRPr="00CE5012">
        <w:rPr>
          <w:rFonts w:eastAsia="Calibri"/>
          <w:color w:val="000000"/>
        </w:rPr>
        <w:t xml:space="preserve"> at convenient times for </w:t>
      </w:r>
      <w:r>
        <w:rPr>
          <w:rFonts w:eastAsia="Calibri"/>
          <w:color w:val="000000"/>
        </w:rPr>
        <w:t>respondents</w:t>
      </w:r>
      <w:r w:rsidRPr="00CE5012">
        <w:rPr>
          <w:rFonts w:eastAsia="Calibri"/>
          <w:color w:val="000000"/>
        </w:rPr>
        <w:t xml:space="preserve"> (such as early morning or evening phone calls)</w:t>
      </w:r>
      <w:r>
        <w:rPr>
          <w:rFonts w:eastAsia="Calibri"/>
          <w:color w:val="000000"/>
        </w:rPr>
        <w:t xml:space="preserve"> and using relationships among </w:t>
      </w:r>
      <w:r w:rsidR="000B7D15">
        <w:rPr>
          <w:rFonts w:eastAsia="Calibri"/>
          <w:color w:val="000000"/>
        </w:rPr>
        <w:t xml:space="preserve">QIN-QIO </w:t>
      </w:r>
      <w:r>
        <w:rPr>
          <w:rFonts w:eastAsia="Calibri"/>
          <w:color w:val="000000"/>
        </w:rPr>
        <w:t xml:space="preserve">program staff. </w:t>
      </w:r>
    </w:p>
    <w:p w14:paraId="3AD69C78" w14:textId="77777777" w:rsidR="00A87CDD" w:rsidRDefault="00A87CDD" w:rsidP="00066C5F">
      <w:pPr>
        <w:pStyle w:val="Heading3"/>
      </w:pPr>
      <w:r>
        <w:t>Confidentiality</w:t>
      </w:r>
    </w:p>
    <w:p w14:paraId="563D7A50" w14:textId="77777777" w:rsidR="009F392A" w:rsidRPr="005D0A27" w:rsidRDefault="009F392A" w:rsidP="007E70E6">
      <w:pPr>
        <w:pStyle w:val="BodyText2"/>
      </w:pPr>
      <w:r w:rsidRPr="005D0A27">
        <w:t xml:space="preserve">Nursing homes </w:t>
      </w:r>
      <w:r>
        <w:t>that receive funding from</w:t>
      </w:r>
      <w:r w:rsidRPr="005D0A27">
        <w:t xml:space="preserve"> CMS provide </w:t>
      </w:r>
      <w:proofErr w:type="gramStart"/>
      <w:r w:rsidRPr="005D0A27">
        <w:t>information which</w:t>
      </w:r>
      <w:proofErr w:type="gramEnd"/>
      <w:r w:rsidRPr="005D0A27">
        <w:t xml:space="preserve"> is housed in the Minimum Data Set (MDS). The system of records (SOR) </w:t>
      </w:r>
      <w:r w:rsidR="001C4752">
        <w:t xml:space="preserve">for </w:t>
      </w:r>
      <w:r w:rsidRPr="005D0A27">
        <w:t>long-term care MDS, number 09-70-0528</w:t>
      </w:r>
      <w:r w:rsidRPr="005D0A27">
        <w:rPr>
          <w:lang w:val="en"/>
        </w:rPr>
        <w:t>,</w:t>
      </w:r>
      <w:r w:rsidRPr="005D0A27">
        <w:t xml:space="preserve"> establishes privacy stringent requirements for MDS.</w:t>
      </w:r>
      <w:r w:rsidRPr="001C4752">
        <w:rPr>
          <w:rStyle w:val="FootnoteReference"/>
          <w:rFonts w:ascii="Times New Roman" w:hAnsi="Times New Roman" w:cs="Times New Roman"/>
          <w:szCs w:val="24"/>
          <w:vertAlign w:val="superscript"/>
        </w:rPr>
        <w:footnoteReference w:id="22"/>
      </w:r>
      <w:r w:rsidRPr="005D0A27">
        <w:t xml:space="preserve"> The MDS SOR </w:t>
      </w:r>
      <w:proofErr w:type="gramStart"/>
      <w:r w:rsidRPr="005D0A27">
        <w:t>was published</w:t>
      </w:r>
      <w:proofErr w:type="gramEnd"/>
      <w:r w:rsidRPr="005D0A27">
        <w:t xml:space="preserve"> in the Federal Register March 19, 2007 (Vol. 72 No. 3 12801-12806). With the submission of </w:t>
      </w:r>
      <w:r>
        <w:t>this</w:t>
      </w:r>
      <w:r w:rsidRPr="005D0A27">
        <w:t xml:space="preserve"> information, an administrator at the nursing home </w:t>
      </w:r>
      <w:proofErr w:type="gramStart"/>
      <w:r w:rsidRPr="005D0A27">
        <w:t>is identified</w:t>
      </w:r>
      <w:proofErr w:type="gramEnd"/>
      <w:r w:rsidRPr="005D0A27">
        <w:t xml:space="preserve"> as the appropriate contact for CMS. </w:t>
      </w:r>
      <w:r>
        <w:t xml:space="preserve">We will supplement this database </w:t>
      </w:r>
      <w:r w:rsidRPr="005D0A27">
        <w:t>with data from the QIN-QIO program on which nursing homes are participating in the program’s initiatives, as each QIN is responsible for identifying to CMS the participating nursing homes.</w:t>
      </w:r>
    </w:p>
    <w:p w14:paraId="0F8A3D49" w14:textId="77777777" w:rsidR="009F392A" w:rsidRPr="005D0A27" w:rsidRDefault="009F392A" w:rsidP="007E70E6">
      <w:pPr>
        <w:pStyle w:val="BodyText2"/>
      </w:pPr>
      <w:r w:rsidRPr="005D0A27">
        <w:rPr>
          <w:rFonts w:eastAsia="Calibri"/>
        </w:rPr>
        <w:t xml:space="preserve">To protect the privacy of participant data, each survey respondent </w:t>
      </w:r>
      <w:proofErr w:type="gramStart"/>
      <w:r w:rsidRPr="005D0A27">
        <w:rPr>
          <w:rFonts w:eastAsia="Calibri"/>
        </w:rPr>
        <w:t>will be de-identified and given a unique identification (ID) number</w:t>
      </w:r>
      <w:proofErr w:type="gramEnd"/>
      <w:r w:rsidRPr="005D0A27">
        <w:rPr>
          <w:rFonts w:eastAsia="Calibri"/>
        </w:rPr>
        <w:t xml:space="preserve">. This ID number will be the only information that </w:t>
      </w:r>
      <w:proofErr w:type="gramStart"/>
      <w:r w:rsidRPr="005D0A27">
        <w:rPr>
          <w:rFonts w:eastAsia="Calibri"/>
        </w:rPr>
        <w:t>is recorded</w:t>
      </w:r>
      <w:proofErr w:type="gramEnd"/>
      <w:r w:rsidRPr="005D0A27">
        <w:rPr>
          <w:rFonts w:eastAsia="Calibri"/>
        </w:rPr>
        <w:t xml:space="preserve"> on data-collection instruments, and the data-collection instruments will be stored separately from other data collected within this project. Contact information (names, telephone numbers, and email addresses) of participants will be stored separately from data files and </w:t>
      </w:r>
      <w:proofErr w:type="gramStart"/>
      <w:r w:rsidRPr="005D0A27">
        <w:rPr>
          <w:rFonts w:eastAsia="Calibri"/>
        </w:rPr>
        <w:t>will only be accessed</w:t>
      </w:r>
      <w:proofErr w:type="gramEnd"/>
      <w:r w:rsidRPr="005D0A27">
        <w:rPr>
          <w:rFonts w:eastAsia="Calibri"/>
        </w:rPr>
        <w:t xml:space="preserve"> by authorized team members f</w:t>
      </w:r>
      <w:r w:rsidRPr="005D0A27">
        <w:t xml:space="preserve">or logistical reasons (e.g. scheduling, follow-ups, avoiding contacting the same individuals in subsequent years if needed). These individuals </w:t>
      </w:r>
      <w:proofErr w:type="gramStart"/>
      <w:r w:rsidRPr="005D0A27">
        <w:t>will not be identified</w:t>
      </w:r>
      <w:proofErr w:type="gramEnd"/>
      <w:r w:rsidRPr="005D0A27">
        <w:t xml:space="preserve"> in the transcripts that are used for analyzing the qualitative interviews and focus groups. Basic demographic or institutional characteristics </w:t>
      </w:r>
      <w:proofErr w:type="gramStart"/>
      <w:r w:rsidRPr="005D0A27">
        <w:t>will be used</w:t>
      </w:r>
      <w:proofErr w:type="gramEnd"/>
      <w:r w:rsidRPr="005D0A27">
        <w:t xml:space="preserve"> to characterize interview and focus group participants.</w:t>
      </w:r>
    </w:p>
    <w:p w14:paraId="455DD46A" w14:textId="77777777" w:rsidR="009F392A" w:rsidRPr="009F392A" w:rsidRDefault="009F392A" w:rsidP="007E70E6">
      <w:pPr>
        <w:pStyle w:val="BodyText2"/>
      </w:pPr>
      <w:r w:rsidRPr="005D0A27">
        <w:t xml:space="preserve">No one outside the contractor’s team will have access to the individual responses, nor will anyone outside the team be able to identify any individual respondent with their responses. </w:t>
      </w:r>
      <w:r w:rsidRPr="005D0A27">
        <w:rPr>
          <w:rFonts w:eastAsia="Calibri"/>
        </w:rPr>
        <w:t xml:space="preserve">Reports on data collected </w:t>
      </w:r>
      <w:proofErr w:type="gramStart"/>
      <w:r w:rsidRPr="005D0A27">
        <w:rPr>
          <w:rFonts w:eastAsia="Calibri"/>
        </w:rPr>
        <w:t>will be presented</w:t>
      </w:r>
      <w:proofErr w:type="gramEnd"/>
      <w:r w:rsidRPr="005D0A27">
        <w:rPr>
          <w:rFonts w:eastAsia="Calibri"/>
        </w:rPr>
        <w:t xml:space="preserve"> in aggregate form only. At the end of the project, the Primary Investigator will arrange for the proper storage and destruction of all data in compliance with all relevant government regulations and policies</w:t>
      </w:r>
    </w:p>
    <w:p w14:paraId="3BAAB782" w14:textId="77777777" w:rsidR="00A87CDD" w:rsidRDefault="00A87CDD" w:rsidP="00066C5F">
      <w:pPr>
        <w:pStyle w:val="Heading3"/>
      </w:pPr>
      <w:r>
        <w:t>Sensitive Questions</w:t>
      </w:r>
    </w:p>
    <w:p w14:paraId="1F4EB744" w14:textId="77777777" w:rsidR="00A87CDD" w:rsidRDefault="00A87CDD" w:rsidP="007E70E6">
      <w:pPr>
        <w:pStyle w:val="BodyText2"/>
      </w:pPr>
      <w:r w:rsidRPr="00CE5012">
        <w:t>The survey do</w:t>
      </w:r>
      <w:r w:rsidR="008378B9">
        <w:t>es</w:t>
      </w:r>
      <w:r w:rsidRPr="00CE5012">
        <w:t xml:space="preserve"> not include any sensitive questions</w:t>
      </w:r>
      <w:r>
        <w:t xml:space="preserve"> related to private matters</w:t>
      </w:r>
      <w:r w:rsidRPr="00CE5012">
        <w:t>.</w:t>
      </w:r>
    </w:p>
    <w:p w14:paraId="29D978A8" w14:textId="77777777" w:rsidR="00A87CDD" w:rsidRDefault="00A87CDD" w:rsidP="00066C5F">
      <w:pPr>
        <w:pStyle w:val="Heading3"/>
      </w:pPr>
      <w:r>
        <w:t>Burden Estimates (Hours &amp; Wages)</w:t>
      </w:r>
    </w:p>
    <w:p w14:paraId="16F68D6A" w14:textId="77777777" w:rsidR="00A87CDD" w:rsidRPr="00CE5012" w:rsidRDefault="00A87CDD" w:rsidP="007E70E6">
      <w:pPr>
        <w:pStyle w:val="BodyText2"/>
      </w:pPr>
      <w:r w:rsidRPr="00CE5012">
        <w:t>The category of respondents for each of the data collections and the estimated annual burden (number of burden hours per year) for the specific</w:t>
      </w:r>
      <w:r w:rsidRPr="00A87CDD">
        <w:t xml:space="preserve"> </w:t>
      </w:r>
      <w:r w:rsidRPr="00CE5012">
        <w:t xml:space="preserve">information collection are outlined in </w:t>
      </w:r>
      <w:r w:rsidR="00F43245">
        <w:fldChar w:fldCharType="begin"/>
      </w:r>
      <w:r w:rsidR="00F43245">
        <w:instrText xml:space="preserve"> REF _Ref449621551 \h </w:instrText>
      </w:r>
      <w:r w:rsidR="00F43245">
        <w:fldChar w:fldCharType="separate"/>
      </w:r>
      <w:r w:rsidR="00F43245">
        <w:t xml:space="preserve">Table </w:t>
      </w:r>
      <w:r w:rsidR="00F43245">
        <w:rPr>
          <w:noProof/>
        </w:rPr>
        <w:t>2</w:t>
      </w:r>
      <w:r w:rsidR="00F43245">
        <w:fldChar w:fldCharType="end"/>
      </w:r>
      <w:r w:rsidRPr="00CE5012">
        <w:t xml:space="preserve"> below. </w:t>
      </w:r>
    </w:p>
    <w:p w14:paraId="0B9BE0D2" w14:textId="77777777" w:rsidR="00A87CDD" w:rsidRDefault="00A87CDD" w:rsidP="00066C5F">
      <w:pPr>
        <w:pStyle w:val="Caption"/>
      </w:pPr>
      <w:bookmarkStart w:id="3" w:name="_Ref449621551"/>
      <w:r>
        <w:lastRenderedPageBreak/>
        <w:t xml:space="preserve">Table </w:t>
      </w:r>
      <w:r w:rsidR="0010352D">
        <w:fldChar w:fldCharType="begin"/>
      </w:r>
      <w:r w:rsidR="0010352D">
        <w:instrText xml:space="preserve"> SEQ Table \* ARABIC </w:instrText>
      </w:r>
      <w:r w:rsidR="0010352D">
        <w:fldChar w:fldCharType="separate"/>
      </w:r>
      <w:r w:rsidR="00C67D62">
        <w:rPr>
          <w:noProof/>
        </w:rPr>
        <w:t>2</w:t>
      </w:r>
      <w:r w:rsidR="0010352D">
        <w:rPr>
          <w:noProof/>
        </w:rPr>
        <w:fldChar w:fldCharType="end"/>
      </w:r>
      <w:bookmarkEnd w:id="3"/>
      <w:r>
        <w:t xml:space="preserve">: </w:t>
      </w:r>
      <w:r w:rsidRPr="00CE5012">
        <w:t>Estimated Annual Burden Hours</w:t>
      </w:r>
      <w:r w:rsidR="0086654C">
        <w:t xml:space="preserve"> and Cost</w:t>
      </w:r>
      <w:r w:rsidRPr="00CE5012">
        <w:t xml:space="preserve"> </w:t>
      </w:r>
    </w:p>
    <w:tbl>
      <w:tblPr>
        <w:tblW w:w="4856"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350"/>
        <w:gridCol w:w="1440"/>
        <w:gridCol w:w="1079"/>
        <w:gridCol w:w="1170"/>
        <w:gridCol w:w="963"/>
        <w:gridCol w:w="1372"/>
      </w:tblGrid>
      <w:tr w:rsidR="00923809" w:rsidRPr="0015274D" w14:paraId="0855C177" w14:textId="77777777" w:rsidTr="007E70E6">
        <w:trPr>
          <w:cantSplit/>
          <w:tblHeader/>
        </w:trPr>
        <w:tc>
          <w:tcPr>
            <w:tcW w:w="1706" w:type="dxa"/>
            <w:shd w:val="clear" w:color="auto" w:fill="BFBFBF"/>
            <w:vAlign w:val="bottom"/>
          </w:tcPr>
          <w:p w14:paraId="760C8C70" w14:textId="77777777" w:rsidR="0015274D" w:rsidRPr="00745C96" w:rsidRDefault="0015274D" w:rsidP="00066C5F">
            <w:pPr>
              <w:keepNext/>
              <w:spacing w:before="60" w:after="60"/>
              <w:jc w:val="center"/>
              <w:rPr>
                <w:b/>
                <w:sz w:val="20"/>
                <w:szCs w:val="20"/>
              </w:rPr>
            </w:pPr>
            <w:r w:rsidRPr="00745C96">
              <w:rPr>
                <w:b/>
                <w:sz w:val="20"/>
                <w:szCs w:val="20"/>
              </w:rPr>
              <w:t>Data Collection Activity</w:t>
            </w:r>
          </w:p>
        </w:tc>
        <w:tc>
          <w:tcPr>
            <w:tcW w:w="1350" w:type="dxa"/>
            <w:shd w:val="clear" w:color="auto" w:fill="BFBFBF"/>
            <w:vAlign w:val="bottom"/>
          </w:tcPr>
          <w:p w14:paraId="5A748EB6" w14:textId="77777777" w:rsidR="0015274D" w:rsidRPr="00745C96" w:rsidRDefault="0015274D" w:rsidP="00066C5F">
            <w:pPr>
              <w:keepNext/>
              <w:spacing w:before="60" w:after="60"/>
              <w:jc w:val="center"/>
              <w:rPr>
                <w:b/>
                <w:sz w:val="20"/>
                <w:szCs w:val="20"/>
              </w:rPr>
            </w:pPr>
            <w:r w:rsidRPr="00745C96">
              <w:rPr>
                <w:b/>
                <w:sz w:val="20"/>
                <w:szCs w:val="20"/>
              </w:rPr>
              <w:t>Estimated Number of Respondents</w:t>
            </w:r>
            <w:r w:rsidR="00483188">
              <w:rPr>
                <w:b/>
                <w:sz w:val="20"/>
                <w:szCs w:val="20"/>
              </w:rPr>
              <w:br/>
            </w:r>
            <w:r w:rsidRPr="00745C96">
              <w:rPr>
                <w:b/>
                <w:sz w:val="20"/>
                <w:szCs w:val="20"/>
              </w:rPr>
              <w:t>(1)</w:t>
            </w:r>
          </w:p>
        </w:tc>
        <w:tc>
          <w:tcPr>
            <w:tcW w:w="1440" w:type="dxa"/>
            <w:shd w:val="clear" w:color="auto" w:fill="BFBFBF"/>
            <w:vAlign w:val="bottom"/>
          </w:tcPr>
          <w:p w14:paraId="4493B6DB" w14:textId="77777777" w:rsidR="0015274D" w:rsidRPr="00745C96" w:rsidRDefault="0015274D" w:rsidP="00066C5F">
            <w:pPr>
              <w:keepNext/>
              <w:spacing w:before="60" w:after="60"/>
              <w:jc w:val="center"/>
              <w:rPr>
                <w:b/>
                <w:sz w:val="20"/>
                <w:szCs w:val="20"/>
              </w:rPr>
            </w:pPr>
            <w:r w:rsidRPr="00745C96">
              <w:rPr>
                <w:b/>
                <w:sz w:val="20"/>
                <w:szCs w:val="20"/>
              </w:rPr>
              <w:t>Number of Responses per Respondent</w:t>
            </w:r>
            <w:r w:rsidR="00483188">
              <w:rPr>
                <w:b/>
                <w:sz w:val="20"/>
                <w:szCs w:val="20"/>
              </w:rPr>
              <w:br/>
            </w:r>
            <w:r w:rsidRPr="00745C96">
              <w:rPr>
                <w:b/>
                <w:sz w:val="20"/>
                <w:szCs w:val="20"/>
              </w:rPr>
              <w:t>(2)</w:t>
            </w:r>
          </w:p>
        </w:tc>
        <w:tc>
          <w:tcPr>
            <w:tcW w:w="1079" w:type="dxa"/>
            <w:shd w:val="clear" w:color="auto" w:fill="BFBFBF"/>
            <w:vAlign w:val="bottom"/>
          </w:tcPr>
          <w:p w14:paraId="71DAC81F" w14:textId="77777777" w:rsidR="0015274D" w:rsidRPr="00745C96" w:rsidRDefault="0015274D" w:rsidP="007E70E6">
            <w:pPr>
              <w:keepNext/>
              <w:spacing w:before="60" w:after="60"/>
              <w:jc w:val="center"/>
              <w:rPr>
                <w:b/>
                <w:sz w:val="20"/>
                <w:szCs w:val="20"/>
              </w:rPr>
            </w:pPr>
            <w:r w:rsidRPr="00745C96">
              <w:rPr>
                <w:b/>
                <w:sz w:val="20"/>
                <w:szCs w:val="20"/>
              </w:rPr>
              <w:t>Hours per Response</w:t>
            </w:r>
            <w:r w:rsidR="007E70E6">
              <w:rPr>
                <w:b/>
                <w:sz w:val="20"/>
                <w:szCs w:val="20"/>
              </w:rPr>
              <w:t xml:space="preserve"> </w:t>
            </w:r>
            <w:r w:rsidRPr="00745C96">
              <w:rPr>
                <w:b/>
                <w:sz w:val="20"/>
                <w:szCs w:val="20"/>
              </w:rPr>
              <w:t>(3)</w:t>
            </w:r>
          </w:p>
        </w:tc>
        <w:tc>
          <w:tcPr>
            <w:tcW w:w="1170" w:type="dxa"/>
            <w:shd w:val="clear" w:color="auto" w:fill="BFBFBF"/>
            <w:vAlign w:val="bottom"/>
          </w:tcPr>
          <w:p w14:paraId="713C41EC" w14:textId="77777777" w:rsidR="0015274D" w:rsidRPr="00745C96" w:rsidRDefault="0015274D" w:rsidP="00066C5F">
            <w:pPr>
              <w:keepNext/>
              <w:spacing w:before="60" w:after="60"/>
              <w:jc w:val="center"/>
              <w:rPr>
                <w:b/>
                <w:sz w:val="20"/>
                <w:szCs w:val="20"/>
              </w:rPr>
            </w:pPr>
            <w:r w:rsidRPr="00745C96">
              <w:rPr>
                <w:b/>
                <w:sz w:val="20"/>
                <w:szCs w:val="20"/>
              </w:rPr>
              <w:t>Estimated Annual Burden Hours</w:t>
            </w:r>
            <w:r w:rsidR="00483188">
              <w:rPr>
                <w:b/>
                <w:sz w:val="20"/>
                <w:szCs w:val="20"/>
              </w:rPr>
              <w:br/>
            </w:r>
            <w:r w:rsidRPr="00745C96">
              <w:rPr>
                <w:b/>
                <w:sz w:val="20"/>
                <w:szCs w:val="20"/>
              </w:rPr>
              <w:t>(4=1*2*3)</w:t>
            </w:r>
          </w:p>
        </w:tc>
        <w:tc>
          <w:tcPr>
            <w:tcW w:w="963" w:type="dxa"/>
            <w:shd w:val="clear" w:color="auto" w:fill="BFBFBF"/>
            <w:vAlign w:val="bottom"/>
          </w:tcPr>
          <w:p w14:paraId="2FB9F3E5" w14:textId="77777777" w:rsidR="0015274D" w:rsidRPr="00745C96" w:rsidRDefault="0015274D" w:rsidP="00066C5F">
            <w:pPr>
              <w:keepNext/>
              <w:spacing w:before="60" w:after="60"/>
              <w:jc w:val="center"/>
              <w:rPr>
                <w:b/>
                <w:sz w:val="20"/>
                <w:szCs w:val="20"/>
              </w:rPr>
            </w:pPr>
            <w:r w:rsidRPr="00745C96">
              <w:rPr>
                <w:b/>
                <w:sz w:val="20"/>
                <w:szCs w:val="20"/>
              </w:rPr>
              <w:t>Hourly Wage Rate</w:t>
            </w:r>
            <w:r w:rsidR="00ED1B45" w:rsidRPr="00745C96">
              <w:rPr>
                <w:rStyle w:val="FootnoteReference"/>
                <w:sz w:val="20"/>
                <w:szCs w:val="20"/>
                <w:vertAlign w:val="superscript"/>
              </w:rPr>
              <w:footnoteReference w:id="23"/>
            </w:r>
            <w:r w:rsidR="00483188">
              <w:rPr>
                <w:b/>
                <w:sz w:val="20"/>
                <w:szCs w:val="20"/>
              </w:rPr>
              <w:br/>
            </w:r>
            <w:r w:rsidRPr="00745C96">
              <w:rPr>
                <w:b/>
                <w:sz w:val="20"/>
                <w:szCs w:val="20"/>
              </w:rPr>
              <w:t>(5)</w:t>
            </w:r>
          </w:p>
        </w:tc>
        <w:tc>
          <w:tcPr>
            <w:tcW w:w="1372" w:type="dxa"/>
            <w:shd w:val="clear" w:color="auto" w:fill="BFBFBF"/>
            <w:vAlign w:val="bottom"/>
          </w:tcPr>
          <w:p w14:paraId="0BCE6718" w14:textId="77777777" w:rsidR="0015274D" w:rsidRPr="00745C96" w:rsidRDefault="0015274D" w:rsidP="00066C5F">
            <w:pPr>
              <w:keepNext/>
              <w:spacing w:before="60" w:after="60"/>
              <w:jc w:val="center"/>
              <w:rPr>
                <w:b/>
                <w:sz w:val="20"/>
                <w:szCs w:val="20"/>
              </w:rPr>
            </w:pPr>
            <w:r w:rsidRPr="00745C96">
              <w:rPr>
                <w:b/>
                <w:sz w:val="20"/>
                <w:szCs w:val="20"/>
              </w:rPr>
              <w:t>Estimated Total Annual Respondent Cost</w:t>
            </w:r>
            <w:r w:rsidR="00483188">
              <w:rPr>
                <w:b/>
                <w:sz w:val="20"/>
                <w:szCs w:val="20"/>
              </w:rPr>
              <w:t xml:space="preserve"> </w:t>
            </w:r>
            <w:r w:rsidR="00483188">
              <w:rPr>
                <w:b/>
                <w:sz w:val="20"/>
                <w:szCs w:val="20"/>
              </w:rPr>
              <w:br/>
            </w:r>
            <w:r w:rsidRPr="00745C96">
              <w:rPr>
                <w:b/>
                <w:sz w:val="20"/>
                <w:szCs w:val="20"/>
              </w:rPr>
              <w:t>(6=4*5)</w:t>
            </w:r>
          </w:p>
        </w:tc>
      </w:tr>
      <w:tr w:rsidR="0007432C" w:rsidRPr="0015274D" w14:paraId="46A3E4EA" w14:textId="77777777" w:rsidTr="007E70E6">
        <w:trPr>
          <w:cantSplit/>
        </w:trPr>
        <w:tc>
          <w:tcPr>
            <w:tcW w:w="1706" w:type="dxa"/>
            <w:shd w:val="clear" w:color="auto" w:fill="auto"/>
            <w:vAlign w:val="center"/>
          </w:tcPr>
          <w:p w14:paraId="5CEB991E" w14:textId="77777777" w:rsidR="0007432C" w:rsidRPr="00745C96" w:rsidRDefault="0007432C" w:rsidP="007E70E6">
            <w:pPr>
              <w:spacing w:before="60" w:after="60"/>
              <w:rPr>
                <w:sz w:val="20"/>
                <w:szCs w:val="20"/>
              </w:rPr>
            </w:pPr>
            <w:r w:rsidRPr="00745C96">
              <w:rPr>
                <w:sz w:val="20"/>
                <w:szCs w:val="20"/>
              </w:rPr>
              <w:t>Nursing Home Survey with QIN-QIO Participants</w:t>
            </w:r>
          </w:p>
        </w:tc>
        <w:tc>
          <w:tcPr>
            <w:tcW w:w="1350" w:type="dxa"/>
            <w:shd w:val="clear" w:color="auto" w:fill="auto"/>
            <w:vAlign w:val="center"/>
          </w:tcPr>
          <w:p w14:paraId="555DF827" w14:textId="77777777" w:rsidR="0007432C" w:rsidRPr="00745C96" w:rsidRDefault="0007432C" w:rsidP="00066C5F">
            <w:pPr>
              <w:spacing w:before="60" w:after="60"/>
              <w:jc w:val="center"/>
              <w:rPr>
                <w:sz w:val="20"/>
                <w:szCs w:val="20"/>
              </w:rPr>
            </w:pPr>
            <w:r w:rsidRPr="00745C96">
              <w:rPr>
                <w:sz w:val="20"/>
                <w:szCs w:val="20"/>
              </w:rPr>
              <w:t>400</w:t>
            </w:r>
          </w:p>
        </w:tc>
        <w:tc>
          <w:tcPr>
            <w:tcW w:w="1440" w:type="dxa"/>
            <w:shd w:val="clear" w:color="auto" w:fill="auto"/>
            <w:vAlign w:val="center"/>
          </w:tcPr>
          <w:p w14:paraId="1105CB5C" w14:textId="77777777" w:rsidR="0007432C" w:rsidRPr="00745C96" w:rsidRDefault="0007432C" w:rsidP="00066C5F">
            <w:pPr>
              <w:spacing w:before="60" w:after="60"/>
              <w:jc w:val="center"/>
              <w:rPr>
                <w:sz w:val="20"/>
                <w:szCs w:val="20"/>
              </w:rPr>
            </w:pPr>
            <w:r w:rsidRPr="00745C96">
              <w:rPr>
                <w:sz w:val="20"/>
                <w:szCs w:val="20"/>
              </w:rPr>
              <w:t>1</w:t>
            </w:r>
          </w:p>
        </w:tc>
        <w:tc>
          <w:tcPr>
            <w:tcW w:w="1079" w:type="dxa"/>
            <w:shd w:val="clear" w:color="auto" w:fill="auto"/>
            <w:vAlign w:val="center"/>
          </w:tcPr>
          <w:p w14:paraId="26573E13" w14:textId="77777777" w:rsidR="0007432C" w:rsidRPr="00745C96" w:rsidRDefault="0007432C" w:rsidP="00066C5F">
            <w:pPr>
              <w:spacing w:before="60" w:after="60"/>
              <w:jc w:val="center"/>
              <w:rPr>
                <w:sz w:val="20"/>
                <w:szCs w:val="20"/>
              </w:rPr>
            </w:pPr>
            <w:r w:rsidRPr="00745C96">
              <w:rPr>
                <w:sz w:val="20"/>
                <w:szCs w:val="20"/>
              </w:rPr>
              <w:t>0.33</w:t>
            </w:r>
          </w:p>
        </w:tc>
        <w:tc>
          <w:tcPr>
            <w:tcW w:w="1170" w:type="dxa"/>
            <w:shd w:val="clear" w:color="auto" w:fill="auto"/>
            <w:vAlign w:val="center"/>
          </w:tcPr>
          <w:p w14:paraId="7BF51479" w14:textId="77777777" w:rsidR="0007432C" w:rsidRPr="00745C96" w:rsidRDefault="0045238C" w:rsidP="00066C5F">
            <w:pPr>
              <w:spacing w:before="60" w:after="60"/>
              <w:jc w:val="center"/>
              <w:rPr>
                <w:sz w:val="20"/>
                <w:szCs w:val="20"/>
              </w:rPr>
            </w:pPr>
            <w:r>
              <w:rPr>
                <w:sz w:val="20"/>
                <w:szCs w:val="20"/>
              </w:rPr>
              <w:t>132</w:t>
            </w:r>
          </w:p>
        </w:tc>
        <w:tc>
          <w:tcPr>
            <w:tcW w:w="963" w:type="dxa"/>
            <w:vAlign w:val="center"/>
          </w:tcPr>
          <w:p w14:paraId="041F614B" w14:textId="28515016" w:rsidR="0007432C" w:rsidRPr="00745C96" w:rsidRDefault="0007432C" w:rsidP="00E8403D">
            <w:pPr>
              <w:spacing w:before="60" w:after="60"/>
              <w:jc w:val="center"/>
              <w:rPr>
                <w:sz w:val="20"/>
                <w:szCs w:val="20"/>
              </w:rPr>
            </w:pPr>
            <w:r w:rsidRPr="00745C96">
              <w:rPr>
                <w:sz w:val="20"/>
                <w:szCs w:val="20"/>
              </w:rPr>
              <w:t>$</w:t>
            </w:r>
            <w:r w:rsidR="00E8403D">
              <w:rPr>
                <w:sz w:val="20"/>
                <w:szCs w:val="20"/>
              </w:rPr>
              <w:t>80.90</w:t>
            </w:r>
          </w:p>
        </w:tc>
        <w:tc>
          <w:tcPr>
            <w:tcW w:w="1372" w:type="dxa"/>
            <w:vAlign w:val="center"/>
          </w:tcPr>
          <w:p w14:paraId="42E42D1F" w14:textId="667363BA" w:rsidR="0007432C" w:rsidRPr="00745C96" w:rsidRDefault="00EF3D4C" w:rsidP="00E8403D">
            <w:pPr>
              <w:spacing w:before="60" w:after="60"/>
              <w:jc w:val="center"/>
              <w:rPr>
                <w:sz w:val="20"/>
                <w:szCs w:val="20"/>
              </w:rPr>
            </w:pPr>
            <w:r w:rsidRPr="00745C96">
              <w:rPr>
                <w:sz w:val="20"/>
                <w:szCs w:val="20"/>
              </w:rPr>
              <w:t>$</w:t>
            </w:r>
            <w:r w:rsidR="00E8403D">
              <w:rPr>
                <w:sz w:val="20"/>
                <w:szCs w:val="20"/>
              </w:rPr>
              <w:t>10,678.80</w:t>
            </w:r>
          </w:p>
        </w:tc>
      </w:tr>
      <w:tr w:rsidR="0007432C" w:rsidRPr="0015274D" w14:paraId="26831C35" w14:textId="77777777" w:rsidTr="007E70E6">
        <w:trPr>
          <w:cantSplit/>
        </w:trPr>
        <w:tc>
          <w:tcPr>
            <w:tcW w:w="1706" w:type="dxa"/>
            <w:shd w:val="clear" w:color="auto" w:fill="auto"/>
            <w:vAlign w:val="center"/>
          </w:tcPr>
          <w:p w14:paraId="1891B901" w14:textId="77777777" w:rsidR="0007432C" w:rsidRPr="00745C96" w:rsidRDefault="0007432C" w:rsidP="007E70E6">
            <w:pPr>
              <w:spacing w:before="60" w:after="60"/>
              <w:rPr>
                <w:sz w:val="20"/>
                <w:szCs w:val="20"/>
              </w:rPr>
            </w:pPr>
            <w:r w:rsidRPr="00745C96">
              <w:rPr>
                <w:sz w:val="20"/>
                <w:szCs w:val="20"/>
              </w:rPr>
              <w:t>Nursing Home Survey with Non- Participants</w:t>
            </w:r>
            <w:r w:rsidR="00790CA8" w:rsidRPr="00790CA8">
              <w:rPr>
                <w:rStyle w:val="FootnoteReference"/>
                <w:sz w:val="20"/>
                <w:szCs w:val="20"/>
                <w:vertAlign w:val="superscript"/>
              </w:rPr>
              <w:footnoteReference w:id="24"/>
            </w:r>
          </w:p>
        </w:tc>
        <w:tc>
          <w:tcPr>
            <w:tcW w:w="1350" w:type="dxa"/>
            <w:shd w:val="clear" w:color="auto" w:fill="auto"/>
            <w:vAlign w:val="center"/>
          </w:tcPr>
          <w:p w14:paraId="29732698" w14:textId="77777777" w:rsidR="0007432C" w:rsidRPr="00745C96" w:rsidRDefault="0007432C" w:rsidP="00066C5F">
            <w:pPr>
              <w:spacing w:before="60" w:after="60"/>
              <w:jc w:val="center"/>
              <w:rPr>
                <w:sz w:val="20"/>
                <w:szCs w:val="20"/>
              </w:rPr>
            </w:pPr>
            <w:r w:rsidRPr="00745C96">
              <w:rPr>
                <w:sz w:val="20"/>
                <w:szCs w:val="20"/>
              </w:rPr>
              <w:t>400</w:t>
            </w:r>
          </w:p>
        </w:tc>
        <w:tc>
          <w:tcPr>
            <w:tcW w:w="1440" w:type="dxa"/>
            <w:shd w:val="clear" w:color="auto" w:fill="auto"/>
            <w:vAlign w:val="center"/>
          </w:tcPr>
          <w:p w14:paraId="419C56C8" w14:textId="77777777" w:rsidR="0007432C" w:rsidRPr="00745C96" w:rsidRDefault="0007432C" w:rsidP="00066C5F">
            <w:pPr>
              <w:spacing w:before="60" w:after="60"/>
              <w:jc w:val="center"/>
              <w:rPr>
                <w:sz w:val="20"/>
                <w:szCs w:val="20"/>
              </w:rPr>
            </w:pPr>
            <w:r w:rsidRPr="00745C96">
              <w:rPr>
                <w:sz w:val="20"/>
                <w:szCs w:val="20"/>
              </w:rPr>
              <w:t>1</w:t>
            </w:r>
          </w:p>
        </w:tc>
        <w:tc>
          <w:tcPr>
            <w:tcW w:w="1079" w:type="dxa"/>
            <w:shd w:val="clear" w:color="auto" w:fill="auto"/>
            <w:vAlign w:val="center"/>
          </w:tcPr>
          <w:p w14:paraId="25BA0E06" w14:textId="77777777" w:rsidR="0007432C" w:rsidRPr="00745C96" w:rsidRDefault="0007432C" w:rsidP="00066C5F">
            <w:pPr>
              <w:spacing w:before="60" w:after="60"/>
              <w:jc w:val="center"/>
              <w:rPr>
                <w:sz w:val="20"/>
                <w:szCs w:val="20"/>
              </w:rPr>
            </w:pPr>
            <w:r w:rsidRPr="00745C96">
              <w:rPr>
                <w:sz w:val="20"/>
                <w:szCs w:val="20"/>
              </w:rPr>
              <w:t>0.1</w:t>
            </w:r>
            <w:r w:rsidR="0045238C">
              <w:rPr>
                <w:sz w:val="20"/>
                <w:szCs w:val="20"/>
              </w:rPr>
              <w:t>7</w:t>
            </w:r>
          </w:p>
        </w:tc>
        <w:tc>
          <w:tcPr>
            <w:tcW w:w="1170" w:type="dxa"/>
            <w:shd w:val="clear" w:color="auto" w:fill="auto"/>
            <w:vAlign w:val="center"/>
          </w:tcPr>
          <w:p w14:paraId="6DB8CE13" w14:textId="77777777" w:rsidR="0007432C" w:rsidRPr="00745C96" w:rsidRDefault="0045238C" w:rsidP="00066C5F">
            <w:pPr>
              <w:spacing w:before="60" w:after="60"/>
              <w:jc w:val="center"/>
              <w:rPr>
                <w:sz w:val="20"/>
                <w:szCs w:val="20"/>
              </w:rPr>
            </w:pPr>
            <w:r>
              <w:rPr>
                <w:sz w:val="20"/>
                <w:szCs w:val="20"/>
              </w:rPr>
              <w:t>68</w:t>
            </w:r>
          </w:p>
        </w:tc>
        <w:tc>
          <w:tcPr>
            <w:tcW w:w="963" w:type="dxa"/>
            <w:vAlign w:val="center"/>
          </w:tcPr>
          <w:p w14:paraId="65C69D32" w14:textId="73C5BA99" w:rsidR="0007432C" w:rsidRPr="00745C96" w:rsidRDefault="0007432C" w:rsidP="00E8403D">
            <w:pPr>
              <w:spacing w:before="60" w:after="60"/>
              <w:jc w:val="center"/>
              <w:rPr>
                <w:sz w:val="20"/>
                <w:szCs w:val="20"/>
              </w:rPr>
            </w:pPr>
            <w:r w:rsidRPr="00745C96">
              <w:rPr>
                <w:sz w:val="20"/>
                <w:szCs w:val="20"/>
              </w:rPr>
              <w:t>$</w:t>
            </w:r>
            <w:r w:rsidR="00E8403D">
              <w:rPr>
                <w:sz w:val="20"/>
                <w:szCs w:val="20"/>
              </w:rPr>
              <w:t>80.90</w:t>
            </w:r>
          </w:p>
        </w:tc>
        <w:tc>
          <w:tcPr>
            <w:tcW w:w="1372" w:type="dxa"/>
            <w:vAlign w:val="center"/>
          </w:tcPr>
          <w:p w14:paraId="0F896F65" w14:textId="1DF710F9" w:rsidR="0007432C" w:rsidRPr="00745C96" w:rsidRDefault="00EF3D4C" w:rsidP="00E8403D">
            <w:pPr>
              <w:spacing w:before="60" w:after="60"/>
              <w:jc w:val="center"/>
              <w:rPr>
                <w:sz w:val="20"/>
                <w:szCs w:val="20"/>
              </w:rPr>
            </w:pPr>
            <w:r w:rsidRPr="00745C96">
              <w:rPr>
                <w:sz w:val="20"/>
                <w:szCs w:val="20"/>
              </w:rPr>
              <w:t>$</w:t>
            </w:r>
            <w:r w:rsidR="00E8403D">
              <w:rPr>
                <w:sz w:val="20"/>
                <w:szCs w:val="20"/>
              </w:rPr>
              <w:t>5,501.20</w:t>
            </w:r>
          </w:p>
        </w:tc>
      </w:tr>
      <w:tr w:rsidR="00F53B6F" w:rsidRPr="0015274D" w14:paraId="66107CCF" w14:textId="77777777" w:rsidTr="007E70E6">
        <w:trPr>
          <w:cantSplit/>
        </w:trPr>
        <w:tc>
          <w:tcPr>
            <w:tcW w:w="1706" w:type="dxa"/>
            <w:shd w:val="clear" w:color="auto" w:fill="auto"/>
            <w:vAlign w:val="center"/>
          </w:tcPr>
          <w:p w14:paraId="0EDDDEAB" w14:textId="77777777" w:rsidR="00F53B6F" w:rsidRPr="00745C96" w:rsidRDefault="00F53B6F" w:rsidP="007E70E6">
            <w:pPr>
              <w:spacing w:before="60" w:after="60"/>
              <w:rPr>
                <w:sz w:val="20"/>
                <w:szCs w:val="20"/>
              </w:rPr>
            </w:pPr>
            <w:r>
              <w:rPr>
                <w:sz w:val="20"/>
                <w:szCs w:val="20"/>
              </w:rPr>
              <w:t>Nursing Home</w:t>
            </w:r>
            <w:r w:rsidR="003D700F">
              <w:rPr>
                <w:sz w:val="20"/>
                <w:szCs w:val="20"/>
              </w:rPr>
              <w:t xml:space="preserve"> Administrator</w:t>
            </w:r>
            <w:r>
              <w:rPr>
                <w:sz w:val="20"/>
                <w:szCs w:val="20"/>
              </w:rPr>
              <w:t xml:space="preserve"> In-depth Interview with QIN-QIO Participants</w:t>
            </w:r>
          </w:p>
        </w:tc>
        <w:tc>
          <w:tcPr>
            <w:tcW w:w="1350" w:type="dxa"/>
            <w:shd w:val="clear" w:color="auto" w:fill="auto"/>
            <w:vAlign w:val="center"/>
          </w:tcPr>
          <w:p w14:paraId="70B40F8C" w14:textId="77777777" w:rsidR="00F53B6F" w:rsidRPr="00745C96" w:rsidRDefault="005E477C" w:rsidP="00066C5F">
            <w:pPr>
              <w:spacing w:before="60" w:after="60"/>
              <w:jc w:val="center"/>
              <w:rPr>
                <w:sz w:val="20"/>
                <w:szCs w:val="20"/>
              </w:rPr>
            </w:pPr>
            <w:r>
              <w:rPr>
                <w:sz w:val="20"/>
                <w:szCs w:val="20"/>
              </w:rPr>
              <w:t>14</w:t>
            </w:r>
          </w:p>
        </w:tc>
        <w:tc>
          <w:tcPr>
            <w:tcW w:w="1440" w:type="dxa"/>
            <w:shd w:val="clear" w:color="auto" w:fill="auto"/>
            <w:vAlign w:val="center"/>
          </w:tcPr>
          <w:p w14:paraId="46C56E5C" w14:textId="77777777" w:rsidR="00F53B6F" w:rsidRPr="00745C96" w:rsidRDefault="00494584" w:rsidP="00066C5F">
            <w:pPr>
              <w:spacing w:before="60" w:after="60"/>
              <w:jc w:val="center"/>
              <w:rPr>
                <w:sz w:val="20"/>
                <w:szCs w:val="20"/>
              </w:rPr>
            </w:pPr>
            <w:r>
              <w:rPr>
                <w:sz w:val="20"/>
                <w:szCs w:val="20"/>
              </w:rPr>
              <w:t>1</w:t>
            </w:r>
          </w:p>
        </w:tc>
        <w:tc>
          <w:tcPr>
            <w:tcW w:w="1079" w:type="dxa"/>
            <w:shd w:val="clear" w:color="auto" w:fill="auto"/>
            <w:vAlign w:val="center"/>
          </w:tcPr>
          <w:p w14:paraId="1F27AD0B" w14:textId="77777777" w:rsidR="00F53B6F" w:rsidRPr="00745C96" w:rsidRDefault="00494584" w:rsidP="00066C5F">
            <w:pPr>
              <w:spacing w:before="60" w:after="60"/>
              <w:jc w:val="center"/>
              <w:rPr>
                <w:sz w:val="20"/>
                <w:szCs w:val="20"/>
              </w:rPr>
            </w:pPr>
            <w:r>
              <w:rPr>
                <w:sz w:val="20"/>
                <w:szCs w:val="20"/>
              </w:rPr>
              <w:t>0.75</w:t>
            </w:r>
          </w:p>
        </w:tc>
        <w:tc>
          <w:tcPr>
            <w:tcW w:w="1170" w:type="dxa"/>
            <w:shd w:val="clear" w:color="auto" w:fill="auto"/>
            <w:vAlign w:val="center"/>
          </w:tcPr>
          <w:p w14:paraId="50264EDE" w14:textId="77777777" w:rsidR="00F53B6F" w:rsidRPr="00745C96" w:rsidRDefault="00D33A08" w:rsidP="00066C5F">
            <w:pPr>
              <w:spacing w:before="60" w:after="60"/>
              <w:jc w:val="center"/>
              <w:rPr>
                <w:sz w:val="20"/>
                <w:szCs w:val="20"/>
              </w:rPr>
            </w:pPr>
            <w:r>
              <w:rPr>
                <w:sz w:val="20"/>
                <w:szCs w:val="20"/>
              </w:rPr>
              <w:t>10.5</w:t>
            </w:r>
          </w:p>
        </w:tc>
        <w:tc>
          <w:tcPr>
            <w:tcW w:w="963" w:type="dxa"/>
            <w:vAlign w:val="center"/>
          </w:tcPr>
          <w:p w14:paraId="68AC8C9D" w14:textId="2A52D189" w:rsidR="00F53B6F" w:rsidRPr="00745C96" w:rsidRDefault="00D64642" w:rsidP="00E8403D">
            <w:pPr>
              <w:spacing w:before="60" w:after="60"/>
              <w:jc w:val="center"/>
              <w:rPr>
                <w:sz w:val="20"/>
                <w:szCs w:val="20"/>
              </w:rPr>
            </w:pPr>
            <w:r w:rsidRPr="00745C96">
              <w:rPr>
                <w:sz w:val="20"/>
                <w:szCs w:val="20"/>
              </w:rPr>
              <w:t>$</w:t>
            </w:r>
            <w:r w:rsidR="00E8403D">
              <w:rPr>
                <w:sz w:val="20"/>
                <w:szCs w:val="20"/>
              </w:rPr>
              <w:t>80.90</w:t>
            </w:r>
          </w:p>
        </w:tc>
        <w:tc>
          <w:tcPr>
            <w:tcW w:w="1372" w:type="dxa"/>
            <w:vAlign w:val="center"/>
          </w:tcPr>
          <w:p w14:paraId="3E9B4771" w14:textId="463D4DA2" w:rsidR="00F53B6F" w:rsidRPr="00745C96" w:rsidRDefault="00D33A08" w:rsidP="00F11961">
            <w:pPr>
              <w:spacing w:before="60" w:after="60"/>
              <w:jc w:val="center"/>
              <w:rPr>
                <w:sz w:val="20"/>
                <w:szCs w:val="20"/>
              </w:rPr>
            </w:pPr>
            <w:r>
              <w:rPr>
                <w:sz w:val="20"/>
                <w:szCs w:val="20"/>
              </w:rPr>
              <w:t>$</w:t>
            </w:r>
            <w:r w:rsidR="00E8403D">
              <w:rPr>
                <w:sz w:val="20"/>
                <w:szCs w:val="20"/>
              </w:rPr>
              <w:t>849.4</w:t>
            </w:r>
            <w:r w:rsidR="00F11961">
              <w:rPr>
                <w:sz w:val="20"/>
                <w:szCs w:val="20"/>
              </w:rPr>
              <w:t>5</w:t>
            </w:r>
          </w:p>
        </w:tc>
      </w:tr>
      <w:tr w:rsidR="00F53B6F" w:rsidRPr="0015274D" w14:paraId="2E4C80DE" w14:textId="77777777" w:rsidTr="007E70E6">
        <w:trPr>
          <w:cantSplit/>
        </w:trPr>
        <w:tc>
          <w:tcPr>
            <w:tcW w:w="1706" w:type="dxa"/>
            <w:shd w:val="clear" w:color="auto" w:fill="auto"/>
            <w:vAlign w:val="center"/>
          </w:tcPr>
          <w:p w14:paraId="21910B56" w14:textId="77777777" w:rsidR="00F53B6F" w:rsidRPr="00745C96" w:rsidRDefault="005E3F74" w:rsidP="007E70E6">
            <w:pPr>
              <w:spacing w:before="60" w:after="60"/>
              <w:rPr>
                <w:sz w:val="20"/>
                <w:szCs w:val="20"/>
              </w:rPr>
            </w:pPr>
            <w:r>
              <w:rPr>
                <w:sz w:val="20"/>
                <w:szCs w:val="20"/>
              </w:rPr>
              <w:t>QIN-</w:t>
            </w:r>
            <w:r w:rsidR="00F53B6F">
              <w:rPr>
                <w:sz w:val="20"/>
                <w:szCs w:val="20"/>
              </w:rPr>
              <w:t>QIO</w:t>
            </w:r>
            <w:r w:rsidR="003D700F">
              <w:rPr>
                <w:sz w:val="20"/>
                <w:szCs w:val="20"/>
              </w:rPr>
              <w:t xml:space="preserve"> </w:t>
            </w:r>
            <w:r w:rsidR="00663652">
              <w:rPr>
                <w:sz w:val="20"/>
                <w:szCs w:val="20"/>
              </w:rPr>
              <w:t xml:space="preserve">Nursing Home </w:t>
            </w:r>
            <w:r w:rsidR="00AB718D">
              <w:rPr>
                <w:sz w:val="20"/>
                <w:szCs w:val="20"/>
              </w:rPr>
              <w:t xml:space="preserve">Task </w:t>
            </w:r>
            <w:r w:rsidR="0090562A">
              <w:rPr>
                <w:sz w:val="20"/>
                <w:szCs w:val="20"/>
              </w:rPr>
              <w:t>Lead</w:t>
            </w:r>
            <w:r w:rsidR="00F53B6F">
              <w:rPr>
                <w:sz w:val="20"/>
                <w:szCs w:val="20"/>
              </w:rPr>
              <w:t xml:space="preserve"> In-depth Interview</w:t>
            </w:r>
          </w:p>
        </w:tc>
        <w:tc>
          <w:tcPr>
            <w:tcW w:w="1350" w:type="dxa"/>
            <w:shd w:val="clear" w:color="auto" w:fill="auto"/>
            <w:vAlign w:val="center"/>
          </w:tcPr>
          <w:p w14:paraId="546C9890" w14:textId="77777777" w:rsidR="00F53B6F" w:rsidRPr="00745C96" w:rsidRDefault="0090562A" w:rsidP="00066C5F">
            <w:pPr>
              <w:spacing w:before="60" w:after="60"/>
              <w:jc w:val="center"/>
              <w:rPr>
                <w:sz w:val="20"/>
                <w:szCs w:val="20"/>
              </w:rPr>
            </w:pPr>
            <w:r>
              <w:rPr>
                <w:sz w:val="20"/>
                <w:szCs w:val="20"/>
              </w:rPr>
              <w:t>14</w:t>
            </w:r>
          </w:p>
        </w:tc>
        <w:tc>
          <w:tcPr>
            <w:tcW w:w="1440" w:type="dxa"/>
            <w:shd w:val="clear" w:color="auto" w:fill="auto"/>
            <w:vAlign w:val="center"/>
          </w:tcPr>
          <w:p w14:paraId="6525C099" w14:textId="77777777" w:rsidR="00F53B6F" w:rsidRPr="00745C96" w:rsidRDefault="00F53B6F" w:rsidP="00066C5F">
            <w:pPr>
              <w:spacing w:before="60" w:after="60"/>
              <w:jc w:val="center"/>
              <w:rPr>
                <w:sz w:val="20"/>
                <w:szCs w:val="20"/>
              </w:rPr>
            </w:pPr>
            <w:r>
              <w:rPr>
                <w:sz w:val="20"/>
                <w:szCs w:val="20"/>
              </w:rPr>
              <w:t>1</w:t>
            </w:r>
          </w:p>
        </w:tc>
        <w:tc>
          <w:tcPr>
            <w:tcW w:w="1079" w:type="dxa"/>
            <w:shd w:val="clear" w:color="auto" w:fill="auto"/>
            <w:vAlign w:val="center"/>
          </w:tcPr>
          <w:p w14:paraId="745AAA2F" w14:textId="77777777" w:rsidR="00F53B6F" w:rsidRPr="00745C96" w:rsidRDefault="00494584" w:rsidP="00066C5F">
            <w:pPr>
              <w:spacing w:before="60" w:after="60"/>
              <w:jc w:val="center"/>
              <w:rPr>
                <w:sz w:val="20"/>
                <w:szCs w:val="20"/>
              </w:rPr>
            </w:pPr>
            <w:r>
              <w:rPr>
                <w:sz w:val="20"/>
                <w:szCs w:val="20"/>
              </w:rPr>
              <w:t>0.75</w:t>
            </w:r>
          </w:p>
        </w:tc>
        <w:tc>
          <w:tcPr>
            <w:tcW w:w="1170" w:type="dxa"/>
            <w:shd w:val="clear" w:color="auto" w:fill="auto"/>
            <w:vAlign w:val="center"/>
          </w:tcPr>
          <w:p w14:paraId="553FCFE6" w14:textId="77777777" w:rsidR="00F53B6F" w:rsidRPr="00745C96" w:rsidRDefault="0090562A" w:rsidP="00066C5F">
            <w:pPr>
              <w:spacing w:before="60" w:after="60"/>
              <w:jc w:val="center"/>
              <w:rPr>
                <w:sz w:val="20"/>
                <w:szCs w:val="20"/>
              </w:rPr>
            </w:pPr>
            <w:r>
              <w:rPr>
                <w:sz w:val="20"/>
                <w:szCs w:val="20"/>
              </w:rPr>
              <w:t>10.5</w:t>
            </w:r>
          </w:p>
        </w:tc>
        <w:tc>
          <w:tcPr>
            <w:tcW w:w="963" w:type="dxa"/>
            <w:vAlign w:val="center"/>
          </w:tcPr>
          <w:p w14:paraId="0C178A17" w14:textId="38D82A07" w:rsidR="00F53B6F" w:rsidRPr="00745C96" w:rsidRDefault="00EE18D7" w:rsidP="00E8403D">
            <w:pPr>
              <w:spacing w:before="60" w:after="60"/>
              <w:jc w:val="center"/>
              <w:rPr>
                <w:sz w:val="20"/>
                <w:szCs w:val="20"/>
              </w:rPr>
            </w:pPr>
            <w:r w:rsidRPr="00AF0CC4">
              <w:rPr>
                <w:sz w:val="20"/>
                <w:szCs w:val="20"/>
              </w:rPr>
              <w:t>$</w:t>
            </w:r>
            <w:r w:rsidR="00E8403D">
              <w:rPr>
                <w:sz w:val="20"/>
                <w:szCs w:val="20"/>
              </w:rPr>
              <w:t>93.94</w:t>
            </w:r>
          </w:p>
        </w:tc>
        <w:tc>
          <w:tcPr>
            <w:tcW w:w="1372" w:type="dxa"/>
            <w:vAlign w:val="center"/>
          </w:tcPr>
          <w:p w14:paraId="7E195E88" w14:textId="46AEE5A5" w:rsidR="00F53B6F" w:rsidRPr="00745C96" w:rsidRDefault="00EC40EF" w:rsidP="00790CA8">
            <w:pPr>
              <w:spacing w:before="60" w:after="60"/>
              <w:jc w:val="center"/>
              <w:rPr>
                <w:sz w:val="20"/>
                <w:szCs w:val="20"/>
              </w:rPr>
            </w:pPr>
            <w:r>
              <w:rPr>
                <w:sz w:val="20"/>
                <w:szCs w:val="20"/>
              </w:rPr>
              <w:t>$</w:t>
            </w:r>
            <w:r w:rsidR="00E8403D">
              <w:rPr>
                <w:sz w:val="20"/>
                <w:szCs w:val="20"/>
              </w:rPr>
              <w:t>986.3</w:t>
            </w:r>
            <w:r w:rsidR="00790CA8">
              <w:rPr>
                <w:sz w:val="20"/>
                <w:szCs w:val="20"/>
              </w:rPr>
              <w:t>7</w:t>
            </w:r>
          </w:p>
        </w:tc>
      </w:tr>
      <w:tr w:rsidR="00775121" w:rsidRPr="0015274D" w14:paraId="623A90A7" w14:textId="77777777" w:rsidTr="007E70E6">
        <w:trPr>
          <w:cantSplit/>
        </w:trPr>
        <w:tc>
          <w:tcPr>
            <w:tcW w:w="1706" w:type="dxa"/>
            <w:shd w:val="clear" w:color="auto" w:fill="auto"/>
            <w:vAlign w:val="center"/>
          </w:tcPr>
          <w:p w14:paraId="47F8890F" w14:textId="77777777" w:rsidR="00775121" w:rsidRDefault="0090562A" w:rsidP="007E70E6">
            <w:pPr>
              <w:spacing w:before="60" w:after="60"/>
              <w:rPr>
                <w:sz w:val="20"/>
                <w:szCs w:val="20"/>
              </w:rPr>
            </w:pPr>
            <w:r>
              <w:rPr>
                <w:sz w:val="20"/>
                <w:szCs w:val="20"/>
              </w:rPr>
              <w:t>QI</w:t>
            </w:r>
            <w:r w:rsidR="00AB718D">
              <w:rPr>
                <w:sz w:val="20"/>
                <w:szCs w:val="20"/>
              </w:rPr>
              <w:t>N-QI</w:t>
            </w:r>
            <w:r w:rsidR="00775121">
              <w:rPr>
                <w:sz w:val="20"/>
                <w:szCs w:val="20"/>
              </w:rPr>
              <w:t xml:space="preserve">O </w:t>
            </w:r>
            <w:r w:rsidR="00663652">
              <w:rPr>
                <w:sz w:val="20"/>
                <w:szCs w:val="20"/>
              </w:rPr>
              <w:t xml:space="preserve">Nursing Home </w:t>
            </w:r>
            <w:r w:rsidR="00AB718D">
              <w:rPr>
                <w:sz w:val="20"/>
                <w:szCs w:val="20"/>
              </w:rPr>
              <w:t xml:space="preserve">Task </w:t>
            </w:r>
            <w:r w:rsidR="00663652">
              <w:rPr>
                <w:sz w:val="20"/>
                <w:szCs w:val="20"/>
              </w:rPr>
              <w:t>Lead</w:t>
            </w:r>
            <w:r w:rsidR="003D700F">
              <w:rPr>
                <w:sz w:val="20"/>
                <w:szCs w:val="20"/>
              </w:rPr>
              <w:t xml:space="preserve"> </w:t>
            </w:r>
            <w:r w:rsidR="00775121">
              <w:rPr>
                <w:sz w:val="20"/>
                <w:szCs w:val="20"/>
              </w:rPr>
              <w:t>Focus Group</w:t>
            </w:r>
          </w:p>
        </w:tc>
        <w:tc>
          <w:tcPr>
            <w:tcW w:w="1350" w:type="dxa"/>
            <w:shd w:val="clear" w:color="auto" w:fill="auto"/>
            <w:vAlign w:val="center"/>
          </w:tcPr>
          <w:p w14:paraId="24AED812" w14:textId="77777777" w:rsidR="00775121" w:rsidRDefault="0090562A" w:rsidP="00066C5F">
            <w:pPr>
              <w:spacing w:before="60" w:after="60"/>
              <w:jc w:val="center"/>
              <w:rPr>
                <w:sz w:val="20"/>
                <w:szCs w:val="20"/>
              </w:rPr>
            </w:pPr>
            <w:r>
              <w:rPr>
                <w:sz w:val="20"/>
                <w:szCs w:val="20"/>
              </w:rPr>
              <w:t>14</w:t>
            </w:r>
          </w:p>
        </w:tc>
        <w:tc>
          <w:tcPr>
            <w:tcW w:w="1440" w:type="dxa"/>
            <w:shd w:val="clear" w:color="auto" w:fill="auto"/>
            <w:vAlign w:val="center"/>
          </w:tcPr>
          <w:p w14:paraId="62A3F949" w14:textId="77777777" w:rsidR="00775121" w:rsidRDefault="00D64642" w:rsidP="00066C5F">
            <w:pPr>
              <w:spacing w:before="60" w:after="60"/>
              <w:jc w:val="center"/>
              <w:rPr>
                <w:sz w:val="20"/>
                <w:szCs w:val="20"/>
              </w:rPr>
            </w:pPr>
            <w:r>
              <w:rPr>
                <w:sz w:val="20"/>
                <w:szCs w:val="20"/>
              </w:rPr>
              <w:t>1</w:t>
            </w:r>
          </w:p>
        </w:tc>
        <w:tc>
          <w:tcPr>
            <w:tcW w:w="1079" w:type="dxa"/>
            <w:shd w:val="clear" w:color="auto" w:fill="auto"/>
            <w:vAlign w:val="center"/>
          </w:tcPr>
          <w:p w14:paraId="479F620D" w14:textId="77777777" w:rsidR="00775121" w:rsidRDefault="00D64642" w:rsidP="00066C5F">
            <w:pPr>
              <w:spacing w:before="60" w:after="60"/>
              <w:jc w:val="center"/>
              <w:rPr>
                <w:sz w:val="20"/>
                <w:szCs w:val="20"/>
              </w:rPr>
            </w:pPr>
            <w:r>
              <w:rPr>
                <w:sz w:val="20"/>
                <w:szCs w:val="20"/>
              </w:rPr>
              <w:t>1</w:t>
            </w:r>
          </w:p>
        </w:tc>
        <w:tc>
          <w:tcPr>
            <w:tcW w:w="1170" w:type="dxa"/>
            <w:shd w:val="clear" w:color="auto" w:fill="auto"/>
            <w:vAlign w:val="center"/>
          </w:tcPr>
          <w:p w14:paraId="48816237" w14:textId="77777777" w:rsidR="00775121" w:rsidRPr="00745C96" w:rsidRDefault="0090562A" w:rsidP="00066C5F">
            <w:pPr>
              <w:spacing w:before="60" w:after="60"/>
              <w:jc w:val="center"/>
              <w:rPr>
                <w:sz w:val="20"/>
                <w:szCs w:val="20"/>
              </w:rPr>
            </w:pPr>
            <w:r>
              <w:rPr>
                <w:sz w:val="20"/>
                <w:szCs w:val="20"/>
              </w:rPr>
              <w:t>14</w:t>
            </w:r>
          </w:p>
        </w:tc>
        <w:tc>
          <w:tcPr>
            <w:tcW w:w="963" w:type="dxa"/>
            <w:vAlign w:val="center"/>
          </w:tcPr>
          <w:p w14:paraId="26A1BB7D" w14:textId="3EACB379" w:rsidR="00775121" w:rsidRPr="00745C96" w:rsidRDefault="00EE18D7" w:rsidP="00E8403D">
            <w:pPr>
              <w:spacing w:before="60" w:after="60"/>
              <w:jc w:val="center"/>
              <w:rPr>
                <w:sz w:val="20"/>
                <w:szCs w:val="20"/>
              </w:rPr>
            </w:pPr>
            <w:r w:rsidRPr="00AF0CC4">
              <w:rPr>
                <w:sz w:val="20"/>
                <w:szCs w:val="20"/>
              </w:rPr>
              <w:t>$</w:t>
            </w:r>
            <w:r w:rsidR="00E8403D">
              <w:rPr>
                <w:sz w:val="20"/>
                <w:szCs w:val="20"/>
              </w:rPr>
              <w:t>93.94</w:t>
            </w:r>
          </w:p>
        </w:tc>
        <w:tc>
          <w:tcPr>
            <w:tcW w:w="1372" w:type="dxa"/>
            <w:vAlign w:val="center"/>
          </w:tcPr>
          <w:p w14:paraId="25A26648" w14:textId="026DFC35" w:rsidR="00775121" w:rsidRPr="00745C96" w:rsidRDefault="00EC40EF" w:rsidP="00E8403D">
            <w:pPr>
              <w:spacing w:before="60" w:after="60"/>
              <w:jc w:val="center"/>
              <w:rPr>
                <w:sz w:val="20"/>
                <w:szCs w:val="20"/>
              </w:rPr>
            </w:pPr>
            <w:r>
              <w:rPr>
                <w:sz w:val="20"/>
                <w:szCs w:val="20"/>
              </w:rPr>
              <w:t>$</w:t>
            </w:r>
            <w:r w:rsidR="00E8403D">
              <w:rPr>
                <w:sz w:val="20"/>
                <w:szCs w:val="20"/>
              </w:rPr>
              <w:t>1,315.16</w:t>
            </w:r>
          </w:p>
        </w:tc>
      </w:tr>
      <w:tr w:rsidR="00F53B6F" w:rsidRPr="0015274D" w14:paraId="244F69C3" w14:textId="77777777" w:rsidTr="007E70E6">
        <w:trPr>
          <w:cantSplit/>
        </w:trPr>
        <w:tc>
          <w:tcPr>
            <w:tcW w:w="1706" w:type="dxa"/>
            <w:shd w:val="clear" w:color="auto" w:fill="auto"/>
            <w:vAlign w:val="center"/>
          </w:tcPr>
          <w:p w14:paraId="7BCC2EDB" w14:textId="77777777" w:rsidR="00F53B6F" w:rsidRPr="00745C96" w:rsidRDefault="003D700F" w:rsidP="007E70E6">
            <w:pPr>
              <w:spacing w:before="60" w:after="60"/>
              <w:rPr>
                <w:sz w:val="20"/>
                <w:szCs w:val="20"/>
              </w:rPr>
            </w:pPr>
            <w:r>
              <w:rPr>
                <w:sz w:val="20"/>
                <w:szCs w:val="20"/>
              </w:rPr>
              <w:t xml:space="preserve">Nursing Home </w:t>
            </w:r>
            <w:r w:rsidR="00F53B6F">
              <w:rPr>
                <w:sz w:val="20"/>
                <w:szCs w:val="20"/>
              </w:rPr>
              <w:t>Peer Coach In-depth Interview</w:t>
            </w:r>
          </w:p>
        </w:tc>
        <w:tc>
          <w:tcPr>
            <w:tcW w:w="1350" w:type="dxa"/>
            <w:shd w:val="clear" w:color="auto" w:fill="auto"/>
            <w:vAlign w:val="center"/>
          </w:tcPr>
          <w:p w14:paraId="632E7FBE" w14:textId="77777777" w:rsidR="00F53B6F" w:rsidRPr="00745C96" w:rsidRDefault="00693524" w:rsidP="00066C5F">
            <w:pPr>
              <w:spacing w:before="60" w:after="60"/>
              <w:jc w:val="center"/>
              <w:rPr>
                <w:sz w:val="20"/>
                <w:szCs w:val="20"/>
              </w:rPr>
            </w:pPr>
            <w:r>
              <w:rPr>
                <w:sz w:val="20"/>
                <w:szCs w:val="20"/>
              </w:rPr>
              <w:t>14</w:t>
            </w:r>
          </w:p>
        </w:tc>
        <w:tc>
          <w:tcPr>
            <w:tcW w:w="1440" w:type="dxa"/>
            <w:shd w:val="clear" w:color="auto" w:fill="auto"/>
            <w:vAlign w:val="center"/>
          </w:tcPr>
          <w:p w14:paraId="09E7835A" w14:textId="77777777" w:rsidR="00F53B6F" w:rsidRPr="00745C96" w:rsidRDefault="00775121" w:rsidP="00066C5F">
            <w:pPr>
              <w:spacing w:before="60" w:after="60"/>
              <w:jc w:val="center"/>
              <w:rPr>
                <w:sz w:val="20"/>
                <w:szCs w:val="20"/>
              </w:rPr>
            </w:pPr>
            <w:r>
              <w:rPr>
                <w:sz w:val="20"/>
                <w:szCs w:val="20"/>
              </w:rPr>
              <w:t>1</w:t>
            </w:r>
          </w:p>
        </w:tc>
        <w:tc>
          <w:tcPr>
            <w:tcW w:w="1079" w:type="dxa"/>
            <w:shd w:val="clear" w:color="auto" w:fill="auto"/>
            <w:vAlign w:val="center"/>
          </w:tcPr>
          <w:p w14:paraId="11A6D9AE" w14:textId="77777777" w:rsidR="00F53B6F" w:rsidRPr="00745C96" w:rsidRDefault="00775121" w:rsidP="00066C5F">
            <w:pPr>
              <w:spacing w:before="60" w:after="60"/>
              <w:jc w:val="center"/>
              <w:rPr>
                <w:sz w:val="20"/>
                <w:szCs w:val="20"/>
              </w:rPr>
            </w:pPr>
            <w:r>
              <w:rPr>
                <w:sz w:val="20"/>
                <w:szCs w:val="20"/>
              </w:rPr>
              <w:t>0.</w:t>
            </w:r>
            <w:r w:rsidR="005E477C">
              <w:rPr>
                <w:sz w:val="20"/>
                <w:szCs w:val="20"/>
              </w:rPr>
              <w:t>50</w:t>
            </w:r>
          </w:p>
        </w:tc>
        <w:tc>
          <w:tcPr>
            <w:tcW w:w="1170" w:type="dxa"/>
            <w:shd w:val="clear" w:color="auto" w:fill="auto"/>
            <w:vAlign w:val="center"/>
          </w:tcPr>
          <w:p w14:paraId="48F9B4B6" w14:textId="77777777" w:rsidR="00F53B6F" w:rsidRPr="00745C96" w:rsidRDefault="00D33A08" w:rsidP="00066C5F">
            <w:pPr>
              <w:spacing w:before="60" w:after="60"/>
              <w:jc w:val="center"/>
              <w:rPr>
                <w:sz w:val="20"/>
                <w:szCs w:val="20"/>
              </w:rPr>
            </w:pPr>
            <w:r>
              <w:rPr>
                <w:sz w:val="20"/>
                <w:szCs w:val="20"/>
              </w:rPr>
              <w:t>7</w:t>
            </w:r>
          </w:p>
        </w:tc>
        <w:tc>
          <w:tcPr>
            <w:tcW w:w="963" w:type="dxa"/>
            <w:vAlign w:val="center"/>
          </w:tcPr>
          <w:p w14:paraId="2E96956A" w14:textId="50712929" w:rsidR="00F53B6F" w:rsidRPr="00745C96" w:rsidRDefault="00EE18D7" w:rsidP="00E8403D">
            <w:pPr>
              <w:spacing w:before="60" w:after="60"/>
              <w:jc w:val="center"/>
              <w:rPr>
                <w:sz w:val="20"/>
                <w:szCs w:val="20"/>
              </w:rPr>
            </w:pPr>
            <w:r>
              <w:rPr>
                <w:sz w:val="20"/>
                <w:szCs w:val="20"/>
              </w:rPr>
              <w:t>$</w:t>
            </w:r>
            <w:r w:rsidR="00E8403D">
              <w:rPr>
                <w:sz w:val="20"/>
                <w:szCs w:val="20"/>
              </w:rPr>
              <w:t>53.84</w:t>
            </w:r>
          </w:p>
        </w:tc>
        <w:tc>
          <w:tcPr>
            <w:tcW w:w="1372" w:type="dxa"/>
            <w:vAlign w:val="center"/>
          </w:tcPr>
          <w:p w14:paraId="61EEE18B" w14:textId="2044F4AC" w:rsidR="00F53B6F" w:rsidRPr="00745C96" w:rsidRDefault="00EC40EF" w:rsidP="00E8403D">
            <w:pPr>
              <w:spacing w:before="60" w:after="60"/>
              <w:jc w:val="center"/>
              <w:rPr>
                <w:sz w:val="20"/>
                <w:szCs w:val="20"/>
              </w:rPr>
            </w:pPr>
            <w:r>
              <w:rPr>
                <w:sz w:val="20"/>
                <w:szCs w:val="20"/>
              </w:rPr>
              <w:t>$</w:t>
            </w:r>
            <w:r w:rsidR="00E8403D">
              <w:rPr>
                <w:sz w:val="20"/>
                <w:szCs w:val="20"/>
              </w:rPr>
              <w:t>376.88</w:t>
            </w:r>
          </w:p>
        </w:tc>
      </w:tr>
      <w:tr w:rsidR="0015274D" w:rsidRPr="007E70E6" w14:paraId="01D4FBD6" w14:textId="77777777" w:rsidTr="007E70E6">
        <w:trPr>
          <w:cantSplit/>
        </w:trPr>
        <w:tc>
          <w:tcPr>
            <w:tcW w:w="1706" w:type="dxa"/>
            <w:shd w:val="clear" w:color="auto" w:fill="E7E6E6" w:themeFill="background2"/>
            <w:vAlign w:val="center"/>
          </w:tcPr>
          <w:p w14:paraId="159936A2" w14:textId="77777777" w:rsidR="0015274D" w:rsidRPr="007E70E6" w:rsidRDefault="0007432C" w:rsidP="007E70E6">
            <w:pPr>
              <w:spacing w:before="60" w:after="60"/>
              <w:rPr>
                <w:b/>
                <w:sz w:val="20"/>
                <w:szCs w:val="20"/>
              </w:rPr>
            </w:pPr>
            <w:r w:rsidRPr="007E70E6">
              <w:rPr>
                <w:b/>
                <w:sz w:val="20"/>
                <w:szCs w:val="20"/>
              </w:rPr>
              <w:t>Total</w:t>
            </w:r>
          </w:p>
        </w:tc>
        <w:tc>
          <w:tcPr>
            <w:tcW w:w="1350" w:type="dxa"/>
            <w:shd w:val="clear" w:color="auto" w:fill="E7E6E6" w:themeFill="background2"/>
            <w:vAlign w:val="center"/>
          </w:tcPr>
          <w:p w14:paraId="31D1A1B2" w14:textId="77777777" w:rsidR="0015274D" w:rsidRPr="007E70E6" w:rsidRDefault="00D33A08" w:rsidP="00066C5F">
            <w:pPr>
              <w:spacing w:before="60" w:after="60"/>
              <w:jc w:val="center"/>
              <w:rPr>
                <w:b/>
                <w:sz w:val="20"/>
                <w:szCs w:val="20"/>
              </w:rPr>
            </w:pPr>
            <w:r w:rsidRPr="007E70E6">
              <w:rPr>
                <w:b/>
                <w:sz w:val="20"/>
                <w:szCs w:val="20"/>
              </w:rPr>
              <w:t>8</w:t>
            </w:r>
            <w:r w:rsidR="00AF0CC4" w:rsidRPr="007E70E6">
              <w:rPr>
                <w:b/>
                <w:sz w:val="20"/>
                <w:szCs w:val="20"/>
              </w:rPr>
              <w:t>5</w:t>
            </w:r>
            <w:r w:rsidR="0090562A" w:rsidRPr="007E70E6">
              <w:rPr>
                <w:b/>
                <w:sz w:val="20"/>
                <w:szCs w:val="20"/>
              </w:rPr>
              <w:t>6</w:t>
            </w:r>
          </w:p>
        </w:tc>
        <w:tc>
          <w:tcPr>
            <w:tcW w:w="1440" w:type="dxa"/>
            <w:shd w:val="clear" w:color="auto" w:fill="E7E6E6" w:themeFill="background2"/>
            <w:vAlign w:val="center"/>
          </w:tcPr>
          <w:p w14:paraId="5234F005" w14:textId="77777777" w:rsidR="0015274D" w:rsidRPr="007E70E6" w:rsidRDefault="00D33A08" w:rsidP="00066C5F">
            <w:pPr>
              <w:spacing w:before="60" w:after="60"/>
              <w:jc w:val="center"/>
              <w:rPr>
                <w:b/>
                <w:sz w:val="20"/>
                <w:szCs w:val="20"/>
              </w:rPr>
            </w:pPr>
            <w:r w:rsidRPr="007E70E6">
              <w:rPr>
                <w:b/>
                <w:sz w:val="20"/>
                <w:szCs w:val="20"/>
              </w:rPr>
              <w:t>1</w:t>
            </w:r>
          </w:p>
        </w:tc>
        <w:tc>
          <w:tcPr>
            <w:tcW w:w="1079" w:type="dxa"/>
            <w:shd w:val="clear" w:color="auto" w:fill="E7E6E6" w:themeFill="background2"/>
            <w:vAlign w:val="center"/>
          </w:tcPr>
          <w:p w14:paraId="53E8DF29" w14:textId="77777777" w:rsidR="0015274D" w:rsidRPr="007E70E6" w:rsidRDefault="00D33A08" w:rsidP="00066C5F">
            <w:pPr>
              <w:spacing w:before="60" w:after="60"/>
              <w:jc w:val="center"/>
              <w:rPr>
                <w:b/>
                <w:sz w:val="20"/>
                <w:szCs w:val="20"/>
              </w:rPr>
            </w:pPr>
            <w:r w:rsidRPr="007E70E6">
              <w:rPr>
                <w:b/>
                <w:sz w:val="20"/>
                <w:szCs w:val="20"/>
              </w:rPr>
              <w:t>--</w:t>
            </w:r>
          </w:p>
        </w:tc>
        <w:tc>
          <w:tcPr>
            <w:tcW w:w="1170" w:type="dxa"/>
            <w:shd w:val="clear" w:color="auto" w:fill="E7E6E6" w:themeFill="background2"/>
            <w:vAlign w:val="center"/>
          </w:tcPr>
          <w:p w14:paraId="27C5FE97" w14:textId="77777777" w:rsidR="0015274D" w:rsidRPr="007E70E6" w:rsidRDefault="00D33A08" w:rsidP="00066C5F">
            <w:pPr>
              <w:spacing w:before="60" w:after="60"/>
              <w:jc w:val="center"/>
              <w:rPr>
                <w:b/>
                <w:sz w:val="20"/>
                <w:szCs w:val="20"/>
              </w:rPr>
            </w:pPr>
            <w:r w:rsidRPr="007E70E6">
              <w:rPr>
                <w:b/>
                <w:sz w:val="20"/>
                <w:szCs w:val="20"/>
              </w:rPr>
              <w:t>254.75</w:t>
            </w:r>
          </w:p>
        </w:tc>
        <w:tc>
          <w:tcPr>
            <w:tcW w:w="963" w:type="dxa"/>
            <w:shd w:val="clear" w:color="auto" w:fill="E7E6E6" w:themeFill="background2"/>
            <w:vAlign w:val="center"/>
          </w:tcPr>
          <w:p w14:paraId="71C4A066" w14:textId="77777777" w:rsidR="0015274D" w:rsidRPr="007E70E6" w:rsidRDefault="00EC40EF" w:rsidP="00066C5F">
            <w:pPr>
              <w:spacing w:before="60" w:after="60"/>
              <w:jc w:val="center"/>
              <w:rPr>
                <w:b/>
                <w:sz w:val="20"/>
                <w:szCs w:val="20"/>
              </w:rPr>
            </w:pPr>
            <w:r w:rsidRPr="007E70E6">
              <w:rPr>
                <w:b/>
                <w:sz w:val="20"/>
                <w:szCs w:val="20"/>
              </w:rPr>
              <w:t>--</w:t>
            </w:r>
          </w:p>
        </w:tc>
        <w:tc>
          <w:tcPr>
            <w:tcW w:w="1372" w:type="dxa"/>
            <w:shd w:val="clear" w:color="auto" w:fill="E7E6E6" w:themeFill="background2"/>
            <w:vAlign w:val="center"/>
          </w:tcPr>
          <w:p w14:paraId="1F4A5614" w14:textId="75345887" w:rsidR="0015274D" w:rsidRPr="007E70E6" w:rsidRDefault="00EC40EF" w:rsidP="00790CA8">
            <w:pPr>
              <w:spacing w:before="60" w:after="60"/>
              <w:jc w:val="center"/>
              <w:rPr>
                <w:b/>
                <w:sz w:val="20"/>
                <w:szCs w:val="20"/>
              </w:rPr>
            </w:pPr>
            <w:r w:rsidRPr="007E70E6">
              <w:rPr>
                <w:b/>
                <w:sz w:val="20"/>
                <w:szCs w:val="20"/>
              </w:rPr>
              <w:t>$</w:t>
            </w:r>
            <w:r w:rsidR="00790CA8">
              <w:rPr>
                <w:b/>
                <w:sz w:val="20"/>
                <w:szCs w:val="20"/>
              </w:rPr>
              <w:t>1</w:t>
            </w:r>
            <w:r w:rsidR="00AF0CC4" w:rsidRPr="007E70E6">
              <w:rPr>
                <w:b/>
                <w:sz w:val="20"/>
                <w:szCs w:val="20"/>
              </w:rPr>
              <w:t>9,</w:t>
            </w:r>
            <w:r w:rsidR="00790CA8">
              <w:rPr>
                <w:b/>
                <w:sz w:val="20"/>
                <w:szCs w:val="20"/>
              </w:rPr>
              <w:t>707</w:t>
            </w:r>
            <w:r w:rsidR="00AF0CC4" w:rsidRPr="007E70E6">
              <w:rPr>
                <w:b/>
                <w:sz w:val="20"/>
                <w:szCs w:val="20"/>
              </w:rPr>
              <w:t>.</w:t>
            </w:r>
            <w:r w:rsidR="00790CA8">
              <w:rPr>
                <w:b/>
                <w:sz w:val="20"/>
                <w:szCs w:val="20"/>
              </w:rPr>
              <w:t>86</w:t>
            </w:r>
          </w:p>
        </w:tc>
      </w:tr>
    </w:tbl>
    <w:p w14:paraId="62CDE78E" w14:textId="77777777" w:rsidR="006D1D76" w:rsidRPr="00776896" w:rsidRDefault="006D1D76" w:rsidP="007E70E6">
      <w:pPr>
        <w:pStyle w:val="BodyText2"/>
      </w:pPr>
      <w:r>
        <w:t>T</w:t>
      </w:r>
      <w:r w:rsidRPr="00CE5012">
        <w:t xml:space="preserve">he estimated number of </w:t>
      </w:r>
      <w:r>
        <w:t xml:space="preserve">survey </w:t>
      </w:r>
      <w:r w:rsidRPr="00CE5012">
        <w:t xml:space="preserve">respondents reflects the planned sample of </w:t>
      </w:r>
      <w:r>
        <w:t>8</w:t>
      </w:r>
      <w:r w:rsidRPr="00CE5012">
        <w:t xml:space="preserve">00 per year. The burden hour estimates for the survey </w:t>
      </w:r>
      <w:proofErr w:type="gramStart"/>
      <w:r w:rsidRPr="00CE5012">
        <w:t>are based</w:t>
      </w:r>
      <w:proofErr w:type="gramEnd"/>
      <w:r w:rsidRPr="00CE5012">
        <w:t xml:space="preserve"> on </w:t>
      </w:r>
      <w:r>
        <w:t>pre-</w:t>
      </w:r>
      <w:r w:rsidRPr="00CE5012">
        <w:t xml:space="preserve">tests of the length of time each type of </w:t>
      </w:r>
      <w:r>
        <w:t xml:space="preserve">respondent is likely to need to </w:t>
      </w:r>
      <w:r w:rsidRPr="00CE5012">
        <w:t>complete the survey</w:t>
      </w:r>
      <w:r>
        <w:t xml:space="preserve"> screener and</w:t>
      </w:r>
      <w:r w:rsidRPr="00CE5012">
        <w:t xml:space="preserve"> questions</w:t>
      </w:r>
      <w:r>
        <w:t xml:space="preserve">. </w:t>
      </w:r>
      <w:r w:rsidRPr="00776896">
        <w:t xml:space="preserve">The survey </w:t>
      </w:r>
      <w:proofErr w:type="gramStart"/>
      <w:r w:rsidRPr="00776896">
        <w:t>is expected</w:t>
      </w:r>
      <w:proofErr w:type="gramEnd"/>
      <w:r w:rsidRPr="00776896">
        <w:t xml:space="preserve"> to take </w:t>
      </w:r>
      <w:r>
        <w:t xml:space="preserve">approximately </w:t>
      </w:r>
      <w:r w:rsidRPr="00776896">
        <w:t xml:space="preserve">10 </w:t>
      </w:r>
      <w:r>
        <w:t xml:space="preserve">minutes with nursing home facilities that are not participating in the QIN-QIO program and approximately </w:t>
      </w:r>
      <w:r w:rsidRPr="00776896">
        <w:t>20 minutes to complete</w:t>
      </w:r>
      <w:r>
        <w:t xml:space="preserve"> if the </w:t>
      </w:r>
      <w:r>
        <w:lastRenderedPageBreak/>
        <w:t xml:space="preserve">facility is participating in the QIO program, with an average </w:t>
      </w:r>
      <w:r w:rsidRPr="00CE5012">
        <w:t>15 minutes.</w:t>
      </w:r>
      <w:r w:rsidRPr="00776896">
        <w:t xml:space="preserve"> The </w:t>
      </w:r>
      <w:r>
        <w:t>number</w:t>
      </w:r>
      <w:r w:rsidRPr="00776896">
        <w:t xml:space="preserve"> of questions asked </w:t>
      </w:r>
      <w:r w:rsidR="000B7D15">
        <w:t>of</w:t>
      </w:r>
      <w:r w:rsidR="000B7D15" w:rsidRPr="00776896">
        <w:t xml:space="preserve"> </w:t>
      </w:r>
      <w:r w:rsidRPr="00776896">
        <w:t xml:space="preserve">a respondent will vary depending on factors like the amount of </w:t>
      </w:r>
      <w:proofErr w:type="gramStart"/>
      <w:r w:rsidRPr="00776896">
        <w:t>quality improvement objectives their nursing home is addressing and whether or not their nursing home is interacting with a QIN-QIO</w:t>
      </w:r>
      <w:proofErr w:type="gramEnd"/>
      <w:r w:rsidRPr="00776896">
        <w:t xml:space="preserve">. </w:t>
      </w:r>
    </w:p>
    <w:p w14:paraId="10390FE1" w14:textId="458BA82B" w:rsidR="006D1D76" w:rsidRPr="00CE5012" w:rsidRDefault="006D1D76" w:rsidP="007E70E6">
      <w:pPr>
        <w:pStyle w:val="BodyText2"/>
      </w:pPr>
      <w:r>
        <w:t xml:space="preserve">We will conduct in-depth interviews with nursing home administrators, QIN-QIO directors, and peer coaches during site visits or by telephone twice during the data collection period. We will conduct </w:t>
      </w:r>
      <w:r w:rsidR="00CB30F8">
        <w:t xml:space="preserve">two </w:t>
      </w:r>
      <w:r>
        <w:t xml:space="preserve">nursing home administrator interviews per QIN-QIO totaling 28 respondents over </w:t>
      </w:r>
      <w:r w:rsidR="00CB30F8">
        <w:t xml:space="preserve">two </w:t>
      </w:r>
      <w:r>
        <w:t xml:space="preserve">years (14 nursing home administrators annually). </w:t>
      </w:r>
      <w:r w:rsidR="0090562A">
        <w:t xml:space="preserve">We will conduct </w:t>
      </w:r>
      <w:r w:rsidR="00CB30F8">
        <w:t xml:space="preserve">two </w:t>
      </w:r>
      <w:r w:rsidR="0090562A">
        <w:t xml:space="preserve">director/program lead interviews per QIN-QIO totaling 28 respondents over </w:t>
      </w:r>
      <w:r w:rsidR="00CB30F8">
        <w:t xml:space="preserve">two </w:t>
      </w:r>
      <w:r w:rsidR="0090562A">
        <w:t xml:space="preserve">years (14 </w:t>
      </w:r>
      <w:r w:rsidR="006A67E1">
        <w:t xml:space="preserve">QIN or </w:t>
      </w:r>
      <w:r w:rsidR="0090562A">
        <w:t xml:space="preserve">QIO directors annually). </w:t>
      </w:r>
      <w:r>
        <w:t xml:space="preserve">We will also conduct </w:t>
      </w:r>
      <w:proofErr w:type="gramStart"/>
      <w:r w:rsidR="00CB30F8">
        <w:t xml:space="preserve">two </w:t>
      </w:r>
      <w:r>
        <w:t>peer</w:t>
      </w:r>
      <w:proofErr w:type="gramEnd"/>
      <w:r>
        <w:t xml:space="preserve"> coach interview per QIN-QIO over </w:t>
      </w:r>
      <w:r w:rsidR="00CB30F8">
        <w:t xml:space="preserve">two </w:t>
      </w:r>
      <w:r>
        <w:t>years (14 peer coaches annually). Interviews</w:t>
      </w:r>
      <w:r w:rsidRPr="00CE5012">
        <w:t xml:space="preserve"> </w:t>
      </w:r>
      <w:r>
        <w:t>with nursing home administrators and QIO directors wi</w:t>
      </w:r>
      <w:r w:rsidRPr="00CE5012">
        <w:t xml:space="preserve">ll last 45 minutes (0.75 hour) per interview, with </w:t>
      </w:r>
      <w:r w:rsidR="00CB30F8">
        <w:t>one</w:t>
      </w:r>
      <w:r w:rsidR="00CB30F8" w:rsidRPr="00CE5012">
        <w:t xml:space="preserve"> </w:t>
      </w:r>
      <w:r w:rsidRPr="00CE5012">
        <w:t>response per respondent.</w:t>
      </w:r>
      <w:r>
        <w:t xml:space="preserve"> Interviews with peer coaches will last approximately 30 minutes (0.50 hours) per interview, with </w:t>
      </w:r>
      <w:r w:rsidR="00CB30F8">
        <w:t xml:space="preserve">one </w:t>
      </w:r>
      <w:r>
        <w:t>response per respondent.</w:t>
      </w:r>
    </w:p>
    <w:p w14:paraId="7822D452" w14:textId="715C591B" w:rsidR="006D1D76" w:rsidRDefault="006D1D76" w:rsidP="007E70E6">
      <w:pPr>
        <w:pStyle w:val="BodyText2"/>
      </w:pPr>
      <w:r w:rsidRPr="00CE5012">
        <w:t xml:space="preserve">We will conduct </w:t>
      </w:r>
      <w:r w:rsidR="00CB30F8">
        <w:t>two</w:t>
      </w:r>
      <w:r w:rsidR="00CB30F8" w:rsidRPr="00CE5012">
        <w:t xml:space="preserve"> </w:t>
      </w:r>
      <w:r w:rsidRPr="00CE5012">
        <w:t xml:space="preserve">in-person focus groups with </w:t>
      </w:r>
      <w:r w:rsidR="00CB30F8">
        <w:t>seven</w:t>
      </w:r>
      <w:r w:rsidR="00CB30F8" w:rsidRPr="00CE5012">
        <w:t xml:space="preserve"> </w:t>
      </w:r>
      <w:r w:rsidR="00301A0D">
        <w:t>QIO</w:t>
      </w:r>
      <w:r>
        <w:t xml:space="preserve"> directors </w:t>
      </w:r>
      <w:r w:rsidR="006A67E1">
        <w:t xml:space="preserve">in each group </w:t>
      </w:r>
      <w:r>
        <w:t>at annual CMS Quality conference</w:t>
      </w:r>
      <w:r w:rsidR="000A62B8">
        <w:t>s</w:t>
      </w:r>
      <w:r w:rsidRPr="00CE5012">
        <w:t xml:space="preserve"> (u</w:t>
      </w:r>
      <w:r w:rsidR="00301A0D">
        <w:t xml:space="preserve">p to 14 </w:t>
      </w:r>
      <w:r>
        <w:t>respondents</w:t>
      </w:r>
      <w:r w:rsidR="001B3F0B">
        <w:t xml:space="preserve"> over three years</w:t>
      </w:r>
      <w:r>
        <w:t xml:space="preserve">). </w:t>
      </w:r>
      <w:r w:rsidRPr="00CE5012">
        <w:t xml:space="preserve">Each focus group will last approximately 1 hour. </w:t>
      </w:r>
    </w:p>
    <w:p w14:paraId="6B3846B9" w14:textId="77777777" w:rsidR="006D1D76" w:rsidRDefault="006D1D76" w:rsidP="007E70E6">
      <w:pPr>
        <w:pStyle w:val="BodyText2"/>
      </w:pPr>
      <w:r>
        <w:t>T</w:t>
      </w:r>
      <w:r w:rsidRPr="00CE5012">
        <w:t xml:space="preserve">he </w:t>
      </w:r>
      <w:r>
        <w:t>estimated a</w:t>
      </w:r>
      <w:r w:rsidRPr="00CE5012">
        <w:t xml:space="preserve">nnual </w:t>
      </w:r>
      <w:r>
        <w:t>hour and c</w:t>
      </w:r>
      <w:r w:rsidRPr="00CE5012">
        <w:t xml:space="preserve">ost </w:t>
      </w:r>
      <w:r>
        <w:t>b</w:t>
      </w:r>
      <w:r w:rsidRPr="00CE5012">
        <w:t xml:space="preserve">urden </w:t>
      </w:r>
      <w:r>
        <w:t xml:space="preserve">is </w:t>
      </w:r>
      <w:r w:rsidRPr="00CE5012">
        <w:t>based on the 2015 hourly wage rate of the categories of respondents for these data collections</w:t>
      </w:r>
      <w:r>
        <w:t xml:space="preserve"> (</w:t>
      </w:r>
      <w:r>
        <w:fldChar w:fldCharType="begin"/>
      </w:r>
      <w:r>
        <w:instrText xml:space="preserve"> REF _Ref449621551 \h </w:instrText>
      </w:r>
      <w:r>
        <w:fldChar w:fldCharType="separate"/>
      </w:r>
      <w:r>
        <w:t xml:space="preserve">Table </w:t>
      </w:r>
      <w:r>
        <w:rPr>
          <w:noProof/>
        </w:rPr>
        <w:t>2</w:t>
      </w:r>
      <w:r>
        <w:fldChar w:fldCharType="end"/>
      </w:r>
      <w:r>
        <w:t>). The</w:t>
      </w:r>
      <w:r w:rsidRPr="00CE5012">
        <w:t xml:space="preserve"> total cost </w:t>
      </w:r>
      <w:proofErr w:type="gramStart"/>
      <w:r w:rsidRPr="00CE5012">
        <w:t>is calculated</w:t>
      </w:r>
      <w:proofErr w:type="gramEnd"/>
      <w:r w:rsidRPr="00CE5012">
        <w:t xml:space="preserve"> by multiplying the number of responses by the </w:t>
      </w:r>
      <w:r>
        <w:t xml:space="preserve">average time </w:t>
      </w:r>
      <w:r w:rsidRPr="00CE5012">
        <w:t>per response</w:t>
      </w:r>
      <w:r>
        <w:t xml:space="preserve"> </w:t>
      </w:r>
      <w:r w:rsidRPr="00CE5012">
        <w:t xml:space="preserve">by the hourly wage. The costs </w:t>
      </w:r>
      <w:proofErr w:type="gramStart"/>
      <w:r w:rsidRPr="00CE5012">
        <w:t>are then summed</w:t>
      </w:r>
      <w:proofErr w:type="gramEnd"/>
      <w:r w:rsidRPr="00CE5012">
        <w:t xml:space="preserve"> to derive the total cost for all respondents. </w:t>
      </w:r>
    </w:p>
    <w:p w14:paraId="68FE07A3" w14:textId="77777777" w:rsidR="0015274D" w:rsidRDefault="0015274D" w:rsidP="00066C5F">
      <w:pPr>
        <w:pStyle w:val="Heading3"/>
      </w:pPr>
      <w:r>
        <w:t>Capital Costs</w:t>
      </w:r>
    </w:p>
    <w:p w14:paraId="7477EFB9" w14:textId="77777777" w:rsidR="0015274D" w:rsidRDefault="0015274D" w:rsidP="007E70E6">
      <w:pPr>
        <w:pStyle w:val="BodyText2"/>
      </w:pPr>
      <w:r w:rsidRPr="00CE5012">
        <w:t>There are no capital</w:t>
      </w:r>
      <w:r w:rsidR="006B69BC">
        <w:t xml:space="preserve"> costs.</w:t>
      </w:r>
    </w:p>
    <w:p w14:paraId="3834818C" w14:textId="77777777" w:rsidR="0015274D" w:rsidRDefault="0015274D" w:rsidP="00066C5F">
      <w:pPr>
        <w:pStyle w:val="Heading3"/>
      </w:pPr>
      <w:r>
        <w:t>Cost to Federal Government</w:t>
      </w:r>
    </w:p>
    <w:p w14:paraId="515A9CB8" w14:textId="77777777" w:rsidR="0015274D" w:rsidRDefault="0015274D" w:rsidP="007E70E6">
      <w:pPr>
        <w:pStyle w:val="BodyText2"/>
      </w:pPr>
      <w:r w:rsidRPr="00CE5012">
        <w:t xml:space="preserve">The cost of this information collection effort to the Federal government consists of the costs for </w:t>
      </w:r>
      <w:r w:rsidR="002D2481">
        <w:t>government (</w:t>
      </w:r>
      <w:r w:rsidRPr="00CE5012">
        <w:t>CMS</w:t>
      </w:r>
      <w:r w:rsidR="002D2481">
        <w:t>) activity and CMS’ contractor</w:t>
      </w:r>
      <w:r>
        <w:t xml:space="preserve"> </w:t>
      </w:r>
      <w:r w:rsidR="002D2481">
        <w:t xml:space="preserve">activity </w:t>
      </w:r>
      <w:r>
        <w:t>(</w:t>
      </w:r>
      <w:r>
        <w:fldChar w:fldCharType="begin"/>
      </w:r>
      <w:r>
        <w:instrText xml:space="preserve"> REF _Ref449621773 \h </w:instrText>
      </w:r>
      <w:r>
        <w:fldChar w:fldCharType="separate"/>
      </w:r>
      <w:r w:rsidR="00C67D62">
        <w:t xml:space="preserve">Table </w:t>
      </w:r>
      <w:r w:rsidR="00C67D62">
        <w:rPr>
          <w:noProof/>
        </w:rPr>
        <w:t>3</w:t>
      </w:r>
      <w:r>
        <w:fldChar w:fldCharType="end"/>
      </w:r>
      <w:r>
        <w:t>)</w:t>
      </w:r>
      <w:r w:rsidRPr="00CE5012">
        <w:t>. The costs to CMS involve labor costs for o</w:t>
      </w:r>
      <w:r w:rsidR="002D2481">
        <w:t>verseeing the contractor’s work and</w:t>
      </w:r>
      <w:r w:rsidRPr="00CE5012">
        <w:t xml:space="preserve"> </w:t>
      </w:r>
      <w:r>
        <w:t>r</w:t>
      </w:r>
      <w:r w:rsidRPr="00CE5012">
        <w:t>eviewing</w:t>
      </w:r>
      <w:r>
        <w:t xml:space="preserve"> and providing guidance on</w:t>
      </w:r>
      <w:r w:rsidRPr="00CE5012">
        <w:t xml:space="preserve"> data collection instruments, </w:t>
      </w:r>
      <w:r>
        <w:t>OMB clearance package, and other materials</w:t>
      </w:r>
      <w:r w:rsidRPr="00CE5012">
        <w:t xml:space="preserve">. The costs to CMS’ contractors are the costs to carry out the data collection and analysis, develop written reports, and present the findings </w:t>
      </w:r>
      <w:r>
        <w:t xml:space="preserve">to CMS and other stakeholders. </w:t>
      </w:r>
      <w:r w:rsidRPr="00CE5012">
        <w:t>These costs include labor hours</w:t>
      </w:r>
      <w:r w:rsidR="002D2481">
        <w:t xml:space="preserve"> for survey development and testing; sample recruitment, screening, and scheduling; survey administration and management; data cleaning and analysis; and developing reports. </w:t>
      </w:r>
      <w:r w:rsidR="00745C96">
        <w:t>O</w:t>
      </w:r>
      <w:r w:rsidRPr="00CE5012">
        <w:t xml:space="preserve">perational expenses </w:t>
      </w:r>
      <w:r w:rsidR="002D2481">
        <w:t xml:space="preserve">include </w:t>
      </w:r>
      <w:r w:rsidRPr="00CE5012">
        <w:t>overhead</w:t>
      </w:r>
      <w:r w:rsidR="002D2481">
        <w:t>,</w:t>
      </w:r>
      <w:r w:rsidR="00745C96">
        <w:t xml:space="preserve"> survey scripting,</w:t>
      </w:r>
      <w:r w:rsidR="002D2481">
        <w:t xml:space="preserve"> </w:t>
      </w:r>
      <w:r w:rsidR="00745C96">
        <w:t>data processing, and coding. Survey costs increase over time due to the escalation in rates and increased level of effort related to analysis and reporting.</w:t>
      </w:r>
    </w:p>
    <w:p w14:paraId="1C3B15EA" w14:textId="77777777" w:rsidR="008423EB" w:rsidRDefault="008423EB" w:rsidP="007E70E6">
      <w:pPr>
        <w:pStyle w:val="BodyText2"/>
      </w:pPr>
      <w:r>
        <w:t xml:space="preserve">For purposes of OMB review and approval, we have annualized the number. The estimated annual cost to the Federal government over a standard 3-year OMB approval period will be </w:t>
      </w:r>
      <w:r w:rsidR="00C828CC" w:rsidRPr="00C828CC">
        <w:t>$3</w:t>
      </w:r>
      <w:r w:rsidR="00887328">
        <w:t>16,848</w:t>
      </w:r>
      <w:r>
        <w:t>.</w:t>
      </w:r>
    </w:p>
    <w:p w14:paraId="21C46809" w14:textId="77777777" w:rsidR="0015274D" w:rsidRDefault="0015274D" w:rsidP="00066C5F">
      <w:pPr>
        <w:pStyle w:val="Caption"/>
        <w:ind w:left="720"/>
      </w:pPr>
      <w:bookmarkStart w:id="4" w:name="_Ref449621773"/>
      <w:r>
        <w:lastRenderedPageBreak/>
        <w:t xml:space="preserve">Table </w:t>
      </w:r>
      <w:r w:rsidR="0010352D">
        <w:fldChar w:fldCharType="begin"/>
      </w:r>
      <w:r w:rsidR="0010352D">
        <w:instrText xml:space="preserve"> SEQ Table \* ARABIC </w:instrText>
      </w:r>
      <w:r w:rsidR="0010352D">
        <w:fldChar w:fldCharType="separate"/>
      </w:r>
      <w:r w:rsidR="00C67D62">
        <w:rPr>
          <w:noProof/>
        </w:rPr>
        <w:t>3</w:t>
      </w:r>
      <w:r w:rsidR="0010352D">
        <w:rPr>
          <w:noProof/>
        </w:rPr>
        <w:fldChar w:fldCharType="end"/>
      </w:r>
      <w:bookmarkEnd w:id="4"/>
      <w:r>
        <w:t xml:space="preserve">: </w:t>
      </w:r>
      <w:r w:rsidRPr="00CE5012">
        <w:t xml:space="preserve">Cost </w:t>
      </w:r>
      <w:r>
        <w:t>to the Federal Government</w:t>
      </w:r>
    </w:p>
    <w:tbl>
      <w:tblPr>
        <w:tblW w:w="90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1000"/>
        <w:gridCol w:w="1092"/>
        <w:gridCol w:w="1001"/>
        <w:gridCol w:w="1092"/>
        <w:gridCol w:w="1000"/>
        <w:gridCol w:w="1274"/>
      </w:tblGrid>
      <w:tr w:rsidR="00ED1B45" w:rsidRPr="0015274D" w14:paraId="68A49C7A" w14:textId="77777777" w:rsidTr="007E70E6">
        <w:trPr>
          <w:cantSplit/>
          <w:tblHeader/>
        </w:trPr>
        <w:tc>
          <w:tcPr>
            <w:tcW w:w="2515" w:type="dxa"/>
            <w:tcBorders>
              <w:bottom w:val="single" w:sz="4" w:space="0" w:color="auto"/>
            </w:tcBorders>
            <w:shd w:val="clear" w:color="auto" w:fill="BFBFBF"/>
            <w:vAlign w:val="bottom"/>
          </w:tcPr>
          <w:p w14:paraId="06D7D353" w14:textId="77777777" w:rsidR="00ED1B45" w:rsidRPr="00CA3B62" w:rsidRDefault="00ED1B45" w:rsidP="00066C5F">
            <w:pPr>
              <w:keepNext/>
              <w:spacing w:before="60" w:after="60"/>
              <w:jc w:val="center"/>
              <w:rPr>
                <w:b/>
                <w:sz w:val="20"/>
                <w:szCs w:val="20"/>
              </w:rPr>
            </w:pPr>
            <w:r w:rsidRPr="00CA3B62">
              <w:rPr>
                <w:b/>
                <w:sz w:val="20"/>
                <w:szCs w:val="20"/>
              </w:rPr>
              <w:t>Activity</w:t>
            </w:r>
          </w:p>
        </w:tc>
        <w:tc>
          <w:tcPr>
            <w:tcW w:w="989" w:type="dxa"/>
            <w:tcBorders>
              <w:bottom w:val="single" w:sz="4" w:space="0" w:color="auto"/>
            </w:tcBorders>
            <w:shd w:val="clear" w:color="auto" w:fill="BFBFBF"/>
          </w:tcPr>
          <w:p w14:paraId="20D2D785" w14:textId="77777777" w:rsidR="00ED1B45" w:rsidRPr="00CA3B62" w:rsidRDefault="00ED1B45" w:rsidP="00066C5F">
            <w:pPr>
              <w:keepNext/>
              <w:spacing w:before="60" w:after="60"/>
              <w:jc w:val="center"/>
              <w:rPr>
                <w:b/>
                <w:bCs/>
                <w:color w:val="000000"/>
                <w:sz w:val="20"/>
                <w:szCs w:val="20"/>
              </w:rPr>
            </w:pPr>
            <w:r w:rsidRPr="00CA3B62">
              <w:rPr>
                <w:b/>
                <w:bCs/>
                <w:color w:val="000000"/>
                <w:sz w:val="20"/>
                <w:szCs w:val="20"/>
              </w:rPr>
              <w:t>Base Year (9/2015-8/2016)</w:t>
            </w:r>
          </w:p>
        </w:tc>
        <w:tc>
          <w:tcPr>
            <w:tcW w:w="1080" w:type="dxa"/>
            <w:tcBorders>
              <w:bottom w:val="single" w:sz="4" w:space="0" w:color="auto"/>
            </w:tcBorders>
            <w:shd w:val="clear" w:color="auto" w:fill="BFBFBF"/>
            <w:vAlign w:val="bottom"/>
          </w:tcPr>
          <w:p w14:paraId="53A2BDEA" w14:textId="77777777" w:rsidR="00ED1B45" w:rsidRPr="00CA3B62" w:rsidRDefault="00ED1B45" w:rsidP="00066C5F">
            <w:pPr>
              <w:keepNext/>
              <w:spacing w:before="60" w:after="60"/>
              <w:jc w:val="center"/>
              <w:rPr>
                <w:b/>
                <w:bCs/>
                <w:color w:val="000000"/>
                <w:sz w:val="20"/>
                <w:szCs w:val="20"/>
              </w:rPr>
            </w:pPr>
            <w:r w:rsidRPr="00CA3B62">
              <w:rPr>
                <w:b/>
                <w:bCs/>
                <w:color w:val="000000"/>
                <w:sz w:val="20"/>
                <w:szCs w:val="20"/>
              </w:rPr>
              <w:t>Option Year 1 (9/2016-8/2017)</w:t>
            </w:r>
          </w:p>
        </w:tc>
        <w:tc>
          <w:tcPr>
            <w:tcW w:w="990" w:type="dxa"/>
            <w:tcBorders>
              <w:bottom w:val="single" w:sz="4" w:space="0" w:color="auto"/>
            </w:tcBorders>
            <w:shd w:val="clear" w:color="auto" w:fill="BFBFBF"/>
            <w:vAlign w:val="bottom"/>
          </w:tcPr>
          <w:p w14:paraId="255CA77B" w14:textId="77777777" w:rsidR="00ED1B45" w:rsidRPr="00CA3B62" w:rsidRDefault="00ED1B45" w:rsidP="00066C5F">
            <w:pPr>
              <w:keepNext/>
              <w:spacing w:before="60" w:after="60"/>
              <w:jc w:val="center"/>
              <w:rPr>
                <w:b/>
                <w:bCs/>
                <w:color w:val="000000"/>
                <w:sz w:val="20"/>
                <w:szCs w:val="20"/>
              </w:rPr>
            </w:pPr>
            <w:r w:rsidRPr="00CA3B62">
              <w:rPr>
                <w:b/>
                <w:bCs/>
                <w:color w:val="000000"/>
                <w:sz w:val="20"/>
                <w:szCs w:val="20"/>
              </w:rPr>
              <w:t>Option Year 2 (9/2017-8/2018)</w:t>
            </w:r>
          </w:p>
        </w:tc>
        <w:tc>
          <w:tcPr>
            <w:tcW w:w="1080" w:type="dxa"/>
            <w:tcBorders>
              <w:bottom w:val="single" w:sz="4" w:space="0" w:color="auto"/>
            </w:tcBorders>
            <w:shd w:val="clear" w:color="auto" w:fill="BFBFBF"/>
            <w:vAlign w:val="bottom"/>
          </w:tcPr>
          <w:p w14:paraId="6E91DB9E" w14:textId="77777777" w:rsidR="00ED1B45" w:rsidRPr="00CA3B62" w:rsidRDefault="00ED1B45" w:rsidP="00066C5F">
            <w:pPr>
              <w:keepNext/>
              <w:spacing w:before="60" w:after="60"/>
              <w:jc w:val="center"/>
              <w:rPr>
                <w:b/>
                <w:bCs/>
                <w:color w:val="000000"/>
                <w:sz w:val="20"/>
                <w:szCs w:val="20"/>
              </w:rPr>
            </w:pPr>
            <w:r w:rsidRPr="00CA3B62">
              <w:rPr>
                <w:b/>
                <w:bCs/>
                <w:color w:val="000000"/>
                <w:sz w:val="20"/>
                <w:szCs w:val="20"/>
              </w:rPr>
              <w:t>Option Year 3 (9/2018-8/2019)</w:t>
            </w:r>
          </w:p>
        </w:tc>
        <w:tc>
          <w:tcPr>
            <w:tcW w:w="989" w:type="dxa"/>
            <w:tcBorders>
              <w:bottom w:val="single" w:sz="4" w:space="0" w:color="auto"/>
            </w:tcBorders>
            <w:shd w:val="clear" w:color="auto" w:fill="BFBFBF"/>
            <w:vAlign w:val="bottom"/>
          </w:tcPr>
          <w:p w14:paraId="6CA3369B" w14:textId="77777777" w:rsidR="00ED1B45" w:rsidRPr="002D2481" w:rsidRDefault="00ED1B45" w:rsidP="00066C5F">
            <w:pPr>
              <w:keepNext/>
              <w:spacing w:before="60" w:after="60"/>
              <w:jc w:val="center"/>
              <w:rPr>
                <w:b/>
                <w:bCs/>
                <w:color w:val="000000"/>
                <w:sz w:val="20"/>
                <w:szCs w:val="20"/>
              </w:rPr>
            </w:pPr>
            <w:r w:rsidRPr="002D2481">
              <w:rPr>
                <w:b/>
                <w:bCs/>
                <w:color w:val="000000"/>
                <w:sz w:val="20"/>
                <w:szCs w:val="20"/>
              </w:rPr>
              <w:t>Option Year 4 (9/2019-8/2020)</w:t>
            </w:r>
          </w:p>
        </w:tc>
        <w:tc>
          <w:tcPr>
            <w:tcW w:w="1260" w:type="dxa"/>
            <w:tcBorders>
              <w:bottom w:val="single" w:sz="4" w:space="0" w:color="auto"/>
            </w:tcBorders>
            <w:shd w:val="clear" w:color="auto" w:fill="BFBFBF"/>
            <w:vAlign w:val="bottom"/>
          </w:tcPr>
          <w:p w14:paraId="4C72BC0A" w14:textId="77777777" w:rsidR="00ED1B45" w:rsidRPr="002D2481" w:rsidRDefault="00ED1B45" w:rsidP="00066C5F">
            <w:pPr>
              <w:keepNext/>
              <w:spacing w:before="60" w:after="60"/>
              <w:jc w:val="center"/>
              <w:rPr>
                <w:b/>
                <w:bCs/>
                <w:color w:val="000000"/>
                <w:sz w:val="20"/>
                <w:szCs w:val="20"/>
              </w:rPr>
            </w:pPr>
            <w:r w:rsidRPr="002D2481">
              <w:rPr>
                <w:b/>
                <w:bCs/>
                <w:color w:val="000000"/>
                <w:sz w:val="20"/>
                <w:szCs w:val="20"/>
              </w:rPr>
              <w:t xml:space="preserve">Total </w:t>
            </w:r>
            <w:r w:rsidRPr="002D2481">
              <w:rPr>
                <w:b/>
                <w:bCs/>
                <w:color w:val="000000"/>
                <w:sz w:val="20"/>
                <w:szCs w:val="20"/>
              </w:rPr>
              <w:br/>
              <w:t>(2016-2020)</w:t>
            </w:r>
          </w:p>
        </w:tc>
      </w:tr>
      <w:tr w:rsidR="00791EC3" w:rsidRPr="0015274D" w14:paraId="48470990" w14:textId="77777777" w:rsidTr="007E70E6">
        <w:trPr>
          <w:cantSplit/>
        </w:trPr>
        <w:tc>
          <w:tcPr>
            <w:tcW w:w="2515" w:type="dxa"/>
            <w:shd w:val="clear" w:color="auto" w:fill="auto"/>
            <w:vAlign w:val="center"/>
          </w:tcPr>
          <w:p w14:paraId="0E13F427" w14:textId="77777777" w:rsidR="00791EC3" w:rsidRPr="002D2481" w:rsidRDefault="00791EC3" w:rsidP="00066C5F">
            <w:pPr>
              <w:spacing w:before="60" w:after="60"/>
              <w:rPr>
                <w:b/>
                <w:sz w:val="20"/>
                <w:szCs w:val="20"/>
              </w:rPr>
            </w:pPr>
            <w:r w:rsidRPr="00CA3B62">
              <w:rPr>
                <w:b/>
                <w:sz w:val="20"/>
                <w:szCs w:val="20"/>
              </w:rPr>
              <w:t>Government Activity</w:t>
            </w:r>
            <w:r w:rsidRPr="00CA3B62">
              <w:rPr>
                <w:b/>
                <w:sz w:val="20"/>
                <w:szCs w:val="20"/>
              </w:rPr>
              <w:br/>
            </w:r>
            <w:r w:rsidRPr="00CA3B62">
              <w:rPr>
                <w:color w:val="000000"/>
                <w:sz w:val="20"/>
                <w:szCs w:val="20"/>
              </w:rPr>
              <w:t>Review and provide guidance on instruments, OMB clearance, and data collection approach</w:t>
            </w:r>
          </w:p>
        </w:tc>
        <w:tc>
          <w:tcPr>
            <w:tcW w:w="989" w:type="dxa"/>
          </w:tcPr>
          <w:p w14:paraId="2E8A2B00" w14:textId="77777777" w:rsidR="00791EC3" w:rsidRPr="002D2481" w:rsidRDefault="00791EC3" w:rsidP="007E70E6">
            <w:pPr>
              <w:spacing w:before="60" w:after="60"/>
              <w:jc w:val="right"/>
              <w:rPr>
                <w:sz w:val="20"/>
                <w:szCs w:val="20"/>
              </w:rPr>
            </w:pPr>
            <w:r w:rsidRPr="00CA3B62">
              <w:rPr>
                <w:sz w:val="20"/>
                <w:szCs w:val="20"/>
              </w:rPr>
              <w:t>$15,000</w:t>
            </w:r>
          </w:p>
        </w:tc>
        <w:tc>
          <w:tcPr>
            <w:tcW w:w="1080" w:type="dxa"/>
            <w:shd w:val="clear" w:color="auto" w:fill="auto"/>
          </w:tcPr>
          <w:p w14:paraId="05A066A3" w14:textId="77777777" w:rsidR="00791EC3" w:rsidRPr="002D2481" w:rsidRDefault="00791EC3" w:rsidP="007E70E6">
            <w:pPr>
              <w:keepNext/>
              <w:spacing w:before="60" w:after="60"/>
              <w:jc w:val="right"/>
              <w:rPr>
                <w:sz w:val="20"/>
                <w:szCs w:val="20"/>
              </w:rPr>
            </w:pPr>
            <w:r w:rsidRPr="00CA3B62">
              <w:rPr>
                <w:sz w:val="20"/>
                <w:szCs w:val="20"/>
              </w:rPr>
              <w:t>$10,000</w:t>
            </w:r>
          </w:p>
        </w:tc>
        <w:tc>
          <w:tcPr>
            <w:tcW w:w="990" w:type="dxa"/>
            <w:shd w:val="clear" w:color="auto" w:fill="auto"/>
          </w:tcPr>
          <w:p w14:paraId="758E2133" w14:textId="77777777" w:rsidR="00791EC3" w:rsidRPr="002D2481" w:rsidRDefault="00791EC3" w:rsidP="007E70E6">
            <w:pPr>
              <w:keepNext/>
              <w:spacing w:before="60" w:after="60"/>
              <w:jc w:val="right"/>
              <w:rPr>
                <w:sz w:val="20"/>
                <w:szCs w:val="20"/>
              </w:rPr>
            </w:pPr>
            <w:r w:rsidRPr="00CA3B62">
              <w:rPr>
                <w:sz w:val="20"/>
                <w:szCs w:val="20"/>
              </w:rPr>
              <w:t>$10,000</w:t>
            </w:r>
          </w:p>
        </w:tc>
        <w:tc>
          <w:tcPr>
            <w:tcW w:w="1080" w:type="dxa"/>
            <w:shd w:val="clear" w:color="auto" w:fill="auto"/>
          </w:tcPr>
          <w:p w14:paraId="689CA540" w14:textId="77777777" w:rsidR="00791EC3" w:rsidRPr="002D2481" w:rsidRDefault="00791EC3" w:rsidP="007E70E6">
            <w:pPr>
              <w:keepNext/>
              <w:spacing w:before="60" w:after="60"/>
              <w:jc w:val="right"/>
              <w:rPr>
                <w:sz w:val="20"/>
                <w:szCs w:val="20"/>
              </w:rPr>
            </w:pPr>
            <w:r w:rsidRPr="00CA3B62">
              <w:rPr>
                <w:sz w:val="20"/>
                <w:szCs w:val="20"/>
              </w:rPr>
              <w:t>$10,000</w:t>
            </w:r>
          </w:p>
        </w:tc>
        <w:tc>
          <w:tcPr>
            <w:tcW w:w="989" w:type="dxa"/>
            <w:shd w:val="clear" w:color="auto" w:fill="auto"/>
          </w:tcPr>
          <w:p w14:paraId="5C7C6EAD" w14:textId="77777777" w:rsidR="00791EC3" w:rsidRPr="002D2481" w:rsidRDefault="00791EC3" w:rsidP="007E70E6">
            <w:pPr>
              <w:keepNext/>
              <w:spacing w:before="60" w:after="60"/>
              <w:jc w:val="right"/>
              <w:rPr>
                <w:sz w:val="20"/>
                <w:szCs w:val="20"/>
              </w:rPr>
            </w:pPr>
            <w:r w:rsidRPr="00CA3B62">
              <w:rPr>
                <w:sz w:val="20"/>
                <w:szCs w:val="20"/>
              </w:rPr>
              <w:t>$10,000</w:t>
            </w:r>
          </w:p>
        </w:tc>
        <w:tc>
          <w:tcPr>
            <w:tcW w:w="1260" w:type="dxa"/>
            <w:shd w:val="clear" w:color="auto" w:fill="auto"/>
          </w:tcPr>
          <w:p w14:paraId="2CAEC84D" w14:textId="77777777" w:rsidR="00791EC3" w:rsidRPr="002D2481" w:rsidRDefault="00791EC3" w:rsidP="007E70E6">
            <w:pPr>
              <w:spacing w:before="60" w:after="60"/>
              <w:jc w:val="right"/>
              <w:rPr>
                <w:sz w:val="20"/>
                <w:szCs w:val="20"/>
              </w:rPr>
            </w:pPr>
            <w:r>
              <w:rPr>
                <w:sz w:val="20"/>
                <w:szCs w:val="20"/>
              </w:rPr>
              <w:t>$55,000</w:t>
            </w:r>
          </w:p>
        </w:tc>
      </w:tr>
      <w:tr w:rsidR="00ED1B45" w:rsidRPr="0015274D" w14:paraId="525F730A" w14:textId="77777777" w:rsidTr="007E70E6">
        <w:trPr>
          <w:cantSplit/>
        </w:trPr>
        <w:tc>
          <w:tcPr>
            <w:tcW w:w="2515" w:type="dxa"/>
            <w:shd w:val="clear" w:color="auto" w:fill="auto"/>
            <w:vAlign w:val="center"/>
          </w:tcPr>
          <w:p w14:paraId="6846C01D" w14:textId="77777777" w:rsidR="00ED1B45" w:rsidRPr="002D2481" w:rsidRDefault="00ED1B45" w:rsidP="00066C5F">
            <w:pPr>
              <w:spacing w:before="60" w:after="60"/>
              <w:rPr>
                <w:color w:val="000000"/>
                <w:sz w:val="20"/>
                <w:szCs w:val="20"/>
              </w:rPr>
            </w:pPr>
            <w:r w:rsidRPr="002D2481">
              <w:rPr>
                <w:b/>
                <w:sz w:val="20"/>
                <w:szCs w:val="20"/>
              </w:rPr>
              <w:t>Contractor Activity</w:t>
            </w:r>
            <w:r w:rsidR="002D2481">
              <w:rPr>
                <w:color w:val="000000"/>
                <w:sz w:val="20"/>
                <w:szCs w:val="20"/>
              </w:rPr>
              <w:br/>
            </w:r>
            <w:r w:rsidR="00F53B6F">
              <w:rPr>
                <w:color w:val="000000"/>
                <w:sz w:val="20"/>
                <w:szCs w:val="20"/>
              </w:rPr>
              <w:t xml:space="preserve">Instrument </w:t>
            </w:r>
            <w:r w:rsidR="002D2481">
              <w:rPr>
                <w:color w:val="000000"/>
                <w:sz w:val="20"/>
                <w:szCs w:val="20"/>
              </w:rPr>
              <w:t xml:space="preserve">development, </w:t>
            </w:r>
            <w:r w:rsidRPr="002D2481">
              <w:rPr>
                <w:color w:val="000000"/>
                <w:sz w:val="20"/>
                <w:szCs w:val="20"/>
              </w:rPr>
              <w:t>testing</w:t>
            </w:r>
            <w:r w:rsidR="002D2481">
              <w:rPr>
                <w:color w:val="000000"/>
                <w:sz w:val="20"/>
                <w:szCs w:val="20"/>
              </w:rPr>
              <w:t xml:space="preserve">, administration, management; </w:t>
            </w:r>
            <w:r w:rsidRPr="002D2481">
              <w:rPr>
                <w:color w:val="000000"/>
                <w:sz w:val="20"/>
                <w:szCs w:val="20"/>
              </w:rPr>
              <w:t xml:space="preserve">sample recruitment and scheduling; Data coding/transcribing; Analysis and reporting </w:t>
            </w:r>
          </w:p>
        </w:tc>
        <w:tc>
          <w:tcPr>
            <w:tcW w:w="989" w:type="dxa"/>
          </w:tcPr>
          <w:p w14:paraId="7D44FA77" w14:textId="77777777" w:rsidR="00ED1B45" w:rsidRPr="002D2481" w:rsidRDefault="00FE3BEE" w:rsidP="007E70E6">
            <w:pPr>
              <w:spacing w:before="60" w:after="60"/>
              <w:jc w:val="right"/>
              <w:rPr>
                <w:sz w:val="20"/>
                <w:szCs w:val="20"/>
              </w:rPr>
            </w:pPr>
            <w:r>
              <w:rPr>
                <w:sz w:val="20"/>
                <w:szCs w:val="20"/>
              </w:rPr>
              <w:t>$</w:t>
            </w:r>
            <w:r w:rsidR="00887328">
              <w:rPr>
                <w:sz w:val="20"/>
                <w:szCs w:val="20"/>
              </w:rPr>
              <w:t>292,577</w:t>
            </w:r>
          </w:p>
        </w:tc>
        <w:tc>
          <w:tcPr>
            <w:tcW w:w="1080" w:type="dxa"/>
            <w:shd w:val="clear" w:color="auto" w:fill="auto"/>
          </w:tcPr>
          <w:p w14:paraId="5A499094" w14:textId="77777777" w:rsidR="00ED1B45" w:rsidRPr="002D2481" w:rsidRDefault="00FE3BEE" w:rsidP="007E70E6">
            <w:pPr>
              <w:spacing w:before="60" w:after="60"/>
              <w:jc w:val="right"/>
              <w:rPr>
                <w:sz w:val="20"/>
                <w:szCs w:val="20"/>
              </w:rPr>
            </w:pPr>
            <w:r>
              <w:rPr>
                <w:sz w:val="20"/>
                <w:szCs w:val="20"/>
              </w:rPr>
              <w:t>$</w:t>
            </w:r>
            <w:r w:rsidR="00887328">
              <w:rPr>
                <w:sz w:val="20"/>
                <w:szCs w:val="20"/>
              </w:rPr>
              <w:t>297,951</w:t>
            </w:r>
          </w:p>
        </w:tc>
        <w:tc>
          <w:tcPr>
            <w:tcW w:w="990" w:type="dxa"/>
            <w:shd w:val="clear" w:color="auto" w:fill="auto"/>
          </w:tcPr>
          <w:p w14:paraId="533C6697" w14:textId="77777777" w:rsidR="00ED1B45" w:rsidRPr="002D2481" w:rsidRDefault="00FE3BEE" w:rsidP="007E70E6">
            <w:pPr>
              <w:spacing w:before="60" w:after="60"/>
              <w:jc w:val="right"/>
              <w:rPr>
                <w:sz w:val="20"/>
                <w:szCs w:val="20"/>
              </w:rPr>
            </w:pPr>
            <w:r>
              <w:rPr>
                <w:sz w:val="20"/>
                <w:szCs w:val="20"/>
              </w:rPr>
              <w:t>$</w:t>
            </w:r>
            <w:r w:rsidR="00887328">
              <w:rPr>
                <w:sz w:val="20"/>
                <w:szCs w:val="20"/>
              </w:rPr>
              <w:t>305,332</w:t>
            </w:r>
          </w:p>
        </w:tc>
        <w:tc>
          <w:tcPr>
            <w:tcW w:w="1080" w:type="dxa"/>
            <w:shd w:val="clear" w:color="auto" w:fill="auto"/>
          </w:tcPr>
          <w:p w14:paraId="4F388D1D" w14:textId="77777777" w:rsidR="00ED1B45" w:rsidRPr="002D2481" w:rsidRDefault="00FE3BEE" w:rsidP="007E70E6">
            <w:pPr>
              <w:spacing w:before="60" w:after="60"/>
              <w:jc w:val="right"/>
              <w:rPr>
                <w:sz w:val="20"/>
                <w:szCs w:val="20"/>
              </w:rPr>
            </w:pPr>
            <w:r>
              <w:rPr>
                <w:sz w:val="20"/>
                <w:szCs w:val="20"/>
              </w:rPr>
              <w:t>$</w:t>
            </w:r>
            <w:r w:rsidR="00887328">
              <w:rPr>
                <w:sz w:val="20"/>
                <w:szCs w:val="20"/>
              </w:rPr>
              <w:t>312,667</w:t>
            </w:r>
          </w:p>
        </w:tc>
        <w:tc>
          <w:tcPr>
            <w:tcW w:w="989" w:type="dxa"/>
            <w:shd w:val="clear" w:color="auto" w:fill="auto"/>
          </w:tcPr>
          <w:p w14:paraId="478A7EB5" w14:textId="77777777" w:rsidR="00ED1B45" w:rsidRPr="002D2481" w:rsidRDefault="00FE3BEE" w:rsidP="007E70E6">
            <w:pPr>
              <w:spacing w:before="60" w:after="60"/>
              <w:jc w:val="right"/>
              <w:rPr>
                <w:sz w:val="20"/>
                <w:szCs w:val="20"/>
              </w:rPr>
            </w:pPr>
            <w:r>
              <w:rPr>
                <w:sz w:val="20"/>
                <w:szCs w:val="20"/>
              </w:rPr>
              <w:t>$</w:t>
            </w:r>
            <w:r w:rsidR="00887328">
              <w:rPr>
                <w:sz w:val="20"/>
                <w:szCs w:val="20"/>
              </w:rPr>
              <w:t>320,712</w:t>
            </w:r>
          </w:p>
        </w:tc>
        <w:tc>
          <w:tcPr>
            <w:tcW w:w="1260" w:type="dxa"/>
            <w:shd w:val="clear" w:color="auto" w:fill="auto"/>
          </w:tcPr>
          <w:p w14:paraId="272BB22F" w14:textId="77777777" w:rsidR="00ED1B45" w:rsidRPr="002D2481" w:rsidRDefault="00FE3BEE" w:rsidP="007E70E6">
            <w:pPr>
              <w:spacing w:before="60" w:after="60"/>
              <w:jc w:val="right"/>
              <w:rPr>
                <w:sz w:val="20"/>
                <w:szCs w:val="20"/>
              </w:rPr>
            </w:pPr>
            <w:r>
              <w:rPr>
                <w:sz w:val="20"/>
                <w:szCs w:val="20"/>
              </w:rPr>
              <w:t>$1,</w:t>
            </w:r>
            <w:r w:rsidR="00887328">
              <w:rPr>
                <w:sz w:val="20"/>
                <w:szCs w:val="20"/>
              </w:rPr>
              <w:t>529</w:t>
            </w:r>
            <w:r>
              <w:rPr>
                <w:sz w:val="20"/>
                <w:szCs w:val="20"/>
              </w:rPr>
              <w:t>,</w:t>
            </w:r>
            <w:r w:rsidR="00887328">
              <w:rPr>
                <w:sz w:val="20"/>
                <w:szCs w:val="20"/>
              </w:rPr>
              <w:t>238</w:t>
            </w:r>
          </w:p>
        </w:tc>
      </w:tr>
      <w:tr w:rsidR="00ED1B45" w:rsidRPr="0015274D" w14:paraId="57A1FC94" w14:textId="77777777" w:rsidTr="007E70E6">
        <w:trPr>
          <w:cantSplit/>
        </w:trPr>
        <w:tc>
          <w:tcPr>
            <w:tcW w:w="2515" w:type="dxa"/>
            <w:shd w:val="clear" w:color="auto" w:fill="E7E6E6" w:themeFill="background2"/>
          </w:tcPr>
          <w:p w14:paraId="32CD28CA" w14:textId="77777777" w:rsidR="00ED1B45" w:rsidRPr="00C828CC" w:rsidRDefault="00ED1B45" w:rsidP="00066C5F">
            <w:pPr>
              <w:spacing w:before="60" w:after="60"/>
              <w:rPr>
                <w:b/>
                <w:sz w:val="20"/>
                <w:szCs w:val="20"/>
              </w:rPr>
            </w:pPr>
            <w:r w:rsidRPr="00C828CC">
              <w:rPr>
                <w:b/>
                <w:sz w:val="20"/>
                <w:szCs w:val="20"/>
              </w:rPr>
              <w:t>Total</w:t>
            </w:r>
          </w:p>
        </w:tc>
        <w:tc>
          <w:tcPr>
            <w:tcW w:w="989" w:type="dxa"/>
            <w:shd w:val="clear" w:color="auto" w:fill="E7E6E6" w:themeFill="background2"/>
          </w:tcPr>
          <w:p w14:paraId="03A2A547" w14:textId="77777777" w:rsidR="00ED1B45" w:rsidRPr="00622C01" w:rsidRDefault="00622C01" w:rsidP="007E70E6">
            <w:pPr>
              <w:spacing w:before="60" w:after="60"/>
              <w:jc w:val="right"/>
              <w:rPr>
                <w:b/>
                <w:sz w:val="22"/>
              </w:rPr>
            </w:pPr>
            <w:r w:rsidRPr="00622C01">
              <w:rPr>
                <w:b/>
                <w:sz w:val="22"/>
              </w:rPr>
              <w:t>--</w:t>
            </w:r>
          </w:p>
        </w:tc>
        <w:tc>
          <w:tcPr>
            <w:tcW w:w="1080" w:type="dxa"/>
            <w:shd w:val="clear" w:color="auto" w:fill="E7E6E6" w:themeFill="background2"/>
          </w:tcPr>
          <w:p w14:paraId="11AB4ABF" w14:textId="77777777" w:rsidR="00ED1B45" w:rsidRPr="00622C01" w:rsidRDefault="00622C01" w:rsidP="007E70E6">
            <w:pPr>
              <w:spacing w:before="60" w:after="60"/>
              <w:jc w:val="right"/>
              <w:rPr>
                <w:b/>
                <w:sz w:val="22"/>
              </w:rPr>
            </w:pPr>
            <w:r w:rsidRPr="00622C01">
              <w:rPr>
                <w:b/>
                <w:sz w:val="22"/>
              </w:rPr>
              <w:t>--</w:t>
            </w:r>
          </w:p>
        </w:tc>
        <w:tc>
          <w:tcPr>
            <w:tcW w:w="990" w:type="dxa"/>
            <w:shd w:val="clear" w:color="auto" w:fill="E7E6E6" w:themeFill="background2"/>
          </w:tcPr>
          <w:p w14:paraId="735F2C78" w14:textId="77777777" w:rsidR="00ED1B45" w:rsidRPr="00622C01" w:rsidRDefault="00622C01" w:rsidP="007E70E6">
            <w:pPr>
              <w:spacing w:before="60" w:after="60"/>
              <w:jc w:val="right"/>
              <w:rPr>
                <w:b/>
                <w:sz w:val="22"/>
              </w:rPr>
            </w:pPr>
            <w:r w:rsidRPr="00622C01">
              <w:rPr>
                <w:b/>
                <w:sz w:val="22"/>
              </w:rPr>
              <w:t>--</w:t>
            </w:r>
          </w:p>
        </w:tc>
        <w:tc>
          <w:tcPr>
            <w:tcW w:w="1080" w:type="dxa"/>
            <w:shd w:val="clear" w:color="auto" w:fill="E7E6E6" w:themeFill="background2"/>
          </w:tcPr>
          <w:p w14:paraId="2539E272" w14:textId="77777777" w:rsidR="00ED1B45" w:rsidRPr="00622C01" w:rsidRDefault="00622C01" w:rsidP="007E70E6">
            <w:pPr>
              <w:spacing w:before="60" w:after="60"/>
              <w:jc w:val="right"/>
              <w:rPr>
                <w:b/>
                <w:sz w:val="22"/>
              </w:rPr>
            </w:pPr>
            <w:r w:rsidRPr="00622C01">
              <w:rPr>
                <w:b/>
                <w:sz w:val="22"/>
              </w:rPr>
              <w:t>--</w:t>
            </w:r>
          </w:p>
        </w:tc>
        <w:tc>
          <w:tcPr>
            <w:tcW w:w="989" w:type="dxa"/>
            <w:shd w:val="clear" w:color="auto" w:fill="E7E6E6" w:themeFill="background2"/>
          </w:tcPr>
          <w:p w14:paraId="38B0E3CA" w14:textId="77777777" w:rsidR="00ED1B45" w:rsidRPr="00622C01" w:rsidRDefault="00622C01" w:rsidP="007E70E6">
            <w:pPr>
              <w:spacing w:before="60" w:after="60"/>
              <w:jc w:val="right"/>
              <w:rPr>
                <w:sz w:val="22"/>
              </w:rPr>
            </w:pPr>
            <w:r w:rsidRPr="00622C01">
              <w:rPr>
                <w:sz w:val="22"/>
              </w:rPr>
              <w:t>--</w:t>
            </w:r>
          </w:p>
        </w:tc>
        <w:tc>
          <w:tcPr>
            <w:tcW w:w="1260" w:type="dxa"/>
            <w:shd w:val="clear" w:color="auto" w:fill="E7E6E6" w:themeFill="background2"/>
          </w:tcPr>
          <w:p w14:paraId="751F94F2" w14:textId="77777777" w:rsidR="00ED1B45" w:rsidRPr="00FE3BEE" w:rsidRDefault="00FE3BEE" w:rsidP="007E70E6">
            <w:pPr>
              <w:spacing w:before="60" w:after="60"/>
              <w:jc w:val="right"/>
              <w:rPr>
                <w:sz w:val="22"/>
              </w:rPr>
            </w:pPr>
            <w:r w:rsidRPr="00FE3BEE">
              <w:rPr>
                <w:sz w:val="22"/>
              </w:rPr>
              <w:t>$1,</w:t>
            </w:r>
            <w:r w:rsidR="00887328">
              <w:rPr>
                <w:sz w:val="22"/>
              </w:rPr>
              <w:t>584</w:t>
            </w:r>
            <w:r w:rsidRPr="00FE3BEE">
              <w:rPr>
                <w:sz w:val="22"/>
              </w:rPr>
              <w:t>,</w:t>
            </w:r>
            <w:r w:rsidR="00887328">
              <w:rPr>
                <w:sz w:val="22"/>
              </w:rPr>
              <w:t>238</w:t>
            </w:r>
          </w:p>
        </w:tc>
      </w:tr>
      <w:tr w:rsidR="00C828CC" w:rsidRPr="0015274D" w14:paraId="59669F59" w14:textId="77777777" w:rsidTr="007E70E6">
        <w:trPr>
          <w:cantSplit/>
        </w:trPr>
        <w:tc>
          <w:tcPr>
            <w:tcW w:w="2515" w:type="dxa"/>
            <w:shd w:val="clear" w:color="auto" w:fill="E7E6E6" w:themeFill="background2"/>
          </w:tcPr>
          <w:p w14:paraId="7C638C8F" w14:textId="77777777" w:rsidR="00C828CC" w:rsidRPr="00C828CC" w:rsidRDefault="007E70E6" w:rsidP="00066C5F">
            <w:pPr>
              <w:spacing w:before="60" w:after="60"/>
              <w:rPr>
                <w:b/>
                <w:sz w:val="20"/>
                <w:szCs w:val="20"/>
              </w:rPr>
            </w:pPr>
            <w:r>
              <w:rPr>
                <w:b/>
                <w:sz w:val="20"/>
                <w:szCs w:val="20"/>
              </w:rPr>
              <w:t xml:space="preserve">Annual Cost </w:t>
            </w:r>
            <w:r>
              <w:rPr>
                <w:b/>
                <w:sz w:val="20"/>
                <w:szCs w:val="20"/>
              </w:rPr>
              <w:br/>
              <w:t>(Total </w:t>
            </w:r>
            <w:r w:rsidR="00C828CC" w:rsidRPr="00C828CC">
              <w:rPr>
                <w:b/>
                <w:sz w:val="20"/>
                <w:szCs w:val="20"/>
              </w:rPr>
              <w:t>cost/5 years)</w:t>
            </w:r>
          </w:p>
        </w:tc>
        <w:tc>
          <w:tcPr>
            <w:tcW w:w="989" w:type="dxa"/>
            <w:shd w:val="clear" w:color="auto" w:fill="E7E6E6" w:themeFill="background2"/>
          </w:tcPr>
          <w:p w14:paraId="12143F24" w14:textId="77777777" w:rsidR="00C828CC" w:rsidRPr="00622C01" w:rsidRDefault="00622C01" w:rsidP="007E70E6">
            <w:pPr>
              <w:spacing w:before="60" w:after="60"/>
              <w:jc w:val="right"/>
              <w:rPr>
                <w:b/>
                <w:sz w:val="22"/>
              </w:rPr>
            </w:pPr>
            <w:r w:rsidRPr="00622C01">
              <w:rPr>
                <w:b/>
                <w:sz w:val="22"/>
              </w:rPr>
              <w:t>--</w:t>
            </w:r>
          </w:p>
        </w:tc>
        <w:tc>
          <w:tcPr>
            <w:tcW w:w="1080" w:type="dxa"/>
            <w:shd w:val="clear" w:color="auto" w:fill="E7E6E6" w:themeFill="background2"/>
          </w:tcPr>
          <w:p w14:paraId="2DC6FEDA" w14:textId="77777777" w:rsidR="00C828CC" w:rsidRPr="00622C01" w:rsidRDefault="00622C01" w:rsidP="007E70E6">
            <w:pPr>
              <w:spacing w:before="60" w:after="60"/>
              <w:jc w:val="right"/>
              <w:rPr>
                <w:b/>
                <w:sz w:val="22"/>
              </w:rPr>
            </w:pPr>
            <w:r w:rsidRPr="00622C01">
              <w:rPr>
                <w:b/>
                <w:sz w:val="22"/>
              </w:rPr>
              <w:t>--</w:t>
            </w:r>
          </w:p>
        </w:tc>
        <w:tc>
          <w:tcPr>
            <w:tcW w:w="990" w:type="dxa"/>
            <w:shd w:val="clear" w:color="auto" w:fill="E7E6E6" w:themeFill="background2"/>
          </w:tcPr>
          <w:p w14:paraId="462BC291" w14:textId="77777777" w:rsidR="00C828CC" w:rsidRPr="00622C01" w:rsidRDefault="00622C01" w:rsidP="007E70E6">
            <w:pPr>
              <w:spacing w:before="60" w:after="60"/>
              <w:jc w:val="right"/>
              <w:rPr>
                <w:b/>
                <w:sz w:val="22"/>
              </w:rPr>
            </w:pPr>
            <w:r w:rsidRPr="00622C01">
              <w:rPr>
                <w:b/>
                <w:sz w:val="22"/>
              </w:rPr>
              <w:t>--</w:t>
            </w:r>
          </w:p>
        </w:tc>
        <w:tc>
          <w:tcPr>
            <w:tcW w:w="1080" w:type="dxa"/>
            <w:shd w:val="clear" w:color="auto" w:fill="E7E6E6" w:themeFill="background2"/>
          </w:tcPr>
          <w:p w14:paraId="17D4188F" w14:textId="77777777" w:rsidR="00C828CC" w:rsidRPr="00622C01" w:rsidRDefault="00622C01" w:rsidP="007E70E6">
            <w:pPr>
              <w:spacing w:before="60" w:after="60"/>
              <w:jc w:val="right"/>
              <w:rPr>
                <w:b/>
                <w:sz w:val="22"/>
              </w:rPr>
            </w:pPr>
            <w:r w:rsidRPr="00622C01">
              <w:rPr>
                <w:b/>
                <w:sz w:val="22"/>
              </w:rPr>
              <w:t>--</w:t>
            </w:r>
          </w:p>
        </w:tc>
        <w:tc>
          <w:tcPr>
            <w:tcW w:w="989" w:type="dxa"/>
            <w:shd w:val="clear" w:color="auto" w:fill="E7E6E6" w:themeFill="background2"/>
          </w:tcPr>
          <w:p w14:paraId="3EBEDE4C" w14:textId="77777777" w:rsidR="00C828CC" w:rsidRPr="00622C01" w:rsidRDefault="00622C01" w:rsidP="007E70E6">
            <w:pPr>
              <w:spacing w:before="60" w:after="60"/>
              <w:jc w:val="right"/>
              <w:rPr>
                <w:sz w:val="22"/>
              </w:rPr>
            </w:pPr>
            <w:r w:rsidRPr="00622C01">
              <w:rPr>
                <w:sz w:val="22"/>
              </w:rPr>
              <w:t>--</w:t>
            </w:r>
          </w:p>
        </w:tc>
        <w:tc>
          <w:tcPr>
            <w:tcW w:w="1260" w:type="dxa"/>
            <w:shd w:val="clear" w:color="auto" w:fill="E7E6E6" w:themeFill="background2"/>
            <w:vAlign w:val="center"/>
          </w:tcPr>
          <w:p w14:paraId="3B62D3DD" w14:textId="77777777" w:rsidR="00C828CC" w:rsidRPr="00FE3BEE" w:rsidRDefault="00C828CC" w:rsidP="007E70E6">
            <w:pPr>
              <w:spacing w:before="60" w:after="60"/>
              <w:jc w:val="right"/>
              <w:rPr>
                <w:sz w:val="22"/>
              </w:rPr>
            </w:pPr>
            <w:r>
              <w:rPr>
                <w:sz w:val="22"/>
              </w:rPr>
              <w:t>$</w:t>
            </w:r>
            <w:r w:rsidR="00887328">
              <w:rPr>
                <w:sz w:val="22"/>
              </w:rPr>
              <w:t>316,848</w:t>
            </w:r>
          </w:p>
        </w:tc>
      </w:tr>
    </w:tbl>
    <w:p w14:paraId="50FBFFE8" w14:textId="77777777" w:rsidR="0015274D" w:rsidRDefault="0015274D" w:rsidP="00066C5F"/>
    <w:p w14:paraId="6E955AAB" w14:textId="77777777" w:rsidR="0015274D" w:rsidRDefault="0015274D" w:rsidP="00066C5F">
      <w:pPr>
        <w:pStyle w:val="Heading3"/>
      </w:pPr>
      <w:r>
        <w:t>Changes to Burden</w:t>
      </w:r>
    </w:p>
    <w:p w14:paraId="72C447D5" w14:textId="0E7F9F87" w:rsidR="00927263" w:rsidRDefault="0015274D" w:rsidP="007E70E6">
      <w:pPr>
        <w:pStyle w:val="BodyText2"/>
        <w:rPr>
          <w:rFonts w:ascii="Sylfaen" w:hAnsi="Sylfaen"/>
          <w:color w:val="1F497D"/>
          <w:sz w:val="22"/>
        </w:rPr>
      </w:pPr>
      <w:r w:rsidRPr="00CE5012">
        <w:t>This is a new information collection.</w:t>
      </w:r>
      <w:r w:rsidR="00CB1B79">
        <w:t xml:space="preserve"> </w:t>
      </w:r>
      <w:r w:rsidR="00A4450D">
        <w:t>Based on feedback from the cognitive tests, the initial</w:t>
      </w:r>
      <w:r w:rsidR="00927263">
        <w:t xml:space="preserve"> survey </w:t>
      </w:r>
      <w:proofErr w:type="gramStart"/>
      <w:r w:rsidR="00A4450D">
        <w:t>was</w:t>
      </w:r>
      <w:r w:rsidR="00927263">
        <w:t xml:space="preserve"> </w:t>
      </w:r>
      <w:r w:rsidR="001E71D1">
        <w:t>adjusted</w:t>
      </w:r>
      <w:proofErr w:type="gramEnd"/>
      <w:r w:rsidR="00927263">
        <w:t xml:space="preserve"> by adding one question, streamlining responses to shorten other questions, clarifyin</w:t>
      </w:r>
      <w:bookmarkStart w:id="5" w:name="_GoBack"/>
      <w:bookmarkEnd w:id="5"/>
      <w:r w:rsidR="00927263">
        <w:t>g questions, and reorganizing questions to improve the flow of the survey. These changes did not result in a change to the burden of the study (time estimates for completion remain the same).</w:t>
      </w:r>
    </w:p>
    <w:p w14:paraId="6F049E01" w14:textId="77777777" w:rsidR="0015274D" w:rsidRDefault="0015274D" w:rsidP="00066C5F">
      <w:pPr>
        <w:pStyle w:val="Heading3"/>
      </w:pPr>
      <w:r>
        <w:t>Publication/Tabulation Dates</w:t>
      </w:r>
    </w:p>
    <w:p w14:paraId="1F2E6E4C" w14:textId="61C36C94" w:rsidR="0015274D" w:rsidRDefault="0015274D" w:rsidP="007E70E6">
      <w:pPr>
        <w:pStyle w:val="BodyText2"/>
        <w:rPr>
          <w:rFonts w:eastAsia="Calibri"/>
        </w:rPr>
      </w:pPr>
      <w:r w:rsidRPr="00523A18">
        <w:t xml:space="preserve">This evaluation will take place from </w:t>
      </w:r>
      <w:r w:rsidR="00A4450D">
        <w:t>April</w:t>
      </w:r>
      <w:r w:rsidR="00A4450D" w:rsidRPr="00523A18">
        <w:t xml:space="preserve"> 201</w:t>
      </w:r>
      <w:r w:rsidR="00A4450D">
        <w:t>7</w:t>
      </w:r>
      <w:r w:rsidRPr="00523A18">
        <w:t>- August</w:t>
      </w:r>
      <w:r w:rsidRPr="00CE5012">
        <w:t xml:space="preserve"> 2020</w:t>
      </w:r>
      <w:r>
        <w:t xml:space="preserve">. </w:t>
      </w:r>
      <w:r w:rsidRPr="00CE5012">
        <w:t xml:space="preserve">Our plans and timeline for reports and publications </w:t>
      </w:r>
      <w:proofErr w:type="gramStart"/>
      <w:r w:rsidRPr="00CE5012">
        <w:t>are outlined</w:t>
      </w:r>
      <w:proofErr w:type="gramEnd"/>
      <w:r w:rsidRPr="00CE5012">
        <w:t xml:space="preserve"> in </w:t>
      </w:r>
      <w:r w:rsidR="00F43245">
        <w:fldChar w:fldCharType="begin"/>
      </w:r>
      <w:r w:rsidR="00F43245">
        <w:instrText xml:space="preserve"> REF _Ref433197340 \h </w:instrText>
      </w:r>
      <w:r w:rsidR="00F43245">
        <w:fldChar w:fldCharType="separate"/>
      </w:r>
      <w:r w:rsidR="00F43245" w:rsidRPr="0015274D">
        <w:t xml:space="preserve">Table </w:t>
      </w:r>
      <w:r w:rsidR="00F43245">
        <w:rPr>
          <w:noProof/>
        </w:rPr>
        <w:t>4</w:t>
      </w:r>
      <w:r w:rsidR="00F43245">
        <w:fldChar w:fldCharType="end"/>
      </w:r>
      <w:r w:rsidR="00A01C58">
        <w:t xml:space="preserve">. Reports </w:t>
      </w:r>
      <w:r w:rsidRPr="00CE5012">
        <w:t>include</w:t>
      </w:r>
      <w:r>
        <w:t xml:space="preserve"> p</w:t>
      </w:r>
      <w:r w:rsidRPr="00CE5012">
        <w:rPr>
          <w:rFonts w:eastAsia="Calibri"/>
        </w:rPr>
        <w:t>rogram management reports that provide ongoing performance data that can guide CMS’ program decisions regarding continuation or modification of contract recruitment and performance targets, measurement strategies, and recommende</w:t>
      </w:r>
      <w:r>
        <w:rPr>
          <w:rFonts w:eastAsia="Calibri"/>
        </w:rPr>
        <w:t>d evidence-based interventions</w:t>
      </w:r>
      <w:r w:rsidR="00A01C58">
        <w:rPr>
          <w:rFonts w:eastAsia="Calibri"/>
        </w:rPr>
        <w:t>. In addition, we will develop</w:t>
      </w:r>
      <w:r>
        <w:rPr>
          <w:rFonts w:eastAsia="Calibri"/>
        </w:rPr>
        <w:t xml:space="preserve"> doc</w:t>
      </w:r>
      <w:r w:rsidRPr="00CE5012">
        <w:rPr>
          <w:rFonts w:eastAsia="Calibri"/>
        </w:rPr>
        <w:t>uments and reports suitable for presentation to various audiences, national stakeholders, and policymakers, including presentation at professional meetings and publication</w:t>
      </w:r>
      <w:r w:rsidR="00E3426E">
        <w:rPr>
          <w:rFonts w:eastAsia="Calibri"/>
        </w:rPr>
        <w:t>s</w:t>
      </w:r>
      <w:r w:rsidRPr="00CE5012">
        <w:rPr>
          <w:rFonts w:eastAsia="Calibri"/>
        </w:rPr>
        <w:t xml:space="preserve"> in peer</w:t>
      </w:r>
      <w:r w:rsidR="00E3426E">
        <w:rPr>
          <w:rFonts w:eastAsia="Calibri"/>
        </w:rPr>
        <w:t>-</w:t>
      </w:r>
      <w:r w:rsidRPr="00CE5012">
        <w:rPr>
          <w:rFonts w:eastAsia="Calibri"/>
        </w:rPr>
        <w:t>review</w:t>
      </w:r>
      <w:r w:rsidR="00E3426E">
        <w:rPr>
          <w:rFonts w:eastAsia="Calibri"/>
        </w:rPr>
        <w:t>ed</w:t>
      </w:r>
      <w:r w:rsidRPr="00CE5012">
        <w:rPr>
          <w:rFonts w:eastAsia="Calibri"/>
        </w:rPr>
        <w:t xml:space="preserve"> journals.</w:t>
      </w:r>
      <w:r w:rsidR="00445D0D">
        <w:rPr>
          <w:rFonts w:eastAsia="Calibri"/>
        </w:rPr>
        <w:t xml:space="preserve"> </w:t>
      </w:r>
    </w:p>
    <w:p w14:paraId="534A1CAB" w14:textId="77777777" w:rsidR="0015274D" w:rsidRPr="0015274D" w:rsidRDefault="0015274D" w:rsidP="00066C5F">
      <w:pPr>
        <w:pStyle w:val="Caption"/>
        <w:ind w:left="720"/>
      </w:pPr>
      <w:bookmarkStart w:id="6" w:name="_Ref433197340"/>
      <w:r w:rsidRPr="0015274D">
        <w:lastRenderedPageBreak/>
        <w:t xml:space="preserve">Table </w:t>
      </w:r>
      <w:r w:rsidR="0010352D">
        <w:fldChar w:fldCharType="begin"/>
      </w:r>
      <w:r w:rsidR="0010352D">
        <w:instrText xml:space="preserve"> SEQ Table \* ARABIC </w:instrText>
      </w:r>
      <w:r w:rsidR="0010352D">
        <w:fldChar w:fldCharType="separate"/>
      </w:r>
      <w:r w:rsidR="00C67D62">
        <w:rPr>
          <w:noProof/>
        </w:rPr>
        <w:t>4</w:t>
      </w:r>
      <w:r w:rsidR="0010352D">
        <w:rPr>
          <w:noProof/>
        </w:rPr>
        <w:fldChar w:fldCharType="end"/>
      </w:r>
      <w:bookmarkEnd w:id="6"/>
      <w:r w:rsidR="00F43245">
        <w:t>:</w:t>
      </w:r>
      <w:r w:rsidRPr="0015274D">
        <w:t xml:space="preserve"> Deliverable Schedule for Data Collection and Reporting Activities</w:t>
      </w:r>
    </w:p>
    <w:tbl>
      <w:tblPr>
        <w:tblW w:w="9000"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06"/>
        <w:gridCol w:w="3094"/>
      </w:tblGrid>
      <w:tr w:rsidR="0015274D" w:rsidRPr="0015274D" w14:paraId="4FFBD734" w14:textId="77777777" w:rsidTr="007E70E6">
        <w:trPr>
          <w:trHeight w:val="300"/>
          <w:tblHeader/>
        </w:trPr>
        <w:tc>
          <w:tcPr>
            <w:tcW w:w="5670" w:type="dxa"/>
            <w:tcBorders>
              <w:top w:val="single" w:sz="4" w:space="0" w:color="auto"/>
            </w:tcBorders>
            <w:shd w:val="clear" w:color="auto" w:fill="D0CECE" w:themeFill="background2" w:themeFillShade="E6"/>
            <w:vAlign w:val="center"/>
            <w:hideMark/>
          </w:tcPr>
          <w:p w14:paraId="5D3ABBC3" w14:textId="77777777" w:rsidR="0015274D" w:rsidRPr="0015274D" w:rsidRDefault="0015274D" w:rsidP="00066C5F">
            <w:pPr>
              <w:keepNext/>
              <w:spacing w:before="60" w:after="60"/>
              <w:ind w:left="450"/>
              <w:jc w:val="center"/>
              <w:rPr>
                <w:color w:val="000000"/>
                <w:sz w:val="22"/>
              </w:rPr>
            </w:pPr>
            <w:r w:rsidRPr="0015274D">
              <w:rPr>
                <w:b/>
                <w:color w:val="000000"/>
                <w:sz w:val="22"/>
              </w:rPr>
              <w:t>Deliverables</w:t>
            </w:r>
          </w:p>
        </w:tc>
        <w:tc>
          <w:tcPr>
            <w:tcW w:w="2970" w:type="dxa"/>
            <w:tcBorders>
              <w:top w:val="single" w:sz="4" w:space="0" w:color="auto"/>
            </w:tcBorders>
            <w:shd w:val="clear" w:color="auto" w:fill="D0CECE" w:themeFill="background2" w:themeFillShade="E6"/>
            <w:noWrap/>
            <w:vAlign w:val="bottom"/>
            <w:hideMark/>
          </w:tcPr>
          <w:p w14:paraId="31421A68" w14:textId="77777777" w:rsidR="0015274D" w:rsidRPr="0015274D" w:rsidRDefault="0015274D" w:rsidP="00066C5F">
            <w:pPr>
              <w:keepNext/>
              <w:spacing w:before="60" w:after="60"/>
              <w:ind w:left="450"/>
              <w:jc w:val="center"/>
              <w:rPr>
                <w:b/>
                <w:color w:val="000000"/>
                <w:sz w:val="22"/>
              </w:rPr>
            </w:pPr>
            <w:r w:rsidRPr="0015274D">
              <w:rPr>
                <w:b/>
                <w:color w:val="000000"/>
                <w:sz w:val="22"/>
              </w:rPr>
              <w:t>Timeline</w:t>
            </w:r>
          </w:p>
        </w:tc>
      </w:tr>
      <w:tr w:rsidR="0015274D" w:rsidRPr="0015274D" w14:paraId="4DFA4F85" w14:textId="77777777" w:rsidTr="007E70E6">
        <w:trPr>
          <w:trHeight w:val="300"/>
        </w:trPr>
        <w:tc>
          <w:tcPr>
            <w:tcW w:w="5670" w:type="dxa"/>
            <w:shd w:val="clear" w:color="auto" w:fill="auto"/>
            <w:noWrap/>
            <w:vAlign w:val="center"/>
          </w:tcPr>
          <w:p w14:paraId="0B7BD46A" w14:textId="77777777" w:rsidR="0015274D" w:rsidRPr="0015274D" w:rsidRDefault="0015274D" w:rsidP="00066C5F">
            <w:pPr>
              <w:keepNext/>
              <w:spacing w:before="60" w:after="60"/>
              <w:rPr>
                <w:b/>
                <w:color w:val="000000"/>
                <w:sz w:val="22"/>
              </w:rPr>
            </w:pPr>
            <w:r w:rsidRPr="0015274D">
              <w:rPr>
                <w:bCs/>
                <w:sz w:val="22"/>
              </w:rPr>
              <w:t>Yearly Data Collection and Analysis Report</w:t>
            </w:r>
          </w:p>
        </w:tc>
        <w:tc>
          <w:tcPr>
            <w:tcW w:w="2970" w:type="dxa"/>
            <w:shd w:val="clear" w:color="auto" w:fill="auto"/>
            <w:noWrap/>
            <w:vAlign w:val="center"/>
          </w:tcPr>
          <w:p w14:paraId="289096EA" w14:textId="77777777" w:rsidR="0015274D" w:rsidRPr="0015274D" w:rsidRDefault="0015274D" w:rsidP="00066C5F">
            <w:pPr>
              <w:keepNext/>
              <w:spacing w:before="60" w:after="60"/>
              <w:ind w:left="450"/>
              <w:jc w:val="center"/>
              <w:rPr>
                <w:color w:val="000000"/>
                <w:sz w:val="22"/>
              </w:rPr>
            </w:pPr>
            <w:r w:rsidRPr="0015274D">
              <w:rPr>
                <w:color w:val="000000"/>
                <w:sz w:val="22"/>
              </w:rPr>
              <w:t>Annually (2016-2019)</w:t>
            </w:r>
          </w:p>
        </w:tc>
      </w:tr>
      <w:tr w:rsidR="0015274D" w:rsidRPr="0015274D" w14:paraId="3A13EB4E" w14:textId="77777777" w:rsidTr="007E70E6">
        <w:trPr>
          <w:trHeight w:val="166"/>
        </w:trPr>
        <w:tc>
          <w:tcPr>
            <w:tcW w:w="5670" w:type="dxa"/>
            <w:shd w:val="clear" w:color="auto" w:fill="auto"/>
            <w:noWrap/>
            <w:vAlign w:val="center"/>
          </w:tcPr>
          <w:p w14:paraId="16C98A38" w14:textId="77777777" w:rsidR="0015274D" w:rsidRPr="0015274D" w:rsidRDefault="0015274D" w:rsidP="00066C5F">
            <w:pPr>
              <w:keepNext/>
              <w:spacing w:before="60" w:after="60"/>
              <w:rPr>
                <w:bCs/>
                <w:sz w:val="22"/>
              </w:rPr>
            </w:pPr>
            <w:r w:rsidRPr="0015274D">
              <w:rPr>
                <w:bCs/>
                <w:sz w:val="22"/>
              </w:rPr>
              <w:t>Presentations</w:t>
            </w:r>
          </w:p>
        </w:tc>
        <w:tc>
          <w:tcPr>
            <w:tcW w:w="2970" w:type="dxa"/>
            <w:shd w:val="clear" w:color="auto" w:fill="auto"/>
            <w:noWrap/>
            <w:vAlign w:val="center"/>
          </w:tcPr>
          <w:p w14:paraId="4CC84535" w14:textId="77777777" w:rsidR="0015274D" w:rsidRPr="0015274D" w:rsidRDefault="0015274D" w:rsidP="00066C5F">
            <w:pPr>
              <w:keepNext/>
              <w:spacing w:before="60" w:after="60"/>
              <w:ind w:left="450"/>
              <w:jc w:val="center"/>
              <w:rPr>
                <w:color w:val="000000"/>
                <w:sz w:val="22"/>
              </w:rPr>
            </w:pPr>
            <w:r w:rsidRPr="0015274D">
              <w:rPr>
                <w:color w:val="000000"/>
                <w:sz w:val="22"/>
              </w:rPr>
              <w:t>2017-2020</w:t>
            </w:r>
          </w:p>
        </w:tc>
      </w:tr>
      <w:tr w:rsidR="0015274D" w:rsidRPr="0015274D" w14:paraId="21CEE13C" w14:textId="77777777" w:rsidTr="007E70E6">
        <w:trPr>
          <w:trHeight w:val="300"/>
        </w:trPr>
        <w:tc>
          <w:tcPr>
            <w:tcW w:w="5670" w:type="dxa"/>
            <w:shd w:val="clear" w:color="auto" w:fill="auto"/>
            <w:noWrap/>
            <w:vAlign w:val="center"/>
          </w:tcPr>
          <w:p w14:paraId="2936DC24" w14:textId="77777777" w:rsidR="0015274D" w:rsidRPr="0015274D" w:rsidRDefault="0015274D" w:rsidP="007E70E6">
            <w:pPr>
              <w:keepNext/>
              <w:spacing w:before="60" w:after="60"/>
              <w:rPr>
                <w:bCs/>
                <w:sz w:val="22"/>
              </w:rPr>
            </w:pPr>
            <w:r w:rsidRPr="0015274D">
              <w:rPr>
                <w:bCs/>
                <w:sz w:val="22"/>
              </w:rPr>
              <w:t xml:space="preserve">Publications (including brief reports, analytic memos, and </w:t>
            </w:r>
            <w:r w:rsidR="00745C96">
              <w:rPr>
                <w:bCs/>
                <w:sz w:val="22"/>
              </w:rPr>
              <w:t>peer</w:t>
            </w:r>
            <w:r w:rsidR="007E70E6">
              <w:rPr>
                <w:bCs/>
                <w:sz w:val="22"/>
              </w:rPr>
              <w:noBreakHyphen/>
            </w:r>
            <w:r w:rsidR="00745C96">
              <w:rPr>
                <w:bCs/>
                <w:sz w:val="22"/>
              </w:rPr>
              <w:t xml:space="preserve">reviewed </w:t>
            </w:r>
            <w:r w:rsidRPr="0015274D">
              <w:rPr>
                <w:bCs/>
                <w:sz w:val="22"/>
              </w:rPr>
              <w:t>manuscripts)</w:t>
            </w:r>
          </w:p>
        </w:tc>
        <w:tc>
          <w:tcPr>
            <w:tcW w:w="2970" w:type="dxa"/>
            <w:shd w:val="clear" w:color="auto" w:fill="auto"/>
            <w:noWrap/>
            <w:vAlign w:val="center"/>
          </w:tcPr>
          <w:p w14:paraId="38A80B86" w14:textId="77777777" w:rsidR="0015274D" w:rsidRPr="0015274D" w:rsidRDefault="0015274D" w:rsidP="00066C5F">
            <w:pPr>
              <w:keepNext/>
              <w:spacing w:before="60" w:after="60"/>
              <w:ind w:left="450"/>
              <w:jc w:val="center"/>
              <w:rPr>
                <w:color w:val="000000"/>
                <w:sz w:val="22"/>
              </w:rPr>
            </w:pPr>
            <w:r w:rsidRPr="0015274D">
              <w:rPr>
                <w:color w:val="000000"/>
                <w:sz w:val="22"/>
              </w:rPr>
              <w:t>2017-2020</w:t>
            </w:r>
          </w:p>
        </w:tc>
      </w:tr>
      <w:tr w:rsidR="0015274D" w:rsidRPr="0015274D" w14:paraId="0C8365F3" w14:textId="77777777" w:rsidTr="007E70E6">
        <w:trPr>
          <w:trHeight w:val="300"/>
        </w:trPr>
        <w:tc>
          <w:tcPr>
            <w:tcW w:w="5670" w:type="dxa"/>
            <w:shd w:val="clear" w:color="auto" w:fill="auto"/>
            <w:noWrap/>
            <w:vAlign w:val="center"/>
            <w:hideMark/>
          </w:tcPr>
          <w:p w14:paraId="18A36E33" w14:textId="77777777" w:rsidR="0015274D" w:rsidRPr="0015274D" w:rsidRDefault="0015274D" w:rsidP="00066C5F">
            <w:pPr>
              <w:spacing w:before="60" w:after="60"/>
              <w:rPr>
                <w:color w:val="000000"/>
                <w:sz w:val="22"/>
              </w:rPr>
            </w:pPr>
            <w:r w:rsidRPr="0015274D">
              <w:rPr>
                <w:color w:val="000000"/>
                <w:sz w:val="22"/>
              </w:rPr>
              <w:t>Final Data Collection and Analysis Report</w:t>
            </w:r>
          </w:p>
        </w:tc>
        <w:tc>
          <w:tcPr>
            <w:tcW w:w="2970" w:type="dxa"/>
            <w:shd w:val="clear" w:color="auto" w:fill="auto"/>
            <w:noWrap/>
            <w:vAlign w:val="center"/>
          </w:tcPr>
          <w:p w14:paraId="50C7653B" w14:textId="77777777" w:rsidR="0015274D" w:rsidRPr="0015274D" w:rsidRDefault="0015274D" w:rsidP="00066C5F">
            <w:pPr>
              <w:spacing w:before="60" w:after="60"/>
              <w:ind w:left="450"/>
              <w:jc w:val="center"/>
              <w:rPr>
                <w:color w:val="000000"/>
                <w:sz w:val="22"/>
              </w:rPr>
            </w:pPr>
            <w:r w:rsidRPr="0015274D">
              <w:rPr>
                <w:color w:val="000000"/>
                <w:sz w:val="22"/>
              </w:rPr>
              <w:t>8/2020</w:t>
            </w:r>
          </w:p>
        </w:tc>
      </w:tr>
    </w:tbl>
    <w:p w14:paraId="27EAC2C4" w14:textId="77777777" w:rsidR="00C67D62" w:rsidRDefault="00C67D62" w:rsidP="00066C5F"/>
    <w:p w14:paraId="743EA879" w14:textId="77777777" w:rsidR="00D537E3" w:rsidRDefault="00D537E3" w:rsidP="007E70E6">
      <w:pPr>
        <w:pStyle w:val="BodyText2"/>
      </w:pPr>
      <w:r>
        <w:t xml:space="preserve">Statement B provides an overview of our statistical techniques used to analyze survey data. </w:t>
      </w:r>
    </w:p>
    <w:p w14:paraId="22D230E8" w14:textId="77777777" w:rsidR="00D537E3" w:rsidRDefault="00D537E3" w:rsidP="00066C5F">
      <w:pPr>
        <w:pStyle w:val="Heading3"/>
      </w:pPr>
      <w:r>
        <w:t>Expiration Date</w:t>
      </w:r>
    </w:p>
    <w:p w14:paraId="74AAED00" w14:textId="77777777" w:rsidR="00D537E3" w:rsidRPr="00CE5012" w:rsidRDefault="008D6AFA" w:rsidP="007E70E6">
      <w:pPr>
        <w:pStyle w:val="BodyText2"/>
      </w:pPr>
      <w:r>
        <w:t xml:space="preserve">The PRA statement </w:t>
      </w:r>
      <w:proofErr w:type="gramStart"/>
      <w:r>
        <w:t>will be read</w:t>
      </w:r>
      <w:proofErr w:type="gramEnd"/>
      <w:r>
        <w:t xml:space="preserve"> during the telephone survey as indicated on the survey instrument. </w:t>
      </w:r>
      <w:r w:rsidR="00081C61">
        <w:t xml:space="preserve">The interview and focus group discussion guides will display the OMB </w:t>
      </w:r>
      <w:r w:rsidR="00F53B6F">
        <w:t>expiration date</w:t>
      </w:r>
      <w:r w:rsidR="00081C61">
        <w:t>.</w:t>
      </w:r>
      <w:r>
        <w:t xml:space="preserve"> The PRA statement </w:t>
      </w:r>
      <w:proofErr w:type="gramStart"/>
      <w:r>
        <w:t>will be read</w:t>
      </w:r>
      <w:proofErr w:type="gramEnd"/>
      <w:r>
        <w:t xml:space="preserve"> during the interviews and focus group discussions as indicated in the discussion guides.</w:t>
      </w:r>
    </w:p>
    <w:p w14:paraId="5C530618" w14:textId="77777777" w:rsidR="00D537E3" w:rsidRDefault="00D537E3" w:rsidP="00066C5F">
      <w:pPr>
        <w:pStyle w:val="Heading3"/>
      </w:pPr>
      <w:r>
        <w:t>Certification Statement</w:t>
      </w:r>
    </w:p>
    <w:p w14:paraId="781DB28A" w14:textId="77777777" w:rsidR="00D537E3" w:rsidRPr="00CE5012" w:rsidRDefault="00D537E3" w:rsidP="007E70E6">
      <w:pPr>
        <w:pStyle w:val="BodyText2"/>
      </w:pPr>
      <w:r w:rsidRPr="00CE5012">
        <w:t>There are no exceptions to the certification s</w:t>
      </w:r>
      <w:r>
        <w:t>tatement identified in Item 19.</w:t>
      </w:r>
    </w:p>
    <w:sectPr w:rsidR="00D537E3" w:rsidRPr="00CE50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F625D" w14:textId="77777777" w:rsidR="0010352D" w:rsidRDefault="0010352D" w:rsidP="00A87CDD">
      <w:pPr>
        <w:spacing w:after="0"/>
      </w:pPr>
      <w:r>
        <w:separator/>
      </w:r>
    </w:p>
  </w:endnote>
  <w:endnote w:type="continuationSeparator" w:id="0">
    <w:p w14:paraId="16B2C5CA" w14:textId="77777777" w:rsidR="0010352D" w:rsidRDefault="0010352D" w:rsidP="00A87CDD">
      <w:pPr>
        <w:spacing w:after="0"/>
      </w:pPr>
      <w:r>
        <w:continuationSeparator/>
      </w:r>
    </w:p>
  </w:endnote>
  <w:endnote w:type="continuationNotice" w:id="1">
    <w:p w14:paraId="270AE4B2" w14:textId="77777777" w:rsidR="0010352D" w:rsidRDefault="00103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7062B" w14:textId="77777777" w:rsidR="00940115" w:rsidRDefault="00940115" w:rsidP="00A87CDD">
    <w:pPr>
      <w:pStyle w:val="Header"/>
      <w:jc w:val="center"/>
    </w:pPr>
    <w:r>
      <w:fldChar w:fldCharType="begin"/>
    </w:r>
    <w:r>
      <w:instrText xml:space="preserve"> PAGE   \* MERGEFORMAT </w:instrText>
    </w:r>
    <w:r>
      <w:fldChar w:fldCharType="separate"/>
    </w:r>
    <w:r w:rsidR="001E71D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C465" w14:textId="77777777" w:rsidR="0010352D" w:rsidRDefault="0010352D" w:rsidP="00A87CDD">
      <w:pPr>
        <w:spacing w:after="0"/>
      </w:pPr>
      <w:r>
        <w:separator/>
      </w:r>
    </w:p>
  </w:footnote>
  <w:footnote w:type="continuationSeparator" w:id="0">
    <w:p w14:paraId="4821680C" w14:textId="77777777" w:rsidR="0010352D" w:rsidRDefault="0010352D" w:rsidP="00A87CDD">
      <w:pPr>
        <w:spacing w:after="0"/>
      </w:pPr>
      <w:r>
        <w:continuationSeparator/>
      </w:r>
    </w:p>
  </w:footnote>
  <w:footnote w:type="continuationNotice" w:id="1">
    <w:p w14:paraId="0323E8A3" w14:textId="77777777" w:rsidR="0010352D" w:rsidRDefault="0010352D">
      <w:pPr>
        <w:spacing w:after="0"/>
      </w:pPr>
    </w:p>
  </w:footnote>
  <w:footnote w:id="2">
    <w:p w14:paraId="71A29C73" w14:textId="49BA494C" w:rsidR="00940115" w:rsidRPr="00070F28" w:rsidRDefault="00940115" w:rsidP="00E17BFD">
      <w:pPr>
        <w:pStyle w:val="FootnoteText"/>
        <w:ind w:left="180" w:hanging="180"/>
        <w:rPr>
          <w:rStyle w:val="Hyperlink"/>
        </w:rPr>
      </w:pPr>
      <w:r>
        <w:rPr>
          <w:rStyle w:val="FootnoteReference"/>
        </w:rPr>
        <w:footnoteRef/>
      </w:r>
      <w:r>
        <w:t xml:space="preserve"> CMS</w:t>
      </w:r>
      <w:r w:rsidR="001B3F0B">
        <w:t>.</w:t>
      </w:r>
      <w:r>
        <w:t xml:space="preserve"> (2016). Current Work: </w:t>
      </w:r>
      <w:r w:rsidRPr="00940115">
        <w:t>QIO Program 11th SOW (2014-2016)</w:t>
      </w:r>
      <w:r>
        <w:t xml:space="preserve">. Retrieved March 8, 2017 from </w:t>
      </w:r>
      <w:r w:rsidRPr="00070F28">
        <w:rPr>
          <w:rStyle w:val="Hyperlink"/>
        </w:rPr>
        <w:t>https://www.cms.gov/Medicare/Quality-Initiatives-Patient-Assessment-Instruments/QualityImprovementOrgs/Current.html</w:t>
      </w:r>
    </w:p>
  </w:footnote>
  <w:footnote w:id="3">
    <w:p w14:paraId="0658E0A4" w14:textId="48977185" w:rsidR="00940115" w:rsidRDefault="00940115" w:rsidP="00382236">
      <w:pPr>
        <w:pStyle w:val="FootnoteText"/>
        <w:ind w:left="180" w:hanging="180"/>
      </w:pPr>
      <w:r>
        <w:rPr>
          <w:rStyle w:val="FootnoteReference"/>
        </w:rPr>
        <w:footnoteRef/>
      </w:r>
      <w:r w:rsidRPr="00142980">
        <w:rPr>
          <w:rStyle w:val="FootnoteReference"/>
        </w:rPr>
        <w:t xml:space="preserve"> </w:t>
      </w:r>
      <w:r>
        <w:t xml:space="preserve">CMS. (2015). </w:t>
      </w:r>
      <w:r w:rsidRPr="007C5779">
        <w:rPr>
          <w:i/>
        </w:rPr>
        <w:t>Quality Improvement Organizations</w:t>
      </w:r>
      <w:r>
        <w:t xml:space="preserve">. Retrieved December 10, 2015 from </w:t>
      </w:r>
      <w:hyperlink r:id="rId1" w:tooltip="the CMS website." w:history="1">
        <w:r w:rsidRPr="003C35DA">
          <w:rPr>
            <w:rStyle w:val="Hyperlink"/>
          </w:rPr>
          <w:t>https://www.cms.gov/Medicare/Quality-Initiatives-Patient-Assessment-Instruments/QualityImprovementOrgs/index.html?redirect=/qualityimprovementorgs/</w:t>
        </w:r>
      </w:hyperlink>
      <w:r>
        <w:t xml:space="preserve"> </w:t>
      </w:r>
    </w:p>
  </w:footnote>
  <w:footnote w:id="4">
    <w:p w14:paraId="1AAEA69B" w14:textId="77777777" w:rsidR="00940115" w:rsidRDefault="00940115" w:rsidP="00382236">
      <w:pPr>
        <w:pStyle w:val="FootnoteText"/>
        <w:ind w:left="180" w:hanging="180"/>
      </w:pPr>
      <w:r>
        <w:rPr>
          <w:rStyle w:val="FootnoteReference"/>
        </w:rPr>
        <w:footnoteRef/>
      </w:r>
      <w:r>
        <w:t xml:space="preserve"> Department of Health and Human Services (D</w:t>
      </w:r>
      <w:r w:rsidRPr="00E20EA8">
        <w:t>HHS</w:t>
      </w:r>
      <w:r>
        <w:t>)</w:t>
      </w:r>
      <w:r w:rsidRPr="00E20EA8">
        <w:t>.</w:t>
      </w:r>
      <w:r>
        <w:t xml:space="preserve"> (2011).</w:t>
      </w:r>
      <w:r w:rsidRPr="00E20EA8">
        <w:t xml:space="preserve"> </w:t>
      </w:r>
      <w:r w:rsidRPr="007C5779">
        <w:rPr>
          <w:i/>
        </w:rPr>
        <w:t>2011 Report to Congress: National Quality Strategy for Quality Improvement in Health Care.</w:t>
      </w:r>
      <w:r>
        <w:t xml:space="preserve"> Retrieved December 10, 2015 from </w:t>
      </w:r>
      <w:hyperlink r:id="rId2" w:tooltip="the AHRQ website." w:history="1">
        <w:r w:rsidRPr="003C35DA">
          <w:rPr>
            <w:rStyle w:val="Hyperlink"/>
          </w:rPr>
          <w:t>http://www.ahrq.gov/workingforquality/nqs/nqs2011annlrpt.htm</w:t>
        </w:r>
      </w:hyperlink>
      <w:r>
        <w:t xml:space="preserve">  </w:t>
      </w:r>
    </w:p>
  </w:footnote>
  <w:footnote w:id="5">
    <w:p w14:paraId="393A5689" w14:textId="77777777" w:rsidR="00940115" w:rsidRDefault="00940115" w:rsidP="00382236">
      <w:pPr>
        <w:pStyle w:val="FootnoteText"/>
        <w:ind w:left="180" w:hanging="180"/>
      </w:pPr>
      <w:r>
        <w:rPr>
          <w:rStyle w:val="FootnoteReference"/>
        </w:rPr>
        <w:footnoteRef/>
      </w:r>
      <w:r>
        <w:t xml:space="preserve"> CMS. (2015). </w:t>
      </w:r>
      <w:r w:rsidRPr="007C5779">
        <w:rPr>
          <w:i/>
        </w:rPr>
        <w:t>CMS Quality Strategy 2016</w:t>
      </w:r>
      <w:r>
        <w:t xml:space="preserve">. Retrieved December 10, 2015 from </w:t>
      </w:r>
      <w:hyperlink r:id="rId3" w:tooltip="the CMS website." w:history="1">
        <w:r w:rsidRPr="003C35DA">
          <w:rPr>
            <w:rStyle w:val="Hyperlink"/>
          </w:rPr>
          <w:t>https://www.cms.gov/medicare/quality-initiatives-patient-assessment-instruments/qualityinitiativesgeninfo/downloads/cms-quality-strategy.pdf</w:t>
        </w:r>
      </w:hyperlink>
      <w:r>
        <w:t xml:space="preserve"> </w:t>
      </w:r>
    </w:p>
  </w:footnote>
  <w:footnote w:id="6">
    <w:p w14:paraId="0E169187" w14:textId="77777777" w:rsidR="00940115" w:rsidRDefault="00940115" w:rsidP="00382236">
      <w:pPr>
        <w:pStyle w:val="FootnoteText"/>
        <w:ind w:left="180" w:hanging="180"/>
      </w:pPr>
      <w:r>
        <w:rPr>
          <w:rStyle w:val="FootnoteReference"/>
        </w:rPr>
        <w:footnoteRef/>
      </w:r>
      <w:r>
        <w:t xml:space="preserve"> Social Security Administration. Contracts with Quality Improvement Organizations. Retrieved January 8, 2016 from </w:t>
      </w:r>
      <w:hyperlink r:id="rId4" w:tooltip="the Social Security Administration website." w:history="1">
        <w:r w:rsidRPr="003C35DA">
          <w:rPr>
            <w:rStyle w:val="Hyperlink"/>
          </w:rPr>
          <w:t>https://www.ssa.gov/OP_Home/ssact/title11/1153.htm</w:t>
        </w:r>
      </w:hyperlink>
      <w:r>
        <w:t xml:space="preserve"> </w:t>
      </w:r>
    </w:p>
  </w:footnote>
  <w:footnote w:id="7">
    <w:p w14:paraId="12D98DA9" w14:textId="77777777" w:rsidR="00940115" w:rsidRDefault="00940115" w:rsidP="00483188">
      <w:pPr>
        <w:pStyle w:val="FootnoteText"/>
      </w:pPr>
      <w:r>
        <w:rPr>
          <w:rStyle w:val="FootnoteReference"/>
        </w:rPr>
        <w:footnoteRef/>
      </w:r>
      <w:r>
        <w:t xml:space="preserve"> </w:t>
      </w:r>
      <w:r w:rsidRPr="00C548D3">
        <w:t>CMS. Nursing Home Data Compendium 201</w:t>
      </w:r>
      <w:r>
        <w:t>5</w:t>
      </w:r>
      <w:r w:rsidRPr="00C548D3">
        <w:t xml:space="preserve"> Edition [Internet]. Maryland: Centers for Medicare and Medicaid Services 201</w:t>
      </w:r>
      <w:r>
        <w:t>5</w:t>
      </w:r>
      <w:r w:rsidRPr="00C548D3">
        <w:t>.</w:t>
      </w:r>
    </w:p>
  </w:footnote>
  <w:footnote w:id="8">
    <w:p w14:paraId="3F1C46EA" w14:textId="77777777" w:rsidR="00940115" w:rsidRDefault="00940115" w:rsidP="00940115">
      <w:pPr>
        <w:pStyle w:val="FootnoteText"/>
      </w:pPr>
      <w:r>
        <w:rPr>
          <w:rStyle w:val="FootnoteReference"/>
        </w:rPr>
        <w:footnoteRef/>
      </w:r>
      <w:r>
        <w:t xml:space="preserve"> Medicare and Medicaid Programs; Reform of Requirements for Long-Term Care Facilities, 42 C.F.R. </w:t>
      </w:r>
      <w:r>
        <w:rPr>
          <w:rFonts w:ascii="Verdana" w:hAnsi="Verdana"/>
          <w:color w:val="333333"/>
          <w:shd w:val="clear" w:color="auto" w:fill="FFFFFF"/>
        </w:rPr>
        <w:t xml:space="preserve">§ </w:t>
      </w:r>
      <w:r>
        <w:t>405, 431, 447, 482, 483, 485, 488, and 489. 2016.</w:t>
      </w:r>
    </w:p>
  </w:footnote>
  <w:footnote w:id="9">
    <w:p w14:paraId="3AD95387" w14:textId="77777777" w:rsidR="00940115" w:rsidRDefault="00940115" w:rsidP="00CB64E3">
      <w:pPr>
        <w:pStyle w:val="FootnoteText"/>
      </w:pPr>
      <w:r>
        <w:rPr>
          <w:rStyle w:val="FootnoteReference"/>
        </w:rPr>
        <w:footnoteRef/>
      </w:r>
      <w:r>
        <w:t xml:space="preserve"> CMS</w:t>
      </w:r>
      <w:r w:rsidRPr="00C548D3">
        <w:t>.</w:t>
      </w:r>
      <w:r>
        <w:t xml:space="preserve"> (</w:t>
      </w:r>
      <w:r w:rsidRPr="00C548D3">
        <w:t>2012</w:t>
      </w:r>
      <w:r>
        <w:t xml:space="preserve">). </w:t>
      </w:r>
      <w:r w:rsidRPr="00C548D3">
        <w:t>Nursing Home Action Plan: Action Plan for Further Improvement of Nursing Home Quality. Maryland: Centers for Medicare and Medicaid Services, 2012.</w:t>
      </w:r>
    </w:p>
  </w:footnote>
  <w:footnote w:id="10">
    <w:p w14:paraId="3E6637B0" w14:textId="77777777" w:rsidR="00352D1B" w:rsidRPr="00352D1B" w:rsidRDefault="00352D1B" w:rsidP="00352D1B">
      <w:pPr>
        <w:spacing w:after="60"/>
        <w:rPr>
          <w:rFonts w:ascii="Times New Roman" w:eastAsia="Times New Roman" w:hAnsi="Times New Roman" w:cs="Times New Roman"/>
          <w:sz w:val="20"/>
          <w:szCs w:val="20"/>
        </w:rPr>
      </w:pPr>
      <w:r w:rsidRPr="00352D1B">
        <w:rPr>
          <w:rFonts w:ascii="Times New Roman" w:eastAsia="Times New Roman" w:hAnsi="Times New Roman" w:cs="Times New Roman"/>
          <w:sz w:val="20"/>
          <w:szCs w:val="20"/>
        </w:rPr>
        <w:footnoteRef/>
      </w:r>
      <w:r w:rsidRPr="00352D1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CMS </w:t>
      </w:r>
      <w:r w:rsidRPr="00352D1B">
        <w:rPr>
          <w:rFonts w:ascii="Times New Roman" w:eastAsia="Times New Roman" w:hAnsi="Times New Roman" w:cs="Times New Roman"/>
          <w:sz w:val="20"/>
          <w:szCs w:val="20"/>
        </w:rPr>
        <w:t>Center for Clinical Standards &amp; Quality</w:t>
      </w:r>
      <w:r>
        <w:rPr>
          <w:rFonts w:ascii="Times New Roman" w:eastAsia="Times New Roman" w:hAnsi="Times New Roman" w:cs="Times New Roman"/>
          <w:sz w:val="20"/>
          <w:szCs w:val="20"/>
        </w:rPr>
        <w:t>. (2014).</w:t>
      </w:r>
      <w:r w:rsidRPr="00352D1B">
        <w:rPr>
          <w:rFonts w:ascii="Times New Roman" w:eastAsia="Times New Roman" w:hAnsi="Times New Roman" w:cs="Times New Roman"/>
          <w:sz w:val="20"/>
          <w:szCs w:val="20"/>
        </w:rPr>
        <w:t xml:space="preserve"> Quality Improvement Group Quality Innovation Network (QIN)</w:t>
      </w:r>
      <w:r w:rsidR="00C61724">
        <w:rPr>
          <w:rFonts w:ascii="Times New Roman" w:eastAsia="Times New Roman" w:hAnsi="Times New Roman" w:cs="Times New Roman"/>
          <w:sz w:val="20"/>
          <w:szCs w:val="20"/>
        </w:rPr>
        <w:t xml:space="preserve"> </w:t>
      </w:r>
      <w:r w:rsidRPr="00352D1B">
        <w:rPr>
          <w:rFonts w:ascii="Times New Roman" w:eastAsia="Times New Roman" w:hAnsi="Times New Roman" w:cs="Times New Roman"/>
          <w:sz w:val="20"/>
          <w:szCs w:val="20"/>
        </w:rPr>
        <w:t>Quality Improvement Organization (QIO)</w:t>
      </w:r>
      <w:r>
        <w:rPr>
          <w:rFonts w:ascii="Times New Roman" w:eastAsia="Times New Roman" w:hAnsi="Times New Roman" w:cs="Times New Roman"/>
          <w:sz w:val="20"/>
          <w:szCs w:val="20"/>
        </w:rPr>
        <w:t xml:space="preserve"> </w:t>
      </w:r>
      <w:r w:rsidRPr="00352D1B">
        <w:rPr>
          <w:rFonts w:ascii="Times New Roman" w:eastAsia="Times New Roman" w:hAnsi="Times New Roman" w:cs="Times New Roman"/>
          <w:sz w:val="20"/>
          <w:szCs w:val="20"/>
        </w:rPr>
        <w:t>Scope of Work (SOW) Task Order No. 001: Excellence in Operations and Quality Improvement</w:t>
      </w:r>
      <w:r>
        <w:rPr>
          <w:rFonts w:ascii="Times New Roman" w:eastAsia="Times New Roman" w:hAnsi="Times New Roman" w:cs="Times New Roman"/>
          <w:sz w:val="20"/>
          <w:szCs w:val="20"/>
        </w:rPr>
        <w:t xml:space="preserve">. </w:t>
      </w:r>
      <w:r w:rsidRPr="00352D1B">
        <w:rPr>
          <w:rFonts w:ascii="Times New Roman" w:eastAsia="Times New Roman" w:hAnsi="Times New Roman" w:cs="Times New Roman"/>
          <w:sz w:val="20"/>
          <w:szCs w:val="20"/>
        </w:rPr>
        <w:t>Attachment J.1 -Contract No. HHSM-500-2014-QIN001I</w:t>
      </w:r>
      <w:r>
        <w:rPr>
          <w:rFonts w:ascii="Times New Roman" w:eastAsia="Times New Roman" w:hAnsi="Times New Roman" w:cs="Times New Roman"/>
          <w:sz w:val="20"/>
          <w:szCs w:val="20"/>
        </w:rPr>
        <w:t>.</w:t>
      </w:r>
    </w:p>
  </w:footnote>
  <w:footnote w:id="11">
    <w:p w14:paraId="72732603" w14:textId="77777777" w:rsidR="00940115" w:rsidRPr="00840494" w:rsidRDefault="00940115" w:rsidP="00940115">
      <w:pPr>
        <w:pStyle w:val="FootnoteText"/>
      </w:pPr>
      <w:r w:rsidRPr="00840494">
        <w:rPr>
          <w:rStyle w:val="FootnoteReference"/>
        </w:rPr>
        <w:footnoteRef/>
      </w:r>
      <w:r w:rsidRPr="00840494">
        <w:rPr>
          <w:rStyle w:val="FootnoteReference"/>
        </w:rPr>
        <w:t xml:space="preserve"> </w:t>
      </w:r>
      <w:r w:rsidRPr="00840494">
        <w:t>CMS</w:t>
      </w:r>
      <w:r>
        <w:t xml:space="preserve"> CCSQ </w:t>
      </w:r>
      <w:r w:rsidRPr="00840494">
        <w:t>Quality Improvement Group</w:t>
      </w:r>
      <w:r>
        <w:t xml:space="preserve"> (2014). </w:t>
      </w:r>
      <w:r w:rsidRPr="00840494">
        <w:t>Quality Innovation Network (QIN)</w:t>
      </w:r>
      <w:r>
        <w:t xml:space="preserve"> </w:t>
      </w:r>
      <w:r w:rsidRPr="00840494">
        <w:t>Quality Improvement Organization (QIO)</w:t>
      </w:r>
      <w:r>
        <w:t xml:space="preserve"> </w:t>
      </w:r>
      <w:r w:rsidRPr="00840494">
        <w:t>Scope of Work (SOW)</w:t>
      </w:r>
      <w:r>
        <w:t xml:space="preserve">. </w:t>
      </w:r>
      <w:r w:rsidRPr="00840494">
        <w:t>Task Order No. 001:</w:t>
      </w:r>
      <w:r>
        <w:t xml:space="preserve"> </w:t>
      </w:r>
      <w:r w:rsidRPr="00840494">
        <w:t>Excellence in Operations and Quality Improvement</w:t>
      </w:r>
      <w:r>
        <w:t xml:space="preserve">. </w:t>
      </w:r>
      <w:r w:rsidRPr="00840494">
        <w:t>HHSM-500-2014-RFP-QIN-QIO Attachment J.1- Task Order 001</w:t>
      </w:r>
      <w:r>
        <w:t>.</w:t>
      </w:r>
    </w:p>
  </w:footnote>
  <w:footnote w:id="12">
    <w:p w14:paraId="46864171" w14:textId="77777777" w:rsidR="00940115" w:rsidRDefault="00940115" w:rsidP="00940115">
      <w:pPr>
        <w:pStyle w:val="FootnoteText"/>
      </w:pPr>
      <w:r>
        <w:rPr>
          <w:rStyle w:val="FootnoteReference"/>
        </w:rPr>
        <w:footnoteRef/>
      </w:r>
      <w:r>
        <w:t xml:space="preserve"> The</w:t>
      </w:r>
      <w:r w:rsidRPr="00010094">
        <w:t xml:space="preserve"> NNHQCC Quality Composite Measure </w:t>
      </w:r>
      <w:r>
        <w:t>for skilled nursing facilities combines 13 different quality indicators, including measures related to resident falls, physical restraint, vaccination, and depressive symptoms.</w:t>
      </w:r>
    </w:p>
  </w:footnote>
  <w:footnote w:id="13">
    <w:p w14:paraId="27896BBC" w14:textId="77777777" w:rsidR="00940115" w:rsidRDefault="00940115" w:rsidP="00940115">
      <w:pPr>
        <w:pStyle w:val="FootnoteText"/>
      </w:pPr>
      <w:r>
        <w:rPr>
          <w:rStyle w:val="FootnoteReference"/>
        </w:rPr>
        <w:footnoteRef/>
      </w:r>
      <w:r>
        <w:t xml:space="preserve"> Quality or care planning items collected for MDS 3 via the Resident Assessment Instrument are exempt from PRA consideration pursuant to sections 4204(b) and 4214(d) of OBRA 1987</w:t>
      </w:r>
    </w:p>
  </w:footnote>
  <w:footnote w:id="14">
    <w:p w14:paraId="1FA2C8DF" w14:textId="77777777" w:rsidR="00594CE7" w:rsidRDefault="00594CE7" w:rsidP="00594CE7">
      <w:pPr>
        <w:pStyle w:val="FootnoteText"/>
      </w:pPr>
      <w:r>
        <w:rPr>
          <w:rStyle w:val="FootnoteReference"/>
        </w:rPr>
        <w:footnoteRef/>
      </w:r>
      <w:r>
        <w:t xml:space="preserve"> Ninth Scope of Work QIO Program Evaluation: Nursing Homes in Need</w:t>
      </w:r>
    </w:p>
  </w:footnote>
  <w:footnote w:id="15">
    <w:p w14:paraId="4300D89F" w14:textId="77777777" w:rsidR="00594CE7" w:rsidRDefault="00594CE7" w:rsidP="00E17BFD">
      <w:pPr>
        <w:pStyle w:val="FootnoteText"/>
      </w:pPr>
      <w:r>
        <w:rPr>
          <w:rStyle w:val="FootnoteReference"/>
        </w:rPr>
        <w:footnoteRef/>
      </w:r>
      <w:r>
        <w:t xml:space="preserve"> Eighth Scope of Work Provider Satisfaction Survey Questionnaire</w:t>
      </w:r>
    </w:p>
  </w:footnote>
  <w:footnote w:id="16">
    <w:p w14:paraId="12831BCA" w14:textId="77777777" w:rsidR="00B417E3" w:rsidRDefault="00B417E3" w:rsidP="00B417E3">
      <w:pPr>
        <w:pStyle w:val="FootnoteText"/>
      </w:pPr>
      <w:r>
        <w:rPr>
          <w:rStyle w:val="FootnoteReference"/>
        </w:rPr>
        <w:footnoteRef/>
      </w:r>
      <w:r>
        <w:t xml:space="preserve"> Tregear S, Sonnenfeld N. Market Share approach for assessing program attribution. Presented at American Evaluation Association Conference, </w:t>
      </w:r>
      <w:r w:rsidR="00E17BFD">
        <w:t>October</w:t>
      </w:r>
      <w:r>
        <w:t xml:space="preserve"> 2016 in Atlanta, GA.</w:t>
      </w:r>
    </w:p>
  </w:footnote>
  <w:footnote w:id="17">
    <w:p w14:paraId="4ACDC78F" w14:textId="77777777" w:rsidR="00B417E3" w:rsidRDefault="00B417E3" w:rsidP="00B417E3">
      <w:pPr>
        <w:pStyle w:val="FootnoteText"/>
      </w:pPr>
      <w:r>
        <w:rPr>
          <w:rStyle w:val="FootnoteReference"/>
        </w:rPr>
        <w:footnoteRef/>
      </w:r>
      <w:r>
        <w:t xml:space="preserve"> Tregear S. et al., </w:t>
      </w:r>
      <w:r w:rsidRPr="00C81D90">
        <w:t>Attribution through Market Share Analysis and Return on Investment</w:t>
      </w:r>
      <w:r>
        <w:t xml:space="preserve">. Presented at CMS Quality Conference, </w:t>
      </w:r>
      <w:r w:rsidR="00E17BFD">
        <w:t>December</w:t>
      </w:r>
      <w:r>
        <w:t xml:space="preserve"> 2016 in Baltimore, MD.</w:t>
      </w:r>
    </w:p>
  </w:footnote>
  <w:footnote w:id="18">
    <w:p w14:paraId="536D951C" w14:textId="77777777" w:rsidR="00E17BFD" w:rsidRDefault="00E17BFD">
      <w:pPr>
        <w:pStyle w:val="FootnoteText"/>
      </w:pPr>
      <w:r>
        <w:rPr>
          <w:rStyle w:val="FootnoteReference"/>
        </w:rPr>
        <w:footnoteRef/>
      </w:r>
      <w:r>
        <w:t xml:space="preserve"> </w:t>
      </w:r>
      <w:r w:rsidR="00070F28">
        <w:t xml:space="preserve">Yu, P. </w:t>
      </w:r>
      <w:r>
        <w:t>B</w:t>
      </w:r>
      <w:r w:rsidRPr="00FB5262">
        <w:t>riefing to Chief Medical Officer of CMS/</w:t>
      </w:r>
      <w:r w:rsidRPr="00E17BFD">
        <w:t>CCSQ</w:t>
      </w:r>
      <w:r w:rsidRPr="00CD7204">
        <w:t xml:space="preserve"> on July 25, 2016 in Baltimore, MD.</w:t>
      </w:r>
    </w:p>
  </w:footnote>
  <w:footnote w:id="19">
    <w:p w14:paraId="2DFE3D0C" w14:textId="77777777" w:rsidR="00940115" w:rsidRDefault="00940115" w:rsidP="00382236">
      <w:pPr>
        <w:pStyle w:val="FootnoteText"/>
        <w:ind w:left="180" w:hanging="180"/>
      </w:pPr>
      <w:r>
        <w:rPr>
          <w:rStyle w:val="FootnoteReference"/>
        </w:rPr>
        <w:footnoteRef/>
      </w:r>
      <w:r>
        <w:t xml:space="preserve"> Social Security Administration. Contracts with Quality Improvement Organizations. Retrieved January 8, 2016 from </w:t>
      </w:r>
      <w:hyperlink r:id="rId5" w:tooltip="Social Security Administration website" w:history="1">
        <w:r w:rsidRPr="003C35DA">
          <w:rPr>
            <w:rStyle w:val="Hyperlink"/>
          </w:rPr>
          <w:t>https://www.ssa.gov/OP_Home/ssact/title11/1153.htm</w:t>
        </w:r>
      </w:hyperlink>
      <w:r>
        <w:t xml:space="preserve"> </w:t>
      </w:r>
    </w:p>
  </w:footnote>
  <w:footnote w:id="20">
    <w:p w14:paraId="0D78C217" w14:textId="77777777" w:rsidR="00940115" w:rsidRDefault="00940115" w:rsidP="00382236">
      <w:pPr>
        <w:pStyle w:val="CM1"/>
        <w:spacing w:line="240" w:lineRule="auto"/>
        <w:ind w:left="180" w:hanging="180"/>
      </w:pPr>
      <w:r w:rsidRPr="00840494">
        <w:rPr>
          <w:rStyle w:val="FootnoteReference"/>
          <w:rFonts w:eastAsia="Times New Roman"/>
          <w:sz w:val="20"/>
          <w:szCs w:val="20"/>
        </w:rPr>
        <w:footnoteRef/>
      </w:r>
      <w:r w:rsidRPr="00840494">
        <w:rPr>
          <w:rStyle w:val="FootnoteReference"/>
          <w:rFonts w:eastAsia="Times New Roman"/>
          <w:sz w:val="20"/>
          <w:szCs w:val="20"/>
        </w:rPr>
        <w:t xml:space="preserve"> </w:t>
      </w:r>
      <w:r w:rsidRPr="00840494">
        <w:rPr>
          <w:rFonts w:eastAsia="Times New Roman"/>
          <w:sz w:val="20"/>
          <w:szCs w:val="20"/>
        </w:rPr>
        <w:t xml:space="preserve">Final Report of the Small Business Paperwork Relief Task Force. (2003). Retrieved May 6, 2016 from </w:t>
      </w:r>
      <w:hyperlink r:id="rId6" w:tooltip="the Small Business Administration website." w:history="1">
        <w:r w:rsidRPr="00141790">
          <w:rPr>
            <w:rStyle w:val="Hyperlink"/>
            <w:rFonts w:eastAsia="Times New Roman"/>
            <w:sz w:val="20"/>
            <w:szCs w:val="20"/>
          </w:rPr>
          <w:t xml:space="preserve">https://www.sba.gov/sites/default/files/Final%20Task%20Force%20Report_June%202003.pdf </w:t>
        </w:r>
      </w:hyperlink>
    </w:p>
  </w:footnote>
  <w:footnote w:id="21">
    <w:p w14:paraId="6CBA9FD4" w14:textId="72CBF100" w:rsidR="00940115" w:rsidRDefault="00940115" w:rsidP="00382236">
      <w:pPr>
        <w:ind w:left="180" w:hanging="180"/>
      </w:pPr>
      <w:r w:rsidRPr="00840494">
        <w:rPr>
          <w:rStyle w:val="FootnoteReference"/>
          <w:rFonts w:ascii="Times New Roman" w:eastAsia="Times New Roman" w:hAnsi="Times New Roman" w:cs="Times New Roman"/>
          <w:sz w:val="20"/>
          <w:szCs w:val="20"/>
        </w:rPr>
        <w:footnoteRef/>
      </w:r>
      <w:r>
        <w:t xml:space="preserve"> </w:t>
      </w:r>
      <w:r w:rsidRPr="00382236">
        <w:rPr>
          <w:rFonts w:ascii="Times New Roman" w:eastAsia="Times New Roman" w:hAnsi="Times New Roman" w:cs="Times New Roman"/>
          <w:sz w:val="20"/>
          <w:szCs w:val="20"/>
        </w:rPr>
        <w:t>Assuming an average</w:t>
      </w:r>
      <w:r>
        <w:rPr>
          <w:rFonts w:ascii="Times New Roman" w:eastAsia="Times New Roman" w:hAnsi="Times New Roman" w:cs="Times New Roman"/>
          <w:sz w:val="20"/>
          <w:szCs w:val="20"/>
        </w:rPr>
        <w:t xml:space="preserve"> nursing home bed</w:t>
      </w:r>
      <w:r w:rsidRPr="00382236">
        <w:rPr>
          <w:rFonts w:ascii="Times New Roman" w:eastAsia="Times New Roman" w:hAnsi="Times New Roman" w:cs="Times New Roman"/>
          <w:sz w:val="20"/>
          <w:szCs w:val="20"/>
        </w:rPr>
        <w:t xml:space="preserve"> occupancy rate of 83% and average annual cost of semi-private room of </w:t>
      </w:r>
      <w:r w:rsidRPr="00840494">
        <w:rPr>
          <w:rFonts w:ascii="Times New Roman" w:eastAsia="Times New Roman" w:hAnsi="Times New Roman" w:cs="Times New Roman"/>
          <w:sz w:val="20"/>
          <w:szCs w:val="20"/>
        </w:rPr>
        <w:t xml:space="preserve">is $74,820 </w:t>
      </w:r>
      <w:r w:rsidRPr="00382236">
        <w:rPr>
          <w:rFonts w:ascii="Times New Roman" w:eastAsia="Times New Roman" w:hAnsi="Times New Roman" w:cs="Times New Roman"/>
          <w:sz w:val="20"/>
          <w:szCs w:val="20"/>
        </w:rPr>
        <w:t xml:space="preserve">(according to http://longtermcare.gov/costs-how-to-pay/costs-of-care), nursing homes with more than 99 are </w:t>
      </w:r>
      <w:r>
        <w:rPr>
          <w:rFonts w:ascii="Times New Roman" w:eastAsia="Times New Roman" w:hAnsi="Times New Roman" w:cs="Times New Roman"/>
          <w:sz w:val="20"/>
          <w:szCs w:val="20"/>
        </w:rPr>
        <w:t>most likely large businesses</w:t>
      </w:r>
      <w:r w:rsidRPr="00382236">
        <w:rPr>
          <w:rFonts w:ascii="Times New Roman" w:eastAsia="Times New Roman" w:hAnsi="Times New Roman" w:cs="Times New Roman"/>
          <w:sz w:val="20"/>
          <w:szCs w:val="20"/>
        </w:rPr>
        <w:t xml:space="preserve"> based on the revenue description.</w:t>
      </w:r>
      <w:r>
        <w:rPr>
          <w:rFonts w:ascii="Times New Roman" w:eastAsia="Times New Roman" w:hAnsi="Times New Roman" w:cs="Times New Roman"/>
          <w:sz w:val="20"/>
          <w:szCs w:val="20"/>
        </w:rPr>
        <w:t xml:space="preserve"> Approximately 50% of nursing homes have more than 99 </w:t>
      </w:r>
      <w:r w:rsidRPr="00382236">
        <w:rPr>
          <w:rFonts w:ascii="Times New Roman" w:eastAsia="Times New Roman" w:hAnsi="Times New Roman" w:cs="Times New Roman"/>
          <w:sz w:val="20"/>
          <w:szCs w:val="20"/>
        </w:rPr>
        <w:t>bed</w:t>
      </w:r>
      <w:r>
        <w:rPr>
          <w:rFonts w:ascii="Times New Roman" w:eastAsia="Times New Roman" w:hAnsi="Times New Roman" w:cs="Times New Roman"/>
          <w:sz w:val="20"/>
          <w:szCs w:val="20"/>
        </w:rPr>
        <w:t xml:space="preserve">s </w:t>
      </w:r>
      <w:r w:rsidRPr="00382236">
        <w:rPr>
          <w:rFonts w:ascii="Times New Roman" w:eastAsia="Times New Roman" w:hAnsi="Times New Roman" w:cs="Times New Roman"/>
          <w:sz w:val="20"/>
          <w:szCs w:val="20"/>
        </w:rPr>
        <w:t xml:space="preserve">according to </w:t>
      </w:r>
      <w:hyperlink r:id="rId7" w:tooltip="Introduction to the CMS Nursing Home Data, available on the CMS website." w:history="1">
        <w:r>
          <w:rPr>
            <w:rStyle w:val="Hyperlink"/>
            <w:sz w:val="20"/>
            <w:szCs w:val="20"/>
          </w:rPr>
          <w:t>https://www.cms.gov/Medicare/Provider-Enrollment-and-Certification/ CertificationandComplianc/downloads/nursinghomedatacompendium_508.pdf</w:t>
        </w:r>
      </w:hyperlink>
      <w:r>
        <w:rPr>
          <w:rFonts w:ascii="Times New Roman" w:eastAsia="Times New Roman" w:hAnsi="Times New Roman" w:cs="Times New Roman"/>
          <w:sz w:val="20"/>
          <w:szCs w:val="20"/>
        </w:rPr>
        <w:t>.</w:t>
      </w:r>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Assuming that</w:t>
      </w:r>
      <w:r w:rsidRPr="00382236">
        <w:rPr>
          <w:rFonts w:ascii="Times New Roman" w:eastAsia="Times New Roman" w:hAnsi="Times New Roman" w:cs="Times New Roman"/>
          <w:sz w:val="20"/>
          <w:szCs w:val="20"/>
        </w:rPr>
        <w:t xml:space="preserve"> 75% of the &lt;99 nursing homes are for-</w:t>
      </w:r>
      <w:proofErr w:type="gramStart"/>
      <w:r w:rsidRPr="00382236">
        <w:rPr>
          <w:rFonts w:ascii="Times New Roman" w:eastAsia="Times New Roman" w:hAnsi="Times New Roman" w:cs="Times New Roman"/>
          <w:sz w:val="20"/>
          <w:szCs w:val="20"/>
        </w:rPr>
        <w:t>profit,</w:t>
      </w:r>
      <w:proofErr w:type="gramEnd"/>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approximately</w:t>
      </w:r>
      <w:r w:rsidRPr="00382236">
        <w:rPr>
          <w:rFonts w:ascii="Times New Roman" w:eastAsia="Times New Roman" w:hAnsi="Times New Roman" w:cs="Times New Roman"/>
          <w:sz w:val="20"/>
          <w:szCs w:val="20"/>
        </w:rPr>
        <w:t xml:space="preserve"> 37.5% of our sample is likely to be small businesses </w:t>
      </w:r>
      <w:r>
        <w:rPr>
          <w:rFonts w:ascii="Times New Roman" w:eastAsia="Times New Roman" w:hAnsi="Times New Roman" w:cs="Times New Roman"/>
          <w:sz w:val="20"/>
          <w:szCs w:val="20"/>
        </w:rPr>
        <w:t>based on the revenue definition</w:t>
      </w:r>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Since</w:t>
      </w:r>
      <w:r w:rsidRPr="00382236">
        <w:rPr>
          <w:rFonts w:ascii="Times New Roman" w:eastAsia="Times New Roman" w:hAnsi="Times New Roman" w:cs="Times New Roman"/>
          <w:sz w:val="20"/>
          <w:szCs w:val="20"/>
        </w:rPr>
        <w:t xml:space="preserve"> half of all nur</w:t>
      </w:r>
      <w:r>
        <w:rPr>
          <w:rFonts w:ascii="Times New Roman" w:eastAsia="Times New Roman" w:hAnsi="Times New Roman" w:cs="Times New Roman"/>
          <w:sz w:val="20"/>
          <w:szCs w:val="20"/>
        </w:rPr>
        <w:t>sing homes belong to chains,</w:t>
      </w:r>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portion of these nursing homes </w:t>
      </w:r>
      <w:proofErr w:type="gramStart"/>
      <w:r>
        <w:rPr>
          <w:rFonts w:ascii="Times New Roman" w:eastAsia="Times New Roman" w:hAnsi="Times New Roman" w:cs="Times New Roman"/>
          <w:sz w:val="20"/>
          <w:szCs w:val="20"/>
        </w:rPr>
        <w:t>would be</w:t>
      </w:r>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considered</w:t>
      </w:r>
      <w:proofErr w:type="gramEnd"/>
      <w:r>
        <w:rPr>
          <w:rFonts w:ascii="Times New Roman" w:eastAsia="Times New Roman" w:hAnsi="Times New Roman" w:cs="Times New Roman"/>
          <w:sz w:val="20"/>
          <w:szCs w:val="20"/>
        </w:rPr>
        <w:t xml:space="preserve"> large nursing homes. We therefore </w:t>
      </w:r>
      <w:r w:rsidRPr="00382236">
        <w:rPr>
          <w:rFonts w:ascii="Times New Roman" w:eastAsia="Times New Roman" w:hAnsi="Times New Roman" w:cs="Times New Roman"/>
          <w:sz w:val="20"/>
          <w:szCs w:val="20"/>
        </w:rPr>
        <w:t xml:space="preserve">estimate that </w:t>
      </w:r>
      <w:r>
        <w:rPr>
          <w:rFonts w:ascii="Times New Roman" w:eastAsia="Times New Roman" w:hAnsi="Times New Roman" w:cs="Times New Roman"/>
          <w:sz w:val="20"/>
          <w:szCs w:val="20"/>
        </w:rPr>
        <w:t xml:space="preserve">approximately </w:t>
      </w:r>
      <w:r w:rsidRPr="00382236">
        <w:rPr>
          <w:rFonts w:ascii="Times New Roman" w:eastAsia="Times New Roman" w:hAnsi="Times New Roman" w:cs="Times New Roman"/>
          <w:sz w:val="20"/>
          <w:szCs w:val="20"/>
        </w:rPr>
        <w:t xml:space="preserve">30% of </w:t>
      </w:r>
      <w:r>
        <w:rPr>
          <w:rFonts w:ascii="Times New Roman" w:eastAsia="Times New Roman" w:hAnsi="Times New Roman" w:cs="Times New Roman"/>
          <w:sz w:val="20"/>
          <w:szCs w:val="20"/>
        </w:rPr>
        <w:t>nursing homes in our sampling</w:t>
      </w:r>
      <w:r w:rsidRPr="003822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frame will be small businesses (800 total nursing homes x 30% = 240 nursing homes).</w:t>
      </w:r>
    </w:p>
  </w:footnote>
  <w:footnote w:id="22">
    <w:p w14:paraId="4E92800D" w14:textId="77777777" w:rsidR="00940115" w:rsidRDefault="00940115" w:rsidP="009F392A">
      <w:pPr>
        <w:pStyle w:val="FootnoteText"/>
      </w:pPr>
      <w:r>
        <w:rPr>
          <w:rStyle w:val="FootnoteReference"/>
        </w:rPr>
        <w:footnoteRef/>
      </w:r>
      <w:r>
        <w:t xml:space="preserve"> CMS. System of Records: </w:t>
      </w:r>
      <w:r w:rsidRPr="009F392A">
        <w:t>Long Term Care MDS</w:t>
      </w:r>
      <w:r>
        <w:t xml:space="preserve">. Retrieved May 18, 2016 from </w:t>
      </w:r>
      <w:hyperlink r:id="rId8" w:tooltip="www.cms.gov" w:history="1">
        <w:r w:rsidRPr="00043A06">
          <w:rPr>
            <w:rStyle w:val="Hyperlink"/>
          </w:rPr>
          <w:t>https://www.cms.gov/Research-Statistics-Data-and-Systems/Computer-Data-and-Systems/Privacy/Systems-of-Records-Items/09-70-0528-LTC-MDS.html?DLPage=1&amp;DLEntries=10&amp;DLFilter=MDS&amp;DLSort=0&amp;DLSortDir=descending</w:t>
        </w:r>
      </w:hyperlink>
    </w:p>
  </w:footnote>
  <w:footnote w:id="23">
    <w:p w14:paraId="65474C43" w14:textId="14E97022" w:rsidR="00940115" w:rsidRDefault="00940115" w:rsidP="00382236">
      <w:pPr>
        <w:pStyle w:val="FootnoteText"/>
        <w:ind w:left="180" w:hanging="180"/>
      </w:pPr>
      <w:r>
        <w:rPr>
          <w:rStyle w:val="FootnoteReference"/>
        </w:rPr>
        <w:footnoteRef/>
      </w:r>
      <w:r>
        <w:t xml:space="preserve"> Based</w:t>
      </w:r>
      <w:r w:rsidRPr="00941BA3">
        <w:t xml:space="preserve"> </w:t>
      </w:r>
      <w:r w:rsidRPr="00257046">
        <w:t>May 2015 National Industry-Specific Occupational Employment and Wage Estimates</w:t>
      </w:r>
      <w:r w:rsidRPr="00941BA3">
        <w:t xml:space="preserve">, </w:t>
      </w:r>
      <w:r>
        <w:t xml:space="preserve">Bureau of Labor Statistics. </w:t>
      </w:r>
      <w:hyperlink r:id="rId9" w:tooltip="Bureau of Labor Statistics website." w:history="1">
        <w:r w:rsidRPr="006D1D76">
          <w:rPr>
            <w:rStyle w:val="Hyperlink"/>
          </w:rPr>
          <w:t>http://www.bls.gov/oes/current/naics4_541600.htm#29-0000</w:t>
        </w:r>
      </w:hyperlink>
      <w:r>
        <w:t xml:space="preserve">. To account for benefits and overhead, 100% x the hourly wage </w:t>
      </w:r>
      <w:proofErr w:type="gramStart"/>
      <w:r>
        <w:t>was added</w:t>
      </w:r>
      <w:proofErr w:type="gramEnd"/>
      <w:r>
        <w:t xml:space="preserve"> to the hourly wage to provide the adjusted hourly wage for each group. For Nursing Home Administrators: Management Occupations</w:t>
      </w:r>
      <w:r w:rsidRPr="00941BA3">
        <w:t xml:space="preserve"> in “</w:t>
      </w:r>
      <w:r w:rsidRPr="00B830B7">
        <w:t>Nursing and Residential Care Facilities</w:t>
      </w:r>
      <w:r>
        <w:t xml:space="preserve">” </w:t>
      </w:r>
      <w:r w:rsidRPr="00941BA3">
        <w:t>(</w:t>
      </w:r>
      <w:r w:rsidRPr="000812BB">
        <w:t>North American Industry Classification System (NAICS)</w:t>
      </w:r>
      <w:r w:rsidRPr="00941BA3">
        <w:t xml:space="preserve"> </w:t>
      </w:r>
      <w:r>
        <w:t>623000</w:t>
      </w:r>
      <w:r w:rsidRPr="00941BA3">
        <w:t xml:space="preserve"> on average earned $</w:t>
      </w:r>
      <w:r w:rsidRPr="000812BB">
        <w:t xml:space="preserve">40.45 </w:t>
      </w:r>
      <w:r w:rsidRPr="00941BA3">
        <w:t>in 201</w:t>
      </w:r>
      <w:r>
        <w:t>5 (adjusted hourly wage: $80.90)</w:t>
      </w:r>
      <w:r w:rsidRPr="000812BB">
        <w:t>.</w:t>
      </w:r>
      <w:r>
        <w:t xml:space="preserve"> For QIN-QIO and QIO Leaders: The average hourly wage for Medical and Health Services Managers was </w:t>
      </w:r>
      <w:r w:rsidRPr="00791EC3">
        <w:t>$46.97</w:t>
      </w:r>
      <w:r>
        <w:t xml:space="preserve"> (adjusted: $93.94)</w:t>
      </w:r>
      <w:r w:rsidRPr="00791EC3">
        <w:t>.</w:t>
      </w:r>
      <w:r>
        <w:t xml:space="preserve"> For Peer Coaches: Participants can be administrative staff (average wage of $40.45/hour), direct care staff (LPN average wage of </w:t>
      </w:r>
      <w:r w:rsidRPr="00791EC3">
        <w:t>$22.83)</w:t>
      </w:r>
      <w:r>
        <w:t xml:space="preserve">, or family members/beneficiaries (average wage of $17.50 hour for other healthcare support), so an average wage of ($40.45 + $22.83+ $17.50)/3=$26.92 hour was calculated (adjusted: $53.84). </w:t>
      </w:r>
    </w:p>
  </w:footnote>
  <w:footnote w:id="24">
    <w:p w14:paraId="7B458280" w14:textId="77777777" w:rsidR="00940115" w:rsidRDefault="00940115">
      <w:pPr>
        <w:pStyle w:val="FootnoteText"/>
      </w:pPr>
      <w:r>
        <w:rPr>
          <w:rStyle w:val="FootnoteReference"/>
        </w:rPr>
        <w:footnoteRef/>
      </w:r>
      <w:r>
        <w:t xml:space="preserve"> . </w:t>
      </w:r>
      <w:r w:rsidRPr="00776896">
        <w:t xml:space="preserve">The survey </w:t>
      </w:r>
      <w:proofErr w:type="gramStart"/>
      <w:r w:rsidRPr="00776896">
        <w:t xml:space="preserve">is </w:t>
      </w:r>
      <w:r w:rsidR="00C61724">
        <w:t>estimated</w:t>
      </w:r>
      <w:proofErr w:type="gramEnd"/>
      <w:r w:rsidRPr="00776896">
        <w:t xml:space="preserve"> to take </w:t>
      </w:r>
      <w:r>
        <w:t xml:space="preserve">approximately </w:t>
      </w:r>
      <w:r w:rsidRPr="00776896">
        <w:t xml:space="preserve">10 </w:t>
      </w:r>
      <w:r>
        <w:t xml:space="preserve">minutes </w:t>
      </w:r>
      <w:r w:rsidR="00C61724">
        <w:t>to complete if the facility is</w:t>
      </w:r>
      <w:r>
        <w:t xml:space="preserve"> not participating in the QIN-QIO program. The survey </w:t>
      </w:r>
      <w:proofErr w:type="gramStart"/>
      <w:r>
        <w:t xml:space="preserve">is </w:t>
      </w:r>
      <w:r w:rsidR="00C61724">
        <w:t>estimated</w:t>
      </w:r>
      <w:proofErr w:type="gramEnd"/>
      <w:r>
        <w:t xml:space="preserve"> to take approximately </w:t>
      </w:r>
      <w:r w:rsidRPr="00776896">
        <w:t>20 minutes to complete</w:t>
      </w:r>
      <w:r>
        <w:t xml:space="preserve"> </w:t>
      </w:r>
      <w:r w:rsidR="00C61724">
        <w:t>if the facility</w:t>
      </w:r>
      <w:r>
        <w:t xml:space="preserve"> is participating in the QIO program, because the survey includes additional questions related to interactions with the QIO. The </w:t>
      </w:r>
      <w:proofErr w:type="gramStart"/>
      <w:r>
        <w:t>average survey response time</w:t>
      </w:r>
      <w:proofErr w:type="gramEnd"/>
      <w:r>
        <w:t xml:space="preserve"> across both groups is 15</w:t>
      </w:r>
      <w:r w:rsidRPr="00CE5012">
        <w:t xml:space="preserve"> minutes.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DE889F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15:restartNumberingAfterBreak="0">
    <w:nsid w:val="FFFFFF89"/>
    <w:multiLevelType w:val="singleLevel"/>
    <w:tmpl w:val="F8BCEF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8A2ABB"/>
    <w:multiLevelType w:val="hybridMultilevel"/>
    <w:tmpl w:val="FA4E4848"/>
    <w:lvl w:ilvl="0" w:tplc="55261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6194"/>
    <w:multiLevelType w:val="multilevel"/>
    <w:tmpl w:val="DAF48430"/>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17BB"/>
    <w:multiLevelType w:val="hybridMultilevel"/>
    <w:tmpl w:val="277AC75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ABE0F4E"/>
    <w:multiLevelType w:val="hybridMultilevel"/>
    <w:tmpl w:val="A3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F55B0"/>
    <w:multiLevelType w:val="hybridMultilevel"/>
    <w:tmpl w:val="49581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CC6F4C"/>
    <w:multiLevelType w:val="hybridMultilevel"/>
    <w:tmpl w:val="0780065C"/>
    <w:lvl w:ilvl="0" w:tplc="04090001">
      <w:start w:val="1"/>
      <w:numFmt w:val="bullet"/>
      <w:lvlText w:val=""/>
      <w:lvlJc w:val="left"/>
      <w:pPr>
        <w:ind w:left="1080" w:hanging="360"/>
      </w:pPr>
      <w:rPr>
        <w:rFonts w:ascii="Symbol" w:hAnsi="Symbol" w:hint="default"/>
        <w:color w:val="auto"/>
        <w:sz w:val="22"/>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9" w15:restartNumberingAfterBreak="0">
    <w:nsid w:val="2C6148A7"/>
    <w:multiLevelType w:val="hybridMultilevel"/>
    <w:tmpl w:val="E4B47C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EA8"/>
    <w:multiLevelType w:val="hybridMultilevel"/>
    <w:tmpl w:val="1344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75E0F"/>
    <w:multiLevelType w:val="hybridMultilevel"/>
    <w:tmpl w:val="9A809F94"/>
    <w:lvl w:ilvl="0" w:tplc="04090001">
      <w:start w:val="1"/>
      <w:numFmt w:val="bullet"/>
      <w:lvlText w:val=""/>
      <w:lvlJc w:val="left"/>
      <w:pPr>
        <w:ind w:left="720" w:hanging="360"/>
      </w:pPr>
      <w:rPr>
        <w:rFonts w:ascii="Symbol" w:hAnsi="Symbol" w:hint="default"/>
      </w:rPr>
    </w:lvl>
    <w:lvl w:ilvl="1" w:tplc="A2E6C0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D3286"/>
    <w:multiLevelType w:val="hybridMultilevel"/>
    <w:tmpl w:val="80B4F672"/>
    <w:lvl w:ilvl="0" w:tplc="04090017">
      <w:start w:val="1"/>
      <w:numFmt w:val="lowerLetter"/>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241A5"/>
    <w:multiLevelType w:val="multilevel"/>
    <w:tmpl w:val="CC0A3BB6"/>
    <w:lvl w:ilvl="0">
      <w:start w:val="1"/>
      <w:numFmt w:val="none"/>
      <w:pStyle w:val="Heading1"/>
      <w:lvlText w:val=""/>
      <w:lvlJc w:val="left"/>
      <w:pPr>
        <w:ind w:left="0" w:firstLine="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72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79DF251F"/>
    <w:multiLevelType w:val="hybridMultilevel"/>
    <w:tmpl w:val="917A6794"/>
    <w:lvl w:ilvl="0" w:tplc="0409000F">
      <w:start w:val="1"/>
      <w:numFmt w:val="decimal"/>
      <w:lvlText w:val="%1."/>
      <w:lvlJc w:val="left"/>
      <w:pPr>
        <w:ind w:left="720" w:hanging="360"/>
      </w:pPr>
    </w:lvl>
    <w:lvl w:ilvl="1" w:tplc="016A97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E6695"/>
    <w:multiLevelType w:val="hybridMultilevel"/>
    <w:tmpl w:val="77C64E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
  </w:num>
  <w:num w:numId="5">
    <w:abstractNumId w:val="14"/>
  </w:num>
  <w:num w:numId="6">
    <w:abstractNumId w:val="14"/>
    <w:lvlOverride w:ilvl="0">
      <w:lvl w:ilvl="0">
        <w:start w:val="1"/>
        <w:numFmt w:val="none"/>
        <w:pStyle w:val="Heading1"/>
        <w:lvlText w:val=""/>
        <w:lvlJc w:val="left"/>
        <w:pPr>
          <w:ind w:left="0" w:firstLine="0"/>
        </w:pPr>
        <w:rPr>
          <w:rFonts w:hint="default"/>
        </w:rPr>
      </w:lvl>
    </w:lvlOverride>
    <w:lvlOverride w:ilvl="1">
      <w:lvl w:ilvl="1">
        <w:start w:val="1"/>
        <w:numFmt w:val="upperLetter"/>
        <w:pStyle w:val="Heading2"/>
        <w:lvlText w:val="%2."/>
        <w:lvlJc w:val="left"/>
        <w:pPr>
          <w:ind w:left="360" w:hanging="360"/>
        </w:pPr>
        <w:rPr>
          <w:rFonts w:hint="default"/>
        </w:rPr>
      </w:lvl>
    </w:lvlOverride>
    <w:lvlOverride w:ilvl="2">
      <w:lvl w:ilvl="2">
        <w:start w:val="1"/>
        <w:numFmt w:val="decimal"/>
        <w:pStyle w:val="Heading3"/>
        <w:lvlText w:val="%3."/>
        <w:lvlJc w:val="left"/>
        <w:pPr>
          <w:ind w:left="3150" w:hanging="36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abstractNumId w:val="1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0"/>
  </w:num>
  <w:num w:numId="13">
    <w:abstractNumId w:val="13"/>
  </w:num>
  <w:num w:numId="14">
    <w:abstractNumId w:val="5"/>
  </w:num>
  <w:num w:numId="15">
    <w:abstractNumId w:val="16"/>
  </w:num>
  <w:num w:numId="16">
    <w:abstractNumId w:val="4"/>
  </w:num>
  <w:num w:numId="17">
    <w:abstractNumId w:val="12"/>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DD"/>
    <w:rsid w:val="00001EE8"/>
    <w:rsid w:val="00010094"/>
    <w:rsid w:val="000120DC"/>
    <w:rsid w:val="00013D03"/>
    <w:rsid w:val="00016E8C"/>
    <w:rsid w:val="000245DD"/>
    <w:rsid w:val="00043875"/>
    <w:rsid w:val="0004585C"/>
    <w:rsid w:val="00046A97"/>
    <w:rsid w:val="00066C5F"/>
    <w:rsid w:val="00070F28"/>
    <w:rsid w:val="0007432C"/>
    <w:rsid w:val="00076B33"/>
    <w:rsid w:val="00081C61"/>
    <w:rsid w:val="00096C18"/>
    <w:rsid w:val="000A62B8"/>
    <w:rsid w:val="000B7D15"/>
    <w:rsid w:val="000D5B42"/>
    <w:rsid w:val="000D6AF0"/>
    <w:rsid w:val="000E58F3"/>
    <w:rsid w:val="000F7DDC"/>
    <w:rsid w:val="0010352D"/>
    <w:rsid w:val="00104343"/>
    <w:rsid w:val="001201F0"/>
    <w:rsid w:val="00122380"/>
    <w:rsid w:val="001256D8"/>
    <w:rsid w:val="001316AE"/>
    <w:rsid w:val="00141790"/>
    <w:rsid w:val="00142980"/>
    <w:rsid w:val="00150250"/>
    <w:rsid w:val="0015274D"/>
    <w:rsid w:val="0016156A"/>
    <w:rsid w:val="00173E85"/>
    <w:rsid w:val="001779CE"/>
    <w:rsid w:val="00181B7C"/>
    <w:rsid w:val="00193932"/>
    <w:rsid w:val="00194BD7"/>
    <w:rsid w:val="001A3AEE"/>
    <w:rsid w:val="001A76F5"/>
    <w:rsid w:val="001B3F0B"/>
    <w:rsid w:val="001B50B6"/>
    <w:rsid w:val="001C044F"/>
    <w:rsid w:val="001C4752"/>
    <w:rsid w:val="001D189A"/>
    <w:rsid w:val="001E2196"/>
    <w:rsid w:val="001E41A5"/>
    <w:rsid w:val="001E71D1"/>
    <w:rsid w:val="001F518D"/>
    <w:rsid w:val="002138FD"/>
    <w:rsid w:val="00215FC6"/>
    <w:rsid w:val="00232D36"/>
    <w:rsid w:val="00232EFC"/>
    <w:rsid w:val="00237EB7"/>
    <w:rsid w:val="00242A5D"/>
    <w:rsid w:val="00255006"/>
    <w:rsid w:val="00262F20"/>
    <w:rsid w:val="00263F2B"/>
    <w:rsid w:val="00280721"/>
    <w:rsid w:val="00284166"/>
    <w:rsid w:val="00295844"/>
    <w:rsid w:val="00296098"/>
    <w:rsid w:val="002A26DA"/>
    <w:rsid w:val="002B33BF"/>
    <w:rsid w:val="002B51E2"/>
    <w:rsid w:val="002C188A"/>
    <w:rsid w:val="002D2481"/>
    <w:rsid w:val="002D5F32"/>
    <w:rsid w:val="002F4F2C"/>
    <w:rsid w:val="002F4FD9"/>
    <w:rsid w:val="002F7B94"/>
    <w:rsid w:val="00301A0D"/>
    <w:rsid w:val="003063F9"/>
    <w:rsid w:val="00315107"/>
    <w:rsid w:val="00342106"/>
    <w:rsid w:val="00352D1B"/>
    <w:rsid w:val="003668D8"/>
    <w:rsid w:val="003706B5"/>
    <w:rsid w:val="003708EF"/>
    <w:rsid w:val="00382236"/>
    <w:rsid w:val="003B2743"/>
    <w:rsid w:val="003B6953"/>
    <w:rsid w:val="003C48A6"/>
    <w:rsid w:val="003D1135"/>
    <w:rsid w:val="003D1E09"/>
    <w:rsid w:val="003D700F"/>
    <w:rsid w:val="003D7D87"/>
    <w:rsid w:val="003E71A1"/>
    <w:rsid w:val="003E77B3"/>
    <w:rsid w:val="00407D2A"/>
    <w:rsid w:val="00410294"/>
    <w:rsid w:val="00415AA0"/>
    <w:rsid w:val="004250F0"/>
    <w:rsid w:val="0042549A"/>
    <w:rsid w:val="00445D0D"/>
    <w:rsid w:val="004516CC"/>
    <w:rsid w:val="0045238C"/>
    <w:rsid w:val="00477383"/>
    <w:rsid w:val="00483188"/>
    <w:rsid w:val="00494584"/>
    <w:rsid w:val="004950E9"/>
    <w:rsid w:val="00496FB5"/>
    <w:rsid w:val="004A0E3F"/>
    <w:rsid w:val="004A7989"/>
    <w:rsid w:val="004C79AA"/>
    <w:rsid w:val="004E5F09"/>
    <w:rsid w:val="005158A0"/>
    <w:rsid w:val="00523315"/>
    <w:rsid w:val="005305E3"/>
    <w:rsid w:val="00535673"/>
    <w:rsid w:val="00543BDE"/>
    <w:rsid w:val="0056486A"/>
    <w:rsid w:val="00566A2D"/>
    <w:rsid w:val="00572D20"/>
    <w:rsid w:val="00581785"/>
    <w:rsid w:val="00590ED6"/>
    <w:rsid w:val="00594CE7"/>
    <w:rsid w:val="00595B0F"/>
    <w:rsid w:val="005B4EB5"/>
    <w:rsid w:val="005C2576"/>
    <w:rsid w:val="005C3AB3"/>
    <w:rsid w:val="005D428F"/>
    <w:rsid w:val="005D5149"/>
    <w:rsid w:val="005E3F74"/>
    <w:rsid w:val="005E477C"/>
    <w:rsid w:val="0060464E"/>
    <w:rsid w:val="006061C1"/>
    <w:rsid w:val="00620EC6"/>
    <w:rsid w:val="0062186F"/>
    <w:rsid w:val="00622C01"/>
    <w:rsid w:val="00635CF0"/>
    <w:rsid w:val="006376B3"/>
    <w:rsid w:val="00643054"/>
    <w:rsid w:val="006466A2"/>
    <w:rsid w:val="00663652"/>
    <w:rsid w:val="006762F4"/>
    <w:rsid w:val="00693524"/>
    <w:rsid w:val="00697125"/>
    <w:rsid w:val="006A5F46"/>
    <w:rsid w:val="006A67E1"/>
    <w:rsid w:val="006B00A2"/>
    <w:rsid w:val="006B5D06"/>
    <w:rsid w:val="006B69BC"/>
    <w:rsid w:val="006C0F34"/>
    <w:rsid w:val="006C3794"/>
    <w:rsid w:val="006C3CDC"/>
    <w:rsid w:val="006C7B7D"/>
    <w:rsid w:val="006D1D76"/>
    <w:rsid w:val="006E28AF"/>
    <w:rsid w:val="006F0CD3"/>
    <w:rsid w:val="00705F08"/>
    <w:rsid w:val="00713147"/>
    <w:rsid w:val="00715406"/>
    <w:rsid w:val="00743595"/>
    <w:rsid w:val="00745C96"/>
    <w:rsid w:val="00752266"/>
    <w:rsid w:val="0076270F"/>
    <w:rsid w:val="0077418A"/>
    <w:rsid w:val="00775121"/>
    <w:rsid w:val="007805A1"/>
    <w:rsid w:val="007805E0"/>
    <w:rsid w:val="00786CB0"/>
    <w:rsid w:val="00790061"/>
    <w:rsid w:val="00790CA8"/>
    <w:rsid w:val="00791EC3"/>
    <w:rsid w:val="007A1312"/>
    <w:rsid w:val="007A32C7"/>
    <w:rsid w:val="007C1BF3"/>
    <w:rsid w:val="007C2F2D"/>
    <w:rsid w:val="007C5B30"/>
    <w:rsid w:val="007C5EFC"/>
    <w:rsid w:val="007C714B"/>
    <w:rsid w:val="007E6989"/>
    <w:rsid w:val="007E70E6"/>
    <w:rsid w:val="00814EFE"/>
    <w:rsid w:val="00816958"/>
    <w:rsid w:val="00832660"/>
    <w:rsid w:val="008365CA"/>
    <w:rsid w:val="008378B9"/>
    <w:rsid w:val="00840494"/>
    <w:rsid w:val="008423EB"/>
    <w:rsid w:val="00856DD9"/>
    <w:rsid w:val="00862401"/>
    <w:rsid w:val="00865D09"/>
    <w:rsid w:val="0086654C"/>
    <w:rsid w:val="00875DC4"/>
    <w:rsid w:val="00881683"/>
    <w:rsid w:val="00887328"/>
    <w:rsid w:val="00895510"/>
    <w:rsid w:val="00895863"/>
    <w:rsid w:val="00895D1F"/>
    <w:rsid w:val="008A165F"/>
    <w:rsid w:val="008A6665"/>
    <w:rsid w:val="008A77A1"/>
    <w:rsid w:val="008C3CC3"/>
    <w:rsid w:val="008D0767"/>
    <w:rsid w:val="008D6AFA"/>
    <w:rsid w:val="008D6D00"/>
    <w:rsid w:val="008F2067"/>
    <w:rsid w:val="008F4D3B"/>
    <w:rsid w:val="0090562A"/>
    <w:rsid w:val="00905CB8"/>
    <w:rsid w:val="009077F1"/>
    <w:rsid w:val="00916AEC"/>
    <w:rsid w:val="00923809"/>
    <w:rsid w:val="00927263"/>
    <w:rsid w:val="00940115"/>
    <w:rsid w:val="00940F8B"/>
    <w:rsid w:val="00944D55"/>
    <w:rsid w:val="00947E60"/>
    <w:rsid w:val="009731F5"/>
    <w:rsid w:val="0098003C"/>
    <w:rsid w:val="00981FC4"/>
    <w:rsid w:val="00986B1A"/>
    <w:rsid w:val="00991CF0"/>
    <w:rsid w:val="009954D3"/>
    <w:rsid w:val="009B5C27"/>
    <w:rsid w:val="009C5528"/>
    <w:rsid w:val="009C7FB2"/>
    <w:rsid w:val="009D1161"/>
    <w:rsid w:val="009D2D68"/>
    <w:rsid w:val="009F392A"/>
    <w:rsid w:val="00A01C58"/>
    <w:rsid w:val="00A054B0"/>
    <w:rsid w:val="00A30BB2"/>
    <w:rsid w:val="00A31D11"/>
    <w:rsid w:val="00A4450D"/>
    <w:rsid w:val="00A72FB8"/>
    <w:rsid w:val="00A737EC"/>
    <w:rsid w:val="00A8765C"/>
    <w:rsid w:val="00A87CDD"/>
    <w:rsid w:val="00A97777"/>
    <w:rsid w:val="00AA00E1"/>
    <w:rsid w:val="00AA04EC"/>
    <w:rsid w:val="00AA5ED2"/>
    <w:rsid w:val="00AB718D"/>
    <w:rsid w:val="00AB7307"/>
    <w:rsid w:val="00AB7771"/>
    <w:rsid w:val="00AD6659"/>
    <w:rsid w:val="00AE521F"/>
    <w:rsid w:val="00AE5EA6"/>
    <w:rsid w:val="00AF0CC4"/>
    <w:rsid w:val="00AF33C9"/>
    <w:rsid w:val="00AF6DD6"/>
    <w:rsid w:val="00B14712"/>
    <w:rsid w:val="00B2392C"/>
    <w:rsid w:val="00B23B29"/>
    <w:rsid w:val="00B23C6F"/>
    <w:rsid w:val="00B30286"/>
    <w:rsid w:val="00B417E3"/>
    <w:rsid w:val="00B44E77"/>
    <w:rsid w:val="00B47D3E"/>
    <w:rsid w:val="00B651A3"/>
    <w:rsid w:val="00B6660F"/>
    <w:rsid w:val="00B71B5A"/>
    <w:rsid w:val="00B76439"/>
    <w:rsid w:val="00B87BE0"/>
    <w:rsid w:val="00B904EE"/>
    <w:rsid w:val="00B950AC"/>
    <w:rsid w:val="00BA2B20"/>
    <w:rsid w:val="00BA3DF2"/>
    <w:rsid w:val="00BB04B4"/>
    <w:rsid w:val="00BB1409"/>
    <w:rsid w:val="00BB6983"/>
    <w:rsid w:val="00BB7B2E"/>
    <w:rsid w:val="00BC305F"/>
    <w:rsid w:val="00BC619D"/>
    <w:rsid w:val="00BD22B4"/>
    <w:rsid w:val="00BD2434"/>
    <w:rsid w:val="00BF4287"/>
    <w:rsid w:val="00BF5AB5"/>
    <w:rsid w:val="00C04E1C"/>
    <w:rsid w:val="00C142A6"/>
    <w:rsid w:val="00C1668E"/>
    <w:rsid w:val="00C26F85"/>
    <w:rsid w:val="00C433C8"/>
    <w:rsid w:val="00C61724"/>
    <w:rsid w:val="00C67D62"/>
    <w:rsid w:val="00C814EB"/>
    <w:rsid w:val="00C828CC"/>
    <w:rsid w:val="00C867AA"/>
    <w:rsid w:val="00CA3B62"/>
    <w:rsid w:val="00CB1B79"/>
    <w:rsid w:val="00CB30F8"/>
    <w:rsid w:val="00CB51A1"/>
    <w:rsid w:val="00CB64E3"/>
    <w:rsid w:val="00CD4077"/>
    <w:rsid w:val="00CD7204"/>
    <w:rsid w:val="00CF71BA"/>
    <w:rsid w:val="00D066FB"/>
    <w:rsid w:val="00D113D7"/>
    <w:rsid w:val="00D308CF"/>
    <w:rsid w:val="00D3126B"/>
    <w:rsid w:val="00D33A08"/>
    <w:rsid w:val="00D373E2"/>
    <w:rsid w:val="00D44EB5"/>
    <w:rsid w:val="00D537E3"/>
    <w:rsid w:val="00D5652C"/>
    <w:rsid w:val="00D64642"/>
    <w:rsid w:val="00D80951"/>
    <w:rsid w:val="00DC4DDC"/>
    <w:rsid w:val="00DC5451"/>
    <w:rsid w:val="00DD07D5"/>
    <w:rsid w:val="00DD2DE0"/>
    <w:rsid w:val="00DF207D"/>
    <w:rsid w:val="00DF459C"/>
    <w:rsid w:val="00DF4F98"/>
    <w:rsid w:val="00E17B5A"/>
    <w:rsid w:val="00E17BFD"/>
    <w:rsid w:val="00E229E7"/>
    <w:rsid w:val="00E30D5A"/>
    <w:rsid w:val="00E3426E"/>
    <w:rsid w:val="00E439C8"/>
    <w:rsid w:val="00E51ECD"/>
    <w:rsid w:val="00E64148"/>
    <w:rsid w:val="00E8403D"/>
    <w:rsid w:val="00E9068B"/>
    <w:rsid w:val="00EA6391"/>
    <w:rsid w:val="00EB34C1"/>
    <w:rsid w:val="00EC27A8"/>
    <w:rsid w:val="00EC40EF"/>
    <w:rsid w:val="00EC524A"/>
    <w:rsid w:val="00ED1B45"/>
    <w:rsid w:val="00ED229A"/>
    <w:rsid w:val="00EE18D7"/>
    <w:rsid w:val="00EE1EF2"/>
    <w:rsid w:val="00EE2830"/>
    <w:rsid w:val="00EF042F"/>
    <w:rsid w:val="00EF3D4C"/>
    <w:rsid w:val="00F044C4"/>
    <w:rsid w:val="00F06B61"/>
    <w:rsid w:val="00F11961"/>
    <w:rsid w:val="00F220A2"/>
    <w:rsid w:val="00F22378"/>
    <w:rsid w:val="00F22F13"/>
    <w:rsid w:val="00F3775A"/>
    <w:rsid w:val="00F37C54"/>
    <w:rsid w:val="00F43245"/>
    <w:rsid w:val="00F47458"/>
    <w:rsid w:val="00F51390"/>
    <w:rsid w:val="00F52A18"/>
    <w:rsid w:val="00F53B6F"/>
    <w:rsid w:val="00F541EC"/>
    <w:rsid w:val="00F615F0"/>
    <w:rsid w:val="00F6531D"/>
    <w:rsid w:val="00F834C9"/>
    <w:rsid w:val="00F87D8C"/>
    <w:rsid w:val="00FA6F10"/>
    <w:rsid w:val="00FB4853"/>
    <w:rsid w:val="00FB5262"/>
    <w:rsid w:val="00FD4603"/>
    <w:rsid w:val="00FE3BEE"/>
    <w:rsid w:val="00FE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742A8"/>
  <w15:chartTrackingRefBased/>
  <w15:docId w15:val="{ABB9739A-BFE3-45E0-8E4D-74BCF83F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DD"/>
    <w:pPr>
      <w:spacing w:line="240" w:lineRule="auto"/>
    </w:pPr>
    <w:rPr>
      <w:sz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23809"/>
    <w:pPr>
      <w:keepNext/>
      <w:keepLines/>
      <w:numPr>
        <w:ilvl w:val="1"/>
        <w:numId w:val="5"/>
      </w:numPr>
      <w:spacing w:before="240"/>
      <w:outlineLvl w:val="1"/>
    </w:pPr>
    <w:rPr>
      <w:rFonts w:asciiTheme="majorHAnsi" w:eastAsiaTheme="majorEastAsia" w:hAnsiTheme="majorHAnsi" w:cstheme="majorBidi"/>
      <w:b/>
      <w:szCs w:val="26"/>
      <w:u w:val="single"/>
    </w:rPr>
  </w:style>
  <w:style w:type="paragraph" w:styleId="Heading3">
    <w:name w:val="heading 3"/>
    <w:basedOn w:val="Normal"/>
    <w:next w:val="Normal"/>
    <w:link w:val="Heading3Char"/>
    <w:uiPriority w:val="9"/>
    <w:unhideWhenUsed/>
    <w:qFormat/>
    <w:rsid w:val="007E70E6"/>
    <w:pPr>
      <w:keepNext/>
      <w:keepLines/>
      <w:numPr>
        <w:ilvl w:val="2"/>
        <w:numId w:val="6"/>
      </w:numPr>
      <w:spacing w:before="160"/>
      <w:ind w:left="36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qFormat/>
    <w:rsid w:val="00A87CD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923809"/>
    <w:rPr>
      <w:rFonts w:asciiTheme="majorHAnsi" w:eastAsiaTheme="majorEastAsia" w:hAnsiTheme="majorHAnsi" w:cstheme="majorBidi"/>
      <w:b/>
      <w:sz w:val="24"/>
      <w:szCs w:val="26"/>
      <w:u w:val="single"/>
    </w:rPr>
  </w:style>
  <w:style w:type="character" w:styleId="FootnoteReference">
    <w:name w:val="footnote reference"/>
    <w:uiPriority w:val="99"/>
    <w:rsid w:val="00A87CDD"/>
  </w:style>
  <w:style w:type="paragraph" w:styleId="FootnoteText">
    <w:name w:val="footnote text"/>
    <w:basedOn w:val="Normal"/>
    <w:link w:val="FootnoteTextChar"/>
    <w:uiPriority w:val="99"/>
    <w:rsid w:val="00A87CDD"/>
    <w:pPr>
      <w:widowControl w:val="0"/>
      <w:autoSpaceDE w:val="0"/>
      <w:autoSpaceDN w:val="0"/>
      <w:adjustRightInd w:val="0"/>
      <w:spacing w:after="60"/>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87CD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spacing w:after="0"/>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spacing w:after="0"/>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7E70E6"/>
    <w:rPr>
      <w:rFonts w:asciiTheme="majorHAnsi" w:eastAsiaTheme="majorEastAsia" w:hAnsiTheme="majorHAnsi" w:cstheme="majorBidi"/>
      <w:sz w:val="24"/>
      <w:szCs w:val="24"/>
      <w:u w:val="single"/>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Survey,Bullet List,Issue Action POC,List Paragraph1,3,POCG Table Text,Dot pt,F5 List Paragraph,List Paragraph Char Char Char,Indicator Text,Colorful List - Accent 11,Numbered Para 1,Bullet 1,Bullet Points,List Paragraph2"/>
    <w:basedOn w:val="Normal"/>
    <w:link w:val="ListParagraphChar"/>
    <w:uiPriority w:val="34"/>
    <w:qFormat/>
    <w:rsid w:val="00A87CDD"/>
    <w:pPr>
      <w:spacing w:after="0"/>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rsid w:val="00A87CDD"/>
    <w:rPr>
      <w:sz w:val="16"/>
      <w:szCs w:val="16"/>
    </w:rPr>
  </w:style>
  <w:style w:type="paragraph" w:styleId="CommentText">
    <w:name w:val="annotation text"/>
    <w:basedOn w:val="Normal"/>
    <w:link w:val="CommentTextChar"/>
    <w:rsid w:val="00A87CDD"/>
    <w:pPr>
      <w:widowControl w:val="0"/>
      <w:autoSpaceDE w:val="0"/>
      <w:autoSpaceDN w:val="0"/>
      <w:adjustRightInd w:val="0"/>
      <w:spacing w:before="120" w:after="120"/>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semiHidden/>
    <w:rsid w:val="00A87CD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45C96"/>
    <w:rPr>
      <w:color w:val="0563C1"/>
      <w:u w:val="single"/>
    </w:rPr>
  </w:style>
  <w:style w:type="character" w:styleId="FollowedHyperlink">
    <w:name w:val="FollowedHyperlink"/>
    <w:basedOn w:val="DefaultParagraphFont"/>
    <w:uiPriority w:val="99"/>
    <w:semiHidden/>
    <w:unhideWhenUsed/>
    <w:rsid w:val="00745C96"/>
    <w:rPr>
      <w:color w:val="954F72" w:themeColor="followedHyperlink"/>
      <w:u w:val="single"/>
    </w:rPr>
  </w:style>
  <w:style w:type="paragraph" w:customStyle="1" w:styleId="Default">
    <w:name w:val="Default"/>
    <w:rsid w:val="008404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840494"/>
    <w:pPr>
      <w:spacing w:line="911" w:lineRule="atLeast"/>
    </w:pPr>
    <w:rPr>
      <w:color w:val="auto"/>
    </w:rPr>
  </w:style>
  <w:style w:type="paragraph" w:customStyle="1" w:styleId="DocTitle">
    <w:name w:val="Doc Title"/>
    <w:rsid w:val="00840494"/>
    <w:pPr>
      <w:spacing w:before="400" w:after="240" w:line="240" w:lineRule="auto"/>
      <w:ind w:left="1354"/>
      <w:jc w:val="right"/>
    </w:pPr>
    <w:rPr>
      <w:rFonts w:ascii="Arial Narrow" w:eastAsia="Times New Roman" w:hAnsi="Arial Narrow" w:cs="Times New Roman"/>
      <w:b/>
      <w:sz w:val="46"/>
      <w:szCs w:val="46"/>
    </w:rPr>
  </w:style>
  <w:style w:type="paragraph" w:customStyle="1" w:styleId="CustomerProgram">
    <w:name w:val="CustomerProgram"/>
    <w:basedOn w:val="Normal"/>
    <w:link w:val="CustomerProgramChar"/>
    <w:rsid w:val="00840494"/>
    <w:pPr>
      <w:spacing w:before="400" w:after="0"/>
      <w:jc w:val="right"/>
    </w:pPr>
    <w:rPr>
      <w:rFonts w:ascii="Arial Narrow" w:eastAsia="Times New Roman" w:hAnsi="Arial Narrow" w:cs="Times New Roman"/>
      <w:b/>
      <w:sz w:val="32"/>
      <w:szCs w:val="24"/>
    </w:rPr>
  </w:style>
  <w:style w:type="character" w:customStyle="1" w:styleId="CustomerProgramChar">
    <w:name w:val="CustomerProgram Char"/>
    <w:basedOn w:val="DefaultParagraphFont"/>
    <w:link w:val="CustomerProgram"/>
    <w:rsid w:val="00840494"/>
    <w:rPr>
      <w:rFonts w:ascii="Arial Narrow" w:eastAsia="Times New Roman" w:hAnsi="Arial Narrow" w:cs="Times New Roman"/>
      <w:b/>
      <w:sz w:val="32"/>
      <w:szCs w:val="24"/>
    </w:rPr>
  </w:style>
  <w:style w:type="paragraph" w:styleId="NoSpacing">
    <w:name w:val="No Spacing"/>
    <w:uiPriority w:val="1"/>
    <w:qFormat/>
    <w:rsid w:val="00840494"/>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Survey Char,Bullet List Char,Issue Action POC Char,List Paragraph1 Char,3 Char,POCG Table Text Char,Dot pt Char,F5 List Paragraph Char,List Paragraph Char Char Char Char,Indicator Text Char,Numbered Para 1 Char"/>
    <w:link w:val="ListParagraph"/>
    <w:uiPriority w:val="34"/>
    <w:locked/>
    <w:rsid w:val="00FB4853"/>
    <w:rPr>
      <w:sz w:val="24"/>
    </w:rPr>
  </w:style>
  <w:style w:type="paragraph" w:styleId="ListNumber">
    <w:name w:val="List Number"/>
    <w:basedOn w:val="Normal"/>
    <w:uiPriority w:val="99"/>
    <w:rsid w:val="00FB4853"/>
    <w:pPr>
      <w:widowControl w:val="0"/>
      <w:numPr>
        <w:numId w:val="12"/>
      </w:numPr>
      <w:autoSpaceDE w:val="0"/>
      <w:autoSpaceDN w:val="0"/>
      <w:adjustRightInd w:val="0"/>
      <w:spacing w:after="240"/>
    </w:pPr>
    <w:rPr>
      <w:rFonts w:ascii="Times New Roman" w:eastAsia="Times New Roman" w:hAnsi="Times New Roman" w:cs="Times New Roman"/>
      <w:szCs w:val="24"/>
    </w:rPr>
  </w:style>
  <w:style w:type="paragraph" w:customStyle="1" w:styleId="responses">
    <w:name w:val="responses"/>
    <w:basedOn w:val="Normal"/>
    <w:qFormat/>
    <w:rsid w:val="00916AEC"/>
    <w:pPr>
      <w:spacing w:before="200" w:after="200"/>
      <w:ind w:left="720"/>
      <w:contextualSpacing/>
    </w:pPr>
    <w:rPr>
      <w:rFonts w:ascii="Times New Roman" w:hAnsi="Times New Roman" w:cs="Times New Roman"/>
      <w:szCs w:val="24"/>
    </w:rPr>
  </w:style>
  <w:style w:type="paragraph" w:styleId="BodyText2">
    <w:name w:val="Body Text 2"/>
    <w:basedOn w:val="Normal"/>
    <w:link w:val="BodyText2Char"/>
    <w:uiPriority w:val="99"/>
    <w:unhideWhenUsed/>
    <w:rsid w:val="007E70E6"/>
    <w:pPr>
      <w:spacing w:before="120" w:after="120"/>
      <w:ind w:left="360"/>
    </w:pPr>
  </w:style>
  <w:style w:type="character" w:customStyle="1" w:styleId="BodyText2Char">
    <w:name w:val="Body Text 2 Char"/>
    <w:basedOn w:val="DefaultParagraphFont"/>
    <w:link w:val="BodyText2"/>
    <w:uiPriority w:val="99"/>
    <w:rsid w:val="007E70E6"/>
    <w:rPr>
      <w:sz w:val="24"/>
    </w:rPr>
  </w:style>
  <w:style w:type="paragraph" w:customStyle="1" w:styleId="alignleft">
    <w:name w:val="alignleft"/>
    <w:basedOn w:val="Normal"/>
    <w:rsid w:val="00262F20"/>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215FC6"/>
    <w:pPr>
      <w:spacing w:after="0" w:line="240" w:lineRule="auto"/>
    </w:pPr>
    <w:rPr>
      <w:sz w:val="24"/>
    </w:rPr>
  </w:style>
  <w:style w:type="paragraph" w:customStyle="1" w:styleId="BackMatterHeading">
    <w:name w:val="Back Matter Heading"/>
    <w:next w:val="Normal"/>
    <w:qFormat/>
    <w:rsid w:val="00352D1B"/>
    <w:pPr>
      <w:keepNext/>
      <w:spacing w:after="480" w:line="240" w:lineRule="auto"/>
      <w:jc w:val="center"/>
    </w:pPr>
    <w:rPr>
      <w:rFonts w:ascii="Arial Narrow" w:eastAsia="Times New Roman" w:hAnsi="Arial Narrow"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160">
      <w:bodyDiv w:val="1"/>
      <w:marLeft w:val="0"/>
      <w:marRight w:val="0"/>
      <w:marTop w:val="0"/>
      <w:marBottom w:val="0"/>
      <w:divBdr>
        <w:top w:val="none" w:sz="0" w:space="0" w:color="auto"/>
        <w:left w:val="none" w:sz="0" w:space="0" w:color="auto"/>
        <w:bottom w:val="none" w:sz="0" w:space="0" w:color="auto"/>
        <w:right w:val="none" w:sz="0" w:space="0" w:color="auto"/>
      </w:divBdr>
    </w:div>
    <w:div w:id="203060899">
      <w:bodyDiv w:val="1"/>
      <w:marLeft w:val="0"/>
      <w:marRight w:val="0"/>
      <w:marTop w:val="0"/>
      <w:marBottom w:val="0"/>
      <w:divBdr>
        <w:top w:val="none" w:sz="0" w:space="0" w:color="auto"/>
        <w:left w:val="none" w:sz="0" w:space="0" w:color="auto"/>
        <w:bottom w:val="none" w:sz="0" w:space="0" w:color="auto"/>
        <w:right w:val="none" w:sz="0" w:space="0" w:color="auto"/>
      </w:divBdr>
    </w:div>
    <w:div w:id="480929445">
      <w:bodyDiv w:val="1"/>
      <w:marLeft w:val="0"/>
      <w:marRight w:val="0"/>
      <w:marTop w:val="0"/>
      <w:marBottom w:val="0"/>
      <w:divBdr>
        <w:top w:val="none" w:sz="0" w:space="0" w:color="auto"/>
        <w:left w:val="none" w:sz="0" w:space="0" w:color="auto"/>
        <w:bottom w:val="none" w:sz="0" w:space="0" w:color="auto"/>
        <w:right w:val="none" w:sz="0" w:space="0" w:color="auto"/>
      </w:divBdr>
    </w:div>
    <w:div w:id="611590105">
      <w:bodyDiv w:val="1"/>
      <w:marLeft w:val="0"/>
      <w:marRight w:val="0"/>
      <w:marTop w:val="0"/>
      <w:marBottom w:val="0"/>
      <w:divBdr>
        <w:top w:val="none" w:sz="0" w:space="0" w:color="auto"/>
        <w:left w:val="none" w:sz="0" w:space="0" w:color="auto"/>
        <w:bottom w:val="none" w:sz="0" w:space="0" w:color="auto"/>
        <w:right w:val="none" w:sz="0" w:space="0" w:color="auto"/>
      </w:divBdr>
    </w:div>
    <w:div w:id="1161385934">
      <w:bodyDiv w:val="1"/>
      <w:marLeft w:val="0"/>
      <w:marRight w:val="0"/>
      <w:marTop w:val="0"/>
      <w:marBottom w:val="0"/>
      <w:divBdr>
        <w:top w:val="none" w:sz="0" w:space="0" w:color="auto"/>
        <w:left w:val="none" w:sz="0" w:space="0" w:color="auto"/>
        <w:bottom w:val="none" w:sz="0" w:space="0" w:color="auto"/>
        <w:right w:val="none" w:sz="0" w:space="0" w:color="auto"/>
      </w:divBdr>
    </w:div>
    <w:div w:id="1396393502">
      <w:bodyDiv w:val="1"/>
      <w:marLeft w:val="0"/>
      <w:marRight w:val="0"/>
      <w:marTop w:val="0"/>
      <w:marBottom w:val="0"/>
      <w:divBdr>
        <w:top w:val="none" w:sz="0" w:space="0" w:color="auto"/>
        <w:left w:val="none" w:sz="0" w:space="0" w:color="auto"/>
        <w:bottom w:val="none" w:sz="0" w:space="0" w:color="auto"/>
        <w:right w:val="none" w:sz="0" w:space="0" w:color="auto"/>
      </w:divBdr>
    </w:div>
    <w:div w:id="17649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Research-Statistics-Data-and-Systems/Computer-Data-and-Systems/Privacy/Systems-of-Records-Items/09-70-0528-LTC-MDS.html?DLPage=1&amp;DLEntries=10&amp;DLFilter=MDS&amp;DLSort=0&amp;DLSortDir=descending" TargetMode="External"/><Relationship Id="rId3" Type="http://schemas.openxmlformats.org/officeDocument/2006/relationships/hyperlink" Target="https://www.cms.gov/medicare/quality-initiatives-patient-assessment-instruments/qualityinitiativesgeninfo/downloads/cms-quality-strategy.pdf" TargetMode="External"/><Relationship Id="rId7" Type="http://schemas.openxmlformats.org/officeDocument/2006/relationships/hyperlink" Target="https://www.cms.gov/Medicare/Provider-Enrollment-and-Certification/CertificationandComplianc/downloads/nursinghomedatacompendium_508.pdf" TargetMode="External"/><Relationship Id="rId2" Type="http://schemas.openxmlformats.org/officeDocument/2006/relationships/hyperlink" Target="http://www.ahrq.gov/workingforquality/nqs/nqs2011annlrpt.htm" TargetMode="External"/><Relationship Id="rId1" Type="http://schemas.openxmlformats.org/officeDocument/2006/relationships/hyperlink" Target="https://www.cms.gov/Medicare/Quality-Initiatives-Patient-Assessment-Instruments/QualityImprovementOrgs/index.html?redirect=/qualityimprovementorgs/" TargetMode="External"/><Relationship Id="rId6" Type="http://schemas.openxmlformats.org/officeDocument/2006/relationships/hyperlink" Target="https://www.sba.gov/sites/default/files/Final%20Task%20Force%20Report_June%202003.pdf" TargetMode="External"/><Relationship Id="rId5" Type="http://schemas.openxmlformats.org/officeDocument/2006/relationships/hyperlink" Target="https://www.ssa.gov/OP_Home/ssact/title11/1153.htm" TargetMode="External"/><Relationship Id="rId4" Type="http://schemas.openxmlformats.org/officeDocument/2006/relationships/hyperlink" Target="https://www.ssa.gov/OP_Home/ssact/title11/1153.htm" TargetMode="External"/><Relationship Id="rId9" Type="http://schemas.openxmlformats.org/officeDocument/2006/relationships/hyperlink" Target="http://www.bls.gov/oes/current/naics4_541600.htm%232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1593-72B7-45E0-B642-D92BF2CB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5129</Words>
  <Characters>29240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Ettinger, Anna [USA]</dc:creator>
  <cp:keywords/>
  <dc:description/>
  <cp:lastModifiedBy>Ettinger, Anna [USA]</cp:lastModifiedBy>
  <cp:revision>4</cp:revision>
  <dcterms:created xsi:type="dcterms:W3CDTF">2017-03-09T21:53:00Z</dcterms:created>
  <dcterms:modified xsi:type="dcterms:W3CDTF">2017-03-09T22:20:00Z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