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869F9" w14:textId="5F730C7D" w:rsidR="000C4B5F" w:rsidRPr="00A237E4" w:rsidRDefault="008B4D21" w:rsidP="00425AAD">
      <w:pPr>
        <w:tabs>
          <w:tab w:val="left" w:pos="2340"/>
        </w:tabs>
        <w:spacing w:line="276" w:lineRule="auto"/>
        <w:jc w:val="center"/>
        <w:outlineLvl w:val="0"/>
        <w:rPr>
          <w:b/>
          <w:sz w:val="24"/>
        </w:rPr>
      </w:pPr>
      <w:r>
        <w:rPr>
          <w:b/>
          <w:sz w:val="24"/>
        </w:rPr>
        <w:t xml:space="preserve">10450, </w:t>
      </w:r>
      <w:r w:rsidR="000C4B5F" w:rsidRPr="00A237E4">
        <w:rPr>
          <w:b/>
          <w:sz w:val="24"/>
        </w:rPr>
        <w:t xml:space="preserve">Supporting Statement – Part </w:t>
      </w:r>
      <w:r w:rsidR="000C4B5F">
        <w:rPr>
          <w:b/>
          <w:sz w:val="24"/>
        </w:rPr>
        <w:t>A</w:t>
      </w:r>
    </w:p>
    <w:p w14:paraId="4487C79D" w14:textId="522BAB67" w:rsidR="002D7B84" w:rsidRDefault="002D7B84" w:rsidP="00425AAD">
      <w:pPr>
        <w:tabs>
          <w:tab w:val="left" w:pos="2340"/>
        </w:tabs>
        <w:spacing w:line="276" w:lineRule="auto"/>
        <w:jc w:val="center"/>
        <w:outlineLvl w:val="0"/>
        <w:rPr>
          <w:b/>
          <w:sz w:val="24"/>
        </w:rPr>
      </w:pPr>
      <w:r>
        <w:rPr>
          <w:b/>
          <w:sz w:val="24"/>
        </w:rPr>
        <w:t xml:space="preserve">Consumer </w:t>
      </w:r>
      <w:r w:rsidR="00E20A00">
        <w:rPr>
          <w:b/>
          <w:sz w:val="24"/>
        </w:rPr>
        <w:t>Assessment</w:t>
      </w:r>
      <w:r>
        <w:rPr>
          <w:b/>
          <w:sz w:val="24"/>
        </w:rPr>
        <w:t xml:space="preserve"> of Healthcare Providers and Systems (CAHPS) Survey </w:t>
      </w:r>
    </w:p>
    <w:p w14:paraId="5A163BE3" w14:textId="61F664D9" w:rsidR="000C4B5F" w:rsidRPr="00A237E4" w:rsidRDefault="002D7B84" w:rsidP="00425AAD">
      <w:pPr>
        <w:tabs>
          <w:tab w:val="left" w:pos="2340"/>
        </w:tabs>
        <w:spacing w:line="276" w:lineRule="auto"/>
        <w:jc w:val="center"/>
        <w:outlineLvl w:val="0"/>
        <w:rPr>
          <w:b/>
          <w:sz w:val="24"/>
        </w:rPr>
      </w:pPr>
      <w:proofErr w:type="gramStart"/>
      <w:r>
        <w:rPr>
          <w:b/>
          <w:sz w:val="24"/>
        </w:rPr>
        <w:t>for</w:t>
      </w:r>
      <w:proofErr w:type="gramEnd"/>
      <w:r>
        <w:rPr>
          <w:b/>
          <w:sz w:val="24"/>
        </w:rPr>
        <w:t xml:space="preserve"> the </w:t>
      </w:r>
      <w:r w:rsidR="000C4B5F">
        <w:rPr>
          <w:b/>
          <w:sz w:val="24"/>
        </w:rPr>
        <w:t>Merit-Ba</w:t>
      </w:r>
      <w:r w:rsidR="006F0548">
        <w:rPr>
          <w:b/>
          <w:sz w:val="24"/>
        </w:rPr>
        <w:t>s</w:t>
      </w:r>
      <w:r w:rsidR="000C4B5F">
        <w:rPr>
          <w:b/>
          <w:sz w:val="24"/>
        </w:rPr>
        <w:t xml:space="preserve">ed Incentive </w:t>
      </w:r>
      <w:r w:rsidR="00BE1BCD">
        <w:rPr>
          <w:b/>
          <w:sz w:val="24"/>
        </w:rPr>
        <w:t>Payment</w:t>
      </w:r>
      <w:r w:rsidR="000C4B5F">
        <w:rPr>
          <w:b/>
          <w:sz w:val="24"/>
        </w:rPr>
        <w:t xml:space="preserve"> System (MIPS)</w:t>
      </w:r>
    </w:p>
    <w:p w14:paraId="220469C7" w14:textId="1D86182D" w:rsidR="000C4B5F" w:rsidRPr="00AF5F09" w:rsidRDefault="000C4B5F" w:rsidP="00425AAD">
      <w:pPr>
        <w:tabs>
          <w:tab w:val="left" w:pos="2340"/>
        </w:tabs>
        <w:spacing w:line="276" w:lineRule="auto"/>
        <w:jc w:val="center"/>
        <w:outlineLvl w:val="0"/>
        <w:rPr>
          <w:b/>
          <w:sz w:val="24"/>
        </w:rPr>
      </w:pPr>
      <w:r w:rsidRPr="00FF6581">
        <w:rPr>
          <w:b/>
          <w:sz w:val="24"/>
        </w:rPr>
        <w:t>CMS</w:t>
      </w:r>
      <w:r w:rsidR="00FF6581">
        <w:rPr>
          <w:b/>
          <w:sz w:val="24"/>
        </w:rPr>
        <w:t xml:space="preserve"> </w:t>
      </w:r>
      <w:r w:rsidR="00EB6D85">
        <w:rPr>
          <w:b/>
          <w:sz w:val="24"/>
        </w:rPr>
        <w:t>10450</w:t>
      </w:r>
      <w:r w:rsidRPr="00FF6581">
        <w:rPr>
          <w:b/>
          <w:sz w:val="24"/>
        </w:rPr>
        <w:t xml:space="preserve">, </w:t>
      </w:r>
      <w:r w:rsidRPr="00AF5F09">
        <w:rPr>
          <w:b/>
          <w:sz w:val="24"/>
        </w:rPr>
        <w:t xml:space="preserve">OCN </w:t>
      </w:r>
      <w:r w:rsidR="007608A5" w:rsidRPr="00AF5F09">
        <w:rPr>
          <w:b/>
          <w:sz w:val="24"/>
        </w:rPr>
        <w:t>0938</w:t>
      </w:r>
      <w:r w:rsidRPr="00AF5F09">
        <w:rPr>
          <w:b/>
          <w:sz w:val="24"/>
        </w:rPr>
        <w:t>-</w:t>
      </w:r>
      <w:r w:rsidR="007608A5" w:rsidRPr="00AF5F09">
        <w:rPr>
          <w:b/>
          <w:sz w:val="24"/>
        </w:rPr>
        <w:t>1222</w:t>
      </w:r>
    </w:p>
    <w:p w14:paraId="1BFF0392" w14:textId="77777777" w:rsidR="00D26EEF" w:rsidRDefault="00D26EEF" w:rsidP="00246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138BB2D"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u w:val="single"/>
        </w:rPr>
      </w:pPr>
      <w:r w:rsidRPr="005D4976">
        <w:rPr>
          <w:b/>
          <w:bCs/>
          <w:sz w:val="24"/>
        </w:rPr>
        <w:t>A.</w:t>
      </w:r>
      <w:r>
        <w:rPr>
          <w:b/>
          <w:bCs/>
          <w:sz w:val="24"/>
        </w:rPr>
        <w:tab/>
      </w:r>
      <w:r>
        <w:rPr>
          <w:b/>
          <w:bCs/>
          <w:sz w:val="24"/>
          <w:u w:val="single"/>
        </w:rPr>
        <w:t>Background</w:t>
      </w:r>
    </w:p>
    <w:p w14:paraId="27FE9C6C" w14:textId="77777777" w:rsidR="000F5D5E" w:rsidRP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58317DA3" w14:textId="32E17884" w:rsid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Pr="000F5D5E">
        <w:rPr>
          <w:sz w:val="24"/>
        </w:rPr>
        <w:t>The Centers for Medicare &amp; Medicaid Services (CMS) request</w:t>
      </w:r>
      <w:r w:rsidR="00814BAD">
        <w:rPr>
          <w:sz w:val="24"/>
        </w:rPr>
        <w:t>s</w:t>
      </w:r>
      <w:r w:rsidRPr="000F5D5E">
        <w:rPr>
          <w:sz w:val="24"/>
        </w:rPr>
        <w:t xml:space="preserve"> a three-year clearance from the Office of Management and Budget (OMB) under the Paperwork Reduction Act of 1995</w:t>
      </w:r>
      <w:r w:rsidR="00813090">
        <w:rPr>
          <w:sz w:val="24"/>
        </w:rPr>
        <w:t xml:space="preserve"> (PRA)</w:t>
      </w:r>
      <w:r w:rsidRPr="000F5D5E">
        <w:rPr>
          <w:sz w:val="24"/>
        </w:rPr>
        <w:t xml:space="preserve"> to implement the</w:t>
      </w:r>
      <w:r>
        <w:rPr>
          <w:sz w:val="24"/>
        </w:rPr>
        <w:t xml:space="preserve"> </w:t>
      </w:r>
      <w:r w:rsidRPr="000F5D5E">
        <w:rPr>
          <w:sz w:val="24"/>
        </w:rPr>
        <w:t>Consumer Assessment of Healthcare Providers and Systems (</w:t>
      </w:r>
      <w:r w:rsidR="007608A5" w:rsidRPr="000F5D5E">
        <w:rPr>
          <w:sz w:val="24"/>
        </w:rPr>
        <w:t xml:space="preserve">CAHPS) </w:t>
      </w:r>
      <w:r w:rsidR="00813090">
        <w:rPr>
          <w:sz w:val="24"/>
        </w:rPr>
        <w:t>s</w:t>
      </w:r>
      <w:r w:rsidR="007608A5" w:rsidRPr="000F5D5E">
        <w:rPr>
          <w:sz w:val="24"/>
        </w:rPr>
        <w:t>urvey</w:t>
      </w:r>
      <w:r w:rsidRPr="000F5D5E">
        <w:rPr>
          <w:sz w:val="24"/>
        </w:rPr>
        <w:t xml:space="preserve"> for </w:t>
      </w:r>
      <w:r>
        <w:rPr>
          <w:sz w:val="24"/>
        </w:rPr>
        <w:t>the Merit-based Incentive Payment System (MIPS).</w:t>
      </w:r>
      <w:r w:rsidR="001D4CA8" w:rsidDel="001D4CA8">
        <w:rPr>
          <w:sz w:val="24"/>
        </w:rPr>
        <w:t xml:space="preserve"> </w:t>
      </w:r>
      <w:r w:rsidRPr="000F5D5E">
        <w:rPr>
          <w:sz w:val="24"/>
        </w:rPr>
        <w:t xml:space="preserve">Specifically, CMS will </w:t>
      </w:r>
      <w:r>
        <w:rPr>
          <w:sz w:val="24"/>
        </w:rPr>
        <w:t>use the</w:t>
      </w:r>
      <w:r w:rsidRPr="000F5D5E">
        <w:rPr>
          <w:sz w:val="24"/>
        </w:rPr>
        <w:t xml:space="preserve"> CAHPS </w:t>
      </w:r>
      <w:r>
        <w:rPr>
          <w:sz w:val="24"/>
        </w:rPr>
        <w:t xml:space="preserve">for MIPS </w:t>
      </w:r>
      <w:r w:rsidRPr="000F5D5E">
        <w:rPr>
          <w:sz w:val="24"/>
        </w:rPr>
        <w:t xml:space="preserve">survey to collect data on fee-for-service Medicare beneficiaries’ experiences of care with </w:t>
      </w:r>
      <w:r w:rsidR="00A968FA">
        <w:rPr>
          <w:sz w:val="24"/>
        </w:rPr>
        <w:t xml:space="preserve">eligible </w:t>
      </w:r>
      <w:r w:rsidR="00147AB1">
        <w:rPr>
          <w:sz w:val="24"/>
        </w:rPr>
        <w:t>clinicians</w:t>
      </w:r>
      <w:r w:rsidR="00147AB1" w:rsidRPr="000F5D5E">
        <w:rPr>
          <w:sz w:val="24"/>
        </w:rPr>
        <w:t xml:space="preserve"> </w:t>
      </w:r>
      <w:r w:rsidRPr="000F5D5E">
        <w:rPr>
          <w:sz w:val="24"/>
        </w:rPr>
        <w:t xml:space="preserve">participating in the </w:t>
      </w:r>
      <w:r>
        <w:rPr>
          <w:sz w:val="24"/>
        </w:rPr>
        <w:t>MIPS</w:t>
      </w:r>
      <w:r w:rsidRPr="000F5D5E">
        <w:rPr>
          <w:sz w:val="24"/>
        </w:rPr>
        <w:t xml:space="preserve"> for use in quality reporting</w:t>
      </w:r>
      <w:r>
        <w:rPr>
          <w:sz w:val="24"/>
        </w:rPr>
        <w:t xml:space="preserve">, </w:t>
      </w:r>
      <w:r w:rsidRPr="000F5D5E">
        <w:rPr>
          <w:sz w:val="24"/>
        </w:rPr>
        <w:t>the Physician Compare website</w:t>
      </w:r>
      <w:r>
        <w:rPr>
          <w:sz w:val="24"/>
        </w:rPr>
        <w:t>, and annual statistical reports</w:t>
      </w:r>
      <w:r w:rsidR="003D1F66">
        <w:rPr>
          <w:sz w:val="24"/>
        </w:rPr>
        <w:t xml:space="preserve"> describing MIPS data for all MIPS eligible clinicians. </w:t>
      </w:r>
    </w:p>
    <w:p w14:paraId="5227EDC0" w14:textId="3F8D5FBB" w:rsidR="004C1131" w:rsidRDefault="004E52DE" w:rsidP="0013411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lang w:val="en"/>
        </w:rPr>
        <w:tab/>
      </w:r>
      <w:r w:rsidR="000F5D5E" w:rsidRPr="00D54AD3">
        <w:rPr>
          <w:sz w:val="24"/>
          <w:lang w:val="en"/>
        </w:rPr>
        <w:t xml:space="preserve">The MIPS is a new program that </w:t>
      </w:r>
      <w:r w:rsidR="007608A5">
        <w:rPr>
          <w:sz w:val="24"/>
          <w:lang w:val="en"/>
        </w:rPr>
        <w:t>supersedes</w:t>
      </w:r>
      <w:r w:rsidR="004C1131">
        <w:rPr>
          <w:sz w:val="24"/>
          <w:lang w:val="en"/>
        </w:rPr>
        <w:t xml:space="preserve"> and combines </w:t>
      </w:r>
      <w:r w:rsidR="000F5D5E" w:rsidRPr="00D54AD3">
        <w:rPr>
          <w:sz w:val="24"/>
          <w:lang w:val="en"/>
        </w:rPr>
        <w:t>parts of the Physician Quality Reporting System (PQRS)</w:t>
      </w:r>
      <w:r w:rsidR="00505271" w:rsidRPr="00505271">
        <w:rPr>
          <w:sz w:val="24"/>
          <w:szCs w:val="20"/>
        </w:rPr>
        <w:t xml:space="preserve"> (OMB control number </w:t>
      </w:r>
      <w:r w:rsidR="00505271" w:rsidRPr="00505271">
        <w:rPr>
          <w:bCs/>
          <w:sz w:val="24"/>
          <w:szCs w:val="20"/>
        </w:rPr>
        <w:t>0938-</w:t>
      </w:r>
      <w:r w:rsidR="00F46666">
        <w:rPr>
          <w:bCs/>
          <w:sz w:val="24"/>
          <w:szCs w:val="20"/>
        </w:rPr>
        <w:t>1059</w:t>
      </w:r>
      <w:r w:rsidR="00505271" w:rsidRPr="00505271">
        <w:rPr>
          <w:bCs/>
          <w:sz w:val="24"/>
          <w:szCs w:val="20"/>
        </w:rPr>
        <w:t>)</w:t>
      </w:r>
      <w:r w:rsidR="000F5D5E" w:rsidRPr="00D54AD3">
        <w:rPr>
          <w:sz w:val="24"/>
          <w:lang w:val="en"/>
        </w:rPr>
        <w:t xml:space="preserve">, the Value Modifier (VM or Value-based Payment Modifier), and the Medicare Electronic Health Record (EHR) incentive program into one single program in which </w:t>
      </w:r>
      <w:r w:rsidR="000F5D5E">
        <w:rPr>
          <w:sz w:val="24"/>
          <w:lang w:val="en"/>
        </w:rPr>
        <w:t>eligible clinicians and clinician groups will be measured on four performance categories: q</w:t>
      </w:r>
      <w:r w:rsidR="000F5D5E" w:rsidRPr="00D54AD3">
        <w:rPr>
          <w:sz w:val="24"/>
          <w:lang w:val="en"/>
        </w:rPr>
        <w:t>uality</w:t>
      </w:r>
      <w:r w:rsidR="000F5D5E">
        <w:rPr>
          <w:sz w:val="24"/>
          <w:lang w:val="en"/>
        </w:rPr>
        <w:t xml:space="preserve">, </w:t>
      </w:r>
      <w:r w:rsidR="002E0639">
        <w:rPr>
          <w:sz w:val="24"/>
          <w:lang w:val="en"/>
        </w:rPr>
        <w:t>cost</w:t>
      </w:r>
      <w:r w:rsidR="000F5D5E">
        <w:rPr>
          <w:sz w:val="24"/>
          <w:lang w:val="en"/>
        </w:rPr>
        <w:t xml:space="preserve">, </w:t>
      </w:r>
      <w:r w:rsidR="000F5D5E" w:rsidRPr="00D54AD3">
        <w:rPr>
          <w:sz w:val="24"/>
          <w:lang w:val="en"/>
        </w:rPr>
        <w:t>improvement</w:t>
      </w:r>
      <w:r w:rsidR="000F5D5E">
        <w:rPr>
          <w:sz w:val="24"/>
          <w:lang w:val="en"/>
        </w:rPr>
        <w:t xml:space="preserve"> activities, and advancing care information (related to m</w:t>
      </w:r>
      <w:r w:rsidR="000F5D5E" w:rsidRPr="00D54AD3">
        <w:rPr>
          <w:sz w:val="24"/>
          <w:lang w:val="en"/>
        </w:rPr>
        <w:t>eaningful use of certified EHR technology</w:t>
      </w:r>
      <w:r w:rsidR="000F5D5E">
        <w:rPr>
          <w:sz w:val="24"/>
          <w:lang w:val="en"/>
        </w:rPr>
        <w:t>).</w:t>
      </w:r>
      <w:r w:rsidR="004C1131">
        <w:rPr>
          <w:sz w:val="24"/>
          <w:lang w:val="en"/>
        </w:rPr>
        <w:t xml:space="preserve"> </w:t>
      </w:r>
      <w:r w:rsidR="004C1131">
        <w:rPr>
          <w:sz w:val="24"/>
          <w:szCs w:val="20"/>
        </w:rPr>
        <w:t xml:space="preserve">Pursuant to the </w:t>
      </w:r>
      <w:r w:rsidR="00147AB1">
        <w:rPr>
          <w:sz w:val="24"/>
          <w:szCs w:val="20"/>
        </w:rPr>
        <w:t>Medicare Access and CHIP Reauthorization Act of 2015 (</w:t>
      </w:r>
      <w:r w:rsidR="004C1131">
        <w:rPr>
          <w:sz w:val="24"/>
          <w:szCs w:val="20"/>
        </w:rPr>
        <w:t>MACRA</w:t>
      </w:r>
      <w:r w:rsidR="00147AB1">
        <w:rPr>
          <w:sz w:val="24"/>
          <w:szCs w:val="20"/>
        </w:rPr>
        <w:t>)</w:t>
      </w:r>
      <w:r w:rsidR="004C1131">
        <w:rPr>
          <w:sz w:val="24"/>
          <w:szCs w:val="20"/>
        </w:rPr>
        <w:t>, t</w:t>
      </w:r>
      <w:r w:rsidR="004C1131" w:rsidRPr="0007426C">
        <w:rPr>
          <w:sz w:val="24"/>
          <w:szCs w:val="20"/>
        </w:rPr>
        <w:t>he</w:t>
      </w:r>
      <w:r w:rsidR="004C1131">
        <w:rPr>
          <w:sz w:val="24"/>
          <w:szCs w:val="20"/>
        </w:rPr>
        <w:t xml:space="preserve"> payment adjustments under these</w:t>
      </w:r>
      <w:r w:rsidR="004C1131" w:rsidRPr="0007426C">
        <w:rPr>
          <w:sz w:val="24"/>
          <w:szCs w:val="20"/>
        </w:rPr>
        <w:t xml:space="preserve"> three programs</w:t>
      </w:r>
      <w:r w:rsidR="004C1131">
        <w:rPr>
          <w:sz w:val="24"/>
          <w:szCs w:val="20"/>
        </w:rPr>
        <w:t xml:space="preserve"> will</w:t>
      </w:r>
      <w:r w:rsidR="004C1131" w:rsidRPr="0007426C">
        <w:rPr>
          <w:sz w:val="24"/>
          <w:szCs w:val="20"/>
        </w:rPr>
        <w:t xml:space="preserve"> sunset at the end of 2018 </w:t>
      </w:r>
      <w:r w:rsidR="004C1131">
        <w:rPr>
          <w:sz w:val="24"/>
          <w:szCs w:val="20"/>
        </w:rPr>
        <w:t xml:space="preserve">along with their associated reporting requirements </w:t>
      </w:r>
      <w:r w:rsidR="004C1131" w:rsidRPr="0007426C">
        <w:rPr>
          <w:sz w:val="24"/>
          <w:szCs w:val="20"/>
        </w:rPr>
        <w:t xml:space="preserve">and </w:t>
      </w:r>
      <w:r w:rsidR="004C1131">
        <w:rPr>
          <w:sz w:val="24"/>
          <w:szCs w:val="20"/>
        </w:rPr>
        <w:t>will</w:t>
      </w:r>
      <w:r w:rsidR="004C1131" w:rsidRPr="0007426C">
        <w:rPr>
          <w:sz w:val="24"/>
          <w:szCs w:val="20"/>
        </w:rPr>
        <w:t xml:space="preserve"> </w:t>
      </w:r>
      <w:r w:rsidR="004C1131">
        <w:rPr>
          <w:sz w:val="24"/>
          <w:szCs w:val="20"/>
        </w:rPr>
        <w:t xml:space="preserve">be </w:t>
      </w:r>
      <w:r w:rsidR="004C1131" w:rsidRPr="0007426C">
        <w:rPr>
          <w:sz w:val="24"/>
          <w:szCs w:val="20"/>
        </w:rPr>
        <w:t xml:space="preserve">replaced by and aligned within the MIPS performance categories. </w:t>
      </w:r>
      <w:r w:rsidR="004C1131">
        <w:rPr>
          <w:sz w:val="24"/>
          <w:szCs w:val="20"/>
        </w:rPr>
        <w:t xml:space="preserve"> </w:t>
      </w:r>
    </w:p>
    <w:p w14:paraId="61227E64" w14:textId="61F0419C" w:rsidR="00E87F6C" w:rsidRDefault="00505271" w:rsidP="00792F0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360"/>
        <w:jc w:val="both"/>
        <w:rPr>
          <w:sz w:val="24"/>
          <w:szCs w:val="20"/>
        </w:rPr>
      </w:pPr>
      <w:r w:rsidRPr="00505271">
        <w:rPr>
          <w:sz w:val="24"/>
          <w:szCs w:val="20"/>
        </w:rPr>
        <w:t xml:space="preserve">CMS is submitting </w:t>
      </w:r>
      <w:r w:rsidR="00792F06">
        <w:rPr>
          <w:sz w:val="24"/>
          <w:szCs w:val="20"/>
        </w:rPr>
        <w:t xml:space="preserve">the </w:t>
      </w:r>
      <w:r w:rsidR="00965680">
        <w:rPr>
          <w:sz w:val="24"/>
          <w:szCs w:val="20"/>
        </w:rPr>
        <w:t>CAHPS</w:t>
      </w:r>
      <w:r w:rsidRPr="00505271">
        <w:rPr>
          <w:sz w:val="24"/>
          <w:szCs w:val="20"/>
        </w:rPr>
        <w:t xml:space="preserve"> for MIPS </w:t>
      </w:r>
      <w:r w:rsidR="00792F06">
        <w:rPr>
          <w:sz w:val="24"/>
          <w:szCs w:val="20"/>
        </w:rPr>
        <w:t xml:space="preserve">survey </w:t>
      </w:r>
      <w:r w:rsidRPr="00505271">
        <w:rPr>
          <w:sz w:val="24"/>
          <w:szCs w:val="20"/>
        </w:rPr>
        <w:t>to OMB for approval under the P</w:t>
      </w:r>
      <w:r w:rsidR="00792F06">
        <w:rPr>
          <w:sz w:val="24"/>
          <w:szCs w:val="20"/>
        </w:rPr>
        <w:t>RA</w:t>
      </w:r>
      <w:r w:rsidRPr="00505271">
        <w:rPr>
          <w:sz w:val="24"/>
          <w:szCs w:val="20"/>
        </w:rPr>
        <w:t xml:space="preserve"> as a revision of the currently approved </w:t>
      </w:r>
      <w:r w:rsidR="00813090">
        <w:rPr>
          <w:sz w:val="24"/>
          <w:szCs w:val="20"/>
        </w:rPr>
        <w:t xml:space="preserve">CAHPS for </w:t>
      </w:r>
      <w:r w:rsidRPr="00505271">
        <w:rPr>
          <w:sz w:val="24"/>
          <w:szCs w:val="20"/>
        </w:rPr>
        <w:t xml:space="preserve">PQRS </w:t>
      </w:r>
      <w:r w:rsidR="002F1644">
        <w:rPr>
          <w:sz w:val="24"/>
          <w:szCs w:val="20"/>
        </w:rPr>
        <w:t xml:space="preserve">which </w:t>
      </w:r>
      <w:r w:rsidRPr="00505271">
        <w:rPr>
          <w:sz w:val="24"/>
          <w:szCs w:val="20"/>
        </w:rPr>
        <w:t xml:space="preserve">will be used during the </w:t>
      </w:r>
      <w:r w:rsidR="00792F06">
        <w:rPr>
          <w:sz w:val="24"/>
          <w:szCs w:val="20"/>
        </w:rPr>
        <w:t>transition year of MIPS (CY 2017)</w:t>
      </w:r>
      <w:r w:rsidRPr="00505271">
        <w:rPr>
          <w:sz w:val="24"/>
          <w:szCs w:val="20"/>
        </w:rPr>
        <w:t xml:space="preserve">. </w:t>
      </w:r>
      <w:r w:rsidR="00792F06">
        <w:rPr>
          <w:sz w:val="24"/>
          <w:szCs w:val="20"/>
        </w:rPr>
        <w:t xml:space="preserve"> </w:t>
      </w:r>
      <w:r w:rsidRPr="00505271">
        <w:rPr>
          <w:sz w:val="24"/>
          <w:szCs w:val="20"/>
        </w:rPr>
        <w:t>During th</w:t>
      </w:r>
      <w:r w:rsidR="00792F06">
        <w:rPr>
          <w:sz w:val="24"/>
          <w:szCs w:val="20"/>
        </w:rPr>
        <w:t>e transition</w:t>
      </w:r>
      <w:r w:rsidRPr="00505271">
        <w:rPr>
          <w:sz w:val="24"/>
          <w:szCs w:val="20"/>
        </w:rPr>
        <w:t xml:space="preserve"> year, CMS will </w:t>
      </w:r>
      <w:r w:rsidR="00792F06">
        <w:rPr>
          <w:sz w:val="24"/>
          <w:szCs w:val="20"/>
        </w:rPr>
        <w:t xml:space="preserve">also </w:t>
      </w:r>
      <w:r w:rsidR="00E87F6C">
        <w:rPr>
          <w:sz w:val="24"/>
          <w:szCs w:val="20"/>
        </w:rPr>
        <w:t>consider survey evaluation activities in support of updating the survey for future years</w:t>
      </w:r>
      <w:r w:rsidRPr="00505271">
        <w:rPr>
          <w:sz w:val="24"/>
          <w:szCs w:val="20"/>
        </w:rPr>
        <w:t xml:space="preserve">. </w:t>
      </w:r>
      <w:r w:rsidR="00E87F6C">
        <w:rPr>
          <w:sz w:val="24"/>
          <w:szCs w:val="20"/>
        </w:rPr>
        <w:t>CMS’s goals for updating the survey will include:</w:t>
      </w:r>
    </w:p>
    <w:p w14:paraId="0357B7F8" w14:textId="41081524" w:rsidR="00E87F6C" w:rsidRPr="00792F06" w:rsidRDefault="00FF16F8" w:rsidP="00792F06">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Updating</w:t>
      </w:r>
      <w:r w:rsidR="00E87F6C">
        <w:rPr>
          <w:sz w:val="24"/>
          <w:szCs w:val="20"/>
        </w:rPr>
        <w:t xml:space="preserve"> the survey </w:t>
      </w:r>
      <w:r>
        <w:rPr>
          <w:sz w:val="24"/>
          <w:szCs w:val="20"/>
        </w:rPr>
        <w:t>to reflect</w:t>
      </w:r>
      <w:r w:rsidR="00E87F6C">
        <w:rPr>
          <w:sz w:val="24"/>
          <w:szCs w:val="20"/>
        </w:rPr>
        <w:t xml:space="preserve"> AHRQ</w:t>
      </w:r>
      <w:r>
        <w:rPr>
          <w:sz w:val="24"/>
          <w:szCs w:val="20"/>
        </w:rPr>
        <w:t xml:space="preserve">’s updates </w:t>
      </w:r>
      <w:r w:rsidR="00E87F6C">
        <w:rPr>
          <w:sz w:val="24"/>
          <w:szCs w:val="20"/>
        </w:rPr>
        <w:t xml:space="preserve">to the </w:t>
      </w:r>
      <w:r w:rsidR="00E87F6C" w:rsidRPr="00792F06">
        <w:rPr>
          <w:rFonts w:eastAsiaTheme="minorHAnsi"/>
          <w:sz w:val="24"/>
        </w:rPr>
        <w:t xml:space="preserve">core CAHPS Clinician &amp; Group </w:t>
      </w:r>
      <w:r w:rsidR="00813090">
        <w:rPr>
          <w:rFonts w:eastAsiaTheme="minorHAnsi"/>
          <w:sz w:val="24"/>
        </w:rPr>
        <w:t>s</w:t>
      </w:r>
      <w:r w:rsidR="00E87F6C" w:rsidRPr="00792F06">
        <w:rPr>
          <w:rFonts w:eastAsiaTheme="minorHAnsi"/>
          <w:sz w:val="24"/>
        </w:rPr>
        <w:t>urvey</w:t>
      </w:r>
      <w:r w:rsidR="00E87F6C">
        <w:rPr>
          <w:rFonts w:eastAsiaTheme="minorHAnsi"/>
          <w:sz w:val="24"/>
        </w:rPr>
        <w:t>,</w:t>
      </w:r>
    </w:p>
    <w:p w14:paraId="57395F50" w14:textId="77777777" w:rsidR="00E87F6C" w:rsidRDefault="00E87F6C" w:rsidP="00792F06">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Improving the measurement properties of Summary Survey Measures (e.g., improve reliability of summary survey measure scores), and/or</w:t>
      </w:r>
    </w:p>
    <w:p w14:paraId="7246D723" w14:textId="7C27E64B" w:rsidR="00E87F6C" w:rsidRPr="00792F06" w:rsidRDefault="00E87F6C" w:rsidP="00792F06">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sidRPr="00792F06">
        <w:rPr>
          <w:sz w:val="24"/>
          <w:szCs w:val="20"/>
        </w:rPr>
        <w:t xml:space="preserve">Refining the survey content to meet MIPS program needs (e.g., adding additional survey items). </w:t>
      </w:r>
    </w:p>
    <w:p w14:paraId="71E53D34" w14:textId="77C0837D" w:rsidR="00E87F6C" w:rsidRDefault="00792F06" w:rsidP="00E87F6C">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ab/>
      </w:r>
      <w:r w:rsidR="00E87F6C">
        <w:rPr>
          <w:sz w:val="24"/>
          <w:szCs w:val="20"/>
        </w:rPr>
        <w:t>CMS’ approach to survey evaluation may encompass a range of activities including</w:t>
      </w:r>
      <w:r>
        <w:rPr>
          <w:sz w:val="24"/>
          <w:szCs w:val="20"/>
        </w:rPr>
        <w:t>,</w:t>
      </w:r>
      <w:r w:rsidR="00E87F6C">
        <w:rPr>
          <w:sz w:val="24"/>
          <w:szCs w:val="20"/>
        </w:rPr>
        <w:t xml:space="preserve"> but not limited to</w:t>
      </w:r>
      <w:r>
        <w:rPr>
          <w:sz w:val="24"/>
          <w:szCs w:val="20"/>
        </w:rPr>
        <w:t>,</w:t>
      </w:r>
      <w:r w:rsidR="00E87F6C">
        <w:rPr>
          <w:sz w:val="24"/>
          <w:szCs w:val="20"/>
        </w:rPr>
        <w:t xml:space="preserve"> assessment of the usefulness of public reporting of comparative information to consumers, qualitative testing of survey questions, measures or reports, quantitative testing of </w:t>
      </w:r>
      <w:r w:rsidR="00E87F6C" w:rsidRPr="00FF16F8">
        <w:rPr>
          <w:sz w:val="24"/>
        </w:rPr>
        <w:t>survey refinements (e.g., changes to existing survey questions or new survey questions).</w:t>
      </w:r>
      <w:r w:rsidR="00FF16F8" w:rsidRPr="00FF16F8">
        <w:rPr>
          <w:sz w:val="24"/>
        </w:rPr>
        <w:t xml:space="preserve">  </w:t>
      </w:r>
      <w:r w:rsidR="00FF16F8">
        <w:rPr>
          <w:sz w:val="24"/>
        </w:rPr>
        <w:t xml:space="preserve">Additionally, </w:t>
      </w:r>
      <w:r w:rsidR="00FF16F8" w:rsidRPr="00792F06">
        <w:rPr>
          <w:sz w:val="24"/>
        </w:rPr>
        <w:t xml:space="preserve">CMS will review the results of a test of CG-CAHPS 3.0 language and other survey </w:t>
      </w:r>
      <w:r w:rsidR="00FF16F8" w:rsidRPr="00792F06">
        <w:rPr>
          <w:sz w:val="24"/>
        </w:rPr>
        <w:lastRenderedPageBreak/>
        <w:t xml:space="preserve">refinements (e.g., reduction in items, changes in skip instructions) conducted for the Shared Savings Program CAHPS for ACOs survey to determine if </w:t>
      </w:r>
      <w:r w:rsidR="00813090">
        <w:rPr>
          <w:sz w:val="24"/>
        </w:rPr>
        <w:t xml:space="preserve">the </w:t>
      </w:r>
      <w:r w:rsidR="00FF16F8" w:rsidRPr="00792F06">
        <w:rPr>
          <w:sz w:val="24"/>
        </w:rPr>
        <w:t xml:space="preserve">CAHPS for MIPS </w:t>
      </w:r>
      <w:r w:rsidR="00813090">
        <w:rPr>
          <w:sz w:val="24"/>
        </w:rPr>
        <w:t xml:space="preserve">survey </w:t>
      </w:r>
      <w:r w:rsidR="00FF16F8" w:rsidRPr="00792F06">
        <w:rPr>
          <w:sz w:val="24"/>
        </w:rPr>
        <w:t>should adopt 3.0 CG-CAHPS revisions or other tested refinements.</w:t>
      </w:r>
      <w:r w:rsidR="004E52DE">
        <w:rPr>
          <w:sz w:val="24"/>
        </w:rPr>
        <w:t xml:space="preserve">  </w:t>
      </w:r>
      <w:r w:rsidR="00505271" w:rsidRPr="00FF16F8">
        <w:rPr>
          <w:sz w:val="24"/>
        </w:rPr>
        <w:t>Approval for survey</w:t>
      </w:r>
      <w:r w:rsidR="00505271" w:rsidRPr="00505271">
        <w:rPr>
          <w:sz w:val="24"/>
          <w:szCs w:val="20"/>
        </w:rPr>
        <w:t xml:space="preserve"> evaluation activities will be submitted to OMB for approval as a non</w:t>
      </w:r>
      <w:r w:rsidR="00E87F6C">
        <w:rPr>
          <w:sz w:val="24"/>
          <w:szCs w:val="20"/>
        </w:rPr>
        <w:t>-</w:t>
      </w:r>
      <w:r w:rsidR="00505271" w:rsidRPr="00505271">
        <w:rPr>
          <w:sz w:val="24"/>
          <w:szCs w:val="20"/>
        </w:rPr>
        <w:t>substa</w:t>
      </w:r>
      <w:r w:rsidR="00E87F6C">
        <w:rPr>
          <w:sz w:val="24"/>
          <w:szCs w:val="20"/>
        </w:rPr>
        <w:t>n</w:t>
      </w:r>
      <w:r w:rsidR="00505271" w:rsidRPr="00505271">
        <w:rPr>
          <w:sz w:val="24"/>
          <w:szCs w:val="20"/>
        </w:rPr>
        <w:t>tive change to this OMB number</w:t>
      </w:r>
      <w:r w:rsidR="00DA6CFC">
        <w:rPr>
          <w:sz w:val="24"/>
          <w:szCs w:val="20"/>
        </w:rPr>
        <w:t xml:space="preserve">. </w:t>
      </w:r>
      <w:r w:rsidR="00505271">
        <w:rPr>
          <w:sz w:val="24"/>
          <w:szCs w:val="20"/>
        </w:rPr>
        <w:t>If a</w:t>
      </w:r>
      <w:r w:rsidR="00505271" w:rsidRPr="00505271">
        <w:rPr>
          <w:sz w:val="24"/>
          <w:szCs w:val="20"/>
        </w:rPr>
        <w:t xml:space="preserve"> </w:t>
      </w:r>
      <w:r w:rsidR="00505271">
        <w:rPr>
          <w:sz w:val="24"/>
          <w:szCs w:val="20"/>
        </w:rPr>
        <w:t xml:space="preserve">substantially </w:t>
      </w:r>
      <w:r w:rsidR="00505271" w:rsidRPr="00505271">
        <w:rPr>
          <w:sz w:val="24"/>
          <w:szCs w:val="20"/>
        </w:rPr>
        <w:t xml:space="preserve">revised </w:t>
      </w:r>
      <w:r w:rsidR="00505271">
        <w:rPr>
          <w:sz w:val="24"/>
          <w:szCs w:val="20"/>
        </w:rPr>
        <w:t xml:space="preserve">survey </w:t>
      </w:r>
      <w:r w:rsidR="00505271" w:rsidRPr="00505271">
        <w:rPr>
          <w:sz w:val="24"/>
          <w:szCs w:val="20"/>
        </w:rPr>
        <w:t xml:space="preserve">instrument </w:t>
      </w:r>
      <w:r w:rsidR="00505271">
        <w:rPr>
          <w:sz w:val="24"/>
          <w:szCs w:val="20"/>
        </w:rPr>
        <w:t xml:space="preserve">is developed as a result of the evaluation, </w:t>
      </w:r>
      <w:r w:rsidR="00505271" w:rsidRPr="00505271">
        <w:rPr>
          <w:sz w:val="24"/>
          <w:szCs w:val="20"/>
        </w:rPr>
        <w:t xml:space="preserve">a full revision will be submitted to OMB for review. </w:t>
      </w:r>
      <w:r w:rsidR="00BA101A">
        <w:rPr>
          <w:sz w:val="24"/>
          <w:szCs w:val="20"/>
        </w:rPr>
        <w:t xml:space="preserve"> </w:t>
      </w:r>
    </w:p>
    <w:p w14:paraId="3700B5FF" w14:textId="7CB85AAD" w:rsidR="00091623" w:rsidRDefault="00091623" w:rsidP="009F38E2">
      <w:pPr>
        <w:widowControl/>
        <w:spacing w:line="276" w:lineRule="auto"/>
        <w:ind w:firstLine="450"/>
        <w:rPr>
          <w:sz w:val="24"/>
          <w:szCs w:val="20"/>
        </w:rPr>
      </w:pPr>
      <w:r>
        <w:rPr>
          <w:rFonts w:eastAsiaTheme="minorHAnsi"/>
          <w:sz w:val="24"/>
        </w:rPr>
        <w:t>The CAHPS for PQRS survey consists</w:t>
      </w:r>
      <w:r w:rsidR="00E87F6C">
        <w:rPr>
          <w:rFonts w:eastAsiaTheme="minorHAnsi"/>
          <w:sz w:val="24"/>
        </w:rPr>
        <w:t xml:space="preserve"> </w:t>
      </w:r>
      <w:r>
        <w:rPr>
          <w:rFonts w:eastAsiaTheme="minorHAnsi"/>
          <w:sz w:val="24"/>
        </w:rPr>
        <w:t xml:space="preserve">of the core CAHPS Clinician &amp; Group </w:t>
      </w:r>
      <w:r w:rsidR="00841C58">
        <w:rPr>
          <w:rFonts w:eastAsiaTheme="minorHAnsi"/>
          <w:sz w:val="24"/>
        </w:rPr>
        <w:t>s</w:t>
      </w:r>
      <w:r>
        <w:rPr>
          <w:rFonts w:eastAsiaTheme="minorHAnsi"/>
          <w:sz w:val="24"/>
        </w:rPr>
        <w:t>urvey</w:t>
      </w:r>
      <w:r w:rsidR="007517FF">
        <w:rPr>
          <w:rFonts w:eastAsiaTheme="minorHAnsi"/>
          <w:sz w:val="24"/>
        </w:rPr>
        <w:t>, version 2.0</w:t>
      </w:r>
      <w:r w:rsidR="00E87F6C">
        <w:rPr>
          <w:rFonts w:eastAsiaTheme="minorHAnsi"/>
          <w:sz w:val="24"/>
        </w:rPr>
        <w:t>, developed</w:t>
      </w:r>
      <w:r>
        <w:rPr>
          <w:rFonts w:eastAsiaTheme="minorHAnsi"/>
          <w:sz w:val="24"/>
        </w:rPr>
        <w:t xml:space="preserve"> by AHRQ, plus additional survey questions to meet CMS’s information and program needs. </w:t>
      </w:r>
      <w:r w:rsidR="00965680">
        <w:rPr>
          <w:rFonts w:eastAsiaTheme="minorHAnsi"/>
          <w:sz w:val="24"/>
        </w:rPr>
        <w:t xml:space="preserve"> </w:t>
      </w:r>
      <w:r w:rsidR="004A41AB">
        <w:rPr>
          <w:rFonts w:eastAsiaTheme="minorHAnsi"/>
          <w:sz w:val="24"/>
        </w:rPr>
        <w:t xml:space="preserve">Similarly, the CAHPS for MIPS survey consists of the core CAHPS Clinician &amp; Group survey, developed by AHRQ, plus additional survey questions to meet CMS’s information and program needs. </w:t>
      </w:r>
      <w:r w:rsidR="00965680">
        <w:rPr>
          <w:rFonts w:eastAsiaTheme="minorHAnsi"/>
          <w:sz w:val="24"/>
        </w:rPr>
        <w:t xml:space="preserve"> </w:t>
      </w:r>
      <w:r w:rsidRPr="00396BB7">
        <w:rPr>
          <w:sz w:val="24"/>
          <w:szCs w:val="20"/>
        </w:rPr>
        <w:t xml:space="preserve">The survey </w:t>
      </w:r>
      <w:r>
        <w:rPr>
          <w:sz w:val="24"/>
          <w:szCs w:val="20"/>
        </w:rPr>
        <w:t>was</w:t>
      </w:r>
      <w:r w:rsidRPr="00396BB7">
        <w:rPr>
          <w:sz w:val="24"/>
          <w:szCs w:val="20"/>
        </w:rPr>
        <w:t xml:space="preserve"> designed to gather only the necessary data that CMS needs for assessing physician quality performance, and related public reporting on physician performance, and should complement</w:t>
      </w:r>
      <w:r>
        <w:rPr>
          <w:sz w:val="24"/>
          <w:szCs w:val="20"/>
        </w:rPr>
        <w:t xml:space="preserve"> other data collection efforts. </w:t>
      </w:r>
    </w:p>
    <w:p w14:paraId="7BC14E03" w14:textId="6B46F644" w:rsidR="00D82B64" w:rsidRDefault="00D82B64" w:rsidP="001D4CA8">
      <w:pPr>
        <w:widowControl/>
        <w:tabs>
          <w:tab w:val="left" w:pos="450"/>
        </w:tabs>
        <w:spacing w:line="276" w:lineRule="auto"/>
        <w:ind w:firstLine="720"/>
        <w:rPr>
          <w:rFonts w:eastAsiaTheme="minorHAnsi"/>
          <w:sz w:val="24"/>
        </w:rPr>
      </w:pPr>
      <w:r>
        <w:rPr>
          <w:rFonts w:eastAsiaTheme="minorHAnsi"/>
          <w:sz w:val="24"/>
        </w:rPr>
        <w:t xml:space="preserve">Under current provisions of </w:t>
      </w:r>
      <w:r w:rsidR="003D1F66">
        <w:rPr>
          <w:rFonts w:eastAsiaTheme="minorHAnsi"/>
          <w:sz w:val="24"/>
        </w:rPr>
        <w:t xml:space="preserve">the </w:t>
      </w:r>
      <w:r>
        <w:rPr>
          <w:rFonts w:eastAsiaTheme="minorHAnsi"/>
          <w:sz w:val="24"/>
        </w:rPr>
        <w:t xml:space="preserve">PQRS, the CAHPS for PQRS survey is required for </w:t>
      </w:r>
      <w:r w:rsidR="00ED51D2">
        <w:rPr>
          <w:rFonts w:eastAsiaTheme="minorHAnsi"/>
          <w:sz w:val="24"/>
        </w:rPr>
        <w:t>group</w:t>
      </w:r>
      <w:r w:rsidR="00EF5FAF">
        <w:rPr>
          <w:rFonts w:eastAsiaTheme="minorHAnsi"/>
          <w:sz w:val="24"/>
        </w:rPr>
        <w:t xml:space="preserve"> practices</w:t>
      </w:r>
      <w:r w:rsidR="00ED51D2">
        <w:rPr>
          <w:rFonts w:eastAsiaTheme="minorHAnsi"/>
          <w:sz w:val="24"/>
        </w:rPr>
        <w:t xml:space="preserve"> of</w:t>
      </w:r>
      <w:r>
        <w:rPr>
          <w:rFonts w:eastAsiaTheme="minorHAnsi"/>
          <w:sz w:val="24"/>
        </w:rPr>
        <w:t xml:space="preserve"> 100 or more eligible clinicians. Although we are not requiring groups to participate in the</w:t>
      </w:r>
      <w:r w:rsidR="003D1F66">
        <w:rPr>
          <w:rFonts w:eastAsiaTheme="minorHAnsi"/>
          <w:sz w:val="24"/>
        </w:rPr>
        <w:t xml:space="preserve"> </w:t>
      </w:r>
      <w:r>
        <w:rPr>
          <w:rFonts w:eastAsiaTheme="minorHAnsi"/>
          <w:sz w:val="24"/>
        </w:rPr>
        <w:t>CAHPS for MIPS survey, we do still believe patient experience is important and we are therefore</w:t>
      </w:r>
      <w:r w:rsidR="003D1F66">
        <w:rPr>
          <w:rFonts w:eastAsiaTheme="minorHAnsi"/>
          <w:sz w:val="24"/>
        </w:rPr>
        <w:t xml:space="preserve"> </w:t>
      </w:r>
      <w:r>
        <w:rPr>
          <w:rFonts w:eastAsiaTheme="minorHAnsi"/>
          <w:sz w:val="24"/>
        </w:rPr>
        <w:t>proposing a scoring incentive for those groups who report via the CAHPS for MIPS survey.</w:t>
      </w:r>
      <w:r w:rsidR="00FE54F0">
        <w:rPr>
          <w:rFonts w:eastAsiaTheme="minorHAnsi"/>
          <w:sz w:val="24"/>
        </w:rPr>
        <w:t xml:space="preserve"> </w:t>
      </w:r>
      <w:r>
        <w:rPr>
          <w:rFonts w:eastAsiaTheme="minorHAnsi"/>
          <w:sz w:val="24"/>
        </w:rPr>
        <w:t xml:space="preserve"> Because we believe patients’ experiences as they interact with the health care system </w:t>
      </w:r>
      <w:r w:rsidR="008F133E">
        <w:rPr>
          <w:rFonts w:eastAsiaTheme="minorHAnsi"/>
          <w:sz w:val="24"/>
        </w:rPr>
        <w:t xml:space="preserve">are </w:t>
      </w:r>
      <w:r>
        <w:rPr>
          <w:rFonts w:eastAsiaTheme="minorHAnsi"/>
          <w:sz w:val="24"/>
        </w:rPr>
        <w:t xml:space="preserve">important, </w:t>
      </w:r>
      <w:r w:rsidR="00FE54F0">
        <w:rPr>
          <w:rFonts w:eastAsiaTheme="minorHAnsi"/>
          <w:sz w:val="24"/>
        </w:rPr>
        <w:t xml:space="preserve">our MIPS scoring policy provides two bonus points </w:t>
      </w:r>
      <w:r w:rsidR="003B3E87">
        <w:rPr>
          <w:rFonts w:eastAsiaTheme="minorHAnsi"/>
          <w:sz w:val="24"/>
        </w:rPr>
        <w:t xml:space="preserve">in calculating the quality performance category score </w:t>
      </w:r>
      <w:r w:rsidR="00FE54F0">
        <w:rPr>
          <w:rFonts w:eastAsiaTheme="minorHAnsi"/>
          <w:sz w:val="24"/>
        </w:rPr>
        <w:t xml:space="preserve">to </w:t>
      </w:r>
      <w:r w:rsidR="00FE54F0" w:rsidRPr="00FE54F0">
        <w:rPr>
          <w:rFonts w:eastAsiaTheme="minorHAnsi"/>
          <w:sz w:val="24"/>
        </w:rPr>
        <w:t>group</w:t>
      </w:r>
      <w:r w:rsidR="00FE54F0">
        <w:rPr>
          <w:rFonts w:eastAsiaTheme="minorHAnsi"/>
          <w:sz w:val="24"/>
        </w:rPr>
        <w:t>s</w:t>
      </w:r>
      <w:r w:rsidR="00FE54F0" w:rsidRPr="00FE54F0">
        <w:rPr>
          <w:rFonts w:eastAsiaTheme="minorHAnsi"/>
          <w:sz w:val="24"/>
        </w:rPr>
        <w:t xml:space="preserve"> or </w:t>
      </w:r>
      <w:r w:rsidR="00FE54F0">
        <w:rPr>
          <w:rFonts w:eastAsiaTheme="minorHAnsi"/>
          <w:sz w:val="24"/>
        </w:rPr>
        <w:t xml:space="preserve">MIPS eligible </w:t>
      </w:r>
      <w:r w:rsidR="00FE54F0" w:rsidRPr="00FE54F0">
        <w:rPr>
          <w:rFonts w:eastAsiaTheme="minorHAnsi"/>
          <w:sz w:val="24"/>
        </w:rPr>
        <w:t>clinician</w:t>
      </w:r>
      <w:r w:rsidR="00FE54F0">
        <w:rPr>
          <w:rFonts w:eastAsiaTheme="minorHAnsi"/>
          <w:sz w:val="24"/>
        </w:rPr>
        <w:t>s</w:t>
      </w:r>
      <w:r w:rsidR="00FE54F0" w:rsidRPr="00FE54F0">
        <w:rPr>
          <w:rFonts w:eastAsiaTheme="minorHAnsi"/>
          <w:sz w:val="24"/>
        </w:rPr>
        <w:t xml:space="preserve"> </w:t>
      </w:r>
      <w:r w:rsidR="00FE54F0">
        <w:rPr>
          <w:rFonts w:eastAsiaTheme="minorHAnsi"/>
          <w:sz w:val="24"/>
        </w:rPr>
        <w:t xml:space="preserve">that report a patient experience measure such as </w:t>
      </w:r>
      <w:r w:rsidR="00841C58">
        <w:rPr>
          <w:rFonts w:eastAsiaTheme="minorHAnsi"/>
          <w:sz w:val="24"/>
        </w:rPr>
        <w:t xml:space="preserve">the </w:t>
      </w:r>
      <w:r w:rsidR="00FE54F0">
        <w:rPr>
          <w:rFonts w:eastAsiaTheme="minorHAnsi"/>
          <w:sz w:val="24"/>
        </w:rPr>
        <w:t xml:space="preserve">CAHPS for MIPS </w:t>
      </w:r>
      <w:r w:rsidR="00841C58">
        <w:rPr>
          <w:rFonts w:eastAsiaTheme="minorHAnsi"/>
          <w:sz w:val="24"/>
        </w:rPr>
        <w:t xml:space="preserve">survey </w:t>
      </w:r>
      <w:r w:rsidR="00FE54F0">
        <w:rPr>
          <w:rFonts w:eastAsiaTheme="minorHAnsi"/>
          <w:sz w:val="24"/>
        </w:rPr>
        <w:t xml:space="preserve">in addition to </w:t>
      </w:r>
      <w:r w:rsidR="00FE54F0" w:rsidRPr="00FE54F0">
        <w:rPr>
          <w:rFonts w:eastAsiaTheme="minorHAnsi"/>
          <w:sz w:val="24"/>
        </w:rPr>
        <w:t>an outcome measure or another high priority measure</w:t>
      </w:r>
      <w:r w:rsidR="002D7B84">
        <w:rPr>
          <w:rFonts w:eastAsiaTheme="minorHAnsi"/>
          <w:sz w:val="24"/>
        </w:rPr>
        <w:t>.</w:t>
      </w:r>
      <w:r w:rsidR="00CC7F00">
        <w:rPr>
          <w:rFonts w:eastAsiaTheme="minorHAnsi"/>
          <w:sz w:val="24"/>
        </w:rPr>
        <w:t xml:space="preserve">  The quality performance category score is </w:t>
      </w:r>
      <w:r w:rsidR="003B3E87">
        <w:rPr>
          <w:rFonts w:eastAsiaTheme="minorHAnsi"/>
          <w:sz w:val="24"/>
        </w:rPr>
        <w:t>part of the</w:t>
      </w:r>
      <w:r w:rsidR="00CC7F00">
        <w:rPr>
          <w:rFonts w:eastAsiaTheme="minorHAnsi"/>
          <w:sz w:val="24"/>
        </w:rPr>
        <w:t xml:space="preserve"> final score</w:t>
      </w:r>
      <w:r w:rsidR="003B3E87">
        <w:rPr>
          <w:rFonts w:eastAsiaTheme="minorHAnsi"/>
          <w:sz w:val="24"/>
        </w:rPr>
        <w:t xml:space="preserve">, which is used to determine </w:t>
      </w:r>
      <w:r w:rsidR="009D0EFD">
        <w:rPr>
          <w:rFonts w:eastAsiaTheme="minorHAnsi"/>
          <w:sz w:val="24"/>
        </w:rPr>
        <w:t xml:space="preserve">whether </w:t>
      </w:r>
      <w:r w:rsidR="003B3E87">
        <w:rPr>
          <w:rFonts w:eastAsiaTheme="minorHAnsi"/>
          <w:sz w:val="24"/>
        </w:rPr>
        <w:t xml:space="preserve">the </w:t>
      </w:r>
      <w:r w:rsidR="00CC7F00">
        <w:rPr>
          <w:rFonts w:eastAsiaTheme="minorHAnsi"/>
          <w:sz w:val="24"/>
        </w:rPr>
        <w:t>MIPS eligible clinician</w:t>
      </w:r>
      <w:r w:rsidR="009D0EFD">
        <w:rPr>
          <w:rFonts w:eastAsiaTheme="minorHAnsi"/>
          <w:sz w:val="24"/>
        </w:rPr>
        <w:t xml:space="preserve"> receives a positive, neutral, or negative</w:t>
      </w:r>
      <w:r w:rsidR="007566A6">
        <w:rPr>
          <w:rFonts w:eastAsiaTheme="minorHAnsi"/>
          <w:sz w:val="24"/>
        </w:rPr>
        <w:t xml:space="preserve"> </w:t>
      </w:r>
      <w:r w:rsidR="003B3E87">
        <w:rPr>
          <w:rFonts w:eastAsiaTheme="minorHAnsi"/>
          <w:sz w:val="24"/>
        </w:rPr>
        <w:t xml:space="preserve">MIPS </w:t>
      </w:r>
      <w:r w:rsidR="00CC7F00">
        <w:rPr>
          <w:rFonts w:eastAsiaTheme="minorHAnsi"/>
          <w:sz w:val="24"/>
        </w:rPr>
        <w:t xml:space="preserve">payment adjustment.  </w:t>
      </w:r>
      <w:r w:rsidR="002D7B84">
        <w:rPr>
          <w:rFonts w:eastAsiaTheme="minorHAnsi"/>
          <w:sz w:val="24"/>
        </w:rPr>
        <w:t xml:space="preserve">In addition, the use of a </w:t>
      </w:r>
      <w:r w:rsidR="00BF61E8">
        <w:rPr>
          <w:rFonts w:eastAsiaTheme="minorHAnsi"/>
          <w:sz w:val="24"/>
        </w:rPr>
        <w:t xml:space="preserve">CAHPS </w:t>
      </w:r>
      <w:r w:rsidR="002D7B84">
        <w:rPr>
          <w:rFonts w:eastAsiaTheme="minorHAnsi"/>
          <w:sz w:val="24"/>
        </w:rPr>
        <w:t xml:space="preserve">survey (including </w:t>
      </w:r>
      <w:r w:rsidR="00841C58">
        <w:rPr>
          <w:rFonts w:eastAsiaTheme="minorHAnsi"/>
          <w:sz w:val="24"/>
        </w:rPr>
        <w:t xml:space="preserve">the </w:t>
      </w:r>
      <w:r w:rsidR="002D7B84">
        <w:rPr>
          <w:rFonts w:eastAsiaTheme="minorHAnsi"/>
          <w:sz w:val="24"/>
        </w:rPr>
        <w:t>CAHPS for MIPS</w:t>
      </w:r>
      <w:r w:rsidR="00841C58">
        <w:rPr>
          <w:rFonts w:eastAsiaTheme="minorHAnsi"/>
          <w:sz w:val="24"/>
        </w:rPr>
        <w:t xml:space="preserve"> survey</w:t>
      </w:r>
      <w:r w:rsidR="002D7B84">
        <w:rPr>
          <w:rFonts w:eastAsiaTheme="minorHAnsi"/>
          <w:sz w:val="24"/>
        </w:rPr>
        <w:t xml:space="preserve">) </w:t>
      </w:r>
      <w:r w:rsidR="00BF61E8">
        <w:rPr>
          <w:rFonts w:eastAsiaTheme="minorHAnsi"/>
          <w:sz w:val="24"/>
        </w:rPr>
        <w:t xml:space="preserve">would be </w:t>
      </w:r>
      <w:r w:rsidR="00BF61E8" w:rsidRPr="00A203CE">
        <w:rPr>
          <w:rFonts w:eastAsiaTheme="minorHAnsi"/>
          <w:sz w:val="24"/>
        </w:rPr>
        <w:t>counted as</w:t>
      </w:r>
      <w:r w:rsidR="002E0639" w:rsidRPr="00A203CE">
        <w:rPr>
          <w:rFonts w:eastAsiaTheme="minorHAnsi"/>
          <w:sz w:val="24"/>
        </w:rPr>
        <w:t xml:space="preserve"> a</w:t>
      </w:r>
      <w:r w:rsidR="00BF61E8" w:rsidRPr="00A203CE">
        <w:rPr>
          <w:rFonts w:eastAsiaTheme="minorHAnsi"/>
          <w:sz w:val="24"/>
        </w:rPr>
        <w:t xml:space="preserve"> </w:t>
      </w:r>
      <w:r w:rsidR="004B6363" w:rsidRPr="00A203CE">
        <w:rPr>
          <w:rFonts w:eastAsiaTheme="minorHAnsi"/>
          <w:sz w:val="24"/>
        </w:rPr>
        <w:t>high</w:t>
      </w:r>
      <w:r w:rsidR="00BF61E8" w:rsidRPr="00A203CE">
        <w:rPr>
          <w:rFonts w:eastAsiaTheme="minorHAnsi"/>
          <w:sz w:val="24"/>
        </w:rPr>
        <w:t xml:space="preserve"> weighted activity under the improvement activit</w:t>
      </w:r>
      <w:r w:rsidR="002D7B84" w:rsidRPr="00A203CE">
        <w:rPr>
          <w:rFonts w:eastAsiaTheme="minorHAnsi"/>
          <w:sz w:val="24"/>
        </w:rPr>
        <w:t xml:space="preserve">ies </w:t>
      </w:r>
      <w:r w:rsidR="00BF61E8" w:rsidRPr="00A203CE">
        <w:rPr>
          <w:rFonts w:eastAsiaTheme="minorHAnsi"/>
          <w:sz w:val="24"/>
        </w:rPr>
        <w:t>performance category.</w:t>
      </w:r>
      <w:r w:rsidR="00BF61E8">
        <w:rPr>
          <w:rFonts w:eastAsiaTheme="minorHAnsi"/>
          <w:sz w:val="24"/>
        </w:rPr>
        <w:t xml:space="preserve">  </w:t>
      </w:r>
    </w:p>
    <w:p w14:paraId="4370499E" w14:textId="35107E36" w:rsidR="00AB4956" w:rsidRDefault="004C1131" w:rsidP="00AB4956">
      <w:pPr>
        <w:widowControl/>
        <w:tabs>
          <w:tab w:val="left" w:pos="450"/>
        </w:tabs>
        <w:spacing w:line="276" w:lineRule="auto"/>
        <w:rPr>
          <w:rFonts w:eastAsiaTheme="minorHAnsi"/>
          <w:sz w:val="24"/>
        </w:rPr>
      </w:pPr>
      <w:r>
        <w:rPr>
          <w:rFonts w:eastAsia="Calibri"/>
          <w:sz w:val="24"/>
        </w:rPr>
        <w:tab/>
      </w:r>
      <w:r w:rsidR="00A968FA">
        <w:rPr>
          <w:rFonts w:eastAsia="Calibri"/>
          <w:sz w:val="24"/>
        </w:rPr>
        <w:t xml:space="preserve">Under MIPS, </w:t>
      </w:r>
      <w:r w:rsidR="002918C1">
        <w:rPr>
          <w:rFonts w:eastAsiaTheme="minorHAnsi"/>
          <w:sz w:val="24"/>
        </w:rPr>
        <w:t xml:space="preserve">groups of two or more MIPS eligible clinicians </w:t>
      </w:r>
      <w:r w:rsidR="002E0639">
        <w:rPr>
          <w:rFonts w:eastAsiaTheme="minorHAnsi"/>
          <w:sz w:val="24"/>
        </w:rPr>
        <w:t>can</w:t>
      </w:r>
      <w:r w:rsidR="002918C1">
        <w:rPr>
          <w:rFonts w:eastAsiaTheme="minorHAnsi"/>
          <w:sz w:val="24"/>
        </w:rPr>
        <w:t xml:space="preserve"> voluntarily elect to participate in the CAHPS for MIPS survey</w:t>
      </w:r>
      <w:r w:rsidR="00A968FA">
        <w:rPr>
          <w:rFonts w:eastAsiaTheme="minorHAnsi"/>
          <w:sz w:val="24"/>
        </w:rPr>
        <w:t xml:space="preserve"> as one of their six required quality measures</w:t>
      </w:r>
      <w:r w:rsidR="002918C1">
        <w:rPr>
          <w:rFonts w:eastAsiaTheme="minorHAnsi"/>
          <w:sz w:val="24"/>
        </w:rPr>
        <w:t xml:space="preserve">. Specifically, we </w:t>
      </w:r>
      <w:r w:rsidR="00BF61E8">
        <w:rPr>
          <w:rFonts w:eastAsiaTheme="minorHAnsi"/>
          <w:sz w:val="24"/>
        </w:rPr>
        <w:t xml:space="preserve">included </w:t>
      </w:r>
      <w:r w:rsidR="002918C1">
        <w:rPr>
          <w:rFonts w:eastAsiaTheme="minorHAnsi"/>
          <w:sz w:val="24"/>
        </w:rPr>
        <w:t xml:space="preserve">the following criteria for the submission of data on the CAHPS for MIPS survey by registered groups via </w:t>
      </w:r>
      <w:r w:rsidR="00814BAD">
        <w:rPr>
          <w:rFonts w:eastAsiaTheme="minorHAnsi"/>
          <w:sz w:val="24"/>
        </w:rPr>
        <w:t xml:space="preserve">a </w:t>
      </w:r>
      <w:r w:rsidR="002918C1">
        <w:rPr>
          <w:rFonts w:eastAsiaTheme="minorHAnsi"/>
          <w:sz w:val="24"/>
        </w:rPr>
        <w:t xml:space="preserve">CMS-approved survey vendor: </w:t>
      </w:r>
      <w:r w:rsidR="00AB0027">
        <w:rPr>
          <w:rFonts w:eastAsiaTheme="minorHAnsi"/>
          <w:sz w:val="24"/>
        </w:rPr>
        <w:t>f</w:t>
      </w:r>
      <w:r w:rsidR="002918C1">
        <w:rPr>
          <w:rFonts w:eastAsiaTheme="minorHAnsi"/>
          <w:sz w:val="24"/>
        </w:rPr>
        <w:t>or the applicable 12-month performance period, the group must have the CAHPS for MIPS survey reported on its behalf by a CMS-approved survey vendor. In addition, the group will need to use another submission mechanism (that is, qualified registr</w:t>
      </w:r>
      <w:r w:rsidR="00AB0027">
        <w:rPr>
          <w:rFonts w:eastAsiaTheme="minorHAnsi"/>
          <w:sz w:val="24"/>
        </w:rPr>
        <w:t>y</w:t>
      </w:r>
      <w:r w:rsidR="002918C1">
        <w:rPr>
          <w:rFonts w:eastAsiaTheme="minorHAnsi"/>
          <w:sz w:val="24"/>
        </w:rPr>
        <w:t xml:space="preserve">, </w:t>
      </w:r>
      <w:r w:rsidR="00AF5856">
        <w:rPr>
          <w:rFonts w:eastAsiaTheme="minorHAnsi"/>
          <w:sz w:val="24"/>
        </w:rPr>
        <w:t>Qualified</w:t>
      </w:r>
      <w:r w:rsidR="001D4CA8">
        <w:rPr>
          <w:rFonts w:eastAsiaTheme="minorHAnsi"/>
          <w:sz w:val="24"/>
        </w:rPr>
        <w:t xml:space="preserve"> </w:t>
      </w:r>
      <w:r w:rsidR="00AF5856">
        <w:rPr>
          <w:rFonts w:eastAsiaTheme="minorHAnsi"/>
          <w:sz w:val="24"/>
        </w:rPr>
        <w:t>Clinical</w:t>
      </w:r>
      <w:r w:rsidR="001D4CA8">
        <w:rPr>
          <w:rFonts w:eastAsiaTheme="minorHAnsi"/>
          <w:sz w:val="24"/>
        </w:rPr>
        <w:t xml:space="preserve"> </w:t>
      </w:r>
      <w:r w:rsidR="002918C1">
        <w:rPr>
          <w:rFonts w:eastAsiaTheme="minorHAnsi"/>
          <w:sz w:val="24"/>
        </w:rPr>
        <w:t>D</w:t>
      </w:r>
      <w:r w:rsidR="001D4CA8">
        <w:rPr>
          <w:rFonts w:eastAsiaTheme="minorHAnsi"/>
          <w:sz w:val="24"/>
        </w:rPr>
        <w:t xml:space="preserve">ata </w:t>
      </w:r>
      <w:r w:rsidR="002918C1">
        <w:rPr>
          <w:rFonts w:eastAsiaTheme="minorHAnsi"/>
          <w:sz w:val="24"/>
        </w:rPr>
        <w:t>R</w:t>
      </w:r>
      <w:r w:rsidR="001D4CA8">
        <w:rPr>
          <w:rFonts w:eastAsiaTheme="minorHAnsi"/>
          <w:sz w:val="24"/>
        </w:rPr>
        <w:t>egistry</w:t>
      </w:r>
      <w:r w:rsidR="002918C1">
        <w:rPr>
          <w:rFonts w:eastAsiaTheme="minorHAnsi"/>
          <w:sz w:val="24"/>
        </w:rPr>
        <w:t>, EHR</w:t>
      </w:r>
      <w:r w:rsidR="001D4CA8">
        <w:rPr>
          <w:rFonts w:eastAsiaTheme="minorHAnsi"/>
          <w:sz w:val="24"/>
        </w:rPr>
        <w:t>, CMS Web Interface</w:t>
      </w:r>
      <w:r w:rsidR="008F133E">
        <w:rPr>
          <w:rFonts w:eastAsiaTheme="minorHAnsi"/>
          <w:sz w:val="24"/>
        </w:rPr>
        <w:t>)</w:t>
      </w:r>
      <w:r w:rsidR="002918C1">
        <w:rPr>
          <w:rFonts w:eastAsiaTheme="minorHAnsi"/>
          <w:sz w:val="24"/>
        </w:rPr>
        <w:t xml:space="preserve"> to complete their quality data submission. The CAHPS for MIPS survey would count as a patient experience measure, and the group would be required to submit at least five </w:t>
      </w:r>
      <w:r w:rsidR="008F133E">
        <w:rPr>
          <w:rFonts w:eastAsiaTheme="minorHAnsi"/>
          <w:sz w:val="24"/>
        </w:rPr>
        <w:t xml:space="preserve">additional </w:t>
      </w:r>
      <w:r w:rsidR="002918C1">
        <w:rPr>
          <w:rFonts w:eastAsiaTheme="minorHAnsi"/>
          <w:sz w:val="24"/>
        </w:rPr>
        <w:t xml:space="preserve">measures through one other data submission mechanisms. A group may report any five measures within MIPS plus the CAHPS for MIPS survey to achieve the six measures threshold. </w:t>
      </w:r>
      <w:r w:rsidR="00A968FA">
        <w:rPr>
          <w:rFonts w:eastAsiaTheme="minorHAnsi"/>
          <w:sz w:val="24"/>
        </w:rPr>
        <w:t>The</w:t>
      </w:r>
      <w:r w:rsidR="0061468D">
        <w:rPr>
          <w:rFonts w:eastAsiaTheme="minorHAnsi"/>
          <w:sz w:val="24"/>
        </w:rPr>
        <w:t xml:space="preserve"> data collected on the CAHPS for MIPS survey</w:t>
      </w:r>
      <w:r w:rsidR="003D1F66">
        <w:rPr>
          <w:rFonts w:eastAsiaTheme="minorHAnsi"/>
          <w:sz w:val="24"/>
        </w:rPr>
        <w:t xml:space="preserve"> </w:t>
      </w:r>
      <w:r w:rsidR="0061468D">
        <w:rPr>
          <w:rFonts w:eastAsiaTheme="minorHAnsi"/>
          <w:sz w:val="24"/>
        </w:rPr>
        <w:t xml:space="preserve">measures would be transmitted to </w:t>
      </w:r>
      <w:r w:rsidR="00AB0027">
        <w:rPr>
          <w:rFonts w:eastAsiaTheme="minorHAnsi"/>
          <w:sz w:val="24"/>
        </w:rPr>
        <w:t>CMS</w:t>
      </w:r>
      <w:r w:rsidR="0061468D">
        <w:rPr>
          <w:rFonts w:eastAsiaTheme="minorHAnsi"/>
          <w:sz w:val="24"/>
        </w:rPr>
        <w:t xml:space="preserve"> via a CMS-approved survey vendor.</w:t>
      </w:r>
    </w:p>
    <w:p w14:paraId="0F0EC57D" w14:textId="084877B1" w:rsidR="00196262" w:rsidRDefault="001D4CA8">
      <w:pPr>
        <w:spacing w:line="276" w:lineRule="auto"/>
        <w:ind w:firstLine="720"/>
        <w:rPr>
          <w:sz w:val="24"/>
        </w:rPr>
      </w:pPr>
      <w:r>
        <w:rPr>
          <w:sz w:val="24"/>
        </w:rPr>
        <w:t xml:space="preserve">Further, the CAHPS for MIPS survey will be </w:t>
      </w:r>
      <w:r w:rsidR="00505271">
        <w:rPr>
          <w:sz w:val="24"/>
        </w:rPr>
        <w:t>used to populate</w:t>
      </w:r>
      <w:r>
        <w:rPr>
          <w:sz w:val="24"/>
        </w:rPr>
        <w:t xml:space="preserve"> the </w:t>
      </w:r>
      <w:r w:rsidRPr="001D4CA8">
        <w:rPr>
          <w:sz w:val="24"/>
        </w:rPr>
        <w:t xml:space="preserve">Physician Compare </w:t>
      </w:r>
      <w:r w:rsidRPr="001D4CA8">
        <w:rPr>
          <w:sz w:val="24"/>
        </w:rPr>
        <w:lastRenderedPageBreak/>
        <w:t>Web site</w:t>
      </w:r>
      <w:r>
        <w:rPr>
          <w:sz w:val="24"/>
        </w:rPr>
        <w:t>, which</w:t>
      </w:r>
      <w:r w:rsidRPr="001D4CA8">
        <w:rPr>
          <w:sz w:val="24"/>
        </w:rPr>
        <w:t xml:space="preserve"> was launched December 30, 2010 to </w:t>
      </w:r>
      <w:r>
        <w:rPr>
          <w:sz w:val="24"/>
        </w:rPr>
        <w:t xml:space="preserve">meet </w:t>
      </w:r>
      <w:r w:rsidRPr="001D4CA8">
        <w:rPr>
          <w:sz w:val="24"/>
        </w:rPr>
        <w:t xml:space="preserve">requirements set forth by Section 10331 of the Patient Protection and Affordable Care Act of 2010 (Affordable Care Act). The Affordable Care Act </w:t>
      </w:r>
      <w:r w:rsidR="00300ACB" w:rsidRPr="001D4CA8">
        <w:rPr>
          <w:sz w:val="24"/>
        </w:rPr>
        <w:t>require</w:t>
      </w:r>
      <w:r w:rsidR="00300ACB">
        <w:rPr>
          <w:sz w:val="24"/>
        </w:rPr>
        <w:t>d</w:t>
      </w:r>
      <w:r w:rsidR="00300ACB" w:rsidRPr="001D4CA8">
        <w:rPr>
          <w:sz w:val="24"/>
        </w:rPr>
        <w:t xml:space="preserve"> </w:t>
      </w:r>
      <w:r w:rsidRPr="001D4CA8">
        <w:rPr>
          <w:sz w:val="24"/>
        </w:rPr>
        <w:t xml:space="preserve">CMS to establish a Physician Compare website by January 1, 2011 containing information on physicians enrolled in the Medicare program and other eligible professionals who participate in the Physician Quality Reporting Initiative.  By no later than January 1, 2013 (and for reporting periods beginning no earlier than January 1, 2012), CMS </w:t>
      </w:r>
      <w:r w:rsidR="00300ACB">
        <w:rPr>
          <w:sz w:val="24"/>
        </w:rPr>
        <w:t>was</w:t>
      </w:r>
      <w:r w:rsidR="00300ACB" w:rsidRPr="001D4CA8">
        <w:rPr>
          <w:sz w:val="24"/>
        </w:rPr>
        <w:t xml:space="preserve"> </w:t>
      </w:r>
      <w:r w:rsidRPr="001D4CA8">
        <w:rPr>
          <w:sz w:val="24"/>
        </w:rPr>
        <w:t xml:space="preserve">required to implement a plan to make information on physician performance publicly available through Physician Compare.  A key component of the reporting requirements under the Affordable Care Act is public reporting, through Physician Compare, of information on physician performance that includes patient experience measures.  The collection and reporting of a CAHPS </w:t>
      </w:r>
      <w:r w:rsidR="008F133E">
        <w:rPr>
          <w:sz w:val="24"/>
        </w:rPr>
        <w:t xml:space="preserve">for </w:t>
      </w:r>
      <w:r>
        <w:rPr>
          <w:sz w:val="24"/>
        </w:rPr>
        <w:t xml:space="preserve">PQRS </w:t>
      </w:r>
      <w:r w:rsidRPr="001D4CA8">
        <w:rPr>
          <w:sz w:val="24"/>
        </w:rPr>
        <w:t xml:space="preserve">survey </w:t>
      </w:r>
      <w:r>
        <w:rPr>
          <w:sz w:val="24"/>
        </w:rPr>
        <w:t xml:space="preserve">was developed to fulfill this requirement, and the CAHPS for MIPS survey will continue to do so. </w:t>
      </w:r>
    </w:p>
    <w:p w14:paraId="068ECC2E" w14:textId="77777777" w:rsidR="001D4CA8" w:rsidRPr="001D4CA8" w:rsidRDefault="001D4CA8" w:rsidP="001D4CA8">
      <w:pPr>
        <w:spacing w:line="276" w:lineRule="auto"/>
        <w:ind w:firstLine="720"/>
        <w:rPr>
          <w:sz w:val="24"/>
        </w:rPr>
      </w:pPr>
    </w:p>
    <w:p w14:paraId="44BAFCF7"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bCs/>
          <w:sz w:val="24"/>
          <w:u w:val="single"/>
        </w:rPr>
        <w:t>B.</w:t>
      </w:r>
      <w:r>
        <w:rPr>
          <w:b/>
          <w:bCs/>
          <w:sz w:val="24"/>
        </w:rPr>
        <w:tab/>
      </w:r>
      <w:r>
        <w:rPr>
          <w:b/>
          <w:bCs/>
          <w:sz w:val="24"/>
          <w:u w:val="single"/>
        </w:rPr>
        <w:t>Justification</w:t>
      </w:r>
    </w:p>
    <w:p w14:paraId="54875E2E" w14:textId="77777777" w:rsidR="00D26EEF" w:rsidRDefault="00D26EEF" w:rsidP="0024686F">
      <w:pPr>
        <w:spacing w:line="276" w:lineRule="auto"/>
      </w:pPr>
    </w:p>
    <w:p w14:paraId="6834EB5E" w14:textId="70F5BD7A"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w:t>
      </w:r>
      <w:r w:rsidR="00D64237">
        <w:rPr>
          <w:sz w:val="24"/>
        </w:rPr>
        <w:tab/>
      </w:r>
      <w:r>
        <w:rPr>
          <w:sz w:val="24"/>
          <w:u w:val="single"/>
        </w:rPr>
        <w:t>Need and Legal Basis</w:t>
      </w:r>
    </w:p>
    <w:p w14:paraId="51365B20" w14:textId="77777777" w:rsidR="00C729CE" w:rsidRDefault="00C729CE"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2D52BCA2" w14:textId="3841B282" w:rsidR="00D26EEF" w:rsidRDefault="00FB3AE4" w:rsidP="00D642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C729CE" w:rsidRPr="0007426C">
        <w:rPr>
          <w:sz w:val="24"/>
        </w:rPr>
        <w:t xml:space="preserve">Authority for collection of this information is provided under sections 1848(q), </w:t>
      </w:r>
      <w:r w:rsidR="008B5220" w:rsidRPr="0007426C">
        <w:rPr>
          <w:sz w:val="24"/>
        </w:rPr>
        <w:t xml:space="preserve">1848(k), 1848(m), </w:t>
      </w:r>
      <w:r w:rsidR="00C729CE" w:rsidRPr="0007426C">
        <w:rPr>
          <w:sz w:val="24"/>
        </w:rPr>
        <w:t xml:space="preserve">1848(o), </w:t>
      </w:r>
      <w:r w:rsidR="008B5220" w:rsidRPr="0007426C">
        <w:rPr>
          <w:sz w:val="24"/>
        </w:rPr>
        <w:t>1848(p)</w:t>
      </w:r>
      <w:r w:rsidR="00766CD0" w:rsidRPr="0007426C">
        <w:rPr>
          <w:sz w:val="24"/>
        </w:rPr>
        <w:t>, and 1833(z)</w:t>
      </w:r>
      <w:r w:rsidR="00A00A93">
        <w:rPr>
          <w:sz w:val="24"/>
        </w:rPr>
        <w:t xml:space="preserve"> of the Social Security Act</w:t>
      </w:r>
      <w:r w:rsidR="008B5220" w:rsidRPr="0007426C">
        <w:rPr>
          <w:sz w:val="24"/>
        </w:rPr>
        <w:t>.</w:t>
      </w:r>
      <w:r w:rsidR="00A26EDC" w:rsidRPr="0007426C">
        <w:rPr>
          <w:sz w:val="24"/>
        </w:rPr>
        <w:t xml:space="preserve"> </w:t>
      </w:r>
    </w:p>
    <w:p w14:paraId="58C6884F" w14:textId="06FA0CE0" w:rsidR="006775CA" w:rsidRDefault="006775CA"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r w:rsidRPr="0007426C">
        <w:rPr>
          <w:sz w:val="24"/>
        </w:rPr>
        <w:t xml:space="preserve">Section 1848(q) of the Act, as added by section 101(c) of the MACRA, requires the establishment of the MIPS beginning with payments for items and services furnished on or after January 1, 2019,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w:t>
      </w:r>
      <w:r w:rsidR="00300ACB">
        <w:rPr>
          <w:sz w:val="24"/>
        </w:rPr>
        <w:t>final</w:t>
      </w:r>
      <w:r w:rsidRPr="0007426C">
        <w:rPr>
          <w:sz w:val="24"/>
        </w:rPr>
        <w:t xml:space="preserve"> score</w:t>
      </w:r>
      <w:r>
        <w:rPr>
          <w:sz w:val="24"/>
        </w:rPr>
        <w:t xml:space="preserve"> </w:t>
      </w:r>
      <w:r w:rsidRPr="0007426C">
        <w:rPr>
          <w:sz w:val="24"/>
        </w:rPr>
        <w:t xml:space="preserve">for each MIPS eligible </w:t>
      </w:r>
      <w:r>
        <w:rPr>
          <w:sz w:val="24"/>
        </w:rPr>
        <w:t>clinician</w:t>
      </w:r>
      <w:r w:rsidRPr="0007426C">
        <w:rPr>
          <w:sz w:val="24"/>
        </w:rPr>
        <w:t xml:space="preserve"> for each performance period; and (3) use the </w:t>
      </w:r>
      <w:r w:rsidR="00300ACB">
        <w:rPr>
          <w:sz w:val="24"/>
        </w:rPr>
        <w:t>final score</w:t>
      </w:r>
      <w:r w:rsidR="00300ACB" w:rsidRPr="0007426C">
        <w:rPr>
          <w:sz w:val="24"/>
        </w:rPr>
        <w:t xml:space="preserve"> </w:t>
      </w:r>
      <w:r w:rsidRPr="0007426C">
        <w:rPr>
          <w:sz w:val="24"/>
        </w:rPr>
        <w:t xml:space="preserve">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 xml:space="preserve">. Under section 1848(q)(2)(A) of the </w:t>
      </w:r>
      <w:r w:rsidR="00CF5843">
        <w:rPr>
          <w:sz w:val="24"/>
        </w:rPr>
        <w:t xml:space="preserve">Social Security </w:t>
      </w:r>
      <w:r w:rsidRPr="0007426C">
        <w:rPr>
          <w:sz w:val="24"/>
        </w:rPr>
        <w:t xml:space="preserve">Act, a MIPS eligible </w:t>
      </w:r>
      <w:r>
        <w:rPr>
          <w:sz w:val="24"/>
        </w:rPr>
        <w:t>clinicia</w:t>
      </w:r>
      <w:r w:rsidRPr="0007426C">
        <w:rPr>
          <w:sz w:val="24"/>
        </w:rPr>
        <w:t xml:space="preserve">n’s </w:t>
      </w:r>
      <w:r w:rsidR="00300ACB">
        <w:rPr>
          <w:sz w:val="24"/>
        </w:rPr>
        <w:t xml:space="preserve">final score </w:t>
      </w:r>
      <w:r w:rsidRPr="0007426C">
        <w:rPr>
          <w:sz w:val="24"/>
        </w:rPr>
        <w:t xml:space="preserve">is determined using four performance categories: (1) quality; (2) </w:t>
      </w:r>
      <w:r w:rsidR="006E60BE">
        <w:rPr>
          <w:sz w:val="24"/>
        </w:rPr>
        <w:t>cost</w:t>
      </w:r>
      <w:r w:rsidRPr="0007426C">
        <w:rPr>
          <w:sz w:val="24"/>
        </w:rPr>
        <w:t xml:space="preserve">; (3) </w:t>
      </w:r>
      <w:r w:rsidR="006E60BE">
        <w:rPr>
          <w:sz w:val="24"/>
        </w:rPr>
        <w:t>improvement activities</w:t>
      </w:r>
      <w:r>
        <w:rPr>
          <w:sz w:val="24"/>
        </w:rPr>
        <w:t xml:space="preserve">, </w:t>
      </w:r>
      <w:r w:rsidRPr="0007426C">
        <w:rPr>
          <w:sz w:val="24"/>
        </w:rPr>
        <w:t xml:space="preserve">and (4) </w:t>
      </w:r>
      <w:r>
        <w:rPr>
          <w:sz w:val="24"/>
        </w:rPr>
        <w:t>the</w:t>
      </w:r>
      <w:r w:rsidRPr="0007426C">
        <w:rPr>
          <w:sz w:val="24"/>
        </w:rPr>
        <w:t xml:space="preserve"> </w:t>
      </w:r>
      <w:r>
        <w:rPr>
          <w:sz w:val="24"/>
        </w:rPr>
        <w:t>advancing care information.</w:t>
      </w:r>
      <w:r w:rsidR="000D0D10">
        <w:rPr>
          <w:sz w:val="24"/>
        </w:rPr>
        <w:t xml:space="preserve"> In the transition year,</w:t>
      </w:r>
      <w:r w:rsidR="00A968FA">
        <w:rPr>
          <w:sz w:val="24"/>
        </w:rPr>
        <w:t xml:space="preserve"> data from the</w:t>
      </w:r>
      <w:r w:rsidR="000D0D10">
        <w:rPr>
          <w:sz w:val="24"/>
        </w:rPr>
        <w:t xml:space="preserve"> </w:t>
      </w:r>
      <w:r w:rsidR="005B79E5">
        <w:rPr>
          <w:sz w:val="24"/>
        </w:rPr>
        <w:t>cost</w:t>
      </w:r>
      <w:r w:rsidR="00A968FA">
        <w:rPr>
          <w:sz w:val="24"/>
        </w:rPr>
        <w:t xml:space="preserve"> performance category</w:t>
      </w:r>
      <w:r w:rsidR="000D0D10">
        <w:rPr>
          <w:sz w:val="24"/>
        </w:rPr>
        <w:t xml:space="preserve"> will not be used to calculate the final score. </w:t>
      </w:r>
    </w:p>
    <w:p w14:paraId="5AF1DD7B" w14:textId="77777777" w:rsidR="001D4CA8" w:rsidRDefault="001D4CA8"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p>
    <w:p w14:paraId="5A1B5CCE" w14:textId="77777777" w:rsidR="00D26EEF" w:rsidRPr="0007426C"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sidRPr="0007426C">
        <w:rPr>
          <w:sz w:val="24"/>
        </w:rPr>
        <w:t>2.</w:t>
      </w:r>
      <w:r w:rsidRPr="0007426C">
        <w:rPr>
          <w:sz w:val="24"/>
        </w:rPr>
        <w:tab/>
      </w:r>
      <w:r w:rsidRPr="0007426C">
        <w:rPr>
          <w:sz w:val="24"/>
          <w:u w:val="single"/>
        </w:rPr>
        <w:t>Information Users</w:t>
      </w:r>
    </w:p>
    <w:p w14:paraId="6C40892D"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7AAD873C" w14:textId="4DE03D0E" w:rsidR="000A1BC2" w:rsidRDefault="004C113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0A1BC2">
        <w:rPr>
          <w:sz w:val="24"/>
        </w:rPr>
        <w:t xml:space="preserve">We will use </w:t>
      </w:r>
      <w:r>
        <w:rPr>
          <w:sz w:val="24"/>
        </w:rPr>
        <w:t xml:space="preserve">the CAHPS for </w:t>
      </w:r>
      <w:r w:rsidR="00ED51D2">
        <w:rPr>
          <w:sz w:val="24"/>
        </w:rPr>
        <w:t xml:space="preserve">MIPS </w:t>
      </w:r>
      <w:r w:rsidR="008F133E">
        <w:rPr>
          <w:sz w:val="24"/>
        </w:rPr>
        <w:t xml:space="preserve">survey </w:t>
      </w:r>
      <w:r w:rsidR="00ED51D2">
        <w:rPr>
          <w:sz w:val="24"/>
        </w:rPr>
        <w:t>to</w:t>
      </w:r>
      <w:r w:rsidR="000A1BC2" w:rsidRPr="0007426C">
        <w:rPr>
          <w:sz w:val="24"/>
        </w:rPr>
        <w:t xml:space="preserve"> assess </w:t>
      </w:r>
      <w:r w:rsidR="00464E67">
        <w:rPr>
          <w:sz w:val="24"/>
        </w:rPr>
        <w:t>group</w:t>
      </w:r>
      <w:r w:rsidR="008C38A4">
        <w:rPr>
          <w:sz w:val="24"/>
        </w:rPr>
        <w:t>s</w:t>
      </w:r>
      <w:r w:rsidR="00464E67">
        <w:rPr>
          <w:sz w:val="24"/>
        </w:rPr>
        <w:t xml:space="preserve"> containing </w:t>
      </w:r>
      <w:r w:rsidR="000A1BC2">
        <w:rPr>
          <w:sz w:val="24"/>
        </w:rPr>
        <w:t xml:space="preserve">MIPS </w:t>
      </w:r>
      <w:r w:rsidR="000A1BC2" w:rsidRPr="00AC495C">
        <w:rPr>
          <w:sz w:val="24"/>
        </w:rPr>
        <w:t xml:space="preserve">eligible </w:t>
      </w:r>
      <w:r w:rsidR="00E20A00" w:rsidRPr="00AC495C">
        <w:rPr>
          <w:sz w:val="24"/>
        </w:rPr>
        <w:t>clinician</w:t>
      </w:r>
      <w:r w:rsidR="00E20A00">
        <w:rPr>
          <w:sz w:val="24"/>
        </w:rPr>
        <w:t>s’</w:t>
      </w:r>
      <w:r w:rsidR="00794F52">
        <w:rPr>
          <w:sz w:val="24"/>
        </w:rPr>
        <w:t xml:space="preserve"> </w:t>
      </w:r>
      <w:r w:rsidR="000A1BC2" w:rsidRPr="0007426C">
        <w:rPr>
          <w:sz w:val="24"/>
        </w:rPr>
        <w:t>performance</w:t>
      </w:r>
      <w:r w:rsidR="00FA0F48">
        <w:rPr>
          <w:sz w:val="24"/>
        </w:rPr>
        <w:t xml:space="preserve"> </w:t>
      </w:r>
      <w:r w:rsidR="000A1BC2" w:rsidRPr="0007426C">
        <w:rPr>
          <w:sz w:val="24"/>
        </w:rPr>
        <w:t xml:space="preserve">in the </w:t>
      </w:r>
      <w:r>
        <w:rPr>
          <w:sz w:val="24"/>
        </w:rPr>
        <w:t xml:space="preserve">quality </w:t>
      </w:r>
      <w:r w:rsidR="000A1BC2" w:rsidRPr="0007426C">
        <w:rPr>
          <w:sz w:val="24"/>
        </w:rPr>
        <w:t xml:space="preserve">performance </w:t>
      </w:r>
      <w:r w:rsidRPr="0007426C">
        <w:rPr>
          <w:sz w:val="24"/>
        </w:rPr>
        <w:t>categor</w:t>
      </w:r>
      <w:r>
        <w:rPr>
          <w:sz w:val="24"/>
        </w:rPr>
        <w:t>y</w:t>
      </w:r>
      <w:r w:rsidR="00794F52">
        <w:rPr>
          <w:sz w:val="24"/>
        </w:rPr>
        <w:t xml:space="preserve">.  For groups of clinicians electing to report CAHPS </w:t>
      </w:r>
      <w:r w:rsidR="00BA1BDA">
        <w:rPr>
          <w:sz w:val="24"/>
        </w:rPr>
        <w:t xml:space="preserve">for MIPS </w:t>
      </w:r>
      <w:r w:rsidR="00794F52">
        <w:rPr>
          <w:sz w:val="24"/>
        </w:rPr>
        <w:t>in the quality performance category, CAHPS for MIPS</w:t>
      </w:r>
      <w:r w:rsidR="00BA1BDA">
        <w:rPr>
          <w:sz w:val="24"/>
        </w:rPr>
        <w:t xml:space="preserve"> </w:t>
      </w:r>
      <w:r w:rsidR="00794F52">
        <w:rPr>
          <w:sz w:val="24"/>
        </w:rPr>
        <w:t>will be included in the calculation of</w:t>
      </w:r>
      <w:r w:rsidR="000A1BC2" w:rsidRPr="0007426C">
        <w:rPr>
          <w:sz w:val="24"/>
        </w:rPr>
        <w:t xml:space="preserve"> </w:t>
      </w:r>
      <w:r w:rsidR="0018334A">
        <w:rPr>
          <w:sz w:val="24"/>
        </w:rPr>
        <w:t>the</w:t>
      </w:r>
      <w:r w:rsidR="000A1BC2" w:rsidRPr="0007426C">
        <w:rPr>
          <w:sz w:val="24"/>
        </w:rPr>
        <w:t xml:space="preserve"> </w:t>
      </w:r>
      <w:r w:rsidR="006E60BE">
        <w:rPr>
          <w:sz w:val="24"/>
        </w:rPr>
        <w:t>final score</w:t>
      </w:r>
      <w:r w:rsidR="0062455E">
        <w:rPr>
          <w:sz w:val="24"/>
        </w:rPr>
        <w:t xml:space="preserve"> as a quality measure</w:t>
      </w:r>
      <w:r w:rsidR="00266FA1" w:rsidRPr="00266FA1">
        <w:rPr>
          <w:sz w:val="24"/>
        </w:rPr>
        <w:t xml:space="preserve"> </w:t>
      </w:r>
      <w:r w:rsidR="00266FA1" w:rsidRPr="0007426C">
        <w:rPr>
          <w:sz w:val="24"/>
        </w:rPr>
        <w:t xml:space="preserve">and </w:t>
      </w:r>
      <w:r w:rsidR="00266FA1">
        <w:rPr>
          <w:sz w:val="24"/>
        </w:rPr>
        <w:t>thus applied to calculate payment adjustments</w:t>
      </w:r>
      <w:r w:rsidR="008D7EA5">
        <w:rPr>
          <w:sz w:val="24"/>
        </w:rPr>
        <w:t xml:space="preserve">.  </w:t>
      </w:r>
      <w:r w:rsidR="00BA1BDA" w:rsidRPr="00870F83">
        <w:rPr>
          <w:sz w:val="24"/>
        </w:rPr>
        <w:t>Similar to other quality measures, e</w:t>
      </w:r>
      <w:r w:rsidR="00DD2286" w:rsidRPr="00870F83">
        <w:rPr>
          <w:sz w:val="24"/>
        </w:rPr>
        <w:t>ach</w:t>
      </w:r>
      <w:r w:rsidR="008D7EA5" w:rsidRPr="00870F83">
        <w:rPr>
          <w:sz w:val="24"/>
        </w:rPr>
        <w:t xml:space="preserve"> </w:t>
      </w:r>
      <w:r w:rsidR="00DD2286" w:rsidRPr="00870F83">
        <w:rPr>
          <w:sz w:val="24"/>
        </w:rPr>
        <w:t xml:space="preserve">Summary Survey Measure (SSM) in the </w:t>
      </w:r>
      <w:r w:rsidR="008D7EA5" w:rsidRPr="00870F83">
        <w:rPr>
          <w:sz w:val="24"/>
        </w:rPr>
        <w:t xml:space="preserve">CAHPS for MIPS survey </w:t>
      </w:r>
      <w:r w:rsidR="00DD2286" w:rsidRPr="00870F83">
        <w:rPr>
          <w:sz w:val="24"/>
        </w:rPr>
        <w:t>will have an individual</w:t>
      </w:r>
      <w:r w:rsidR="009109C4" w:rsidRPr="00870F83">
        <w:rPr>
          <w:sz w:val="24"/>
        </w:rPr>
        <w:t xml:space="preserve"> benchmark</w:t>
      </w:r>
      <w:r w:rsidR="00BA1BDA" w:rsidRPr="00870F83">
        <w:rPr>
          <w:sz w:val="24"/>
        </w:rPr>
        <w:t xml:space="preserve"> </w:t>
      </w:r>
      <w:r w:rsidR="00DD2286" w:rsidRPr="00870F83">
        <w:rPr>
          <w:sz w:val="24"/>
        </w:rPr>
        <w:t xml:space="preserve">which will be used to establish the number of points.  The CAHPS </w:t>
      </w:r>
      <w:r w:rsidR="00266FA1" w:rsidRPr="00870F83">
        <w:rPr>
          <w:sz w:val="24"/>
        </w:rPr>
        <w:t xml:space="preserve">for MIPS survey </w:t>
      </w:r>
      <w:r w:rsidR="00DD2286" w:rsidRPr="00870F83">
        <w:rPr>
          <w:sz w:val="24"/>
        </w:rPr>
        <w:t xml:space="preserve">will be </w:t>
      </w:r>
      <w:r w:rsidR="00266FA1" w:rsidRPr="00870F83">
        <w:rPr>
          <w:sz w:val="24"/>
        </w:rPr>
        <w:t xml:space="preserve">scored based on the </w:t>
      </w:r>
      <w:r w:rsidR="00DD2286" w:rsidRPr="00870F83">
        <w:rPr>
          <w:sz w:val="24"/>
        </w:rPr>
        <w:t xml:space="preserve">average number of </w:t>
      </w:r>
      <w:r w:rsidR="00DD2286" w:rsidRPr="00870F83">
        <w:rPr>
          <w:sz w:val="24"/>
        </w:rPr>
        <w:lastRenderedPageBreak/>
        <w:t>points across SSMs</w:t>
      </w:r>
      <w:r w:rsidR="009109C4" w:rsidRPr="00870F83">
        <w:rPr>
          <w:sz w:val="24"/>
        </w:rPr>
        <w:t xml:space="preserve">, up </w:t>
      </w:r>
      <w:r w:rsidR="008D7EA5" w:rsidRPr="00870F83">
        <w:rPr>
          <w:sz w:val="24"/>
        </w:rPr>
        <w:t>to 10 points</w:t>
      </w:r>
      <w:r w:rsidR="00266FA1" w:rsidRPr="00870F83">
        <w:rPr>
          <w:sz w:val="24"/>
        </w:rPr>
        <w:t>.  This is similar to how other quality measures are scored against a benchmark</w:t>
      </w:r>
      <w:r w:rsidR="00BA1BDA" w:rsidRPr="00870F83">
        <w:rPr>
          <w:sz w:val="24"/>
        </w:rPr>
        <w:t>,</w:t>
      </w:r>
      <w:r w:rsidR="00266FA1" w:rsidRPr="00870F83">
        <w:rPr>
          <w:sz w:val="24"/>
        </w:rPr>
        <w:t xml:space="preserve"> which </w:t>
      </w:r>
      <w:r w:rsidR="00BA1BDA" w:rsidRPr="00870F83">
        <w:rPr>
          <w:sz w:val="24"/>
        </w:rPr>
        <w:t xml:space="preserve">is to </w:t>
      </w:r>
      <w:r w:rsidR="00266FA1" w:rsidRPr="00870F83">
        <w:rPr>
          <w:sz w:val="24"/>
        </w:rPr>
        <w:t>assign up to 10 points</w:t>
      </w:r>
      <w:r w:rsidR="00BA1BDA" w:rsidRPr="00870F83">
        <w:rPr>
          <w:sz w:val="24"/>
        </w:rPr>
        <w:t xml:space="preserve"> per measure</w:t>
      </w:r>
      <w:r w:rsidR="00266FA1" w:rsidRPr="00870F83">
        <w:rPr>
          <w:sz w:val="24"/>
        </w:rPr>
        <w:t xml:space="preserve">. </w:t>
      </w:r>
      <w:r w:rsidR="008D7EA5" w:rsidRPr="00870F83">
        <w:rPr>
          <w:sz w:val="24"/>
        </w:rPr>
        <w:t xml:space="preserve"> The CAHPS for MIPS survey is </w:t>
      </w:r>
      <w:r w:rsidR="00266FA1" w:rsidRPr="00870F83">
        <w:rPr>
          <w:sz w:val="24"/>
        </w:rPr>
        <w:t xml:space="preserve">also </w:t>
      </w:r>
      <w:r w:rsidR="008D7EA5" w:rsidRPr="00870F83">
        <w:rPr>
          <w:sz w:val="24"/>
        </w:rPr>
        <w:t xml:space="preserve">considered a patient experience measure for the quality performance category and therefore </w:t>
      </w:r>
      <w:r w:rsidR="00BA1BDA" w:rsidRPr="00870F83">
        <w:rPr>
          <w:sz w:val="24"/>
        </w:rPr>
        <w:t xml:space="preserve">also contributes </w:t>
      </w:r>
      <w:r w:rsidR="008D7EA5" w:rsidRPr="00870F83">
        <w:rPr>
          <w:sz w:val="24"/>
        </w:rPr>
        <w:t xml:space="preserve">2 </w:t>
      </w:r>
      <w:r w:rsidR="00BA1BDA" w:rsidRPr="00870F83">
        <w:rPr>
          <w:sz w:val="24"/>
        </w:rPr>
        <w:t xml:space="preserve">additional </w:t>
      </w:r>
      <w:r w:rsidR="008D7EA5" w:rsidRPr="00870F83">
        <w:rPr>
          <w:sz w:val="24"/>
        </w:rPr>
        <w:t xml:space="preserve">bonus points </w:t>
      </w:r>
      <w:r w:rsidR="00BA1BDA" w:rsidRPr="00870F83">
        <w:rPr>
          <w:sz w:val="24"/>
        </w:rPr>
        <w:t>to</w:t>
      </w:r>
      <w:r w:rsidR="008D7EA5" w:rsidRPr="00870F83">
        <w:rPr>
          <w:sz w:val="24"/>
        </w:rPr>
        <w:t xml:space="preserve"> the quality performance category</w:t>
      </w:r>
      <w:r w:rsidR="00BA1BDA" w:rsidRPr="00870F83">
        <w:rPr>
          <w:sz w:val="24"/>
        </w:rPr>
        <w:t xml:space="preserve"> score</w:t>
      </w:r>
      <w:r w:rsidR="0051073C">
        <w:rPr>
          <w:sz w:val="24"/>
        </w:rPr>
        <w:t>,</w:t>
      </w:r>
      <w:r w:rsidR="0051073C" w:rsidRPr="0051073C">
        <w:rPr>
          <w:sz w:val="24"/>
        </w:rPr>
        <w:t xml:space="preserve"> subject to a bonus points cap if applicable</w:t>
      </w:r>
      <w:proofErr w:type="gramStart"/>
      <w:r w:rsidR="0051073C" w:rsidRPr="0051073C">
        <w:rPr>
          <w:sz w:val="24"/>
        </w:rPr>
        <w:t>.</w:t>
      </w:r>
      <w:r w:rsidR="000A1BC2" w:rsidRPr="00870F83">
        <w:rPr>
          <w:sz w:val="24"/>
        </w:rPr>
        <w:t>.</w:t>
      </w:r>
      <w:proofErr w:type="gramEnd"/>
      <w:r w:rsidR="000A1BC2" w:rsidRPr="0007426C">
        <w:rPr>
          <w:sz w:val="24"/>
        </w:rPr>
        <w:t xml:space="preserve">  </w:t>
      </w:r>
      <w:r w:rsidR="000A1BC2">
        <w:rPr>
          <w:sz w:val="24"/>
        </w:rPr>
        <w:t xml:space="preserve">We also </w:t>
      </w:r>
      <w:r w:rsidR="00AB0027">
        <w:rPr>
          <w:sz w:val="24"/>
        </w:rPr>
        <w:t xml:space="preserve">will </w:t>
      </w:r>
      <w:r w:rsidR="000A1BC2">
        <w:rPr>
          <w:sz w:val="24"/>
        </w:rPr>
        <w:t xml:space="preserve">use this </w:t>
      </w:r>
      <w:r w:rsidR="000A1BC2" w:rsidRPr="0007426C">
        <w:rPr>
          <w:sz w:val="24"/>
        </w:rPr>
        <w:t xml:space="preserve">information </w:t>
      </w:r>
      <w:r w:rsidR="002E0639">
        <w:rPr>
          <w:sz w:val="24"/>
        </w:rPr>
        <w:t xml:space="preserve">as part of performance </w:t>
      </w:r>
      <w:r w:rsidR="000A1BC2" w:rsidRPr="0007426C">
        <w:rPr>
          <w:sz w:val="24"/>
        </w:rPr>
        <w:t xml:space="preserve">feedback to </w:t>
      </w:r>
      <w:r w:rsidR="000A1BC2">
        <w:rPr>
          <w:sz w:val="24"/>
        </w:rPr>
        <w:t xml:space="preserve">MIPS </w:t>
      </w:r>
      <w:r w:rsidR="000A1BC2" w:rsidRPr="00AC495C">
        <w:rPr>
          <w:sz w:val="24"/>
        </w:rPr>
        <w:t>eligible clinicia</w:t>
      </w:r>
      <w:r w:rsidR="000A1BC2" w:rsidRPr="0007426C">
        <w:rPr>
          <w:sz w:val="24"/>
        </w:rPr>
        <w:t xml:space="preserve">ns. This information is made available to beneficiaries, as well as to the public, on the </w:t>
      </w:r>
      <w:r w:rsidR="000A1BC2" w:rsidRPr="00C95AD9">
        <w:rPr>
          <w:i/>
          <w:sz w:val="24"/>
        </w:rPr>
        <w:t>Physician Compare</w:t>
      </w:r>
      <w:r w:rsidR="000A1BC2" w:rsidRPr="0007426C">
        <w:rPr>
          <w:sz w:val="24"/>
        </w:rPr>
        <w:t xml:space="preserve"> website.</w:t>
      </w:r>
      <w:r w:rsidR="00AC69EB">
        <w:rPr>
          <w:sz w:val="24"/>
        </w:rPr>
        <w:t xml:space="preserve"> </w:t>
      </w:r>
      <w:r w:rsidR="00A203CE">
        <w:rPr>
          <w:sz w:val="24"/>
        </w:rPr>
        <w:t>CMS plans to use t</w:t>
      </w:r>
      <w:r w:rsidR="00AC69EB">
        <w:rPr>
          <w:sz w:val="24"/>
        </w:rPr>
        <w:t xml:space="preserve">he data to produce annual statistical reports that will describe the </w:t>
      </w:r>
      <w:r>
        <w:rPr>
          <w:sz w:val="24"/>
        </w:rPr>
        <w:t xml:space="preserve">patient experience measures for all MIPS eligible </w:t>
      </w:r>
      <w:r w:rsidR="007608A5">
        <w:rPr>
          <w:sz w:val="24"/>
        </w:rPr>
        <w:t>clinicians</w:t>
      </w:r>
      <w:r>
        <w:rPr>
          <w:sz w:val="24"/>
        </w:rPr>
        <w:t xml:space="preserve"> who elect to use CAHPS for MIPS as one of their quality measures, and for subgroups of </w:t>
      </w:r>
      <w:r w:rsidR="007608A5">
        <w:rPr>
          <w:sz w:val="24"/>
        </w:rPr>
        <w:t>clinicians</w:t>
      </w:r>
      <w:r>
        <w:rPr>
          <w:sz w:val="24"/>
        </w:rPr>
        <w:t xml:space="preserve"> using CAHPS. </w:t>
      </w:r>
      <w:r w:rsidR="00AC69EB">
        <w:rPr>
          <w:sz w:val="24"/>
        </w:rPr>
        <w:t xml:space="preserve"> </w:t>
      </w:r>
      <w:r w:rsidR="00AC69EB" w:rsidRPr="00AC69EB">
        <w:rPr>
          <w:sz w:val="24"/>
        </w:rPr>
        <w:t>The MIPS annual statistical reports will be modeled after two existing annual reports, the PQRS Experience Report and the Value Modifier Report.</w:t>
      </w:r>
    </w:p>
    <w:p w14:paraId="5B7EDEB7" w14:textId="56C1739C" w:rsidR="00DC0141" w:rsidRDefault="00DC014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2A317EA" w14:textId="2E930EAA" w:rsidR="00DC0141" w:rsidRPr="008878A6" w:rsidRDefault="00DC0141" w:rsidP="00DC01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sz w:val="24"/>
        </w:rPr>
      </w:pPr>
      <w:r w:rsidRPr="008878A6">
        <w:rPr>
          <w:b/>
          <w:sz w:val="24"/>
        </w:rPr>
        <w:t xml:space="preserve">Table 1: </w:t>
      </w:r>
      <w:r w:rsidRPr="008878A6">
        <w:rPr>
          <w:b/>
          <w:bCs/>
          <w:sz w:val="24"/>
        </w:rPr>
        <w:t>List of CAHPS for M</w:t>
      </w:r>
      <w:r w:rsidR="00813090">
        <w:rPr>
          <w:b/>
          <w:bCs/>
          <w:sz w:val="24"/>
        </w:rPr>
        <w:t>I</w:t>
      </w:r>
      <w:r w:rsidRPr="008878A6">
        <w:rPr>
          <w:b/>
          <w:bCs/>
          <w:sz w:val="24"/>
        </w:rPr>
        <w:t xml:space="preserve">PS Summary Survey Measures Used to Calculate </w:t>
      </w:r>
      <w:r w:rsidR="00813090">
        <w:rPr>
          <w:b/>
          <w:bCs/>
          <w:sz w:val="24"/>
        </w:rPr>
        <w:t xml:space="preserve">the </w:t>
      </w:r>
      <w:r w:rsidRPr="008878A6">
        <w:rPr>
          <w:b/>
          <w:bCs/>
          <w:sz w:val="24"/>
        </w:rPr>
        <w:t>CAHPS</w:t>
      </w:r>
      <w:r w:rsidR="00813090">
        <w:rPr>
          <w:b/>
          <w:bCs/>
          <w:sz w:val="24"/>
        </w:rPr>
        <w:t xml:space="preserve"> for MIPS </w:t>
      </w:r>
      <w:proofErr w:type="gramStart"/>
      <w:r w:rsidR="00813090">
        <w:rPr>
          <w:b/>
          <w:bCs/>
          <w:sz w:val="24"/>
        </w:rPr>
        <w:t xml:space="preserve">survey </w:t>
      </w:r>
      <w:r w:rsidRPr="008878A6">
        <w:rPr>
          <w:b/>
          <w:bCs/>
          <w:sz w:val="24"/>
        </w:rPr>
        <w:t xml:space="preserve"> </w:t>
      </w:r>
      <w:r w:rsidR="00813090">
        <w:rPr>
          <w:b/>
          <w:bCs/>
          <w:sz w:val="24"/>
        </w:rPr>
        <w:t>s</w:t>
      </w:r>
      <w:r w:rsidRPr="008878A6">
        <w:rPr>
          <w:b/>
          <w:bCs/>
          <w:sz w:val="24"/>
        </w:rPr>
        <w:t>core</w:t>
      </w:r>
      <w:proofErr w:type="gramEnd"/>
      <w:r w:rsidRPr="008878A6">
        <w:rPr>
          <w:b/>
          <w:bCs/>
          <w:sz w:val="24"/>
        </w:rPr>
        <w:t xml:space="preserve"> for CY2017</w:t>
      </w:r>
    </w:p>
    <w:p w14:paraId="25D94AF2" w14:textId="77777777" w:rsidR="00DC0141" w:rsidRPr="008878A6" w:rsidRDefault="00DC0141" w:rsidP="00DC0141">
      <w:pPr>
        <w:rPr>
          <w:color w:val="1F497D"/>
          <w:sz w:val="24"/>
        </w:rPr>
      </w:pPr>
    </w:p>
    <w:tbl>
      <w:tblPr>
        <w:tblW w:w="584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40"/>
      </w:tblGrid>
      <w:tr w:rsidR="00DC0141" w:rsidRPr="008878A6" w14:paraId="1A98B9D2" w14:textId="77777777" w:rsidTr="004A787A">
        <w:trPr>
          <w:tblHeader/>
        </w:trPr>
        <w:tc>
          <w:tcPr>
            <w:tcW w:w="5840" w:type="dxa"/>
            <w:tcMar>
              <w:top w:w="0" w:type="dxa"/>
              <w:left w:w="108" w:type="dxa"/>
              <w:bottom w:w="0" w:type="dxa"/>
              <w:right w:w="108" w:type="dxa"/>
            </w:tcMar>
            <w:hideMark/>
          </w:tcPr>
          <w:p w14:paraId="1C1CDEB6" w14:textId="77777777" w:rsidR="00DC0141" w:rsidRPr="008878A6" w:rsidRDefault="00DC0141" w:rsidP="004A787A">
            <w:pPr>
              <w:rPr>
                <w:sz w:val="24"/>
              </w:rPr>
            </w:pPr>
            <w:r w:rsidRPr="008878A6">
              <w:rPr>
                <w:sz w:val="24"/>
              </w:rPr>
              <w:t>Getting Timely Care, Appointments, and Information</w:t>
            </w:r>
          </w:p>
        </w:tc>
      </w:tr>
      <w:tr w:rsidR="00DC0141" w:rsidRPr="008878A6" w14:paraId="3429D8F3" w14:textId="77777777" w:rsidTr="004A787A">
        <w:trPr>
          <w:tblHeader/>
        </w:trPr>
        <w:tc>
          <w:tcPr>
            <w:tcW w:w="5840" w:type="dxa"/>
            <w:tcMar>
              <w:top w:w="0" w:type="dxa"/>
              <w:left w:w="108" w:type="dxa"/>
              <w:bottom w:w="0" w:type="dxa"/>
              <w:right w:w="108" w:type="dxa"/>
            </w:tcMar>
            <w:hideMark/>
          </w:tcPr>
          <w:p w14:paraId="701D6EA0" w14:textId="77777777" w:rsidR="00DC0141" w:rsidRPr="008878A6" w:rsidRDefault="00DC0141" w:rsidP="004A787A">
            <w:pPr>
              <w:rPr>
                <w:sz w:val="24"/>
              </w:rPr>
            </w:pPr>
            <w:r w:rsidRPr="008878A6">
              <w:rPr>
                <w:sz w:val="24"/>
              </w:rPr>
              <w:t>How Well Providers Communicate</w:t>
            </w:r>
          </w:p>
        </w:tc>
      </w:tr>
      <w:tr w:rsidR="00DC0141" w:rsidRPr="008878A6" w14:paraId="4E0E14CF" w14:textId="77777777" w:rsidTr="004A787A">
        <w:trPr>
          <w:tblHeader/>
        </w:trPr>
        <w:tc>
          <w:tcPr>
            <w:tcW w:w="5840" w:type="dxa"/>
            <w:tcMar>
              <w:top w:w="0" w:type="dxa"/>
              <w:left w:w="108" w:type="dxa"/>
              <w:bottom w:w="0" w:type="dxa"/>
              <w:right w:w="108" w:type="dxa"/>
            </w:tcMar>
            <w:hideMark/>
          </w:tcPr>
          <w:p w14:paraId="4474C09D" w14:textId="77777777" w:rsidR="00DC0141" w:rsidRPr="008878A6" w:rsidRDefault="00DC0141" w:rsidP="004A787A">
            <w:pPr>
              <w:rPr>
                <w:sz w:val="24"/>
              </w:rPr>
            </w:pPr>
            <w:r w:rsidRPr="008878A6">
              <w:rPr>
                <w:sz w:val="24"/>
              </w:rPr>
              <w:t>Patient’s Rating of Provider</w:t>
            </w:r>
          </w:p>
        </w:tc>
      </w:tr>
      <w:tr w:rsidR="00DC0141" w:rsidRPr="008878A6" w14:paraId="1A09245B" w14:textId="77777777" w:rsidTr="004A787A">
        <w:trPr>
          <w:tblHeader/>
        </w:trPr>
        <w:tc>
          <w:tcPr>
            <w:tcW w:w="5840" w:type="dxa"/>
            <w:tcMar>
              <w:top w:w="0" w:type="dxa"/>
              <w:left w:w="108" w:type="dxa"/>
              <w:bottom w:w="0" w:type="dxa"/>
              <w:right w:w="108" w:type="dxa"/>
            </w:tcMar>
            <w:hideMark/>
          </w:tcPr>
          <w:p w14:paraId="0D4137DF" w14:textId="77777777" w:rsidR="00DC0141" w:rsidRPr="008878A6" w:rsidRDefault="00DC0141" w:rsidP="004A787A">
            <w:pPr>
              <w:rPr>
                <w:sz w:val="24"/>
              </w:rPr>
            </w:pPr>
            <w:r w:rsidRPr="008878A6">
              <w:rPr>
                <w:sz w:val="24"/>
              </w:rPr>
              <w:t>Health Promotion &amp; Education</w:t>
            </w:r>
          </w:p>
        </w:tc>
      </w:tr>
      <w:tr w:rsidR="00DC0141" w:rsidRPr="008878A6" w14:paraId="69EFD32A" w14:textId="77777777" w:rsidTr="004A787A">
        <w:trPr>
          <w:tblHeader/>
        </w:trPr>
        <w:tc>
          <w:tcPr>
            <w:tcW w:w="5840" w:type="dxa"/>
            <w:tcMar>
              <w:top w:w="0" w:type="dxa"/>
              <w:left w:w="108" w:type="dxa"/>
              <w:bottom w:w="0" w:type="dxa"/>
              <w:right w:w="108" w:type="dxa"/>
            </w:tcMar>
            <w:hideMark/>
          </w:tcPr>
          <w:p w14:paraId="6BC46F54" w14:textId="77777777" w:rsidR="00DC0141" w:rsidRPr="008878A6" w:rsidRDefault="00DC0141" w:rsidP="004A787A">
            <w:pPr>
              <w:rPr>
                <w:sz w:val="24"/>
              </w:rPr>
            </w:pPr>
            <w:r w:rsidRPr="008878A6">
              <w:rPr>
                <w:sz w:val="24"/>
              </w:rPr>
              <w:t>Shared Decision Making</w:t>
            </w:r>
          </w:p>
        </w:tc>
      </w:tr>
      <w:tr w:rsidR="00DC0141" w:rsidRPr="008878A6" w14:paraId="724324FE" w14:textId="77777777" w:rsidTr="004A787A">
        <w:trPr>
          <w:tblHeader/>
        </w:trPr>
        <w:tc>
          <w:tcPr>
            <w:tcW w:w="5840" w:type="dxa"/>
            <w:tcMar>
              <w:top w:w="0" w:type="dxa"/>
              <w:left w:w="108" w:type="dxa"/>
              <w:bottom w:w="0" w:type="dxa"/>
              <w:right w:w="108" w:type="dxa"/>
            </w:tcMar>
            <w:hideMark/>
          </w:tcPr>
          <w:p w14:paraId="3084D098" w14:textId="77777777" w:rsidR="00DC0141" w:rsidRPr="008878A6" w:rsidRDefault="00DC0141" w:rsidP="004A787A">
            <w:pPr>
              <w:rPr>
                <w:sz w:val="24"/>
              </w:rPr>
            </w:pPr>
            <w:r w:rsidRPr="008878A6">
              <w:rPr>
                <w:sz w:val="24"/>
              </w:rPr>
              <w:t>Stewardship of Patient Resources</w:t>
            </w:r>
          </w:p>
        </w:tc>
      </w:tr>
      <w:tr w:rsidR="00DC0141" w:rsidRPr="008878A6" w14:paraId="32B68C55" w14:textId="77777777" w:rsidTr="004A787A">
        <w:trPr>
          <w:tblHeader/>
        </w:trPr>
        <w:tc>
          <w:tcPr>
            <w:tcW w:w="5840" w:type="dxa"/>
            <w:tcMar>
              <w:top w:w="0" w:type="dxa"/>
              <w:left w:w="108" w:type="dxa"/>
              <w:bottom w:w="0" w:type="dxa"/>
              <w:right w:w="108" w:type="dxa"/>
            </w:tcMar>
            <w:hideMark/>
          </w:tcPr>
          <w:p w14:paraId="14EF12F2" w14:textId="77777777" w:rsidR="00DC0141" w:rsidRPr="008878A6" w:rsidRDefault="00DC0141" w:rsidP="004A787A">
            <w:pPr>
              <w:rPr>
                <w:sz w:val="24"/>
              </w:rPr>
            </w:pPr>
            <w:r w:rsidRPr="008878A6">
              <w:rPr>
                <w:sz w:val="24"/>
              </w:rPr>
              <w:t>Courteous and Helpful Office Staff</w:t>
            </w:r>
          </w:p>
        </w:tc>
      </w:tr>
      <w:tr w:rsidR="00DC0141" w:rsidRPr="008878A6" w14:paraId="466B5C6D" w14:textId="77777777" w:rsidTr="004A787A">
        <w:trPr>
          <w:tblHeader/>
        </w:trPr>
        <w:tc>
          <w:tcPr>
            <w:tcW w:w="5840" w:type="dxa"/>
            <w:tcMar>
              <w:top w:w="0" w:type="dxa"/>
              <w:left w:w="108" w:type="dxa"/>
              <w:bottom w:w="0" w:type="dxa"/>
              <w:right w:w="108" w:type="dxa"/>
            </w:tcMar>
            <w:hideMark/>
          </w:tcPr>
          <w:p w14:paraId="2032581F" w14:textId="77777777" w:rsidR="00DC0141" w:rsidRPr="008878A6" w:rsidRDefault="00DC0141" w:rsidP="004A787A">
            <w:pPr>
              <w:rPr>
                <w:sz w:val="24"/>
              </w:rPr>
            </w:pPr>
            <w:r w:rsidRPr="008878A6">
              <w:rPr>
                <w:sz w:val="24"/>
              </w:rPr>
              <w:t>Care Coordination</w:t>
            </w:r>
          </w:p>
        </w:tc>
      </w:tr>
      <w:tr w:rsidR="00DC0141" w:rsidRPr="008878A6" w14:paraId="7B9E0135" w14:textId="77777777" w:rsidTr="004A787A">
        <w:trPr>
          <w:tblHeader/>
        </w:trPr>
        <w:tc>
          <w:tcPr>
            <w:tcW w:w="5840" w:type="dxa"/>
            <w:tcMar>
              <w:top w:w="0" w:type="dxa"/>
              <w:left w:w="108" w:type="dxa"/>
              <w:bottom w:w="0" w:type="dxa"/>
              <w:right w:w="108" w:type="dxa"/>
            </w:tcMar>
            <w:hideMark/>
          </w:tcPr>
          <w:p w14:paraId="1FC5A029" w14:textId="77777777" w:rsidR="00DC0141" w:rsidRPr="008878A6" w:rsidRDefault="00DC0141" w:rsidP="004A787A">
            <w:pPr>
              <w:rPr>
                <w:sz w:val="24"/>
              </w:rPr>
            </w:pPr>
            <w:r w:rsidRPr="008878A6">
              <w:rPr>
                <w:sz w:val="24"/>
              </w:rPr>
              <w:t>Health Status and Functional Status</w:t>
            </w:r>
          </w:p>
        </w:tc>
      </w:tr>
      <w:tr w:rsidR="00DC0141" w:rsidRPr="008878A6" w14:paraId="03908191" w14:textId="77777777" w:rsidTr="004A787A">
        <w:trPr>
          <w:tblHeader/>
        </w:trPr>
        <w:tc>
          <w:tcPr>
            <w:tcW w:w="5840" w:type="dxa"/>
            <w:tcMar>
              <w:top w:w="0" w:type="dxa"/>
              <w:left w:w="108" w:type="dxa"/>
              <w:bottom w:w="0" w:type="dxa"/>
              <w:right w:w="108" w:type="dxa"/>
            </w:tcMar>
            <w:hideMark/>
          </w:tcPr>
          <w:p w14:paraId="77A156EC" w14:textId="77777777" w:rsidR="00DC0141" w:rsidRPr="008878A6" w:rsidRDefault="00DC0141" w:rsidP="004A787A">
            <w:pPr>
              <w:rPr>
                <w:sz w:val="24"/>
              </w:rPr>
            </w:pPr>
            <w:r w:rsidRPr="008878A6">
              <w:rPr>
                <w:sz w:val="24"/>
              </w:rPr>
              <w:t>Access to Specialists</w:t>
            </w:r>
          </w:p>
        </w:tc>
      </w:tr>
      <w:tr w:rsidR="00DC0141" w:rsidRPr="008878A6" w14:paraId="4CC072AB" w14:textId="77777777" w:rsidTr="004A787A">
        <w:trPr>
          <w:tblHeader/>
        </w:trPr>
        <w:tc>
          <w:tcPr>
            <w:tcW w:w="5840" w:type="dxa"/>
            <w:tcMar>
              <w:top w:w="0" w:type="dxa"/>
              <w:left w:w="108" w:type="dxa"/>
              <w:bottom w:w="0" w:type="dxa"/>
              <w:right w:w="108" w:type="dxa"/>
            </w:tcMar>
            <w:hideMark/>
          </w:tcPr>
          <w:p w14:paraId="59C74575" w14:textId="77777777" w:rsidR="00DC0141" w:rsidRPr="008878A6" w:rsidRDefault="00DC0141" w:rsidP="004A787A">
            <w:pPr>
              <w:rPr>
                <w:sz w:val="24"/>
              </w:rPr>
            </w:pPr>
            <w:r w:rsidRPr="008878A6">
              <w:rPr>
                <w:sz w:val="24"/>
              </w:rPr>
              <w:t>Between Visit Communication</w:t>
            </w:r>
          </w:p>
        </w:tc>
      </w:tr>
      <w:tr w:rsidR="00DC0141" w:rsidRPr="008878A6" w14:paraId="14455BF4" w14:textId="77777777" w:rsidTr="004A787A">
        <w:trPr>
          <w:tblHeader/>
        </w:trPr>
        <w:tc>
          <w:tcPr>
            <w:tcW w:w="5840" w:type="dxa"/>
            <w:tcMar>
              <w:top w:w="0" w:type="dxa"/>
              <w:left w:w="108" w:type="dxa"/>
              <w:bottom w:w="0" w:type="dxa"/>
              <w:right w:w="108" w:type="dxa"/>
            </w:tcMar>
            <w:hideMark/>
          </w:tcPr>
          <w:p w14:paraId="0DFBE9CF" w14:textId="77777777" w:rsidR="00DC0141" w:rsidRPr="008878A6" w:rsidRDefault="00DC0141" w:rsidP="004A787A">
            <w:pPr>
              <w:rPr>
                <w:sz w:val="24"/>
              </w:rPr>
            </w:pPr>
            <w:r w:rsidRPr="008878A6">
              <w:rPr>
                <w:sz w:val="24"/>
              </w:rPr>
              <w:t>Helping You Take Medication as Directed</w:t>
            </w:r>
          </w:p>
        </w:tc>
      </w:tr>
    </w:tbl>
    <w:p w14:paraId="42A8572C" w14:textId="0794BBCF" w:rsidR="004C1131" w:rsidRDefault="004C113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FF59B02" w14:textId="37EC7281" w:rsidR="004C1131" w:rsidRDefault="0061468D"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4C1131" w:rsidRPr="004C1131">
        <w:rPr>
          <w:sz w:val="24"/>
        </w:rPr>
        <w:t>This survey</w:t>
      </w:r>
      <w:r>
        <w:rPr>
          <w:sz w:val="24"/>
        </w:rPr>
        <w:t xml:space="preserve"> also</w:t>
      </w:r>
      <w:r w:rsidR="004C1131" w:rsidRPr="004C1131">
        <w:rPr>
          <w:sz w:val="24"/>
        </w:rPr>
        <w:t xml:space="preserve"> supports the administration of the Quality Improvement Organizations </w:t>
      </w:r>
      <w:r w:rsidR="006E60BE">
        <w:rPr>
          <w:sz w:val="24"/>
        </w:rPr>
        <w:t xml:space="preserve">(QIO) </w:t>
      </w:r>
      <w:r w:rsidR="004C1131" w:rsidRPr="004C1131">
        <w:rPr>
          <w:sz w:val="24"/>
        </w:rPr>
        <w:t xml:space="preserve">Program. The Social Security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006E60BE">
        <w:rPr>
          <w:sz w:val="24"/>
        </w:rPr>
        <w:t>use</w:t>
      </w:r>
      <w:r w:rsidR="006E60BE" w:rsidRPr="004C1131">
        <w:rPr>
          <w:sz w:val="24"/>
        </w:rPr>
        <w:t xml:space="preserve"> </w:t>
      </w:r>
      <w:r w:rsidR="004C1131" w:rsidRPr="004C1131">
        <w:rPr>
          <w:sz w:val="24"/>
        </w:rPr>
        <w:t xml:space="preserve">this information to help them choose </w:t>
      </w:r>
      <w:r w:rsidR="006E60BE">
        <w:rPr>
          <w:sz w:val="24"/>
        </w:rPr>
        <w:t>clinicians</w:t>
      </w:r>
      <w:r w:rsidR="004C1131" w:rsidRPr="004C1131">
        <w:rPr>
          <w:sz w:val="24"/>
        </w:rPr>
        <w:t xml:space="preserve"> that provide services that meet their needs and preferences, thus encouraging </w:t>
      </w:r>
      <w:r w:rsidR="006E60BE">
        <w:rPr>
          <w:sz w:val="24"/>
        </w:rPr>
        <w:t>clinicians</w:t>
      </w:r>
      <w:r w:rsidR="006E60BE" w:rsidRPr="004C1131">
        <w:rPr>
          <w:sz w:val="24"/>
        </w:rPr>
        <w:t xml:space="preserve"> </w:t>
      </w:r>
      <w:r w:rsidR="004C1131" w:rsidRPr="004C1131">
        <w:rPr>
          <w:sz w:val="24"/>
        </w:rPr>
        <w:t>to improve</w:t>
      </w:r>
      <w:r w:rsidR="006E60BE">
        <w:rPr>
          <w:sz w:val="24"/>
        </w:rPr>
        <w:t xml:space="preserve"> the</w:t>
      </w:r>
      <w:r w:rsidR="004C1131" w:rsidRPr="004C1131">
        <w:rPr>
          <w:sz w:val="24"/>
        </w:rPr>
        <w:t xml:space="preserve"> quality of care that Medicare beneficiaries receive.      </w:t>
      </w:r>
    </w:p>
    <w:p w14:paraId="5F211854" w14:textId="77777777" w:rsidR="00745E01" w:rsidRPr="0007426C" w:rsidRDefault="00745E0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E2A06C0"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3.</w:t>
      </w:r>
      <w:r>
        <w:rPr>
          <w:sz w:val="24"/>
        </w:rPr>
        <w:tab/>
      </w:r>
      <w:r>
        <w:rPr>
          <w:sz w:val="24"/>
          <w:u w:val="single"/>
        </w:rPr>
        <w:t>Use of Information Technology</w:t>
      </w:r>
    </w:p>
    <w:p w14:paraId="5D51DAA0" w14:textId="399031C5"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83D151A" w14:textId="6D958DDF"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lastRenderedPageBreak/>
        <w:tab/>
      </w:r>
      <w:r w:rsidR="004C1131">
        <w:rPr>
          <w:sz w:val="24"/>
        </w:rPr>
        <w:t>CMS-approved s</w:t>
      </w:r>
      <w:r w:rsidR="004C1131" w:rsidRPr="004C1131">
        <w:rPr>
          <w:sz w:val="24"/>
        </w:rPr>
        <w:t>urvey vendor</w:t>
      </w:r>
      <w:r w:rsidR="004C1131">
        <w:rPr>
          <w:sz w:val="24"/>
        </w:rPr>
        <w:t>s</w:t>
      </w:r>
      <w:r w:rsidR="004C1131" w:rsidRPr="004C1131">
        <w:rPr>
          <w:sz w:val="24"/>
        </w:rPr>
        <w:t xml:space="preserve"> </w:t>
      </w:r>
      <w:r w:rsidR="004C1131">
        <w:rPr>
          <w:sz w:val="24"/>
        </w:rPr>
        <w:t xml:space="preserve">are required to </w:t>
      </w:r>
      <w:r w:rsidR="004C1131" w:rsidRPr="004C1131">
        <w:rPr>
          <w:sz w:val="24"/>
        </w:rPr>
        <w:t>collect the data via a mixed mode data collection strategy that involves two rounds of mailed surveys followed by phone interviews.  The mailed survey</w:t>
      </w:r>
      <w:r w:rsidR="007372EA">
        <w:rPr>
          <w:sz w:val="24"/>
        </w:rPr>
        <w:t xml:space="preserve">s </w:t>
      </w:r>
      <w:proofErr w:type="gramStart"/>
      <w:r w:rsidR="007372EA">
        <w:rPr>
          <w:sz w:val="24"/>
        </w:rPr>
        <w:t xml:space="preserve">are </w:t>
      </w:r>
      <w:r w:rsidR="004C1131" w:rsidRPr="004C1131">
        <w:rPr>
          <w:sz w:val="24"/>
        </w:rPr>
        <w:t xml:space="preserve"> formatted</w:t>
      </w:r>
      <w:proofErr w:type="gramEnd"/>
      <w:r w:rsidR="004C1131" w:rsidRPr="004C1131">
        <w:rPr>
          <w:sz w:val="24"/>
        </w:rPr>
        <w:t xml:space="preserve"> for </w:t>
      </w:r>
      <w:r w:rsidR="007372EA">
        <w:rPr>
          <w:sz w:val="24"/>
        </w:rPr>
        <w:t xml:space="preserve">automated data entry. </w:t>
      </w:r>
      <w:r w:rsidR="004C1131" w:rsidRPr="004C1131">
        <w:rPr>
          <w:sz w:val="24"/>
        </w:rPr>
        <w:t xml:space="preserve"> </w:t>
      </w:r>
      <w:r w:rsidR="00E87F6C">
        <w:rPr>
          <w:sz w:val="24"/>
        </w:rPr>
        <w:t>R</w:t>
      </w:r>
      <w:r w:rsidR="004C1131" w:rsidRPr="004C1131">
        <w:rPr>
          <w:sz w:val="24"/>
        </w:rPr>
        <w:t xml:space="preserve">eturned surveys </w:t>
      </w:r>
      <w:r w:rsidR="00E87F6C">
        <w:rPr>
          <w:sz w:val="24"/>
        </w:rPr>
        <w:t>may</w:t>
      </w:r>
      <w:r w:rsidR="00E87F6C" w:rsidRPr="004C1131">
        <w:rPr>
          <w:sz w:val="24"/>
        </w:rPr>
        <w:t xml:space="preserve"> </w:t>
      </w:r>
      <w:r w:rsidR="004C1131" w:rsidRPr="004C1131">
        <w:rPr>
          <w:sz w:val="24"/>
        </w:rPr>
        <w:t>be scanned into an electronic data file.  Computer Assisted Telephone Interview (CATI) will be used as the secondary mode of data collection if a beneficiary does not respond to two mailed requests to complete the survey.</w:t>
      </w:r>
    </w:p>
    <w:p w14:paraId="7298429C" w14:textId="77777777" w:rsidR="00F0412C" w:rsidRDefault="00F041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A5F4C47"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4.</w:t>
      </w:r>
      <w:r>
        <w:rPr>
          <w:sz w:val="24"/>
        </w:rPr>
        <w:tab/>
      </w:r>
      <w:r>
        <w:rPr>
          <w:sz w:val="24"/>
          <w:u w:val="single"/>
        </w:rPr>
        <w:t>Duplication of Efforts</w:t>
      </w:r>
    </w:p>
    <w:p w14:paraId="44FE24B9"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4D3147" w14:textId="12EBAD51" w:rsidR="00396BB7" w:rsidRPr="00396BB7" w:rsidRDefault="00396BB7" w:rsidP="0024686F">
      <w:pPr>
        <w:spacing w:line="276" w:lineRule="auto"/>
        <w:ind w:firstLine="432"/>
        <w:rPr>
          <w:sz w:val="24"/>
          <w:szCs w:val="20"/>
        </w:rPr>
      </w:pPr>
      <w:r>
        <w:rPr>
          <w:sz w:val="24"/>
          <w:szCs w:val="20"/>
        </w:rPr>
        <w:t>The admi</w:t>
      </w:r>
      <w:r w:rsidR="007608A5">
        <w:rPr>
          <w:sz w:val="24"/>
          <w:szCs w:val="20"/>
        </w:rPr>
        <w:t>ni</w:t>
      </w:r>
      <w:r>
        <w:rPr>
          <w:sz w:val="24"/>
          <w:szCs w:val="20"/>
        </w:rPr>
        <w:t xml:space="preserve">stration of CAHPS for MIPS will not overlap with the administration of its predecessor, CAHPS for PQRS. The final CAHPS for PQRS survey will </w:t>
      </w:r>
      <w:r w:rsidR="00AF5856">
        <w:rPr>
          <w:sz w:val="24"/>
          <w:szCs w:val="20"/>
        </w:rPr>
        <w:t>be administered from</w:t>
      </w:r>
      <w:r>
        <w:rPr>
          <w:sz w:val="24"/>
          <w:szCs w:val="20"/>
        </w:rPr>
        <w:t xml:space="preserve"> November 2016 through February 2017 for data related to the final PQRS performance period in 2016. The </w:t>
      </w:r>
      <w:r w:rsidR="00AF5856">
        <w:rPr>
          <w:sz w:val="24"/>
          <w:szCs w:val="20"/>
        </w:rPr>
        <w:t>administration period for</w:t>
      </w:r>
      <w:r>
        <w:rPr>
          <w:sz w:val="24"/>
          <w:szCs w:val="20"/>
        </w:rPr>
        <w:t xml:space="preserve"> the first CAHPS for MIPS survey </w:t>
      </w:r>
      <w:r w:rsidR="00AF5856">
        <w:rPr>
          <w:sz w:val="24"/>
          <w:szCs w:val="20"/>
        </w:rPr>
        <w:t xml:space="preserve">is planned for November </w:t>
      </w:r>
      <w:r>
        <w:rPr>
          <w:sz w:val="24"/>
          <w:szCs w:val="20"/>
        </w:rPr>
        <w:t xml:space="preserve">2017 </w:t>
      </w:r>
      <w:r w:rsidR="00AF5856">
        <w:rPr>
          <w:sz w:val="24"/>
          <w:szCs w:val="20"/>
        </w:rPr>
        <w:t>through February</w:t>
      </w:r>
      <w:r>
        <w:rPr>
          <w:sz w:val="24"/>
          <w:szCs w:val="20"/>
        </w:rPr>
        <w:t xml:space="preserve"> 2018 with regard to the first MIPS performance period in 2017. </w:t>
      </w:r>
    </w:p>
    <w:p w14:paraId="53CEA9C6"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3A53EC91"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5.</w:t>
      </w:r>
      <w:r>
        <w:rPr>
          <w:sz w:val="24"/>
        </w:rPr>
        <w:tab/>
      </w:r>
      <w:r>
        <w:rPr>
          <w:sz w:val="24"/>
          <w:u w:val="single"/>
        </w:rPr>
        <w:t>Small Businesses</w:t>
      </w:r>
    </w:p>
    <w:p w14:paraId="40A75622" w14:textId="77777777" w:rsidR="000A1BC2" w:rsidRDefault="000A1BC2" w:rsidP="0024686F">
      <w:pPr>
        <w:spacing w:line="276" w:lineRule="auto"/>
      </w:pPr>
    </w:p>
    <w:p w14:paraId="712B96F0" w14:textId="4DA71365" w:rsidR="00D44D6C" w:rsidRDefault="00D44D6C" w:rsidP="0024686F">
      <w:pPr>
        <w:tabs>
          <w:tab w:val="left" w:pos="540"/>
        </w:tabs>
        <w:spacing w:line="276" w:lineRule="auto"/>
        <w:rPr>
          <w:sz w:val="24"/>
        </w:rPr>
      </w:pPr>
      <w:r>
        <w:rPr>
          <w:sz w:val="24"/>
        </w:rPr>
        <w:tab/>
      </w:r>
      <w:r w:rsidRPr="00D44D6C">
        <w:rPr>
          <w:sz w:val="24"/>
        </w:rPr>
        <w:t xml:space="preserve">Survey respondents are Fee-for-Service Medicare Beneficiaries who have received care from </w:t>
      </w:r>
      <w:r>
        <w:rPr>
          <w:sz w:val="24"/>
        </w:rPr>
        <w:t>groups</w:t>
      </w:r>
      <w:r w:rsidRPr="00D44D6C">
        <w:rPr>
          <w:sz w:val="24"/>
        </w:rPr>
        <w:t xml:space="preserve"> participating in </w:t>
      </w:r>
      <w:r>
        <w:rPr>
          <w:sz w:val="24"/>
        </w:rPr>
        <w:t>MIPS</w:t>
      </w:r>
      <w:r w:rsidRPr="00D44D6C">
        <w:rPr>
          <w:sz w:val="24"/>
        </w:rPr>
        <w:t xml:space="preserve"> during the </w:t>
      </w:r>
      <w:r>
        <w:rPr>
          <w:sz w:val="24"/>
        </w:rPr>
        <w:t xml:space="preserve">performance period </w:t>
      </w:r>
      <w:r w:rsidRPr="00D44D6C">
        <w:rPr>
          <w:sz w:val="24"/>
        </w:rPr>
        <w:t>prior to the survey.  The survey</w:t>
      </w:r>
      <w:r>
        <w:rPr>
          <w:sz w:val="24"/>
        </w:rPr>
        <w:t>’s reporting burden</w:t>
      </w:r>
      <w:r w:rsidRPr="00D44D6C">
        <w:rPr>
          <w:sz w:val="24"/>
        </w:rPr>
        <w:t xml:space="preserve"> should not impact small businesses or other small entities.</w:t>
      </w:r>
      <w:r w:rsidR="00A203CE">
        <w:rPr>
          <w:sz w:val="24"/>
        </w:rPr>
        <w:t xml:space="preserve"> An organization’s participation in CAHPS is optional. </w:t>
      </w:r>
    </w:p>
    <w:p w14:paraId="26F44726" w14:textId="77777777" w:rsidR="00D44D6C" w:rsidRPr="00D44D6C" w:rsidRDefault="00D44D6C" w:rsidP="0024686F">
      <w:pPr>
        <w:tabs>
          <w:tab w:val="left" w:pos="540"/>
        </w:tabs>
        <w:spacing w:line="276" w:lineRule="auto"/>
        <w:rPr>
          <w:sz w:val="24"/>
        </w:rPr>
      </w:pPr>
    </w:p>
    <w:p w14:paraId="27ABF758"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sidRPr="008C03C6">
        <w:rPr>
          <w:sz w:val="24"/>
        </w:rPr>
        <w:t xml:space="preserve">6.    </w:t>
      </w:r>
      <w:r w:rsidRPr="008C03C6">
        <w:rPr>
          <w:sz w:val="24"/>
          <w:u w:val="single"/>
        </w:rPr>
        <w:t>Less Frequent Collection</w:t>
      </w:r>
    </w:p>
    <w:p w14:paraId="0B3CA44B" w14:textId="77777777" w:rsidR="007A5184" w:rsidRDefault="007A5184"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30778300" w14:textId="333CDC26" w:rsidR="007A5184" w:rsidRPr="0007426C" w:rsidRDefault="007A5184" w:rsidP="00F34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50"/>
        <w:jc w:val="both"/>
        <w:rPr>
          <w:sz w:val="24"/>
        </w:rPr>
      </w:pPr>
      <w:r w:rsidRPr="0007426C">
        <w:rPr>
          <w:sz w:val="24"/>
        </w:rPr>
        <w:t xml:space="preserve">If </w:t>
      </w:r>
      <w:r w:rsidR="005B7FEB">
        <w:rPr>
          <w:sz w:val="24"/>
        </w:rPr>
        <w:t xml:space="preserve">patient experience </w:t>
      </w:r>
      <w:r w:rsidRPr="0007426C">
        <w:rPr>
          <w:sz w:val="24"/>
        </w:rPr>
        <w:t>data are not collected</w:t>
      </w:r>
      <w:r w:rsidR="005B7FEB">
        <w:rPr>
          <w:sz w:val="24"/>
        </w:rPr>
        <w:t xml:space="preserve"> annually as measures to support the quality performance category</w:t>
      </w:r>
      <w:r w:rsidRPr="0007426C">
        <w:rPr>
          <w:sz w:val="24"/>
        </w:rPr>
        <w:t xml:space="preserve">, </w:t>
      </w:r>
      <w:r w:rsidR="003D4D10">
        <w:rPr>
          <w:sz w:val="24"/>
        </w:rPr>
        <w:t>we</w:t>
      </w:r>
      <w:r w:rsidR="003D4D10" w:rsidRPr="0007426C">
        <w:rPr>
          <w:sz w:val="24"/>
        </w:rPr>
        <w:t xml:space="preserve"> </w:t>
      </w:r>
      <w:r w:rsidRPr="0007426C">
        <w:rPr>
          <w:sz w:val="24"/>
        </w:rPr>
        <w:t xml:space="preserve">will </w:t>
      </w:r>
      <w:r w:rsidR="005B7FEB">
        <w:rPr>
          <w:sz w:val="24"/>
        </w:rPr>
        <w:t xml:space="preserve">not be able to fully </w:t>
      </w:r>
      <w:r w:rsidR="005B7FEB" w:rsidRPr="00E10E3A">
        <w:rPr>
          <w:sz w:val="24"/>
        </w:rPr>
        <w:t>implement the MACRA requirement to</w:t>
      </w:r>
      <w:r w:rsidRPr="00E10E3A">
        <w:rPr>
          <w:sz w:val="24"/>
        </w:rPr>
        <w:t xml:space="preserve">: (1) </w:t>
      </w:r>
      <w:r w:rsidR="004C5EEC" w:rsidRPr="00E10E3A">
        <w:rPr>
          <w:sz w:val="24"/>
        </w:rPr>
        <w:t xml:space="preserve">emphasize </w:t>
      </w:r>
      <w:r w:rsidR="005B7FEB" w:rsidRPr="00E10E3A">
        <w:rPr>
          <w:sz w:val="24"/>
        </w:rPr>
        <w:t xml:space="preserve">patient experience measures among the quality measures </w:t>
      </w:r>
      <w:r w:rsidRPr="00E10E3A">
        <w:rPr>
          <w:sz w:val="24"/>
        </w:rPr>
        <w:t>a</w:t>
      </w:r>
      <w:r w:rsidR="000A1BC2" w:rsidRPr="00E10E3A">
        <w:rPr>
          <w:sz w:val="24"/>
        </w:rPr>
        <w:t xml:space="preserve"> MIPS</w:t>
      </w:r>
      <w:r w:rsidR="003F4329" w:rsidRPr="00E10E3A">
        <w:rPr>
          <w:sz w:val="24"/>
        </w:rPr>
        <w:t xml:space="preserve"> </w:t>
      </w:r>
      <w:r w:rsidR="003D13B1" w:rsidRPr="00E10E3A">
        <w:rPr>
          <w:sz w:val="24"/>
        </w:rPr>
        <w:t xml:space="preserve">eligible </w:t>
      </w:r>
      <w:r w:rsidR="00FF67F0" w:rsidRPr="00E10E3A">
        <w:rPr>
          <w:sz w:val="24"/>
        </w:rPr>
        <w:t>clinician</w:t>
      </w:r>
      <w:r w:rsidRPr="00BB3357">
        <w:rPr>
          <w:sz w:val="24"/>
        </w:rPr>
        <w:t xml:space="preserve"> or</w:t>
      </w:r>
      <w:r w:rsidRPr="0007426C">
        <w:rPr>
          <w:sz w:val="24"/>
        </w:rPr>
        <w:t xml:space="preserve"> group </w:t>
      </w:r>
      <w:r w:rsidR="004C5EEC">
        <w:rPr>
          <w:sz w:val="24"/>
        </w:rPr>
        <w:t xml:space="preserve">may use to </w:t>
      </w:r>
      <w:r w:rsidRPr="0007426C">
        <w:rPr>
          <w:sz w:val="24"/>
        </w:rPr>
        <w:t>meet the performance criteria for a payment adjustment under MIPS, (2) calculate for payment adjustments to</w:t>
      </w:r>
      <w:r w:rsidR="000A1BC2">
        <w:rPr>
          <w:sz w:val="24"/>
        </w:rPr>
        <w:t xml:space="preserve"> MIPS</w:t>
      </w:r>
      <w:r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 and (3) publicly post provider performance information on the </w:t>
      </w:r>
      <w:r w:rsidRPr="0007426C">
        <w:rPr>
          <w:i/>
          <w:sz w:val="24"/>
        </w:rPr>
        <w:t>Physician Compare</w:t>
      </w:r>
      <w:r w:rsidRPr="0007426C">
        <w:rPr>
          <w:sz w:val="24"/>
        </w:rPr>
        <w:t xml:space="preserve"> website.</w:t>
      </w:r>
    </w:p>
    <w:p w14:paraId="19ED0562" w14:textId="654BB0A7" w:rsidR="00D44D6C" w:rsidRPr="0061468D" w:rsidRDefault="0053799B" w:rsidP="0024686F">
      <w:pPr>
        <w:tabs>
          <w:tab w:val="left" w:pos="540"/>
        </w:tabs>
        <w:spacing w:line="276" w:lineRule="auto"/>
        <w:rPr>
          <w:sz w:val="24"/>
        </w:rPr>
      </w:pPr>
      <w:r>
        <w:rPr>
          <w:sz w:val="24"/>
        </w:rPr>
        <w:tab/>
      </w:r>
      <w:r w:rsidR="005B7FEB" w:rsidRPr="0061468D">
        <w:rPr>
          <w:sz w:val="24"/>
        </w:rPr>
        <w:t>A further consequence</w:t>
      </w:r>
      <w:r w:rsidR="00D44D6C" w:rsidRPr="0061468D">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 </w:t>
      </w:r>
    </w:p>
    <w:p w14:paraId="7DC61E61" w14:textId="0B1F214A" w:rsidR="00D44D6C" w:rsidRPr="0007426C" w:rsidRDefault="005B7FEB" w:rsidP="00E10E3A">
      <w:pPr>
        <w:tabs>
          <w:tab w:val="left" w:pos="540"/>
        </w:tabs>
        <w:spacing w:line="276" w:lineRule="auto"/>
        <w:rPr>
          <w:sz w:val="24"/>
        </w:rPr>
      </w:pPr>
      <w:r w:rsidRPr="0061468D">
        <w:rPr>
          <w:sz w:val="24"/>
        </w:rPr>
        <w:tab/>
      </w:r>
      <w:r w:rsidR="00D44D6C" w:rsidRPr="0061468D">
        <w:rPr>
          <w:sz w:val="24"/>
        </w:rPr>
        <w:t>Additionally, if data was collected on less than an annual basis the patient experience scores information reported on Physician Compare would be less current and as a result less useful to beneficiaries and consumer intermediaries who may visit the website.</w:t>
      </w:r>
    </w:p>
    <w:p w14:paraId="5B5BD3A4"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6CD326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7.</w:t>
      </w:r>
      <w:r>
        <w:rPr>
          <w:sz w:val="24"/>
        </w:rPr>
        <w:tab/>
      </w:r>
      <w:r>
        <w:rPr>
          <w:sz w:val="24"/>
          <w:u w:val="single"/>
        </w:rPr>
        <w:t>Special Circumstances</w:t>
      </w:r>
    </w:p>
    <w:p w14:paraId="1C018EAF"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94815C" w14:textId="54627389" w:rsidR="00E53DCB" w:rsidRPr="0007426C"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E53DCB" w:rsidRPr="0007426C">
        <w:rPr>
          <w:sz w:val="24"/>
        </w:rPr>
        <w:t xml:space="preserve">There are no special circumstances that would require an information collection to be </w:t>
      </w:r>
      <w:r w:rsidR="00E53DCB" w:rsidRPr="0007426C">
        <w:rPr>
          <w:sz w:val="24"/>
        </w:rPr>
        <w:lastRenderedPageBreak/>
        <w:t>conducted in a manner that requires respondents to:</w:t>
      </w:r>
    </w:p>
    <w:p w14:paraId="5B336AFB"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5E9C00BD"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21D53F88" w14:textId="0EED6662"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0CF31B54"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Retain records, other than health, medical, government contract, grant-in-aid, or tax records for more than three years;</w:t>
      </w:r>
    </w:p>
    <w:p w14:paraId="656C0D9A" w14:textId="444CCF14"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r w:rsidR="00AB0027">
        <w:rPr>
          <w:sz w:val="24"/>
        </w:rPr>
        <w:t>;</w:t>
      </w:r>
    </w:p>
    <w:p w14:paraId="7D52AD99"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classi</w:t>
      </w:r>
      <w:r w:rsidRPr="0007426C">
        <w:rPr>
          <w:sz w:val="24"/>
        </w:rPr>
        <w:softHyphen/>
        <w:t>fication that has not been reviewed and approved by OMB;</w:t>
      </w:r>
    </w:p>
    <w:p w14:paraId="67DAD2EC" w14:textId="4EB52E76"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6CD71DF8" w14:textId="77777777" w:rsidR="00AB0027" w:rsidRDefault="00AB002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9D9A72C" w14:textId="79CF7A81"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8.</w:t>
      </w:r>
      <w:r>
        <w:rPr>
          <w:sz w:val="24"/>
        </w:rPr>
        <w:tab/>
      </w:r>
      <w:r>
        <w:rPr>
          <w:sz w:val="24"/>
          <w:u w:val="single"/>
        </w:rPr>
        <w:t>Federal Register/Outside Consultation</w:t>
      </w:r>
    </w:p>
    <w:p w14:paraId="1DEF07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8178515" w14:textId="03A97721" w:rsidR="008E4A29" w:rsidRDefault="00C64CE5" w:rsidP="008130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rPr>
          <w:sz w:val="24"/>
        </w:rPr>
      </w:pPr>
      <w:r w:rsidRPr="00C64CE5">
        <w:rPr>
          <w:sz w:val="24"/>
          <w:szCs w:val="20"/>
        </w:rPr>
        <w:t xml:space="preserve">The proposed rule served as the 60-day Federal Register </w:t>
      </w:r>
      <w:r w:rsidR="00E87F6C" w:rsidRPr="00C64CE5">
        <w:rPr>
          <w:sz w:val="24"/>
          <w:szCs w:val="20"/>
        </w:rPr>
        <w:t>notice, which</w:t>
      </w:r>
      <w:r w:rsidRPr="00C64CE5">
        <w:rPr>
          <w:sz w:val="24"/>
          <w:szCs w:val="20"/>
        </w:rPr>
        <w:t xml:space="preserve"> posted for public inspection on April 27, 2016 and published on May 9, 2016 (81 FR, RIN 0938-AS69, </w:t>
      </w:r>
      <w:proofErr w:type="gramStart"/>
      <w:r w:rsidRPr="00C64CE5">
        <w:rPr>
          <w:sz w:val="24"/>
          <w:szCs w:val="20"/>
        </w:rPr>
        <w:t>CMS</w:t>
      </w:r>
      <w:proofErr w:type="gramEnd"/>
      <w:r w:rsidRPr="00C64CE5">
        <w:rPr>
          <w:sz w:val="24"/>
          <w:szCs w:val="20"/>
        </w:rPr>
        <w:t xml:space="preserve">-5517-P). </w:t>
      </w:r>
      <w:r>
        <w:rPr>
          <w:sz w:val="24"/>
          <w:szCs w:val="20"/>
        </w:rPr>
        <w:t xml:space="preserve">We did not receive any comments on the </w:t>
      </w:r>
      <w:r w:rsidR="007629FC">
        <w:rPr>
          <w:sz w:val="24"/>
          <w:szCs w:val="20"/>
        </w:rPr>
        <w:t xml:space="preserve">burden estimates pertaining to the </w:t>
      </w:r>
      <w:r>
        <w:rPr>
          <w:sz w:val="24"/>
          <w:szCs w:val="20"/>
        </w:rPr>
        <w:t xml:space="preserve">CAHPS for MIPS </w:t>
      </w:r>
      <w:r w:rsidR="007629FC">
        <w:rPr>
          <w:sz w:val="24"/>
          <w:szCs w:val="20"/>
        </w:rPr>
        <w:t>survey</w:t>
      </w:r>
      <w:r w:rsidR="002D7B84">
        <w:rPr>
          <w:sz w:val="24"/>
          <w:szCs w:val="20"/>
        </w:rPr>
        <w:t>.</w:t>
      </w:r>
      <w:r w:rsidR="000C77F2">
        <w:rPr>
          <w:sz w:val="24"/>
          <w:szCs w:val="20"/>
        </w:rPr>
        <w:t xml:space="preserve">  </w:t>
      </w:r>
      <w:r w:rsidR="008E4A29" w:rsidRPr="00863467">
        <w:rPr>
          <w:sz w:val="24"/>
          <w:szCs w:val="20"/>
        </w:rPr>
        <w:t xml:space="preserve">We received one comment about the survey questions, with one </w:t>
      </w:r>
      <w:r w:rsidR="000C77F2" w:rsidRPr="00863467">
        <w:rPr>
          <w:sz w:val="24"/>
        </w:rPr>
        <w:t>commenter noting that eligible clinicians do not have any input into the questions asked</w:t>
      </w:r>
      <w:r w:rsidR="000C77F2" w:rsidRPr="00DC0141">
        <w:rPr>
          <w:sz w:val="24"/>
        </w:rPr>
        <w:t>.</w:t>
      </w:r>
      <w:r w:rsidR="007566A6" w:rsidRPr="00DC0141">
        <w:rPr>
          <w:sz w:val="24"/>
        </w:rPr>
        <w:t xml:space="preserve">  </w:t>
      </w:r>
      <w:r w:rsidR="008E4A29" w:rsidRPr="00863467">
        <w:rPr>
          <w:sz w:val="24"/>
        </w:rPr>
        <w:t xml:space="preserve">No changes were made to the CAHPS for MIPS </w:t>
      </w:r>
      <w:r w:rsidR="00813090">
        <w:rPr>
          <w:sz w:val="24"/>
        </w:rPr>
        <w:t xml:space="preserve">survey </w:t>
      </w:r>
      <w:r w:rsidR="008E4A29" w:rsidRPr="00863467">
        <w:rPr>
          <w:sz w:val="24"/>
        </w:rPr>
        <w:t xml:space="preserve">burden </w:t>
      </w:r>
      <w:r w:rsidR="00863467" w:rsidRPr="00863467">
        <w:rPr>
          <w:sz w:val="24"/>
        </w:rPr>
        <w:t>estimates</w:t>
      </w:r>
      <w:r w:rsidR="008E4A29" w:rsidRPr="00863467">
        <w:rPr>
          <w:sz w:val="24"/>
        </w:rPr>
        <w:t xml:space="preserve"> or survey questions as a </w:t>
      </w:r>
      <w:r w:rsidR="00863467" w:rsidRPr="00863467">
        <w:rPr>
          <w:sz w:val="24"/>
        </w:rPr>
        <w:t>result</w:t>
      </w:r>
      <w:r w:rsidR="008E4A29" w:rsidRPr="00863467">
        <w:rPr>
          <w:sz w:val="24"/>
        </w:rPr>
        <w:t xml:space="preserve"> of the comment.</w:t>
      </w:r>
      <w:r w:rsidR="008E4A29">
        <w:rPr>
          <w:sz w:val="24"/>
        </w:rPr>
        <w:t xml:space="preserve"> </w:t>
      </w:r>
    </w:p>
    <w:p w14:paraId="02C70EFE" w14:textId="77777777" w:rsidR="00DC0141" w:rsidRPr="00BE6065" w:rsidRDefault="00DC0141" w:rsidP="000C77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E364A9E"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9.</w:t>
      </w:r>
      <w:r>
        <w:rPr>
          <w:sz w:val="24"/>
        </w:rPr>
        <w:tab/>
      </w:r>
      <w:r>
        <w:rPr>
          <w:sz w:val="24"/>
          <w:u w:val="single"/>
        </w:rPr>
        <w:t>Payments/Gifts to Respondents</w:t>
      </w:r>
    </w:p>
    <w:p w14:paraId="43D95DC6" w14:textId="77777777" w:rsidR="00D26EEF" w:rsidRDefault="00D26EEF" w:rsidP="0024686F">
      <w:pPr>
        <w:spacing w:line="276" w:lineRule="auto"/>
        <w:rPr>
          <w:sz w:val="18"/>
          <w:szCs w:val="18"/>
        </w:rPr>
      </w:pPr>
    </w:p>
    <w:p w14:paraId="04EF4E9F" w14:textId="291530CF" w:rsidR="00D26EEF" w:rsidRDefault="00F34A81" w:rsidP="00F34A81">
      <w:pPr>
        <w:pStyle w:val="Style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szCs w:val="24"/>
        </w:rPr>
      </w:pPr>
      <w:r>
        <w:rPr>
          <w:snapToGrid/>
          <w:szCs w:val="24"/>
        </w:rPr>
        <w:tab/>
      </w:r>
      <w:r w:rsidR="00D26EEF" w:rsidRPr="0007426C">
        <w:rPr>
          <w:snapToGrid/>
          <w:szCs w:val="24"/>
        </w:rPr>
        <w:t>There will be no payments/gifts to respondents.</w:t>
      </w:r>
    </w:p>
    <w:p w14:paraId="244F02C5" w14:textId="77777777" w:rsidR="00D26EEF" w:rsidRPr="00BE6065" w:rsidRDefault="00D26EEF" w:rsidP="0024686F">
      <w:pPr>
        <w:spacing w:line="276" w:lineRule="auto"/>
        <w:rPr>
          <w:sz w:val="24"/>
        </w:rPr>
      </w:pPr>
    </w:p>
    <w:p w14:paraId="5D68B3CB" w14:textId="18108CC3" w:rsidR="000E56B6"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10.</w:t>
      </w:r>
      <w:r>
        <w:rPr>
          <w:sz w:val="24"/>
        </w:rPr>
        <w:tab/>
      </w:r>
      <w:r>
        <w:rPr>
          <w:sz w:val="24"/>
          <w:u w:val="single"/>
        </w:rPr>
        <w:t>Confidentiality</w:t>
      </w:r>
    </w:p>
    <w:p w14:paraId="6C103908" w14:textId="77777777" w:rsidR="005B7FEB" w:rsidRDefault="005B7FEB" w:rsidP="0024686F">
      <w:pPr>
        <w:spacing w:line="276" w:lineRule="auto"/>
        <w:ind w:firstLine="432"/>
        <w:rPr>
          <w:sz w:val="24"/>
        </w:rPr>
      </w:pPr>
    </w:p>
    <w:p w14:paraId="3CC4B0F8" w14:textId="1DAC59E9" w:rsidR="005B7FEB" w:rsidRPr="0061468D" w:rsidRDefault="005B7FEB" w:rsidP="00082CE0">
      <w:pPr>
        <w:tabs>
          <w:tab w:val="left" w:pos="450"/>
          <w:tab w:val="left" w:pos="540"/>
        </w:tabs>
        <w:spacing w:line="276" w:lineRule="auto"/>
        <w:rPr>
          <w:sz w:val="24"/>
        </w:rPr>
      </w:pPr>
      <w:r>
        <w:rPr>
          <w:sz w:val="24"/>
        </w:rPr>
        <w:tab/>
        <w:t>Consistent with federal government and CMS policies, i</w:t>
      </w:r>
      <w:r w:rsidRPr="0061468D">
        <w:rPr>
          <w:sz w:val="24"/>
        </w:rPr>
        <w:t>ndividuals contacted as part of this data collection will be assured of the confidentiality of their replies under 42 U.S.C. 1306, 20 CFR 401 and 422, 5 U.S.C. 552 (Freedom of Information Act), 5 U.S.C. 552a (Privacy Act of 1974), and OMB Circular A-130.</w:t>
      </w:r>
    </w:p>
    <w:p w14:paraId="0CAD9962" w14:textId="70899727" w:rsidR="00D26EEF" w:rsidRDefault="00D26EEF" w:rsidP="0024686F">
      <w:pPr>
        <w:pStyle w:val="Style0"/>
        <w:spacing w:line="276" w:lineRule="auto"/>
      </w:pPr>
    </w:p>
    <w:p w14:paraId="7AE1EC16" w14:textId="1E4D0DA5"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11.</w:t>
      </w:r>
      <w:r>
        <w:rPr>
          <w:sz w:val="24"/>
        </w:rPr>
        <w:tab/>
      </w:r>
      <w:r>
        <w:rPr>
          <w:sz w:val="24"/>
          <w:u w:val="single"/>
        </w:rPr>
        <w:t>Sensitive Questions</w:t>
      </w:r>
    </w:p>
    <w:p w14:paraId="482AFDA1" w14:textId="76CF0983" w:rsidR="00D26EEF" w:rsidRPr="005B7FEB" w:rsidRDefault="00D26EEF" w:rsidP="0024686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rPr>
      </w:pPr>
    </w:p>
    <w:p w14:paraId="00185E25" w14:textId="77777777" w:rsidR="005B7FEB" w:rsidRPr="0061468D" w:rsidRDefault="005B7FEB" w:rsidP="00CB06A1">
      <w:pPr>
        <w:tabs>
          <w:tab w:val="left" w:pos="540"/>
        </w:tabs>
        <w:spacing w:line="276" w:lineRule="auto"/>
        <w:ind w:firstLine="450"/>
        <w:rPr>
          <w:sz w:val="24"/>
        </w:rPr>
      </w:pPr>
      <w:r w:rsidRPr="0061468D">
        <w:rPr>
          <w:sz w:val="24"/>
        </w:rPr>
        <w:t>The survey does not include any questions of a sensitive nature.</w:t>
      </w:r>
    </w:p>
    <w:p w14:paraId="1F36534B" w14:textId="77777777" w:rsidR="00E53DCB" w:rsidRDefault="00E53DCB" w:rsidP="00CB06A1">
      <w:pPr>
        <w:spacing w:line="276" w:lineRule="auto"/>
        <w:ind w:firstLine="540"/>
        <w:rPr>
          <w:sz w:val="24"/>
        </w:rPr>
      </w:pPr>
    </w:p>
    <w:p w14:paraId="02261BC6" w14:textId="3C4D9669" w:rsidR="00D26EEF" w:rsidRDefault="00D26EEF" w:rsidP="00CB06A1">
      <w:pPr>
        <w:spacing w:line="276" w:lineRule="auto"/>
        <w:ind w:left="450" w:hanging="450"/>
        <w:rPr>
          <w:sz w:val="24"/>
        </w:rPr>
      </w:pPr>
      <w:r>
        <w:rPr>
          <w:sz w:val="24"/>
        </w:rPr>
        <w:t>12.</w:t>
      </w:r>
      <w:r w:rsidR="00082CE0">
        <w:rPr>
          <w:sz w:val="24"/>
        </w:rPr>
        <w:tab/>
      </w:r>
      <w:r>
        <w:rPr>
          <w:sz w:val="24"/>
          <w:u w:val="single"/>
        </w:rPr>
        <w:t>Burden Estimates (Hours &amp; Wages)</w:t>
      </w:r>
    </w:p>
    <w:p w14:paraId="0F083C29" w14:textId="5CED772A" w:rsidR="00A64ED4" w:rsidRPr="009A3A00" w:rsidRDefault="00E95A07" w:rsidP="0024686F">
      <w:pPr>
        <w:spacing w:line="276" w:lineRule="auto"/>
        <w:rPr>
          <w:sz w:val="24"/>
          <w:u w:val="single"/>
        </w:rPr>
      </w:pPr>
      <w:r>
        <w:tab/>
      </w:r>
      <w:r w:rsidR="00D26EEF" w:rsidRPr="00E95A07">
        <w:t xml:space="preserve"> </w:t>
      </w:r>
    </w:p>
    <w:p w14:paraId="501884CA" w14:textId="0D546855" w:rsidR="00AF5856" w:rsidRDefault="00ED4BD7" w:rsidP="00AF5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t xml:space="preserve">Beneficiaries will experience burden under the CAHPS for MIPS survey. The usual practice in estimating the burden on public respondents to surveys such as the CAHPS for MIPS survey is to assume that respondent time is valued, on average, at civilian wage rates. </w:t>
      </w:r>
      <w:r w:rsidR="005B7FEB">
        <w:rPr>
          <w:sz w:val="24"/>
        </w:rPr>
        <w:t xml:space="preserve">In </w:t>
      </w:r>
      <w:r w:rsidR="00821570">
        <w:rPr>
          <w:sz w:val="24"/>
        </w:rPr>
        <w:t xml:space="preserve">order to calculate the costs to beneficiaries for their time, we have used </w:t>
      </w:r>
      <w:r w:rsidR="005B7FEB">
        <w:rPr>
          <w:sz w:val="24"/>
        </w:rPr>
        <w:t xml:space="preserve">U.S. </w:t>
      </w:r>
      <w:r w:rsidR="00821570">
        <w:rPr>
          <w:sz w:val="24"/>
        </w:rPr>
        <w:t xml:space="preserve">Bureau of Labor Statistics (BLS) estimates for </w:t>
      </w:r>
      <w:r w:rsidR="005B7FEB">
        <w:rPr>
          <w:sz w:val="24"/>
        </w:rPr>
        <w:t>employer costs for employee compensation for civilian</w:t>
      </w:r>
      <w:r w:rsidR="00821570">
        <w:rPr>
          <w:sz w:val="24"/>
        </w:rPr>
        <w:t>, all occupations. We have not adjusted these costs for fringe benefits and overhead because only the direct wage costs represent the “opportunity cost” to beneficiaries themselves for time spent in health care settings.</w:t>
      </w:r>
      <w:r w:rsidR="00AF5856" w:rsidRPr="00AF5856">
        <w:rPr>
          <w:sz w:val="24"/>
        </w:rPr>
        <w:t xml:space="preserve"> </w:t>
      </w:r>
      <w:r w:rsidR="00AF5856">
        <w:rPr>
          <w:sz w:val="24"/>
        </w:rPr>
        <w:t>The BLS data show the average hourly wage for civilians in all occupations to be $23.</w:t>
      </w:r>
      <w:r w:rsidR="000D0D10">
        <w:rPr>
          <w:sz w:val="24"/>
        </w:rPr>
        <w:t>23</w:t>
      </w:r>
      <w:r w:rsidR="00AF5856">
        <w:rPr>
          <w:sz w:val="24"/>
        </w:rPr>
        <w:t xml:space="preserve">. Although most Medicare beneficiaries are retired, we believe that their time value is unlikely to depart significantly from prior earnings expense, and have used the average hourly wage to compute the dollar cost estimate for these burden hours. </w:t>
      </w:r>
    </w:p>
    <w:p w14:paraId="73571DDB" w14:textId="5F0E1041" w:rsidR="00290CA9" w:rsidRDefault="00290CA9" w:rsidP="0024686F">
      <w:pPr>
        <w:widowControl/>
        <w:autoSpaceDE/>
        <w:autoSpaceDN/>
        <w:adjustRightInd/>
        <w:spacing w:after="160" w:line="276" w:lineRule="auto"/>
        <w:rPr>
          <w:b/>
          <w:sz w:val="24"/>
        </w:rPr>
      </w:pPr>
    </w:p>
    <w:p w14:paraId="23424215" w14:textId="174BEB55" w:rsidR="00821570" w:rsidRPr="005B698E" w:rsidRDefault="005B48D7" w:rsidP="00425A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outlineLvl w:val="0"/>
        <w:rPr>
          <w:b/>
          <w:sz w:val="24"/>
        </w:rPr>
      </w:pPr>
      <w:r w:rsidRPr="00457D60">
        <w:rPr>
          <w:b/>
          <w:sz w:val="24"/>
        </w:rPr>
        <w:t xml:space="preserve">TABLE </w:t>
      </w:r>
      <w:r w:rsidR="00870F83">
        <w:rPr>
          <w:b/>
          <w:sz w:val="24"/>
        </w:rPr>
        <w:t>2</w:t>
      </w:r>
      <w:r w:rsidRPr="005B698E">
        <w:rPr>
          <w:b/>
          <w:sz w:val="24"/>
        </w:rPr>
        <w:t>: Hourly Wages Used in Burden Estimate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590"/>
        <w:gridCol w:w="1681"/>
        <w:gridCol w:w="2114"/>
        <w:gridCol w:w="1671"/>
      </w:tblGrid>
      <w:tr w:rsidR="00821570" w:rsidRPr="009B7397" w14:paraId="438D5ABF" w14:textId="77777777" w:rsidTr="00092C3D">
        <w:trPr>
          <w:tblHeader/>
        </w:trPr>
        <w:tc>
          <w:tcPr>
            <w:tcW w:w="2322" w:type="dxa"/>
            <w:shd w:val="clear" w:color="auto" w:fill="auto"/>
          </w:tcPr>
          <w:p w14:paraId="3FEDECBB" w14:textId="77777777" w:rsidR="00821570" w:rsidRPr="00820B65" w:rsidRDefault="00821570" w:rsidP="0024686F">
            <w:pPr>
              <w:keepNext/>
              <w:spacing w:line="276" w:lineRule="auto"/>
              <w:rPr>
                <w:b/>
                <w:szCs w:val="20"/>
              </w:rPr>
            </w:pPr>
            <w:r w:rsidRPr="00820B65">
              <w:rPr>
                <w:b/>
                <w:szCs w:val="20"/>
              </w:rPr>
              <w:t>Occupation Title</w:t>
            </w:r>
          </w:p>
        </w:tc>
        <w:tc>
          <w:tcPr>
            <w:tcW w:w="1590" w:type="dxa"/>
          </w:tcPr>
          <w:p w14:paraId="259F9841" w14:textId="77777777" w:rsidR="00821570" w:rsidRPr="00820B65" w:rsidRDefault="00821570" w:rsidP="0024686F">
            <w:pPr>
              <w:keepNext/>
              <w:spacing w:line="276" w:lineRule="auto"/>
              <w:rPr>
                <w:b/>
                <w:szCs w:val="20"/>
              </w:rPr>
            </w:pPr>
            <w:r w:rsidRPr="00820B65">
              <w:rPr>
                <w:b/>
                <w:szCs w:val="20"/>
              </w:rPr>
              <w:t>Occupational Code</w:t>
            </w:r>
          </w:p>
        </w:tc>
        <w:tc>
          <w:tcPr>
            <w:tcW w:w="1681" w:type="dxa"/>
            <w:shd w:val="clear" w:color="auto" w:fill="auto"/>
          </w:tcPr>
          <w:p w14:paraId="76A0B2AD" w14:textId="77777777" w:rsidR="00821570" w:rsidRPr="00820B65" w:rsidRDefault="00821570" w:rsidP="0024686F">
            <w:pPr>
              <w:keepNext/>
              <w:spacing w:line="276" w:lineRule="auto"/>
              <w:rPr>
                <w:b/>
                <w:szCs w:val="20"/>
              </w:rPr>
            </w:pPr>
            <w:r w:rsidRPr="00820B65">
              <w:rPr>
                <w:b/>
                <w:szCs w:val="20"/>
              </w:rPr>
              <w:t>Mean Hourly Wage ($/hr.)</w:t>
            </w:r>
          </w:p>
        </w:tc>
        <w:tc>
          <w:tcPr>
            <w:tcW w:w="2114" w:type="dxa"/>
            <w:shd w:val="clear" w:color="auto" w:fill="auto"/>
          </w:tcPr>
          <w:p w14:paraId="0DF3987A" w14:textId="77777777" w:rsidR="00821570" w:rsidRPr="00820B65" w:rsidRDefault="00821570" w:rsidP="0024686F">
            <w:pPr>
              <w:keepNext/>
              <w:spacing w:line="276" w:lineRule="auto"/>
              <w:rPr>
                <w:b/>
                <w:szCs w:val="20"/>
              </w:rPr>
            </w:pPr>
            <w:r w:rsidRPr="00820B65">
              <w:rPr>
                <w:b/>
                <w:szCs w:val="20"/>
              </w:rPr>
              <w:t>Fringe Benefits and Overhead ($/hr.)</w:t>
            </w:r>
          </w:p>
        </w:tc>
        <w:tc>
          <w:tcPr>
            <w:tcW w:w="1671" w:type="dxa"/>
            <w:shd w:val="clear" w:color="auto" w:fill="auto"/>
          </w:tcPr>
          <w:p w14:paraId="552D3D16" w14:textId="77777777" w:rsidR="00821570" w:rsidRPr="00820B65" w:rsidRDefault="00821570" w:rsidP="0024686F">
            <w:pPr>
              <w:keepNext/>
              <w:spacing w:line="276" w:lineRule="auto"/>
              <w:rPr>
                <w:b/>
                <w:szCs w:val="20"/>
              </w:rPr>
            </w:pPr>
            <w:r w:rsidRPr="00820B65">
              <w:rPr>
                <w:b/>
                <w:szCs w:val="20"/>
              </w:rPr>
              <w:t>Adjusted Hourly Wage ($/hr.)</w:t>
            </w:r>
          </w:p>
        </w:tc>
      </w:tr>
      <w:tr w:rsidR="00821570" w:rsidRPr="009B7397" w14:paraId="559767D6" w14:textId="38EA15A3" w:rsidTr="00092C3D">
        <w:tc>
          <w:tcPr>
            <w:tcW w:w="2322" w:type="dxa"/>
            <w:shd w:val="clear" w:color="auto" w:fill="auto"/>
          </w:tcPr>
          <w:p w14:paraId="34F9EBCB" w14:textId="199BDE4B" w:rsidR="00821570" w:rsidRPr="00820B65" w:rsidRDefault="00821570" w:rsidP="0024686F">
            <w:pPr>
              <w:keepNext/>
              <w:spacing w:line="276" w:lineRule="auto"/>
              <w:rPr>
                <w:szCs w:val="20"/>
              </w:rPr>
            </w:pPr>
            <w:r w:rsidRPr="00820B65">
              <w:rPr>
                <w:szCs w:val="20"/>
              </w:rPr>
              <w:t>Civilian, All Occupations</w:t>
            </w:r>
          </w:p>
        </w:tc>
        <w:tc>
          <w:tcPr>
            <w:tcW w:w="1590" w:type="dxa"/>
          </w:tcPr>
          <w:p w14:paraId="72D78FD4" w14:textId="0BAB93BA" w:rsidR="00821570" w:rsidRPr="00820B65" w:rsidRDefault="00821570" w:rsidP="0024686F">
            <w:pPr>
              <w:keepNext/>
              <w:spacing w:line="276" w:lineRule="auto"/>
              <w:rPr>
                <w:szCs w:val="20"/>
              </w:rPr>
            </w:pPr>
            <w:r w:rsidRPr="00820B65">
              <w:rPr>
                <w:szCs w:val="20"/>
              </w:rPr>
              <w:t>Not applicable</w:t>
            </w:r>
          </w:p>
        </w:tc>
        <w:tc>
          <w:tcPr>
            <w:tcW w:w="1681" w:type="dxa"/>
            <w:shd w:val="clear" w:color="auto" w:fill="auto"/>
          </w:tcPr>
          <w:p w14:paraId="52B5A3FD" w14:textId="1A61C898" w:rsidR="00821570" w:rsidRPr="00820B65" w:rsidRDefault="00821570" w:rsidP="000D0D10">
            <w:pPr>
              <w:keepNext/>
              <w:spacing w:line="276" w:lineRule="auto"/>
              <w:rPr>
                <w:szCs w:val="20"/>
              </w:rPr>
            </w:pPr>
            <w:r w:rsidRPr="00820B65">
              <w:rPr>
                <w:szCs w:val="20"/>
              </w:rPr>
              <w:t>23.</w:t>
            </w:r>
            <w:r w:rsidR="000D0D10">
              <w:rPr>
                <w:szCs w:val="20"/>
              </w:rPr>
              <w:t>23</w:t>
            </w:r>
          </w:p>
        </w:tc>
        <w:tc>
          <w:tcPr>
            <w:tcW w:w="2114" w:type="dxa"/>
            <w:shd w:val="clear" w:color="auto" w:fill="auto"/>
          </w:tcPr>
          <w:p w14:paraId="1D60F103" w14:textId="338D23F9" w:rsidR="00821570" w:rsidRPr="00820B65" w:rsidRDefault="00821570" w:rsidP="0024686F">
            <w:pPr>
              <w:keepNext/>
              <w:spacing w:line="276" w:lineRule="auto"/>
              <w:rPr>
                <w:szCs w:val="20"/>
              </w:rPr>
            </w:pPr>
            <w:r w:rsidRPr="00820B65">
              <w:rPr>
                <w:szCs w:val="20"/>
              </w:rPr>
              <w:t>N/A</w:t>
            </w:r>
          </w:p>
        </w:tc>
        <w:tc>
          <w:tcPr>
            <w:tcW w:w="1671" w:type="dxa"/>
            <w:shd w:val="clear" w:color="auto" w:fill="auto"/>
          </w:tcPr>
          <w:p w14:paraId="2B0ABA3C" w14:textId="345937FA" w:rsidR="00821570" w:rsidRPr="00820B65" w:rsidRDefault="00821570" w:rsidP="000D0D10">
            <w:pPr>
              <w:keepNext/>
              <w:spacing w:line="276" w:lineRule="auto"/>
              <w:rPr>
                <w:szCs w:val="20"/>
              </w:rPr>
            </w:pPr>
            <w:r w:rsidRPr="00820B65">
              <w:rPr>
                <w:szCs w:val="20"/>
              </w:rPr>
              <w:t>23.</w:t>
            </w:r>
            <w:r w:rsidR="000D0D10">
              <w:rPr>
                <w:szCs w:val="20"/>
              </w:rPr>
              <w:t>23</w:t>
            </w:r>
          </w:p>
        </w:tc>
      </w:tr>
    </w:tbl>
    <w:p w14:paraId="7BB6E77A" w14:textId="6F2D2628" w:rsidR="00821570" w:rsidRPr="009B7397" w:rsidRDefault="00821570"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szCs w:val="20"/>
        </w:rPr>
      </w:pPr>
    </w:p>
    <w:p w14:paraId="365AA8BB" w14:textId="77777777" w:rsidR="000D0D10" w:rsidRPr="009B7397" w:rsidRDefault="000D0D10" w:rsidP="000D0D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0"/>
        </w:rPr>
      </w:pPr>
      <w:r w:rsidRPr="005B698E">
        <w:rPr>
          <w:szCs w:val="20"/>
        </w:rPr>
        <w:t xml:space="preserve">Source: </w:t>
      </w:r>
      <w:r w:rsidRPr="009B7397">
        <w:rPr>
          <w:color w:val="000000"/>
          <w:szCs w:val="20"/>
        </w:rPr>
        <w:t>“Occupational Employment and Wage Estimates May 201</w:t>
      </w:r>
      <w:r>
        <w:rPr>
          <w:color w:val="000000"/>
          <w:szCs w:val="20"/>
        </w:rPr>
        <w:t>5</w:t>
      </w:r>
      <w:r w:rsidRPr="009B7397">
        <w:rPr>
          <w:color w:val="000000"/>
          <w:szCs w:val="20"/>
        </w:rPr>
        <w:t xml:space="preserve">,” U.S. Department of Labor, Bureau of Labor Statistics. </w:t>
      </w:r>
      <w:r w:rsidRPr="00054D06">
        <w:rPr>
          <w:szCs w:val="20"/>
        </w:rPr>
        <w:t>http://www.bls.gov/oes/current/oes_nat.htm</w:t>
      </w:r>
      <w:r>
        <w:rPr>
          <w:rStyle w:val="Hyperlink"/>
          <w:szCs w:val="20"/>
        </w:rPr>
        <w:t>.</w:t>
      </w:r>
    </w:p>
    <w:p w14:paraId="492DC575" w14:textId="77777777" w:rsidR="00821570" w:rsidRDefault="00821570"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Cs w:val="20"/>
          <w:vertAlign w:val="superscript"/>
        </w:rPr>
      </w:pPr>
    </w:p>
    <w:p w14:paraId="4D0DA727" w14:textId="77777777" w:rsidR="0035092C" w:rsidRDefault="003509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D53E0B1" w14:textId="66CA9F74" w:rsidR="008D04C1" w:rsidRDefault="00364F8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t xml:space="preserve">Under the first performance </w:t>
      </w:r>
      <w:r w:rsidR="000F7EAA">
        <w:rPr>
          <w:sz w:val="24"/>
        </w:rPr>
        <w:t>period</w:t>
      </w:r>
      <w:r>
        <w:rPr>
          <w:sz w:val="24"/>
        </w:rPr>
        <w:t xml:space="preserve"> of MIPS, we assume that </w:t>
      </w:r>
      <w:r w:rsidR="00E31E4B">
        <w:rPr>
          <w:sz w:val="24"/>
        </w:rPr>
        <w:t>461</w:t>
      </w:r>
      <w:r w:rsidR="00A203CE">
        <w:rPr>
          <w:sz w:val="24"/>
        </w:rPr>
        <w:t xml:space="preserve"> </w:t>
      </w:r>
      <w:r w:rsidR="00D34DFA">
        <w:rPr>
          <w:sz w:val="24"/>
        </w:rPr>
        <w:t xml:space="preserve">groups will </w:t>
      </w:r>
      <w:r>
        <w:rPr>
          <w:sz w:val="24"/>
        </w:rPr>
        <w:t>elect to report on the CAHPS for MIPS survey</w:t>
      </w:r>
      <w:r w:rsidR="00D34DFA">
        <w:rPr>
          <w:sz w:val="24"/>
        </w:rPr>
        <w:t xml:space="preserve">, which is equal </w:t>
      </w:r>
      <w:r w:rsidR="00F63E17">
        <w:rPr>
          <w:sz w:val="24"/>
        </w:rPr>
        <w:t xml:space="preserve">to </w:t>
      </w:r>
      <w:r w:rsidR="00D34DFA">
        <w:rPr>
          <w:sz w:val="24"/>
        </w:rPr>
        <w:t xml:space="preserve">the number of </w:t>
      </w:r>
      <w:r w:rsidR="005D3E02">
        <w:rPr>
          <w:sz w:val="24"/>
        </w:rPr>
        <w:t>groups reporting</w:t>
      </w:r>
      <w:r w:rsidR="00D34DFA">
        <w:rPr>
          <w:sz w:val="24"/>
        </w:rPr>
        <w:t xml:space="preserve"> via CAHPS for the PQRS in </w:t>
      </w:r>
      <w:r w:rsidR="00A203CE">
        <w:rPr>
          <w:sz w:val="24"/>
        </w:rPr>
        <w:t>for performance year 201</w:t>
      </w:r>
      <w:r w:rsidR="00E31E4B">
        <w:rPr>
          <w:sz w:val="24"/>
        </w:rPr>
        <w:t>4</w:t>
      </w:r>
      <w:r w:rsidR="00A203CE">
        <w:rPr>
          <w:sz w:val="24"/>
        </w:rPr>
        <w:t>.</w:t>
      </w:r>
      <w:r>
        <w:rPr>
          <w:sz w:val="24"/>
        </w:rPr>
        <w:t xml:space="preserve"> Table </w:t>
      </w:r>
      <w:r w:rsidR="00870F83">
        <w:rPr>
          <w:sz w:val="24"/>
        </w:rPr>
        <w:t>3</w:t>
      </w:r>
      <w:r w:rsidR="00870F83" w:rsidRPr="00DC4290">
        <w:rPr>
          <w:sz w:val="24"/>
        </w:rPr>
        <w:t xml:space="preserve"> </w:t>
      </w:r>
      <w:r w:rsidRPr="00DC4290">
        <w:rPr>
          <w:sz w:val="24"/>
        </w:rPr>
        <w:t>shows the estimat</w:t>
      </w:r>
      <w:r>
        <w:rPr>
          <w:sz w:val="24"/>
        </w:rPr>
        <w:t xml:space="preserve">ed annualized burden for beneficiaries </w:t>
      </w:r>
      <w:r w:rsidRPr="001F4986">
        <w:rPr>
          <w:sz w:val="24"/>
        </w:rPr>
        <w:t xml:space="preserve">to participate in the </w:t>
      </w:r>
      <w:r>
        <w:rPr>
          <w:sz w:val="24"/>
        </w:rPr>
        <w:t xml:space="preserve">CAHPS for MIPS </w:t>
      </w:r>
      <w:r w:rsidRPr="001F4986">
        <w:rPr>
          <w:sz w:val="24"/>
        </w:rPr>
        <w:t xml:space="preserve">survey. </w:t>
      </w:r>
      <w:r w:rsidRPr="00DC4290">
        <w:rPr>
          <w:sz w:val="24"/>
        </w:rPr>
        <w:t xml:space="preserve"> </w:t>
      </w:r>
      <w:r>
        <w:rPr>
          <w:sz w:val="24"/>
        </w:rPr>
        <w:t xml:space="preserve">Based on historical information on the numbers of CAHPS for PQRS </w:t>
      </w:r>
      <w:r w:rsidR="000F7EAA">
        <w:rPr>
          <w:sz w:val="24"/>
        </w:rPr>
        <w:t xml:space="preserve">survey </w:t>
      </w:r>
      <w:r>
        <w:rPr>
          <w:sz w:val="24"/>
        </w:rPr>
        <w:t xml:space="preserve">respondents, we assume that an average of 287 beneficiaries will respond per group.  </w:t>
      </w:r>
      <w:r w:rsidRPr="00DC4290">
        <w:rPr>
          <w:sz w:val="24"/>
        </w:rPr>
        <w:t xml:space="preserve">The CAHPS </w:t>
      </w:r>
      <w:r w:rsidR="008A48CA">
        <w:rPr>
          <w:sz w:val="24"/>
        </w:rPr>
        <w:t>for MIPS s</w:t>
      </w:r>
      <w:r w:rsidRPr="00DC4290">
        <w:rPr>
          <w:sz w:val="24"/>
        </w:rPr>
        <w:t xml:space="preserve">urvey will be administered to </w:t>
      </w:r>
      <w:r>
        <w:rPr>
          <w:sz w:val="24"/>
        </w:rPr>
        <w:t xml:space="preserve">approximately </w:t>
      </w:r>
      <w:r w:rsidR="00E31E4B">
        <w:rPr>
          <w:sz w:val="24"/>
        </w:rPr>
        <w:t>132</w:t>
      </w:r>
      <w:r>
        <w:rPr>
          <w:sz w:val="24"/>
        </w:rPr>
        <w:t>,</w:t>
      </w:r>
      <w:r w:rsidR="00E31E4B">
        <w:rPr>
          <w:sz w:val="24"/>
        </w:rPr>
        <w:t xml:space="preserve">307 </w:t>
      </w:r>
      <w:r>
        <w:rPr>
          <w:sz w:val="24"/>
        </w:rPr>
        <w:t>beneficiaries per year (</w:t>
      </w:r>
      <w:r w:rsidR="00A203CE">
        <w:rPr>
          <w:sz w:val="24"/>
        </w:rPr>
        <w:t xml:space="preserve">461 </w:t>
      </w:r>
      <w:r>
        <w:rPr>
          <w:sz w:val="24"/>
        </w:rPr>
        <w:t xml:space="preserve">groups X an average of 287 beneficiaries per group responding). </w:t>
      </w:r>
      <w:r w:rsidRPr="00DC4290">
        <w:rPr>
          <w:sz w:val="24"/>
        </w:rPr>
        <w:t xml:space="preserve">The survey contains </w:t>
      </w:r>
      <w:r w:rsidR="00B5476A">
        <w:rPr>
          <w:sz w:val="24"/>
        </w:rPr>
        <w:t>81</w:t>
      </w:r>
      <w:r w:rsidR="00B5476A" w:rsidRPr="00DC4290">
        <w:rPr>
          <w:sz w:val="24"/>
        </w:rPr>
        <w:t xml:space="preserve"> </w:t>
      </w:r>
      <w:r w:rsidRPr="00DC4290">
        <w:rPr>
          <w:sz w:val="24"/>
        </w:rPr>
        <w:t xml:space="preserve">items and is estimated to </w:t>
      </w:r>
      <w:r w:rsidRPr="00DD69DC">
        <w:rPr>
          <w:sz w:val="24"/>
        </w:rPr>
        <w:t>require an</w:t>
      </w:r>
      <w:r w:rsidRPr="00DC4290">
        <w:rPr>
          <w:sz w:val="24"/>
        </w:rPr>
        <w:t xml:space="preserve"> average administration time of 18.</w:t>
      </w:r>
      <w:r w:rsidR="00B5476A">
        <w:rPr>
          <w:sz w:val="24"/>
        </w:rPr>
        <w:t>0</w:t>
      </w:r>
      <w:r w:rsidRPr="00DC4290">
        <w:rPr>
          <w:sz w:val="24"/>
        </w:rPr>
        <w:t xml:space="preserve"> minutes in English (at a pace of 4.5 items per minute) and </w:t>
      </w:r>
      <w:r w:rsidR="00B5476A" w:rsidRPr="00DC4290">
        <w:rPr>
          <w:sz w:val="24"/>
        </w:rPr>
        <w:t>2</w:t>
      </w:r>
      <w:r w:rsidR="00B5476A">
        <w:rPr>
          <w:sz w:val="24"/>
        </w:rPr>
        <w:t>1.6</w:t>
      </w:r>
      <w:r w:rsidR="00B5476A" w:rsidRPr="00DC4290">
        <w:rPr>
          <w:sz w:val="24"/>
        </w:rPr>
        <w:t xml:space="preserve"> </w:t>
      </w:r>
      <w:r w:rsidRPr="00DC4290">
        <w:rPr>
          <w:sz w:val="24"/>
        </w:rPr>
        <w:t>minutes in Spanish (assuming 20</w:t>
      </w:r>
      <w:r>
        <w:rPr>
          <w:sz w:val="24"/>
        </w:rPr>
        <w:t xml:space="preserve"> percent</w:t>
      </w:r>
      <w:r w:rsidRPr="00DC4290">
        <w:rPr>
          <w:sz w:val="24"/>
        </w:rPr>
        <w:t xml:space="preserve"> more words in the Spanish translation), for an average response time o</w:t>
      </w:r>
      <w:r>
        <w:rPr>
          <w:sz w:val="24"/>
        </w:rPr>
        <w:t xml:space="preserve">f </w:t>
      </w:r>
      <w:r w:rsidR="00B5476A">
        <w:rPr>
          <w:sz w:val="24"/>
        </w:rPr>
        <w:t>19</w:t>
      </w:r>
      <w:r>
        <w:rPr>
          <w:sz w:val="24"/>
        </w:rPr>
        <w:t>.</w:t>
      </w:r>
      <w:r w:rsidR="00B5476A">
        <w:rPr>
          <w:sz w:val="24"/>
        </w:rPr>
        <w:t xml:space="preserve">8 </w:t>
      </w:r>
      <w:r>
        <w:rPr>
          <w:sz w:val="24"/>
        </w:rPr>
        <w:t xml:space="preserve">minutes or 0.33 hours. </w:t>
      </w:r>
      <w:r w:rsidRPr="00DC4290">
        <w:rPr>
          <w:sz w:val="24"/>
        </w:rPr>
        <w:t xml:space="preserve">These burden and pace estimates are based on </w:t>
      </w:r>
      <w:r w:rsidRPr="00DD69DC">
        <w:rPr>
          <w:sz w:val="24"/>
        </w:rPr>
        <w:t>CMS’s</w:t>
      </w:r>
      <w:r w:rsidRPr="00DC4290">
        <w:rPr>
          <w:sz w:val="24"/>
        </w:rPr>
        <w:t xml:space="preserve"> experience with surveys of similar length that were fielded with Medicare beneficiaries. As indicated </w:t>
      </w:r>
      <w:r w:rsidRPr="007370D6">
        <w:rPr>
          <w:sz w:val="24"/>
        </w:rPr>
        <w:t>below</w:t>
      </w:r>
      <w:r w:rsidRPr="00DC4290">
        <w:rPr>
          <w:sz w:val="24"/>
        </w:rPr>
        <w:t xml:space="preserve">, the annual total burden hours are estimated to be </w:t>
      </w:r>
      <w:r w:rsidR="00C217DE">
        <w:rPr>
          <w:sz w:val="24"/>
        </w:rPr>
        <w:t>43,661</w:t>
      </w:r>
      <w:r w:rsidR="001F4FCD" w:rsidRPr="00DC4290">
        <w:rPr>
          <w:sz w:val="24"/>
        </w:rPr>
        <w:t xml:space="preserve"> </w:t>
      </w:r>
      <w:r w:rsidRPr="00DC4290">
        <w:rPr>
          <w:sz w:val="24"/>
        </w:rPr>
        <w:t>hours</w:t>
      </w:r>
      <w:r>
        <w:rPr>
          <w:sz w:val="24"/>
        </w:rPr>
        <w:t xml:space="preserve"> (</w:t>
      </w:r>
      <w:r w:rsidR="001F4FCD">
        <w:rPr>
          <w:sz w:val="24"/>
        </w:rPr>
        <w:t>1</w:t>
      </w:r>
      <w:r w:rsidR="00C217DE">
        <w:rPr>
          <w:sz w:val="24"/>
        </w:rPr>
        <w:t>32,307</w:t>
      </w:r>
      <w:r>
        <w:rPr>
          <w:sz w:val="24"/>
        </w:rPr>
        <w:t xml:space="preserve"> respondents X .33 burden hours per respondent to report)</w:t>
      </w:r>
      <w:r w:rsidRPr="00DC4290">
        <w:rPr>
          <w:sz w:val="24"/>
        </w:rPr>
        <w:t>.</w:t>
      </w:r>
      <w:r>
        <w:rPr>
          <w:sz w:val="24"/>
        </w:rPr>
        <w:t xml:space="preserve"> </w:t>
      </w:r>
      <w:r w:rsidR="001F4FCD">
        <w:rPr>
          <w:sz w:val="24"/>
        </w:rPr>
        <w:t xml:space="preserve"> The estimated total burden annual burden cost is $</w:t>
      </w:r>
      <w:r w:rsidR="00E31E4B">
        <w:rPr>
          <w:sz w:val="24"/>
        </w:rPr>
        <w:t>1,</w:t>
      </w:r>
      <w:r w:rsidR="00625B17">
        <w:rPr>
          <w:sz w:val="24"/>
        </w:rPr>
        <w:t>014</w:t>
      </w:r>
      <w:r w:rsidR="00E31E4B">
        <w:rPr>
          <w:sz w:val="24"/>
        </w:rPr>
        <w:t>,</w:t>
      </w:r>
      <w:r w:rsidR="00625B17">
        <w:rPr>
          <w:sz w:val="24"/>
        </w:rPr>
        <w:t>252</w:t>
      </w:r>
      <w:r w:rsidR="00622020">
        <w:rPr>
          <w:sz w:val="24"/>
        </w:rPr>
        <w:t xml:space="preserve"> </w:t>
      </w:r>
      <w:r w:rsidR="001F4FCD">
        <w:rPr>
          <w:sz w:val="24"/>
        </w:rPr>
        <w:t>(</w:t>
      </w:r>
      <w:r w:rsidR="00E31E4B">
        <w:rPr>
          <w:sz w:val="24"/>
        </w:rPr>
        <w:t>43</w:t>
      </w:r>
      <w:r w:rsidR="00B5476A">
        <w:rPr>
          <w:sz w:val="24"/>
        </w:rPr>
        <w:t>,</w:t>
      </w:r>
      <w:r w:rsidR="00E31E4B">
        <w:rPr>
          <w:sz w:val="24"/>
        </w:rPr>
        <w:t>661</w:t>
      </w:r>
      <w:r w:rsidR="00E31E4B" w:rsidRPr="00DC4290">
        <w:rPr>
          <w:sz w:val="24"/>
        </w:rPr>
        <w:t xml:space="preserve"> </w:t>
      </w:r>
      <w:r w:rsidR="001F4FCD">
        <w:rPr>
          <w:sz w:val="24"/>
        </w:rPr>
        <w:t>total burden hours X $23.</w:t>
      </w:r>
      <w:r w:rsidR="000D0D10">
        <w:rPr>
          <w:sz w:val="24"/>
        </w:rPr>
        <w:t xml:space="preserve">23 </w:t>
      </w:r>
      <w:r w:rsidR="001F4FCD">
        <w:rPr>
          <w:sz w:val="24"/>
        </w:rPr>
        <w:t xml:space="preserve">per hour) </w:t>
      </w:r>
    </w:p>
    <w:p w14:paraId="7A4B176E" w14:textId="77777777" w:rsidR="004E52DE" w:rsidRDefault="004E52DE" w:rsidP="00425A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b/>
          <w:sz w:val="24"/>
        </w:rPr>
      </w:pPr>
    </w:p>
    <w:p w14:paraId="04856A90" w14:textId="06540354" w:rsidR="00364F8F" w:rsidRPr="005B698E" w:rsidRDefault="00364F8F" w:rsidP="00425A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sz w:val="24"/>
        </w:rPr>
      </w:pPr>
      <w:r w:rsidRPr="005B698E">
        <w:rPr>
          <w:b/>
          <w:sz w:val="24"/>
        </w:rPr>
        <w:t xml:space="preserve">TABLE </w:t>
      </w:r>
      <w:r w:rsidR="00870F83">
        <w:rPr>
          <w:b/>
          <w:sz w:val="24"/>
        </w:rPr>
        <w:t>3</w:t>
      </w:r>
      <w:r w:rsidRPr="005B698E">
        <w:rPr>
          <w:b/>
          <w:sz w:val="24"/>
        </w:rPr>
        <w:t xml:space="preserve">: Burden Estimate for </w:t>
      </w:r>
      <w:r>
        <w:rPr>
          <w:b/>
          <w:sz w:val="24"/>
        </w:rPr>
        <w:t>Beneficiary Participation in CAHPS for MIPS</w:t>
      </w:r>
      <w:r w:rsidRPr="005B698E">
        <w:rPr>
          <w:b/>
          <w:sz w:val="24"/>
        </w:rPr>
        <w:t xml:space="preserve">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7"/>
        <w:gridCol w:w="3503"/>
      </w:tblGrid>
      <w:tr w:rsidR="00364F8F" w:rsidRPr="009B7397" w14:paraId="2F6893F8" w14:textId="24AF2AA4" w:rsidTr="00280C0C">
        <w:tc>
          <w:tcPr>
            <w:tcW w:w="3127" w:type="pct"/>
            <w:tcBorders>
              <w:top w:val="single" w:sz="4" w:space="0" w:color="000000"/>
              <w:left w:val="single" w:sz="4" w:space="0" w:color="000000"/>
              <w:bottom w:val="single" w:sz="4" w:space="0" w:color="000000"/>
              <w:right w:val="single" w:sz="4" w:space="0" w:color="000000"/>
            </w:tcBorders>
          </w:tcPr>
          <w:p w14:paraId="0D55D51B" w14:textId="34252770" w:rsidR="00364F8F" w:rsidRPr="00B267AD" w:rsidRDefault="00364F8F" w:rsidP="0024686F">
            <w:pPr>
              <w:spacing w:line="276" w:lineRule="auto"/>
              <w:rPr>
                <w:szCs w:val="20"/>
              </w:rPr>
            </w:pPr>
          </w:p>
        </w:tc>
        <w:tc>
          <w:tcPr>
            <w:tcW w:w="1873" w:type="pct"/>
            <w:tcBorders>
              <w:top w:val="single" w:sz="4" w:space="0" w:color="000000"/>
              <w:left w:val="single" w:sz="4" w:space="0" w:color="000000"/>
              <w:bottom w:val="single" w:sz="4" w:space="0" w:color="000000"/>
              <w:right w:val="single" w:sz="4" w:space="0" w:color="000000"/>
            </w:tcBorders>
          </w:tcPr>
          <w:p w14:paraId="30DD2887" w14:textId="538B5E58" w:rsidR="00364F8F" w:rsidRPr="00DD69DC" w:rsidRDefault="00364F8F" w:rsidP="0024686F">
            <w:pPr>
              <w:spacing w:line="276" w:lineRule="auto"/>
              <w:jc w:val="center"/>
              <w:rPr>
                <w:b/>
                <w:szCs w:val="20"/>
                <w:highlight w:val="yellow"/>
              </w:rPr>
            </w:pPr>
            <w:r w:rsidRPr="00DD69DC">
              <w:rPr>
                <w:b/>
                <w:szCs w:val="20"/>
              </w:rPr>
              <w:t>Burden Estimate</w:t>
            </w:r>
          </w:p>
        </w:tc>
      </w:tr>
      <w:tr w:rsidR="00364F8F" w:rsidRPr="009B7397" w14:paraId="5B9593E2" w14:textId="42A2AEE5" w:rsidTr="00280C0C">
        <w:tc>
          <w:tcPr>
            <w:tcW w:w="3127" w:type="pct"/>
            <w:tcBorders>
              <w:top w:val="single" w:sz="4" w:space="0" w:color="000000"/>
              <w:left w:val="single" w:sz="4" w:space="0" w:color="000000"/>
              <w:bottom w:val="single" w:sz="4" w:space="0" w:color="000000"/>
              <w:right w:val="single" w:sz="4" w:space="0" w:color="000000"/>
            </w:tcBorders>
          </w:tcPr>
          <w:p w14:paraId="5A014B29" w14:textId="22FE44A8" w:rsidR="00364F8F" w:rsidRPr="00B267AD" w:rsidRDefault="00364F8F" w:rsidP="0024686F">
            <w:pPr>
              <w:spacing w:line="276" w:lineRule="auto"/>
              <w:rPr>
                <w:szCs w:val="20"/>
              </w:rPr>
            </w:pPr>
            <w:r w:rsidRPr="00B267AD">
              <w:rPr>
                <w:szCs w:val="20"/>
              </w:rPr>
              <w:t xml:space="preserve">Estimated # of Groups Administering CAHPS for </w:t>
            </w:r>
            <w:r w:rsidR="00CE2B55">
              <w:rPr>
                <w:szCs w:val="20"/>
              </w:rPr>
              <w:t>MIPS survey</w:t>
            </w:r>
            <w:r w:rsidRPr="00B267AD">
              <w:rPr>
                <w:szCs w:val="20"/>
              </w:rPr>
              <w:t xml:space="preserve"> (a)</w:t>
            </w:r>
          </w:p>
        </w:tc>
        <w:tc>
          <w:tcPr>
            <w:tcW w:w="1873" w:type="pct"/>
            <w:tcBorders>
              <w:top w:val="single" w:sz="4" w:space="0" w:color="000000"/>
              <w:left w:val="single" w:sz="4" w:space="0" w:color="000000"/>
              <w:bottom w:val="single" w:sz="4" w:space="0" w:color="000000"/>
              <w:right w:val="single" w:sz="4" w:space="0" w:color="000000"/>
            </w:tcBorders>
          </w:tcPr>
          <w:p w14:paraId="7EAD5B54" w14:textId="24B03E5B" w:rsidR="00364F8F" w:rsidRPr="00D25AAB" w:rsidRDefault="00E31E4B" w:rsidP="00E31E4B">
            <w:pPr>
              <w:spacing w:line="276" w:lineRule="auto"/>
              <w:rPr>
                <w:szCs w:val="20"/>
              </w:rPr>
            </w:pPr>
            <w:r>
              <w:rPr>
                <w:szCs w:val="20"/>
              </w:rPr>
              <w:t>461</w:t>
            </w:r>
          </w:p>
        </w:tc>
      </w:tr>
      <w:tr w:rsidR="00364F8F" w:rsidRPr="009B7397" w14:paraId="1D8D11D4" w14:textId="55A76B0A" w:rsidTr="00BB3357">
        <w:trPr>
          <w:trHeight w:val="215"/>
        </w:trPr>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14573460" w14:textId="761C64EC" w:rsidR="00364F8F" w:rsidRPr="00B267AD" w:rsidRDefault="00364F8F" w:rsidP="0024686F">
            <w:pPr>
              <w:spacing w:line="276" w:lineRule="auto"/>
              <w:rPr>
                <w:szCs w:val="20"/>
              </w:rPr>
            </w:pPr>
            <w:r w:rsidRPr="00B267AD">
              <w:rPr>
                <w:szCs w:val="20"/>
              </w:rPr>
              <w:t>Estimated # of Beneficiaries Per Group Responding to Survey (b)</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7080F03C" w14:textId="7905269E" w:rsidR="00364F8F" w:rsidRPr="00D25AAB" w:rsidRDefault="00364F8F" w:rsidP="0024686F">
            <w:pPr>
              <w:spacing w:line="276" w:lineRule="auto"/>
              <w:rPr>
                <w:szCs w:val="20"/>
              </w:rPr>
            </w:pPr>
            <w:r w:rsidRPr="00EF54DE">
              <w:rPr>
                <w:szCs w:val="20"/>
              </w:rPr>
              <w:t>287</w:t>
            </w:r>
          </w:p>
        </w:tc>
      </w:tr>
      <w:tr w:rsidR="00364F8F" w:rsidRPr="009B7397" w14:paraId="360FBF40" w14:textId="6EC9E148" w:rsidTr="00280C0C">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47F1B860" w14:textId="32B38273" w:rsidR="00364F8F" w:rsidRPr="00B267AD" w:rsidRDefault="00364F8F" w:rsidP="0024686F">
            <w:pPr>
              <w:spacing w:line="276" w:lineRule="auto"/>
              <w:rPr>
                <w:szCs w:val="20"/>
              </w:rPr>
            </w:pPr>
            <w:r w:rsidRPr="00B267AD">
              <w:rPr>
                <w:szCs w:val="20"/>
              </w:rPr>
              <w:t xml:space="preserve">Estimated # of Total Respondents </w:t>
            </w:r>
            <w:r w:rsidR="00E20A00" w:rsidRPr="00B267AD">
              <w:rPr>
                <w:szCs w:val="20"/>
              </w:rPr>
              <w:t>Reporting (</w:t>
            </w:r>
            <w:r w:rsidRPr="00B267AD">
              <w:rPr>
                <w:szCs w:val="20"/>
              </w:rPr>
              <w:t>c)=(a)*(b)</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1F3B03DC" w14:textId="738AE2FD" w:rsidR="00364F8F" w:rsidRPr="00D25AAB" w:rsidRDefault="00E31E4B" w:rsidP="00E31E4B">
            <w:pPr>
              <w:spacing w:line="276" w:lineRule="auto"/>
              <w:rPr>
                <w:szCs w:val="20"/>
              </w:rPr>
            </w:pPr>
            <w:r>
              <w:rPr>
                <w:szCs w:val="20"/>
              </w:rPr>
              <w:t>132,307</w:t>
            </w:r>
          </w:p>
        </w:tc>
      </w:tr>
      <w:tr w:rsidR="00364F8F" w:rsidRPr="009B7397" w14:paraId="2BE88F14" w14:textId="3075EF37" w:rsidTr="00CE18FC">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1528DA29" w14:textId="51D466FD" w:rsidR="00364F8F" w:rsidRPr="00B267AD" w:rsidRDefault="00364F8F" w:rsidP="0024686F">
            <w:pPr>
              <w:spacing w:line="276" w:lineRule="auto"/>
              <w:rPr>
                <w:szCs w:val="20"/>
              </w:rPr>
            </w:pPr>
            <w:r w:rsidRPr="00B267AD">
              <w:rPr>
                <w:szCs w:val="20"/>
              </w:rPr>
              <w:t>Estimated # of Burden Hours Per Respondent to Report (d)</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5B461D8D" w14:textId="0C8C26AC" w:rsidR="00364F8F" w:rsidRPr="00B267AD" w:rsidRDefault="00364F8F" w:rsidP="0024686F">
            <w:pPr>
              <w:spacing w:line="276" w:lineRule="auto"/>
              <w:rPr>
                <w:szCs w:val="20"/>
              </w:rPr>
            </w:pPr>
            <w:r w:rsidRPr="00B267AD">
              <w:rPr>
                <w:szCs w:val="20"/>
              </w:rPr>
              <w:t>0.33</w:t>
            </w:r>
          </w:p>
        </w:tc>
      </w:tr>
      <w:tr w:rsidR="00364F8F" w:rsidRPr="009B7397" w14:paraId="56E65DB8" w14:textId="0677D370" w:rsidTr="00CE18FC">
        <w:tc>
          <w:tcPr>
            <w:tcW w:w="312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5B87A" w14:textId="3289DD7B" w:rsidR="00364F8F" w:rsidRPr="00B267AD" w:rsidRDefault="00364F8F" w:rsidP="00E31E4B">
            <w:pPr>
              <w:spacing w:line="276" w:lineRule="auto"/>
              <w:rPr>
                <w:szCs w:val="20"/>
              </w:rPr>
            </w:pPr>
            <w:r w:rsidRPr="00B267AD">
              <w:rPr>
                <w:szCs w:val="20"/>
              </w:rPr>
              <w:t>Estimated Cost Per Beneficiary Reporting (at cost rate of $23.</w:t>
            </w:r>
            <w:r w:rsidR="00E31E4B">
              <w:rPr>
                <w:szCs w:val="20"/>
              </w:rPr>
              <w:t>23</w:t>
            </w:r>
            <w:r w:rsidRPr="00B267AD">
              <w:rPr>
                <w:szCs w:val="20"/>
              </w:rPr>
              <w:t>) (</w:t>
            </w:r>
            <w:r w:rsidRPr="00DD69DC">
              <w:rPr>
                <w:szCs w:val="20"/>
              </w:rPr>
              <w:t>e</w:t>
            </w:r>
            <w:r w:rsidRPr="00B267AD">
              <w:rPr>
                <w:szCs w:val="20"/>
              </w:rPr>
              <w:t xml:space="preserve">) </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2DB5E" w14:textId="385194D1" w:rsidR="00364F8F" w:rsidRPr="00B267AD" w:rsidRDefault="00364F8F" w:rsidP="00622020">
            <w:pPr>
              <w:spacing w:line="276" w:lineRule="auto"/>
              <w:rPr>
                <w:szCs w:val="20"/>
              </w:rPr>
            </w:pPr>
            <w:r w:rsidRPr="00B267AD">
              <w:rPr>
                <w:szCs w:val="20"/>
              </w:rPr>
              <w:t>$7.</w:t>
            </w:r>
            <w:r w:rsidR="00622020">
              <w:rPr>
                <w:szCs w:val="20"/>
              </w:rPr>
              <w:t>6</w:t>
            </w:r>
            <w:r w:rsidR="00622020" w:rsidRPr="00B267AD">
              <w:rPr>
                <w:szCs w:val="20"/>
              </w:rPr>
              <w:t>7</w:t>
            </w:r>
          </w:p>
        </w:tc>
      </w:tr>
      <w:tr w:rsidR="00364F8F" w:rsidRPr="009B7397" w14:paraId="6A0F4483" w14:textId="20E27C93" w:rsidTr="00280C0C">
        <w:tc>
          <w:tcPr>
            <w:tcW w:w="3127" w:type="pct"/>
            <w:tcBorders>
              <w:top w:val="single" w:sz="4" w:space="0" w:color="000000"/>
              <w:left w:val="single" w:sz="4" w:space="0" w:color="000000"/>
              <w:bottom w:val="single" w:sz="4" w:space="0" w:color="000000"/>
              <w:right w:val="single" w:sz="4" w:space="0" w:color="000000"/>
            </w:tcBorders>
            <w:shd w:val="clear" w:color="auto" w:fill="D9D9D9"/>
          </w:tcPr>
          <w:p w14:paraId="5EA63B00" w14:textId="5074DA80" w:rsidR="00364F8F" w:rsidRPr="00B267AD" w:rsidRDefault="00364F8F" w:rsidP="0024686F">
            <w:pPr>
              <w:spacing w:line="276" w:lineRule="auto"/>
              <w:rPr>
                <w:b/>
                <w:szCs w:val="20"/>
              </w:rPr>
            </w:pPr>
            <w:r w:rsidRPr="00B267AD">
              <w:rPr>
                <w:b/>
                <w:szCs w:val="20"/>
              </w:rPr>
              <w:t>Estimated Total Annual Burden Hours (</w:t>
            </w:r>
            <w:r w:rsidRPr="00DD69DC">
              <w:rPr>
                <w:b/>
                <w:szCs w:val="20"/>
              </w:rPr>
              <w:t>f</w:t>
            </w:r>
            <w:r w:rsidRPr="00B267AD">
              <w:rPr>
                <w:b/>
                <w:szCs w:val="20"/>
              </w:rPr>
              <w:t>) = (c)*(d)</w:t>
            </w:r>
          </w:p>
        </w:tc>
        <w:tc>
          <w:tcPr>
            <w:tcW w:w="1873" w:type="pct"/>
            <w:tcBorders>
              <w:top w:val="single" w:sz="4" w:space="0" w:color="000000"/>
              <w:left w:val="single" w:sz="4" w:space="0" w:color="000000"/>
              <w:bottom w:val="single" w:sz="4" w:space="0" w:color="000000"/>
              <w:right w:val="single" w:sz="4" w:space="0" w:color="000000"/>
            </w:tcBorders>
            <w:shd w:val="clear" w:color="auto" w:fill="D9D9D9"/>
          </w:tcPr>
          <w:p w14:paraId="2A326311" w14:textId="3F4CCF8B" w:rsidR="00364F8F" w:rsidRPr="00B267AD" w:rsidRDefault="00E31E4B" w:rsidP="00E31E4B">
            <w:pPr>
              <w:spacing w:line="276" w:lineRule="auto"/>
              <w:rPr>
                <w:b/>
                <w:szCs w:val="20"/>
              </w:rPr>
            </w:pPr>
            <w:r>
              <w:rPr>
                <w:b/>
                <w:szCs w:val="20"/>
              </w:rPr>
              <w:t>43,661</w:t>
            </w:r>
          </w:p>
        </w:tc>
      </w:tr>
      <w:tr w:rsidR="00364F8F" w:rsidRPr="009B7397" w14:paraId="0CF6BA61" w14:textId="1A3E23C4" w:rsidTr="00280C0C">
        <w:tc>
          <w:tcPr>
            <w:tcW w:w="3127" w:type="pct"/>
          </w:tcPr>
          <w:p w14:paraId="66C43E6A" w14:textId="60106D5A" w:rsidR="00364F8F" w:rsidRPr="00B267AD" w:rsidRDefault="00364F8F" w:rsidP="0024686F">
            <w:pPr>
              <w:spacing w:line="276" w:lineRule="auto"/>
              <w:rPr>
                <w:b/>
                <w:szCs w:val="20"/>
              </w:rPr>
            </w:pPr>
            <w:r w:rsidRPr="00B267AD">
              <w:rPr>
                <w:b/>
                <w:szCs w:val="20"/>
              </w:rPr>
              <w:t xml:space="preserve">Estimated Total Annual Burden Cost for Beneficiaries Responding to CAHPS </w:t>
            </w:r>
            <w:r>
              <w:rPr>
                <w:b/>
                <w:szCs w:val="20"/>
              </w:rPr>
              <w:t xml:space="preserve">for </w:t>
            </w:r>
            <w:r w:rsidRPr="00E5109E">
              <w:rPr>
                <w:b/>
                <w:szCs w:val="20"/>
              </w:rPr>
              <w:t>MIPS</w:t>
            </w:r>
            <w:r w:rsidRPr="00B267AD">
              <w:rPr>
                <w:b/>
                <w:szCs w:val="20"/>
              </w:rPr>
              <w:t xml:space="preserve"> </w:t>
            </w:r>
            <w:r w:rsidR="00A852B4" w:rsidRPr="00B267AD">
              <w:rPr>
                <w:szCs w:val="20"/>
              </w:rPr>
              <w:t>(at cost rate of $23.</w:t>
            </w:r>
            <w:r w:rsidR="00A852B4">
              <w:rPr>
                <w:szCs w:val="20"/>
              </w:rPr>
              <w:t>23</w:t>
            </w:r>
            <w:r w:rsidR="00004523">
              <w:rPr>
                <w:szCs w:val="20"/>
              </w:rPr>
              <w:t xml:space="preserve">) </w:t>
            </w:r>
            <w:r w:rsidRPr="00DD69DC">
              <w:rPr>
                <w:b/>
                <w:szCs w:val="20"/>
              </w:rPr>
              <w:t>g)=(</w:t>
            </w:r>
            <w:r w:rsidR="005A0710">
              <w:rPr>
                <w:b/>
                <w:szCs w:val="20"/>
              </w:rPr>
              <w:t>c</w:t>
            </w:r>
            <w:r w:rsidRPr="00DD69DC">
              <w:rPr>
                <w:b/>
                <w:szCs w:val="20"/>
              </w:rPr>
              <w:t>)*(</w:t>
            </w:r>
            <w:r w:rsidRPr="00AB56C7">
              <w:rPr>
                <w:b/>
                <w:szCs w:val="20"/>
              </w:rPr>
              <w:t>e)</w:t>
            </w:r>
          </w:p>
        </w:tc>
        <w:tc>
          <w:tcPr>
            <w:tcW w:w="1873" w:type="pct"/>
          </w:tcPr>
          <w:p w14:paraId="119B46C5" w14:textId="1556E2A2" w:rsidR="00364F8F" w:rsidRPr="001F4FCD" w:rsidRDefault="00364F8F" w:rsidP="00ED06E1">
            <w:pPr>
              <w:spacing w:line="276" w:lineRule="auto"/>
              <w:rPr>
                <w:b/>
                <w:szCs w:val="20"/>
              </w:rPr>
            </w:pPr>
            <w:r w:rsidRPr="001F4FCD">
              <w:rPr>
                <w:b/>
                <w:szCs w:val="20"/>
              </w:rPr>
              <w:t>$</w:t>
            </w:r>
            <w:r w:rsidR="00E31E4B">
              <w:rPr>
                <w:b/>
                <w:szCs w:val="20"/>
              </w:rPr>
              <w:t>1,</w:t>
            </w:r>
            <w:r w:rsidR="00ED06E1">
              <w:rPr>
                <w:b/>
                <w:szCs w:val="20"/>
              </w:rPr>
              <w:t>014</w:t>
            </w:r>
            <w:r w:rsidR="00E31E4B">
              <w:rPr>
                <w:b/>
                <w:szCs w:val="20"/>
              </w:rPr>
              <w:t>,</w:t>
            </w:r>
            <w:r w:rsidR="00ED06E1">
              <w:rPr>
                <w:b/>
                <w:szCs w:val="20"/>
              </w:rPr>
              <w:t>252</w:t>
            </w:r>
          </w:p>
        </w:tc>
      </w:tr>
    </w:tbl>
    <w:p w14:paraId="7EB5E0C0" w14:textId="77777777" w:rsidR="00A64ED4" w:rsidRDefault="00A64ED4" w:rsidP="0024686F">
      <w:pPr>
        <w:spacing w:line="276" w:lineRule="auto"/>
        <w:ind w:firstLine="720"/>
        <w:rPr>
          <w:sz w:val="24"/>
        </w:rPr>
      </w:pPr>
    </w:p>
    <w:p w14:paraId="34D30478" w14:textId="01ACA8C8" w:rsidR="00E10E3A" w:rsidRDefault="00E10E3A" w:rsidP="00E10E3A">
      <w:pPr>
        <w:pStyle w:val="ListParagraph"/>
        <w:numPr>
          <w:ilvl w:val="0"/>
          <w:numId w:val="12"/>
        </w:numPr>
        <w:spacing w:line="276" w:lineRule="auto"/>
        <w:ind w:hanging="450"/>
        <w:rPr>
          <w:sz w:val="24"/>
          <w:u w:val="single"/>
        </w:rPr>
      </w:pPr>
      <w:r>
        <w:rPr>
          <w:sz w:val="24"/>
          <w:u w:val="single"/>
        </w:rPr>
        <w:t xml:space="preserve"> Capital Costs</w:t>
      </w:r>
    </w:p>
    <w:p w14:paraId="0875E501" w14:textId="52673117" w:rsidR="00E10E3A" w:rsidRDefault="00E10E3A" w:rsidP="00BB3357">
      <w:pPr>
        <w:pStyle w:val="ListParagraph"/>
        <w:spacing w:line="276" w:lineRule="auto"/>
        <w:ind w:left="450"/>
        <w:rPr>
          <w:sz w:val="24"/>
          <w:u w:val="single"/>
        </w:rPr>
      </w:pPr>
    </w:p>
    <w:p w14:paraId="5BD328B4" w14:textId="5668E423" w:rsidR="00BB3357" w:rsidRPr="00BB3357" w:rsidRDefault="00BB3357" w:rsidP="00425AAD">
      <w:pPr>
        <w:pStyle w:val="ListParagraph"/>
        <w:spacing w:line="276" w:lineRule="auto"/>
        <w:ind w:left="450"/>
        <w:outlineLvl w:val="0"/>
        <w:rPr>
          <w:sz w:val="24"/>
        </w:rPr>
      </w:pPr>
      <w:r w:rsidRPr="00BB3357">
        <w:rPr>
          <w:sz w:val="24"/>
        </w:rPr>
        <w:t>Survey participants will incur not capital costs as a result of participation.</w:t>
      </w:r>
    </w:p>
    <w:p w14:paraId="1104F373" w14:textId="77777777" w:rsidR="00BB3357" w:rsidRPr="00BB3357" w:rsidRDefault="00BB3357" w:rsidP="00BB3357">
      <w:pPr>
        <w:spacing w:line="276" w:lineRule="auto"/>
        <w:rPr>
          <w:sz w:val="24"/>
          <w:u w:val="single"/>
        </w:rPr>
      </w:pPr>
    </w:p>
    <w:p w14:paraId="227C2A60" w14:textId="546381C2" w:rsidR="00A64ED4" w:rsidRPr="00BB54CB" w:rsidRDefault="00A64ED4" w:rsidP="00E10E3A">
      <w:pPr>
        <w:pStyle w:val="ListParagraph"/>
        <w:numPr>
          <w:ilvl w:val="0"/>
          <w:numId w:val="12"/>
        </w:numPr>
        <w:spacing w:line="276" w:lineRule="auto"/>
        <w:ind w:hanging="450"/>
        <w:rPr>
          <w:sz w:val="24"/>
          <w:u w:val="single"/>
        </w:rPr>
      </w:pPr>
      <w:r w:rsidRPr="00BB54CB">
        <w:rPr>
          <w:sz w:val="24"/>
          <w:u w:val="single"/>
        </w:rPr>
        <w:t>Cost to Federal Government</w:t>
      </w:r>
    </w:p>
    <w:p w14:paraId="6E1C71D2" w14:textId="77777777" w:rsidR="00134112" w:rsidRDefault="00134112" w:rsidP="0024686F">
      <w:pPr>
        <w:pStyle w:val="Default"/>
        <w:spacing w:line="276" w:lineRule="auto"/>
        <w:rPr>
          <w:color w:val="000000" w:themeColor="text1"/>
        </w:rPr>
      </w:pPr>
    </w:p>
    <w:p w14:paraId="2A7C4C5A" w14:textId="71400C9B" w:rsidR="001F4C40" w:rsidRDefault="00813090" w:rsidP="00134112">
      <w:pPr>
        <w:pStyle w:val="Default"/>
        <w:tabs>
          <w:tab w:val="left" w:pos="360"/>
        </w:tabs>
        <w:spacing w:line="276" w:lineRule="auto"/>
      </w:pPr>
      <w:r>
        <w:tab/>
      </w:r>
      <w:r w:rsidR="001F4C40" w:rsidRPr="001F4C40">
        <w:t xml:space="preserve">The total </w:t>
      </w:r>
      <w:r w:rsidR="001F4C40">
        <w:t xml:space="preserve">annual </w:t>
      </w:r>
      <w:r w:rsidR="001F4C40" w:rsidRPr="001F4C40">
        <w:t xml:space="preserve">cost to the Federal government for </w:t>
      </w:r>
      <w:r>
        <w:t xml:space="preserve">the </w:t>
      </w:r>
      <w:r w:rsidR="001F4C40" w:rsidRPr="001F4C40">
        <w:t xml:space="preserve">CAHPS </w:t>
      </w:r>
      <w:r w:rsidR="001F4C40">
        <w:t xml:space="preserve">for MIPS </w:t>
      </w:r>
      <w:r>
        <w:t>s</w:t>
      </w:r>
      <w:r w:rsidR="001F4C40" w:rsidRPr="001F4C40">
        <w:t xml:space="preserve">urvey is estimated to be </w:t>
      </w:r>
      <w:r w:rsidR="001F4C40" w:rsidRPr="004367EF">
        <w:rPr>
          <w:color w:val="000000" w:themeColor="text1"/>
        </w:rPr>
        <w:t>$</w:t>
      </w:r>
      <w:r w:rsidR="004367EF" w:rsidRPr="004367EF">
        <w:rPr>
          <w:color w:val="000000" w:themeColor="text1"/>
        </w:rPr>
        <w:t>2,120,324</w:t>
      </w:r>
      <w:r w:rsidR="001F4C40" w:rsidRPr="004367EF">
        <w:rPr>
          <w:color w:val="000000" w:themeColor="text1"/>
        </w:rPr>
        <w:t xml:space="preserve">. </w:t>
      </w:r>
      <w:r w:rsidR="001F4C40" w:rsidRPr="001F4C40">
        <w:t xml:space="preserve">This total includes CMS </w:t>
      </w:r>
      <w:r w:rsidR="0018457C">
        <w:t>selecting sample</w:t>
      </w:r>
      <w:r w:rsidR="00423D16">
        <w:t>s</w:t>
      </w:r>
      <w:r w:rsidR="0018457C">
        <w:t xml:space="preserve"> of Medicare beneficiaries</w:t>
      </w:r>
      <w:r w:rsidR="00423D16">
        <w:t xml:space="preserve"> aligned with the groups electing to use </w:t>
      </w:r>
      <w:r w:rsidR="00AF5856">
        <w:t>CAHPS, and</w:t>
      </w:r>
      <w:r w:rsidR="00423D16">
        <w:t xml:space="preserve"> providing the list of sampled beneficiaries to </w:t>
      </w:r>
      <w:r w:rsidR="0018457C">
        <w:t xml:space="preserve">CMS-approved survey </w:t>
      </w:r>
      <w:r w:rsidR="00423D16">
        <w:t>vendors</w:t>
      </w:r>
      <w:r w:rsidR="00F34A81">
        <w:t>.</w:t>
      </w:r>
      <w:r w:rsidR="00423D16">
        <w:t xml:space="preserve"> The total annual cost also includes the annual </w:t>
      </w:r>
      <w:r w:rsidR="001F4C40" w:rsidRPr="001F4C40">
        <w:t>approval process for survey vendors; training, oversight, and technical assistance of the approved survey vendors; preparation and cleaning of data submitted by the survey vendors; data analysis; preparation of CAHPS measures for public reporting</w:t>
      </w:r>
      <w:r w:rsidR="001F4C40">
        <w:t xml:space="preserve"> on Physician Compare</w:t>
      </w:r>
      <w:r w:rsidR="00F34A81">
        <w:t>,</w:t>
      </w:r>
      <w:r w:rsidR="001F4C40">
        <w:t xml:space="preserve"> and in the feedback reports for clinician groups reporting on CAHPS measures. </w:t>
      </w:r>
    </w:p>
    <w:p w14:paraId="48D5BBD1" w14:textId="77777777" w:rsidR="00ED51D2" w:rsidRDefault="00ED51D2" w:rsidP="0024686F">
      <w:pPr>
        <w:widowControl/>
        <w:spacing w:line="276" w:lineRule="auto"/>
        <w:ind w:firstLine="720"/>
        <w:rPr>
          <w:rFonts w:eastAsiaTheme="minorHAnsi"/>
          <w:sz w:val="24"/>
        </w:rPr>
      </w:pPr>
    </w:p>
    <w:p w14:paraId="72D5621C" w14:textId="666C020F" w:rsidR="00A64ED4" w:rsidRPr="00BB54CB" w:rsidRDefault="00A64ED4" w:rsidP="00AD0A6F">
      <w:pPr>
        <w:pStyle w:val="ListParagraph"/>
        <w:numPr>
          <w:ilvl w:val="0"/>
          <w:numId w:val="12"/>
        </w:numPr>
        <w:spacing w:line="276" w:lineRule="auto"/>
        <w:ind w:hanging="450"/>
        <w:rPr>
          <w:sz w:val="24"/>
          <w:u w:val="single"/>
        </w:rPr>
      </w:pPr>
      <w:r w:rsidRPr="00BB54CB">
        <w:rPr>
          <w:sz w:val="24"/>
          <w:u w:val="single"/>
        </w:rPr>
        <w:t>Program or Burden Changes</w:t>
      </w:r>
    </w:p>
    <w:p w14:paraId="7F21CBFF" w14:textId="77777777" w:rsidR="00A64ED4" w:rsidRDefault="00A64ED4" w:rsidP="0024686F">
      <w:pPr>
        <w:spacing w:line="276" w:lineRule="auto"/>
        <w:ind w:left="1140"/>
        <w:rPr>
          <w:b/>
          <w:sz w:val="24"/>
          <w:u w:val="single"/>
        </w:rPr>
      </w:pPr>
    </w:p>
    <w:p w14:paraId="5882B893" w14:textId="20F29C6F" w:rsidR="0024686F" w:rsidRDefault="00423D16" w:rsidP="00AD0A6F">
      <w:pPr>
        <w:spacing w:line="276" w:lineRule="auto"/>
        <w:ind w:firstLine="450"/>
        <w:rPr>
          <w:sz w:val="24"/>
        </w:rPr>
      </w:pPr>
      <w:r>
        <w:rPr>
          <w:sz w:val="24"/>
        </w:rPr>
        <w:t xml:space="preserve">The changes in the estimated annual burden for CAHPS for MIPS is </w:t>
      </w:r>
      <w:r w:rsidR="007E218F">
        <w:rPr>
          <w:sz w:val="24"/>
        </w:rPr>
        <w:t xml:space="preserve">4,131 </w:t>
      </w:r>
      <w:r w:rsidR="00B5476A">
        <w:rPr>
          <w:sz w:val="24"/>
        </w:rPr>
        <w:t xml:space="preserve">hours </w:t>
      </w:r>
      <w:r w:rsidR="004A3EFB">
        <w:rPr>
          <w:sz w:val="24"/>
        </w:rPr>
        <w:t xml:space="preserve">higher than the previously approved </w:t>
      </w:r>
      <w:r w:rsidR="001712F9">
        <w:rPr>
          <w:sz w:val="24"/>
        </w:rPr>
        <w:t>the burden estimate for the</w:t>
      </w:r>
      <w:r>
        <w:rPr>
          <w:sz w:val="24"/>
        </w:rPr>
        <w:t xml:space="preserve"> CAHPS for PQRS burden</w:t>
      </w:r>
      <w:r w:rsidR="001712F9">
        <w:rPr>
          <w:sz w:val="24"/>
        </w:rPr>
        <w:t xml:space="preserve">. </w:t>
      </w:r>
      <w:r w:rsidR="0024686F">
        <w:rPr>
          <w:sz w:val="24"/>
        </w:rPr>
        <w:t xml:space="preserve"> </w:t>
      </w:r>
      <w:r w:rsidR="004A3EFB">
        <w:rPr>
          <w:sz w:val="24"/>
        </w:rPr>
        <w:t xml:space="preserve">The change in the burden is the result of an increase in the number of groups </w:t>
      </w:r>
      <w:r w:rsidR="005D3E02">
        <w:rPr>
          <w:sz w:val="24"/>
        </w:rPr>
        <w:t>reporting CAHPS patient experience measures</w:t>
      </w:r>
      <w:r w:rsidR="004A3EFB">
        <w:rPr>
          <w:sz w:val="24"/>
        </w:rPr>
        <w:t xml:space="preserve"> over time. </w:t>
      </w:r>
    </w:p>
    <w:p w14:paraId="7CFBA369" w14:textId="7B1B26D9" w:rsidR="00423D16" w:rsidRDefault="004A3EFB" w:rsidP="0024686F">
      <w:pPr>
        <w:spacing w:line="276" w:lineRule="auto"/>
        <w:ind w:firstLine="450"/>
        <w:rPr>
          <w:sz w:val="24"/>
        </w:rPr>
      </w:pPr>
      <w:r>
        <w:rPr>
          <w:sz w:val="24"/>
        </w:rPr>
        <w:t xml:space="preserve">The previously approved </w:t>
      </w:r>
      <w:r w:rsidR="00813090">
        <w:rPr>
          <w:sz w:val="24"/>
        </w:rPr>
        <w:t xml:space="preserve">the </w:t>
      </w:r>
      <w:r w:rsidR="00423D16">
        <w:rPr>
          <w:sz w:val="24"/>
        </w:rPr>
        <w:t>CAHPS for PQRS</w:t>
      </w:r>
      <w:r>
        <w:rPr>
          <w:sz w:val="24"/>
        </w:rPr>
        <w:t xml:space="preserve"> </w:t>
      </w:r>
      <w:r w:rsidR="00813090">
        <w:rPr>
          <w:sz w:val="24"/>
        </w:rPr>
        <w:t xml:space="preserve">survey </w:t>
      </w:r>
      <w:r>
        <w:rPr>
          <w:sz w:val="24"/>
        </w:rPr>
        <w:t>information collection</w:t>
      </w:r>
      <w:r w:rsidR="00423D16">
        <w:rPr>
          <w:sz w:val="24"/>
        </w:rPr>
        <w:t xml:space="preserve">, </w:t>
      </w:r>
      <w:r>
        <w:rPr>
          <w:sz w:val="24"/>
        </w:rPr>
        <w:t xml:space="preserve">assumed </w:t>
      </w:r>
      <w:r w:rsidR="00625B17">
        <w:rPr>
          <w:sz w:val="24"/>
        </w:rPr>
        <w:t xml:space="preserve">461 </w:t>
      </w:r>
      <w:r>
        <w:rPr>
          <w:sz w:val="24"/>
        </w:rPr>
        <w:t xml:space="preserve">groups </w:t>
      </w:r>
      <w:r w:rsidR="00CD6E53">
        <w:rPr>
          <w:sz w:val="24"/>
        </w:rPr>
        <w:t>per</w:t>
      </w:r>
      <w:r>
        <w:rPr>
          <w:sz w:val="24"/>
        </w:rPr>
        <w:t xml:space="preserve"> year. Hence, </w:t>
      </w:r>
      <w:r w:rsidR="003851BC">
        <w:rPr>
          <w:sz w:val="24"/>
        </w:rPr>
        <w:t xml:space="preserve">the </w:t>
      </w:r>
      <w:r>
        <w:rPr>
          <w:sz w:val="24"/>
        </w:rPr>
        <w:t xml:space="preserve">estimated </w:t>
      </w:r>
      <w:r w:rsidR="0024686F">
        <w:rPr>
          <w:sz w:val="24"/>
        </w:rPr>
        <w:t>total</w:t>
      </w:r>
      <w:r w:rsidR="003851BC">
        <w:rPr>
          <w:sz w:val="24"/>
        </w:rPr>
        <w:t xml:space="preserve"> number of beneficiaries surveyed was </w:t>
      </w:r>
      <w:r w:rsidR="00E31E4B" w:rsidRPr="00E31E4B">
        <w:rPr>
          <w:sz w:val="24"/>
        </w:rPr>
        <w:t>132,307</w:t>
      </w:r>
      <w:r w:rsidR="00E31E4B" w:rsidRPr="00E31E4B" w:rsidDel="00E31E4B">
        <w:rPr>
          <w:sz w:val="24"/>
        </w:rPr>
        <w:t xml:space="preserve"> </w:t>
      </w:r>
      <w:r w:rsidR="003851BC">
        <w:rPr>
          <w:sz w:val="24"/>
        </w:rPr>
        <w:t>(</w:t>
      </w:r>
      <w:r w:rsidR="00E31E4B">
        <w:rPr>
          <w:sz w:val="24"/>
        </w:rPr>
        <w:t xml:space="preserve">461 </w:t>
      </w:r>
      <w:r w:rsidR="003851BC">
        <w:rPr>
          <w:sz w:val="24"/>
        </w:rPr>
        <w:t xml:space="preserve">groups x 287 beneficiaries per group) with total burden hours of </w:t>
      </w:r>
      <w:r w:rsidR="00E31E4B" w:rsidRPr="00E31E4B">
        <w:rPr>
          <w:sz w:val="24"/>
        </w:rPr>
        <w:t>43,661</w:t>
      </w:r>
      <w:r w:rsidR="003851BC">
        <w:rPr>
          <w:sz w:val="24"/>
        </w:rPr>
        <w:t>per year (</w:t>
      </w:r>
      <w:r w:rsidR="007E218F" w:rsidRPr="00E31E4B">
        <w:rPr>
          <w:sz w:val="24"/>
        </w:rPr>
        <w:t>132,307</w:t>
      </w:r>
      <w:r w:rsidR="007E218F" w:rsidRPr="00E31E4B" w:rsidDel="00E31E4B">
        <w:rPr>
          <w:sz w:val="24"/>
        </w:rPr>
        <w:t xml:space="preserve"> </w:t>
      </w:r>
      <w:r w:rsidR="0024686F">
        <w:rPr>
          <w:sz w:val="24"/>
        </w:rPr>
        <w:t xml:space="preserve">X 0.33), and </w:t>
      </w:r>
      <w:r w:rsidR="00CD6E53">
        <w:rPr>
          <w:sz w:val="24"/>
        </w:rPr>
        <w:t>annual</w:t>
      </w:r>
      <w:r w:rsidR="003851BC">
        <w:rPr>
          <w:sz w:val="24"/>
        </w:rPr>
        <w:t xml:space="preserve"> burden cost of $</w:t>
      </w:r>
      <w:r w:rsidR="00625B17">
        <w:rPr>
          <w:sz w:val="24"/>
        </w:rPr>
        <w:t xml:space="preserve">1,014,252 </w:t>
      </w:r>
      <w:r w:rsidR="003851BC">
        <w:rPr>
          <w:sz w:val="24"/>
        </w:rPr>
        <w:t>(</w:t>
      </w:r>
      <w:r w:rsidR="007E218F" w:rsidRPr="00E31E4B">
        <w:rPr>
          <w:sz w:val="24"/>
        </w:rPr>
        <w:t>43,661</w:t>
      </w:r>
      <w:r w:rsidR="003851BC">
        <w:rPr>
          <w:sz w:val="24"/>
        </w:rPr>
        <w:t>x $23.</w:t>
      </w:r>
      <w:r w:rsidR="00622020">
        <w:rPr>
          <w:sz w:val="24"/>
        </w:rPr>
        <w:t>23</w:t>
      </w:r>
      <w:proofErr w:type="gramStart"/>
      <w:r w:rsidR="003851BC">
        <w:rPr>
          <w:sz w:val="24"/>
        </w:rPr>
        <w:t xml:space="preserve">) </w:t>
      </w:r>
      <w:r w:rsidR="00863467">
        <w:rPr>
          <w:sz w:val="24"/>
        </w:rPr>
        <w:t>.</w:t>
      </w:r>
      <w:proofErr w:type="gramEnd"/>
    </w:p>
    <w:p w14:paraId="6B3E0832" w14:textId="7BCF422A" w:rsidR="003851BC" w:rsidRDefault="005D3E02" w:rsidP="004A3EFB">
      <w:pPr>
        <w:pStyle w:val="ListParagraph"/>
        <w:spacing w:line="276" w:lineRule="auto"/>
        <w:ind w:left="0" w:firstLine="450"/>
        <w:rPr>
          <w:sz w:val="24"/>
        </w:rPr>
      </w:pPr>
      <w:r>
        <w:rPr>
          <w:sz w:val="24"/>
        </w:rPr>
        <w:t xml:space="preserve">As noted above, </w:t>
      </w:r>
      <w:r w:rsidR="004A3EFB">
        <w:rPr>
          <w:sz w:val="24"/>
        </w:rPr>
        <w:t xml:space="preserve">we estimate that </w:t>
      </w:r>
      <w:r w:rsidR="00625B17" w:rsidRPr="00E31E4B">
        <w:rPr>
          <w:sz w:val="24"/>
        </w:rPr>
        <w:t>132,307</w:t>
      </w:r>
      <w:r w:rsidR="00625B17" w:rsidRPr="00E31E4B" w:rsidDel="00E31E4B">
        <w:rPr>
          <w:sz w:val="24"/>
        </w:rPr>
        <w:t xml:space="preserve"> </w:t>
      </w:r>
      <w:r w:rsidR="004A3EFB">
        <w:rPr>
          <w:sz w:val="24"/>
        </w:rPr>
        <w:t xml:space="preserve">beneficiaries would </w:t>
      </w:r>
      <w:r>
        <w:rPr>
          <w:sz w:val="24"/>
        </w:rPr>
        <w:t xml:space="preserve">complete </w:t>
      </w:r>
      <w:r w:rsidR="00813090">
        <w:rPr>
          <w:sz w:val="24"/>
        </w:rPr>
        <w:t xml:space="preserve">the </w:t>
      </w:r>
      <w:r>
        <w:rPr>
          <w:sz w:val="24"/>
        </w:rPr>
        <w:t>CAHPS for MIPS survey each year</w:t>
      </w:r>
      <w:r w:rsidR="004A3EFB">
        <w:rPr>
          <w:sz w:val="24"/>
        </w:rPr>
        <w:t xml:space="preserve">, with total burden hours of </w:t>
      </w:r>
      <w:r w:rsidR="00625B17">
        <w:rPr>
          <w:sz w:val="24"/>
        </w:rPr>
        <w:t>43,661</w:t>
      </w:r>
      <w:r w:rsidR="00625B17" w:rsidRPr="00DC4290">
        <w:rPr>
          <w:sz w:val="24"/>
        </w:rPr>
        <w:t xml:space="preserve"> </w:t>
      </w:r>
      <w:r w:rsidR="004A3EFB">
        <w:rPr>
          <w:sz w:val="24"/>
        </w:rPr>
        <w:t>hours per year and an annual burden cost of $</w:t>
      </w:r>
      <w:r w:rsidR="00625B17">
        <w:rPr>
          <w:sz w:val="24"/>
        </w:rPr>
        <w:t>1,014,252</w:t>
      </w:r>
      <w:r w:rsidR="004A3EFB">
        <w:rPr>
          <w:sz w:val="24"/>
        </w:rPr>
        <w:t xml:space="preserve">. </w:t>
      </w:r>
      <w:r w:rsidR="0024686F">
        <w:rPr>
          <w:sz w:val="24"/>
        </w:rPr>
        <w:t xml:space="preserve">As noted above, we estimated that </w:t>
      </w:r>
      <w:r w:rsidR="00A203CE" w:rsidRPr="00A203CE">
        <w:rPr>
          <w:sz w:val="24"/>
        </w:rPr>
        <w:t>461</w:t>
      </w:r>
      <w:r w:rsidR="00A203CE">
        <w:rPr>
          <w:sz w:val="24"/>
        </w:rPr>
        <w:t xml:space="preserve"> </w:t>
      </w:r>
      <w:r w:rsidR="0024686F">
        <w:rPr>
          <w:sz w:val="24"/>
        </w:rPr>
        <w:t xml:space="preserve">groups will elect to use </w:t>
      </w:r>
      <w:r w:rsidR="00813090">
        <w:rPr>
          <w:sz w:val="24"/>
        </w:rPr>
        <w:t xml:space="preserve">the </w:t>
      </w:r>
      <w:r w:rsidR="0024686F">
        <w:rPr>
          <w:sz w:val="24"/>
        </w:rPr>
        <w:t>CAHPS for MIPS</w:t>
      </w:r>
      <w:r w:rsidR="00813090">
        <w:rPr>
          <w:sz w:val="24"/>
        </w:rPr>
        <w:t xml:space="preserve"> survey</w:t>
      </w:r>
      <w:r w:rsidR="0024686F">
        <w:rPr>
          <w:sz w:val="24"/>
        </w:rPr>
        <w:t xml:space="preserve"> as one of their six quality performance category measures each year, based on historical PQRS data on groups electing to use </w:t>
      </w:r>
      <w:r w:rsidR="00813090">
        <w:rPr>
          <w:sz w:val="24"/>
        </w:rPr>
        <w:t xml:space="preserve">the </w:t>
      </w:r>
      <w:r w:rsidR="0024686F">
        <w:rPr>
          <w:sz w:val="24"/>
        </w:rPr>
        <w:t>CAHPS for PQRS</w:t>
      </w:r>
      <w:r w:rsidR="00813090">
        <w:rPr>
          <w:sz w:val="24"/>
        </w:rPr>
        <w:t xml:space="preserve"> survey</w:t>
      </w:r>
      <w:r w:rsidR="0024686F">
        <w:rPr>
          <w:sz w:val="24"/>
        </w:rPr>
        <w:t>.</w:t>
      </w:r>
    </w:p>
    <w:p w14:paraId="34811EBB" w14:textId="38E10C9D" w:rsidR="004A3EFB" w:rsidRDefault="004A3EFB" w:rsidP="004A3EFB">
      <w:pPr>
        <w:pStyle w:val="ListParagraph"/>
        <w:spacing w:line="276" w:lineRule="auto"/>
        <w:ind w:left="0" w:firstLine="450"/>
        <w:rPr>
          <w:sz w:val="24"/>
        </w:rPr>
      </w:pPr>
      <w:r>
        <w:rPr>
          <w:sz w:val="24"/>
        </w:rPr>
        <w:lastRenderedPageBreak/>
        <w:t xml:space="preserve">Hence, as compared to </w:t>
      </w:r>
      <w:r w:rsidR="00813090">
        <w:rPr>
          <w:sz w:val="24"/>
        </w:rPr>
        <w:t xml:space="preserve">the </w:t>
      </w:r>
      <w:r>
        <w:rPr>
          <w:sz w:val="24"/>
        </w:rPr>
        <w:t>CAHPS for PQRS</w:t>
      </w:r>
      <w:r w:rsidR="00813090">
        <w:rPr>
          <w:sz w:val="24"/>
        </w:rPr>
        <w:t xml:space="preserve"> survey</w:t>
      </w:r>
      <w:r>
        <w:rPr>
          <w:sz w:val="24"/>
        </w:rPr>
        <w:t xml:space="preserve">, the annual burden estimate under </w:t>
      </w:r>
      <w:r w:rsidR="00813090">
        <w:rPr>
          <w:sz w:val="24"/>
        </w:rPr>
        <w:t xml:space="preserve">the </w:t>
      </w:r>
      <w:r>
        <w:rPr>
          <w:sz w:val="24"/>
        </w:rPr>
        <w:t>CAHPS for MIPS</w:t>
      </w:r>
      <w:r w:rsidR="00813090">
        <w:rPr>
          <w:sz w:val="24"/>
        </w:rPr>
        <w:t xml:space="preserve"> survey</w:t>
      </w:r>
      <w:r>
        <w:rPr>
          <w:sz w:val="24"/>
        </w:rPr>
        <w:t xml:space="preserve"> includes an additional </w:t>
      </w:r>
      <w:r w:rsidR="007E218F">
        <w:rPr>
          <w:sz w:val="24"/>
        </w:rPr>
        <w:t>15,007</w:t>
      </w:r>
      <w:r>
        <w:rPr>
          <w:sz w:val="24"/>
        </w:rPr>
        <w:t xml:space="preserve"> </w:t>
      </w:r>
      <w:r w:rsidR="005D3E02">
        <w:rPr>
          <w:sz w:val="24"/>
        </w:rPr>
        <w:t>beneficiaries</w:t>
      </w:r>
      <w:r>
        <w:rPr>
          <w:sz w:val="24"/>
        </w:rPr>
        <w:t xml:space="preserve">, an additional </w:t>
      </w:r>
      <w:r w:rsidR="007E218F">
        <w:rPr>
          <w:sz w:val="24"/>
        </w:rPr>
        <w:t xml:space="preserve">4,131 </w:t>
      </w:r>
      <w:r>
        <w:rPr>
          <w:sz w:val="24"/>
        </w:rPr>
        <w:t>annual burden hours, and a change in annual burden cost of $</w:t>
      </w:r>
      <w:r w:rsidR="00F94C68">
        <w:rPr>
          <w:sz w:val="24"/>
        </w:rPr>
        <w:t>95,970</w:t>
      </w:r>
      <w:r>
        <w:rPr>
          <w:sz w:val="24"/>
        </w:rPr>
        <w:t xml:space="preserve">. </w:t>
      </w:r>
    </w:p>
    <w:p w14:paraId="691DDF6B" w14:textId="77777777" w:rsidR="0024686F" w:rsidRPr="003851BC" w:rsidRDefault="0024686F" w:rsidP="0024686F">
      <w:pPr>
        <w:pStyle w:val="ListParagraph"/>
        <w:spacing w:line="276" w:lineRule="auto"/>
        <w:ind w:left="0" w:firstLine="450"/>
        <w:rPr>
          <w:sz w:val="24"/>
        </w:rPr>
      </w:pPr>
    </w:p>
    <w:p w14:paraId="78B35C1C" w14:textId="5FECD2F6" w:rsidR="00A64ED4" w:rsidRDefault="00A64ED4" w:rsidP="00E10E3A">
      <w:pPr>
        <w:pStyle w:val="ListParagraph"/>
        <w:numPr>
          <w:ilvl w:val="0"/>
          <w:numId w:val="19"/>
        </w:numPr>
        <w:spacing w:line="276" w:lineRule="auto"/>
        <w:rPr>
          <w:sz w:val="24"/>
          <w:u w:val="single"/>
        </w:rPr>
      </w:pPr>
      <w:r w:rsidRPr="00BB54CB">
        <w:rPr>
          <w:sz w:val="24"/>
          <w:u w:val="single"/>
        </w:rPr>
        <w:t>Publication and Tabulation Dates</w:t>
      </w:r>
    </w:p>
    <w:p w14:paraId="1B661C68" w14:textId="77777777" w:rsidR="00BB3357" w:rsidRPr="00BB54CB" w:rsidRDefault="00BB3357" w:rsidP="00BB3357">
      <w:pPr>
        <w:pStyle w:val="ListParagraph"/>
        <w:spacing w:line="276" w:lineRule="auto"/>
        <w:ind w:left="450"/>
        <w:rPr>
          <w:sz w:val="24"/>
          <w:u w:val="single"/>
        </w:rPr>
      </w:pPr>
    </w:p>
    <w:p w14:paraId="53971DCB" w14:textId="183DE37F" w:rsidR="002F4CEF" w:rsidRDefault="002F4CEF" w:rsidP="00D10574">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rPr>
          <w:sz w:val="24"/>
        </w:rPr>
      </w:pPr>
      <w:r w:rsidRPr="009C5AA9">
        <w:rPr>
          <w:rFonts w:eastAsia="Calibri"/>
          <w:sz w:val="24"/>
        </w:rPr>
        <w:t xml:space="preserve">To ensure that MIPS results are useful and accurate, </w:t>
      </w:r>
      <w:r>
        <w:rPr>
          <w:rFonts w:eastAsia="Calibri"/>
          <w:sz w:val="24"/>
        </w:rPr>
        <w:t xml:space="preserve">CMS plans to provide performance </w:t>
      </w:r>
      <w:r w:rsidRPr="009C5AA9">
        <w:rPr>
          <w:rFonts w:eastAsia="Calibri"/>
          <w:sz w:val="24"/>
        </w:rPr>
        <w:t xml:space="preserve">feedback to </w:t>
      </w:r>
      <w:r>
        <w:rPr>
          <w:rFonts w:eastAsia="Calibri"/>
          <w:sz w:val="24"/>
        </w:rPr>
        <w:t xml:space="preserve">MIPS </w:t>
      </w:r>
      <w:r w:rsidR="001C6950" w:rsidRPr="00B11372">
        <w:rPr>
          <w:sz w:val="24"/>
        </w:rPr>
        <w:t xml:space="preserve">eligible </w:t>
      </w:r>
      <w:r w:rsidR="00FF67F0" w:rsidRPr="00B11372">
        <w:rPr>
          <w:sz w:val="24"/>
        </w:rPr>
        <w:t>clinicia</w:t>
      </w:r>
      <w:r w:rsidR="00FF67F0" w:rsidRPr="009C5AA9">
        <w:rPr>
          <w:rFonts w:eastAsia="Calibri"/>
          <w:sz w:val="24"/>
        </w:rPr>
        <w:t>ns</w:t>
      </w:r>
      <w:r w:rsidR="00317ACF">
        <w:rPr>
          <w:rFonts w:eastAsia="Calibri"/>
          <w:sz w:val="24"/>
        </w:rPr>
        <w:t>, including feedback on patient experience measures</w:t>
      </w:r>
      <w:r w:rsidR="007E218F">
        <w:rPr>
          <w:rFonts w:eastAsia="Calibri"/>
          <w:sz w:val="24"/>
        </w:rPr>
        <w:t xml:space="preserve"> as feasible</w:t>
      </w:r>
      <w:r w:rsidRPr="009C5AA9">
        <w:rPr>
          <w:rFonts w:eastAsia="Calibri"/>
          <w:sz w:val="24"/>
        </w:rPr>
        <w:t xml:space="preserve">. </w:t>
      </w:r>
      <w:r w:rsidR="00A968FA">
        <w:rPr>
          <w:rFonts w:eastAsia="Calibri"/>
          <w:sz w:val="24"/>
        </w:rPr>
        <w:t xml:space="preserve"> </w:t>
      </w:r>
      <w:r w:rsidR="003C376E">
        <w:rPr>
          <w:sz w:val="24"/>
        </w:rPr>
        <w:t xml:space="preserve">By no later than </w:t>
      </w:r>
      <w:r>
        <w:rPr>
          <w:sz w:val="24"/>
        </w:rPr>
        <w:t>July 1, 2017</w:t>
      </w:r>
      <w:r w:rsidRPr="0026433B">
        <w:rPr>
          <w:sz w:val="24"/>
        </w:rPr>
        <w:t xml:space="preserve">, we </w:t>
      </w:r>
      <w:r w:rsidR="00236A49">
        <w:rPr>
          <w:sz w:val="24"/>
        </w:rPr>
        <w:t>intend</w:t>
      </w:r>
      <w:r w:rsidR="00236A49" w:rsidRPr="0026433B">
        <w:rPr>
          <w:sz w:val="24"/>
        </w:rPr>
        <w:t xml:space="preserve"> </w:t>
      </w:r>
      <w:r w:rsidRPr="0026433B">
        <w:rPr>
          <w:sz w:val="24"/>
        </w:rPr>
        <w:t xml:space="preserve">to include information on the quality and </w:t>
      </w:r>
      <w:r w:rsidR="00C2120E">
        <w:rPr>
          <w:sz w:val="24"/>
        </w:rPr>
        <w:t>cost</w:t>
      </w:r>
      <w:r w:rsidRPr="0026433B">
        <w:rPr>
          <w:sz w:val="24"/>
        </w:rPr>
        <w:t xml:space="preserve"> performance categories in the performance feedback.</w:t>
      </w:r>
      <w:r>
        <w:rPr>
          <w:sz w:val="24"/>
        </w:rPr>
        <w:t xml:space="preserve">  Initially, we </w:t>
      </w:r>
      <w:r w:rsidR="00236A49">
        <w:rPr>
          <w:sz w:val="24"/>
        </w:rPr>
        <w:t xml:space="preserve">intend </w:t>
      </w:r>
      <w:r>
        <w:rPr>
          <w:sz w:val="24"/>
        </w:rPr>
        <w:t xml:space="preserve">to provide performance feedback on an annual basis. In future years, we may consider providing performance feedback on a more frequent basis as well as adding feedback on </w:t>
      </w:r>
      <w:r w:rsidR="00C2120E">
        <w:rPr>
          <w:sz w:val="24"/>
        </w:rPr>
        <w:t>improvement activities</w:t>
      </w:r>
      <w:r>
        <w:rPr>
          <w:sz w:val="24"/>
        </w:rPr>
        <w:t xml:space="preserve"> </w:t>
      </w:r>
      <w:r w:rsidR="002D7B84">
        <w:rPr>
          <w:sz w:val="24"/>
        </w:rPr>
        <w:t>and the</w:t>
      </w:r>
      <w:r w:rsidR="00C2120E">
        <w:rPr>
          <w:sz w:val="24"/>
        </w:rPr>
        <w:t xml:space="preserve"> </w:t>
      </w:r>
      <w:r w:rsidR="004C6554">
        <w:rPr>
          <w:sz w:val="24"/>
        </w:rPr>
        <w:t>advancing care information</w:t>
      </w:r>
      <w:r w:rsidR="0047099D" w:rsidRPr="0047099D">
        <w:rPr>
          <w:sz w:val="24"/>
        </w:rPr>
        <w:t xml:space="preserve"> </w:t>
      </w:r>
      <w:r w:rsidR="0047099D">
        <w:rPr>
          <w:sz w:val="24"/>
        </w:rPr>
        <w:t xml:space="preserve">performance </w:t>
      </w:r>
      <w:r w:rsidR="00C2120E">
        <w:rPr>
          <w:sz w:val="24"/>
        </w:rPr>
        <w:t>category</w:t>
      </w:r>
      <w:r>
        <w:rPr>
          <w:sz w:val="24"/>
        </w:rPr>
        <w:t xml:space="preserve">. </w:t>
      </w:r>
      <w:r w:rsidR="00236A49">
        <w:rPr>
          <w:sz w:val="24"/>
        </w:rPr>
        <w:t xml:space="preserve">In the final rule with comment period, we finalize our policy to </w:t>
      </w:r>
      <w:r>
        <w:rPr>
          <w:sz w:val="24"/>
        </w:rPr>
        <w:t>make performance feedback available using a CMS designated system.</w:t>
      </w:r>
      <w:r w:rsidRPr="0026433B">
        <w:rPr>
          <w:sz w:val="24"/>
        </w:rPr>
        <w:t xml:space="preserve"> </w:t>
      </w:r>
    </w:p>
    <w:p w14:paraId="1A906B55" w14:textId="543FB787" w:rsidR="00317ACF" w:rsidRDefault="005006B5" w:rsidP="00E9598D">
      <w:pPr>
        <w:spacing w:line="276" w:lineRule="auto"/>
        <w:ind w:firstLine="450"/>
        <w:rPr>
          <w:sz w:val="24"/>
        </w:rPr>
      </w:pPr>
      <w:bookmarkStart w:id="0" w:name="_GoBack"/>
      <w:bookmarkEnd w:id="0"/>
      <w:r>
        <w:rPr>
          <w:rFonts w:eastAsia="Calibri"/>
          <w:sz w:val="24"/>
        </w:rPr>
        <w:t xml:space="preserve">CMS </w:t>
      </w:r>
      <w:r w:rsidR="00FF67F0">
        <w:rPr>
          <w:rFonts w:eastAsia="Calibri"/>
          <w:sz w:val="24"/>
        </w:rPr>
        <w:t>plan</w:t>
      </w:r>
      <w:r>
        <w:rPr>
          <w:rFonts w:eastAsia="Calibri"/>
          <w:sz w:val="24"/>
        </w:rPr>
        <w:t>s</w:t>
      </w:r>
      <w:r w:rsidR="002F4CEF">
        <w:rPr>
          <w:rFonts w:eastAsia="Calibri"/>
          <w:sz w:val="24"/>
        </w:rPr>
        <w:t xml:space="preserve"> to publicly report </w:t>
      </w:r>
      <w:r w:rsidR="00317ACF">
        <w:rPr>
          <w:rFonts w:eastAsia="Calibri"/>
          <w:sz w:val="24"/>
        </w:rPr>
        <w:t xml:space="preserve">patient experience </w:t>
      </w:r>
      <w:r w:rsidR="007608A5">
        <w:rPr>
          <w:rFonts w:eastAsia="Calibri"/>
          <w:sz w:val="24"/>
        </w:rPr>
        <w:t>measures through</w:t>
      </w:r>
      <w:r w:rsidR="002F4CEF" w:rsidRPr="009C5AA9">
        <w:rPr>
          <w:rFonts w:eastAsia="Calibri"/>
          <w:sz w:val="24"/>
        </w:rPr>
        <w:t xml:space="preserve"> the </w:t>
      </w:r>
      <w:r w:rsidR="002F4CEF" w:rsidRPr="0055773E">
        <w:rPr>
          <w:rFonts w:eastAsia="Calibri"/>
          <w:i/>
          <w:sz w:val="24"/>
        </w:rPr>
        <w:t>Physician Compare</w:t>
      </w:r>
      <w:r w:rsidR="002F4CEF" w:rsidRPr="009C5AA9">
        <w:rPr>
          <w:rFonts w:eastAsia="Calibri"/>
          <w:sz w:val="24"/>
        </w:rPr>
        <w:t xml:space="preserve"> </w:t>
      </w:r>
      <w:r w:rsidR="002F4CEF">
        <w:rPr>
          <w:rFonts w:eastAsia="Calibri"/>
          <w:sz w:val="24"/>
        </w:rPr>
        <w:t>web</w:t>
      </w:r>
      <w:r w:rsidR="002F4CEF" w:rsidRPr="009C5AA9">
        <w:rPr>
          <w:rFonts w:eastAsia="Calibri"/>
          <w:sz w:val="24"/>
        </w:rPr>
        <w:t>site</w:t>
      </w:r>
      <w:r w:rsidR="006A3963">
        <w:rPr>
          <w:rFonts w:eastAsia="Calibri"/>
          <w:sz w:val="24"/>
        </w:rPr>
        <w:t>. The public reporting is anticipated to start in late 2018 for the 2017 performance period</w:t>
      </w:r>
      <w:r w:rsidR="002F4CEF" w:rsidRPr="009C5AA9">
        <w:rPr>
          <w:rFonts w:eastAsia="Calibri"/>
          <w:sz w:val="24"/>
        </w:rPr>
        <w:t xml:space="preserve">. </w:t>
      </w:r>
      <w:r>
        <w:rPr>
          <w:sz w:val="24"/>
        </w:rPr>
        <w:t>We also plan to include CAHPS for MIPS data in annual statistical reports that will describe the reporting experience of MIPS eligible clinicians as a whole and subgroups of MIPS eligible clinicians.</w:t>
      </w:r>
      <w:r>
        <w:rPr>
          <w:rStyle w:val="FootnoteReference"/>
          <w:sz w:val="24"/>
        </w:rPr>
        <w:footnoteReference w:id="2"/>
      </w:r>
    </w:p>
    <w:p w14:paraId="251E5314" w14:textId="77777777" w:rsidR="005006B5" w:rsidRDefault="005006B5" w:rsidP="0024686F">
      <w:pPr>
        <w:spacing w:line="276" w:lineRule="auto"/>
        <w:ind w:firstLine="720"/>
        <w:rPr>
          <w:sz w:val="24"/>
        </w:rPr>
      </w:pPr>
    </w:p>
    <w:p w14:paraId="7B4F5DC5" w14:textId="7B5340F2" w:rsidR="00A64ED4" w:rsidRPr="00BB54CB" w:rsidRDefault="00A64ED4" w:rsidP="0024686F">
      <w:pPr>
        <w:spacing w:line="276" w:lineRule="auto"/>
        <w:rPr>
          <w:sz w:val="24"/>
          <w:u w:val="single"/>
        </w:rPr>
      </w:pPr>
      <w:r w:rsidRPr="00BB54CB">
        <w:rPr>
          <w:sz w:val="24"/>
        </w:rPr>
        <w:t xml:space="preserve">17.  </w:t>
      </w:r>
      <w:r w:rsidRPr="00BB54CB">
        <w:rPr>
          <w:sz w:val="24"/>
          <w:u w:val="single"/>
        </w:rPr>
        <w:t>Expiration Date</w:t>
      </w:r>
    </w:p>
    <w:p w14:paraId="2ECD3A04" w14:textId="77777777" w:rsidR="00A64ED4" w:rsidRDefault="00A64ED4" w:rsidP="0024686F">
      <w:pPr>
        <w:spacing w:line="276" w:lineRule="auto"/>
        <w:ind w:firstLine="720"/>
        <w:rPr>
          <w:b/>
          <w:sz w:val="24"/>
          <w:u w:val="single"/>
        </w:rPr>
      </w:pPr>
    </w:p>
    <w:p w14:paraId="12377137" w14:textId="1C05BB45" w:rsidR="00A64ED4" w:rsidRPr="0007426C" w:rsidRDefault="00624F8C" w:rsidP="00E9598D">
      <w:pPr>
        <w:spacing w:line="276" w:lineRule="auto"/>
        <w:ind w:firstLine="450"/>
        <w:rPr>
          <w:sz w:val="32"/>
        </w:rPr>
      </w:pPr>
      <w:r w:rsidRPr="0007426C">
        <w:rPr>
          <w:sz w:val="24"/>
          <w:szCs w:val="20"/>
        </w:rPr>
        <w:t xml:space="preserve">We </w:t>
      </w:r>
      <w:r w:rsidR="00317ACF">
        <w:rPr>
          <w:sz w:val="24"/>
          <w:szCs w:val="20"/>
        </w:rPr>
        <w:t>are requesting</w:t>
      </w:r>
      <w:r w:rsidR="00A64ED4" w:rsidRPr="0007426C">
        <w:rPr>
          <w:sz w:val="24"/>
          <w:szCs w:val="20"/>
        </w:rPr>
        <w:t xml:space="preserve"> approval for this information collection for a period of </w:t>
      </w:r>
      <w:r w:rsidR="00DE4729">
        <w:rPr>
          <w:sz w:val="24"/>
          <w:szCs w:val="20"/>
        </w:rPr>
        <w:t>three</w:t>
      </w:r>
      <w:r w:rsidR="00DE4729" w:rsidRPr="0007426C">
        <w:rPr>
          <w:sz w:val="24"/>
          <w:szCs w:val="20"/>
        </w:rPr>
        <w:t xml:space="preserve"> </w:t>
      </w:r>
      <w:r w:rsidR="00A64ED4" w:rsidRPr="0007426C">
        <w:rPr>
          <w:sz w:val="24"/>
          <w:szCs w:val="20"/>
        </w:rPr>
        <w:t xml:space="preserve">years.  The </w:t>
      </w:r>
      <w:r w:rsidR="00942318">
        <w:rPr>
          <w:sz w:val="24"/>
          <w:szCs w:val="20"/>
        </w:rPr>
        <w:t xml:space="preserve">expiration date will be displayed </w:t>
      </w:r>
      <w:r w:rsidR="006A3963">
        <w:rPr>
          <w:sz w:val="24"/>
          <w:szCs w:val="20"/>
        </w:rPr>
        <w:t xml:space="preserve">on the </w:t>
      </w:r>
      <w:r w:rsidR="00C95AD9">
        <w:rPr>
          <w:sz w:val="24"/>
          <w:szCs w:val="20"/>
        </w:rPr>
        <w:t xml:space="preserve">CAHPS </w:t>
      </w:r>
      <w:r w:rsidR="00317ACF">
        <w:rPr>
          <w:sz w:val="24"/>
          <w:szCs w:val="20"/>
        </w:rPr>
        <w:t xml:space="preserve">for MIPS </w:t>
      </w:r>
      <w:r w:rsidR="00C95AD9">
        <w:rPr>
          <w:sz w:val="24"/>
          <w:szCs w:val="20"/>
        </w:rPr>
        <w:t>Survey Instruments</w:t>
      </w:r>
      <w:r w:rsidR="006A3963">
        <w:rPr>
          <w:sz w:val="24"/>
          <w:szCs w:val="20"/>
        </w:rPr>
        <w:t xml:space="preserve"> and </w:t>
      </w:r>
      <w:r w:rsidR="00317ACF">
        <w:rPr>
          <w:sz w:val="24"/>
          <w:szCs w:val="20"/>
        </w:rPr>
        <w:t xml:space="preserve">beneficiary </w:t>
      </w:r>
      <w:r w:rsidR="006A3963">
        <w:rPr>
          <w:sz w:val="24"/>
          <w:szCs w:val="20"/>
        </w:rPr>
        <w:t xml:space="preserve">letters. </w:t>
      </w:r>
      <w:r w:rsidR="00DA1252">
        <w:rPr>
          <w:sz w:val="24"/>
          <w:szCs w:val="20"/>
        </w:rPr>
        <w:t xml:space="preserve"> </w:t>
      </w:r>
      <w:r w:rsidR="00A64ED4" w:rsidRPr="0007426C">
        <w:rPr>
          <w:sz w:val="32"/>
        </w:rPr>
        <w:t xml:space="preserve">  </w:t>
      </w:r>
    </w:p>
    <w:p w14:paraId="73FF0293" w14:textId="77777777" w:rsidR="00A64ED4" w:rsidRDefault="00A64ED4" w:rsidP="0024686F">
      <w:pPr>
        <w:spacing w:line="276" w:lineRule="auto"/>
        <w:rPr>
          <w:sz w:val="24"/>
        </w:rPr>
      </w:pPr>
    </w:p>
    <w:p w14:paraId="1912B911" w14:textId="6A8DEABD" w:rsidR="00A64ED4" w:rsidRPr="00BB54CB" w:rsidRDefault="00A64ED4" w:rsidP="0024686F">
      <w:pPr>
        <w:spacing w:line="276" w:lineRule="auto"/>
        <w:rPr>
          <w:sz w:val="24"/>
          <w:u w:val="single"/>
        </w:rPr>
      </w:pPr>
      <w:r w:rsidRPr="00BB54CB">
        <w:rPr>
          <w:sz w:val="24"/>
        </w:rPr>
        <w:t xml:space="preserve">18.  </w:t>
      </w:r>
      <w:r w:rsidRPr="00BB54CB">
        <w:rPr>
          <w:sz w:val="24"/>
          <w:u w:val="single"/>
        </w:rPr>
        <w:t>Certification Statement</w:t>
      </w:r>
    </w:p>
    <w:p w14:paraId="7E5277CC" w14:textId="77777777" w:rsidR="00A64ED4" w:rsidRPr="00A95513" w:rsidRDefault="00A64ED4" w:rsidP="0024686F">
      <w:pPr>
        <w:spacing w:line="276" w:lineRule="auto"/>
        <w:ind w:firstLine="720"/>
        <w:rPr>
          <w:b/>
          <w:sz w:val="24"/>
          <w:u w:val="single"/>
        </w:rPr>
      </w:pPr>
    </w:p>
    <w:p w14:paraId="60D2A30A" w14:textId="7393D6A3" w:rsidR="00D27773" w:rsidRDefault="00A64ED4" w:rsidP="00813090">
      <w:pPr>
        <w:spacing w:line="276" w:lineRule="auto"/>
        <w:ind w:firstLine="720"/>
        <w:rPr>
          <w:b/>
          <w:sz w:val="24"/>
        </w:rPr>
      </w:pPr>
      <w:r w:rsidRPr="0007426C">
        <w:rPr>
          <w:sz w:val="24"/>
          <w:szCs w:val="20"/>
        </w:rPr>
        <w:t>There are no exceptions to the certification statement.</w:t>
      </w:r>
      <w:r w:rsidR="00BB3357" w:rsidRPr="0007426C" w:rsidDel="00BB3357">
        <w:rPr>
          <w:sz w:val="24"/>
          <w:szCs w:val="20"/>
        </w:rPr>
        <w:t xml:space="preserve"> </w:t>
      </w:r>
    </w:p>
    <w:sectPr w:rsidR="00D2777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D4FF3" w14:textId="77777777" w:rsidR="003B0BF1" w:rsidRDefault="003B0BF1" w:rsidP="007D4251">
      <w:r>
        <w:separator/>
      </w:r>
    </w:p>
  </w:endnote>
  <w:endnote w:type="continuationSeparator" w:id="0">
    <w:p w14:paraId="591F30DF" w14:textId="77777777" w:rsidR="003B0BF1" w:rsidRDefault="003B0BF1" w:rsidP="007D4251">
      <w:r>
        <w:continuationSeparator/>
      </w:r>
    </w:p>
  </w:endnote>
  <w:endnote w:type="continuationNotice" w:id="1">
    <w:p w14:paraId="2B42A6E0" w14:textId="77777777" w:rsidR="003B0BF1" w:rsidRDefault="003B0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33490"/>
      <w:docPartObj>
        <w:docPartGallery w:val="Page Numbers (Bottom of Page)"/>
        <w:docPartUnique/>
      </w:docPartObj>
    </w:sdtPr>
    <w:sdtEndPr>
      <w:rPr>
        <w:noProof/>
      </w:rPr>
    </w:sdtEndPr>
    <w:sdtContent>
      <w:p w14:paraId="1CCAC9E7" w14:textId="23181D0A" w:rsidR="00BA101A" w:rsidRDefault="00BA101A">
        <w:pPr>
          <w:pStyle w:val="Footer"/>
          <w:jc w:val="right"/>
        </w:pPr>
        <w:r>
          <w:fldChar w:fldCharType="begin"/>
        </w:r>
        <w:r>
          <w:instrText xml:space="preserve"> PAGE   \* MERGEFORMAT </w:instrText>
        </w:r>
        <w:r>
          <w:fldChar w:fldCharType="separate"/>
        </w:r>
        <w:r w:rsidR="0053799B">
          <w:rPr>
            <w:noProof/>
          </w:rPr>
          <w:t>9</w:t>
        </w:r>
        <w:r>
          <w:rPr>
            <w:noProof/>
          </w:rPr>
          <w:fldChar w:fldCharType="end"/>
        </w:r>
      </w:p>
    </w:sdtContent>
  </w:sdt>
  <w:p w14:paraId="0C6432E7" w14:textId="77777777" w:rsidR="00BA101A" w:rsidRDefault="00BA1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2D00A" w14:textId="77777777" w:rsidR="003B0BF1" w:rsidRDefault="003B0BF1" w:rsidP="007D4251">
      <w:r>
        <w:separator/>
      </w:r>
    </w:p>
  </w:footnote>
  <w:footnote w:type="continuationSeparator" w:id="0">
    <w:p w14:paraId="34976C16" w14:textId="77777777" w:rsidR="003B0BF1" w:rsidRDefault="003B0BF1" w:rsidP="007D4251">
      <w:r>
        <w:continuationSeparator/>
      </w:r>
    </w:p>
  </w:footnote>
  <w:footnote w:type="continuationNotice" w:id="1">
    <w:p w14:paraId="7CACB6A1" w14:textId="77777777" w:rsidR="003B0BF1" w:rsidRDefault="003B0BF1"/>
  </w:footnote>
  <w:footnote w:id="2">
    <w:p w14:paraId="6BA707C0" w14:textId="5A5F7EF5" w:rsidR="00BA101A" w:rsidRPr="004816F3" w:rsidRDefault="00BA101A" w:rsidP="005006B5">
      <w:pPr>
        <w:pStyle w:val="FootnoteText"/>
      </w:pPr>
      <w:r>
        <w:rPr>
          <w:rStyle w:val="FootnoteReference"/>
        </w:rPr>
        <w:footnoteRef/>
      </w:r>
      <w:r>
        <w:t xml:space="preserve"> We anticipate that t</w:t>
      </w:r>
      <w:r w:rsidRPr="004816F3">
        <w:t>he MIPS annual statistical reports will be modeled after two existing annual reports, the PQRS Experience Report and the Value Modifier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6AAA"/>
    <w:multiLevelType w:val="hybridMultilevel"/>
    <w:tmpl w:val="F1F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0" w15:restartNumberingAfterBreak="0">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16" w15:restartNumberingAfterBreak="0">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17" w15:restartNumberingAfterBreak="0">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18"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20" w15:restartNumberingAfterBreak="0">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18"/>
  </w:num>
  <w:num w:numId="5">
    <w:abstractNumId w:val="5"/>
  </w:num>
  <w:num w:numId="6">
    <w:abstractNumId w:val="11"/>
  </w:num>
  <w:num w:numId="7">
    <w:abstractNumId w:val="12"/>
  </w:num>
  <w:num w:numId="8">
    <w:abstractNumId w:val="10"/>
  </w:num>
  <w:num w:numId="9">
    <w:abstractNumId w:val="1"/>
  </w:num>
  <w:num w:numId="10">
    <w:abstractNumId w:val="3"/>
  </w:num>
  <w:num w:numId="11">
    <w:abstractNumId w:val="14"/>
  </w:num>
  <w:num w:numId="12">
    <w:abstractNumId w:val="7"/>
  </w:num>
  <w:num w:numId="13">
    <w:abstractNumId w:val="17"/>
  </w:num>
  <w:num w:numId="14">
    <w:abstractNumId w:val="9"/>
  </w:num>
  <w:num w:numId="15">
    <w:abstractNumId w:val="15"/>
  </w:num>
  <w:num w:numId="16">
    <w:abstractNumId w:val="20"/>
  </w:num>
  <w:num w:numId="17">
    <w:abstractNumId w:val="16"/>
  </w:num>
  <w:num w:numId="18">
    <w:abstractNumId w:val="8"/>
  </w:num>
  <w:num w:numId="19">
    <w:abstractNumId w:val="13"/>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2C57"/>
    <w:rsid w:val="00003A5E"/>
    <w:rsid w:val="0000434B"/>
    <w:rsid w:val="00004523"/>
    <w:rsid w:val="00010400"/>
    <w:rsid w:val="000124DD"/>
    <w:rsid w:val="0001418A"/>
    <w:rsid w:val="0001456E"/>
    <w:rsid w:val="00021F96"/>
    <w:rsid w:val="00022CEE"/>
    <w:rsid w:val="000250F7"/>
    <w:rsid w:val="00026490"/>
    <w:rsid w:val="00026CFD"/>
    <w:rsid w:val="0003065E"/>
    <w:rsid w:val="00032B74"/>
    <w:rsid w:val="000363EB"/>
    <w:rsid w:val="000504E4"/>
    <w:rsid w:val="000531B4"/>
    <w:rsid w:val="000569F4"/>
    <w:rsid w:val="00057B77"/>
    <w:rsid w:val="00061ACC"/>
    <w:rsid w:val="00061FD4"/>
    <w:rsid w:val="0006333E"/>
    <w:rsid w:val="0006780D"/>
    <w:rsid w:val="0007426C"/>
    <w:rsid w:val="0007638C"/>
    <w:rsid w:val="00081292"/>
    <w:rsid w:val="000814C8"/>
    <w:rsid w:val="00081800"/>
    <w:rsid w:val="00082CE0"/>
    <w:rsid w:val="00084F60"/>
    <w:rsid w:val="00085438"/>
    <w:rsid w:val="00085E61"/>
    <w:rsid w:val="00087C7F"/>
    <w:rsid w:val="00091623"/>
    <w:rsid w:val="00092C3D"/>
    <w:rsid w:val="000A14E5"/>
    <w:rsid w:val="000A1BC2"/>
    <w:rsid w:val="000A4ECB"/>
    <w:rsid w:val="000A7EA9"/>
    <w:rsid w:val="000B0DFC"/>
    <w:rsid w:val="000B0EE7"/>
    <w:rsid w:val="000B24DF"/>
    <w:rsid w:val="000B3039"/>
    <w:rsid w:val="000C3E5D"/>
    <w:rsid w:val="000C4B5F"/>
    <w:rsid w:val="000C55F1"/>
    <w:rsid w:val="000C632F"/>
    <w:rsid w:val="000C77F2"/>
    <w:rsid w:val="000D0D10"/>
    <w:rsid w:val="000D1E94"/>
    <w:rsid w:val="000D20F2"/>
    <w:rsid w:val="000D6125"/>
    <w:rsid w:val="000D6804"/>
    <w:rsid w:val="000D78AD"/>
    <w:rsid w:val="000E56B6"/>
    <w:rsid w:val="000F172F"/>
    <w:rsid w:val="000F5300"/>
    <w:rsid w:val="000F5D5E"/>
    <w:rsid w:val="000F5D8E"/>
    <w:rsid w:val="000F7900"/>
    <w:rsid w:val="000F7EAA"/>
    <w:rsid w:val="001026E3"/>
    <w:rsid w:val="00103E72"/>
    <w:rsid w:val="00106F52"/>
    <w:rsid w:val="001078E7"/>
    <w:rsid w:val="001103ED"/>
    <w:rsid w:val="001105E0"/>
    <w:rsid w:val="0011108C"/>
    <w:rsid w:val="00112F2A"/>
    <w:rsid w:val="0011657A"/>
    <w:rsid w:val="001225A9"/>
    <w:rsid w:val="00125289"/>
    <w:rsid w:val="00126DDB"/>
    <w:rsid w:val="00133C8E"/>
    <w:rsid w:val="00134112"/>
    <w:rsid w:val="0013735F"/>
    <w:rsid w:val="0014362A"/>
    <w:rsid w:val="00147280"/>
    <w:rsid w:val="00147AB1"/>
    <w:rsid w:val="001557F2"/>
    <w:rsid w:val="00163131"/>
    <w:rsid w:val="00166DB6"/>
    <w:rsid w:val="00167584"/>
    <w:rsid w:val="00167E90"/>
    <w:rsid w:val="00171293"/>
    <w:rsid w:val="001712F9"/>
    <w:rsid w:val="00171ABC"/>
    <w:rsid w:val="00172ACA"/>
    <w:rsid w:val="00172D3B"/>
    <w:rsid w:val="00174EF9"/>
    <w:rsid w:val="0018334A"/>
    <w:rsid w:val="0018457C"/>
    <w:rsid w:val="00195A69"/>
    <w:rsid w:val="00195CEA"/>
    <w:rsid w:val="00196262"/>
    <w:rsid w:val="00197473"/>
    <w:rsid w:val="001A1D12"/>
    <w:rsid w:val="001A1DA7"/>
    <w:rsid w:val="001A2492"/>
    <w:rsid w:val="001A4CDD"/>
    <w:rsid w:val="001A5ACD"/>
    <w:rsid w:val="001A7083"/>
    <w:rsid w:val="001B3EA7"/>
    <w:rsid w:val="001C3EA0"/>
    <w:rsid w:val="001C6950"/>
    <w:rsid w:val="001D0B32"/>
    <w:rsid w:val="001D0CB3"/>
    <w:rsid w:val="001D0EE9"/>
    <w:rsid w:val="001D15B0"/>
    <w:rsid w:val="001D4CA8"/>
    <w:rsid w:val="001D56A8"/>
    <w:rsid w:val="001D664C"/>
    <w:rsid w:val="001E2B04"/>
    <w:rsid w:val="001E2F4F"/>
    <w:rsid w:val="001E3A85"/>
    <w:rsid w:val="001E3B3B"/>
    <w:rsid w:val="001E7F22"/>
    <w:rsid w:val="001F3BB0"/>
    <w:rsid w:val="001F4C40"/>
    <w:rsid w:val="001F4FCD"/>
    <w:rsid w:val="00202685"/>
    <w:rsid w:val="002027CD"/>
    <w:rsid w:val="0021579C"/>
    <w:rsid w:val="00216F07"/>
    <w:rsid w:val="00223FA0"/>
    <w:rsid w:val="0023055B"/>
    <w:rsid w:val="00231411"/>
    <w:rsid w:val="002331F5"/>
    <w:rsid w:val="0023345A"/>
    <w:rsid w:val="0023477E"/>
    <w:rsid w:val="00234A16"/>
    <w:rsid w:val="00235766"/>
    <w:rsid w:val="00235BF3"/>
    <w:rsid w:val="00236A49"/>
    <w:rsid w:val="00244883"/>
    <w:rsid w:val="00246048"/>
    <w:rsid w:val="0024686F"/>
    <w:rsid w:val="00251AC4"/>
    <w:rsid w:val="002529A4"/>
    <w:rsid w:val="00257690"/>
    <w:rsid w:val="0026525A"/>
    <w:rsid w:val="00266FA1"/>
    <w:rsid w:val="00267BEE"/>
    <w:rsid w:val="002737A3"/>
    <w:rsid w:val="00273ED4"/>
    <w:rsid w:val="002748AA"/>
    <w:rsid w:val="00276DBB"/>
    <w:rsid w:val="00280C0C"/>
    <w:rsid w:val="00283468"/>
    <w:rsid w:val="00290CA9"/>
    <w:rsid w:val="002918C1"/>
    <w:rsid w:val="00292ACC"/>
    <w:rsid w:val="00292C1E"/>
    <w:rsid w:val="00295CE6"/>
    <w:rsid w:val="002A1CCE"/>
    <w:rsid w:val="002A357A"/>
    <w:rsid w:val="002A4470"/>
    <w:rsid w:val="002A622F"/>
    <w:rsid w:val="002B2ED8"/>
    <w:rsid w:val="002C6DA4"/>
    <w:rsid w:val="002D0F2E"/>
    <w:rsid w:val="002D6364"/>
    <w:rsid w:val="002D7B84"/>
    <w:rsid w:val="002E00EC"/>
    <w:rsid w:val="002E0639"/>
    <w:rsid w:val="002E151C"/>
    <w:rsid w:val="002E1D6E"/>
    <w:rsid w:val="002E4733"/>
    <w:rsid w:val="002E4FAF"/>
    <w:rsid w:val="002E645C"/>
    <w:rsid w:val="002E767A"/>
    <w:rsid w:val="002F06BB"/>
    <w:rsid w:val="002F1644"/>
    <w:rsid w:val="002F1FE3"/>
    <w:rsid w:val="002F4CEF"/>
    <w:rsid w:val="002F70D5"/>
    <w:rsid w:val="00300ACB"/>
    <w:rsid w:val="00303EB6"/>
    <w:rsid w:val="003064C2"/>
    <w:rsid w:val="00312658"/>
    <w:rsid w:val="003159C5"/>
    <w:rsid w:val="0031632B"/>
    <w:rsid w:val="00317ACF"/>
    <w:rsid w:val="00317E87"/>
    <w:rsid w:val="0032222F"/>
    <w:rsid w:val="00326F3C"/>
    <w:rsid w:val="00327359"/>
    <w:rsid w:val="00327B47"/>
    <w:rsid w:val="003368BC"/>
    <w:rsid w:val="0034080E"/>
    <w:rsid w:val="003461A2"/>
    <w:rsid w:val="0035092C"/>
    <w:rsid w:val="00354017"/>
    <w:rsid w:val="00354645"/>
    <w:rsid w:val="0035633D"/>
    <w:rsid w:val="00362B25"/>
    <w:rsid w:val="00364784"/>
    <w:rsid w:val="00364F8F"/>
    <w:rsid w:val="00366B60"/>
    <w:rsid w:val="0036785E"/>
    <w:rsid w:val="0037149B"/>
    <w:rsid w:val="0038397D"/>
    <w:rsid w:val="00384221"/>
    <w:rsid w:val="00385043"/>
    <w:rsid w:val="003851BC"/>
    <w:rsid w:val="00386FA1"/>
    <w:rsid w:val="0039233A"/>
    <w:rsid w:val="00392B45"/>
    <w:rsid w:val="003930CC"/>
    <w:rsid w:val="00393422"/>
    <w:rsid w:val="00394782"/>
    <w:rsid w:val="00396BB7"/>
    <w:rsid w:val="00397587"/>
    <w:rsid w:val="003A0991"/>
    <w:rsid w:val="003A4DE9"/>
    <w:rsid w:val="003A6C1E"/>
    <w:rsid w:val="003B0BF1"/>
    <w:rsid w:val="003B1C15"/>
    <w:rsid w:val="003B3E87"/>
    <w:rsid w:val="003B5E0B"/>
    <w:rsid w:val="003B64F3"/>
    <w:rsid w:val="003C20E0"/>
    <w:rsid w:val="003C2803"/>
    <w:rsid w:val="003C376E"/>
    <w:rsid w:val="003C7F78"/>
    <w:rsid w:val="003D13B1"/>
    <w:rsid w:val="003D1F66"/>
    <w:rsid w:val="003D2010"/>
    <w:rsid w:val="003D4D10"/>
    <w:rsid w:val="003D6B56"/>
    <w:rsid w:val="003E6E2C"/>
    <w:rsid w:val="003E7A55"/>
    <w:rsid w:val="003F07C9"/>
    <w:rsid w:val="003F1E38"/>
    <w:rsid w:val="003F22E8"/>
    <w:rsid w:val="003F4329"/>
    <w:rsid w:val="003F69B9"/>
    <w:rsid w:val="00400C72"/>
    <w:rsid w:val="00406BAB"/>
    <w:rsid w:val="00406D5F"/>
    <w:rsid w:val="00406FC4"/>
    <w:rsid w:val="00413773"/>
    <w:rsid w:val="00416AEF"/>
    <w:rsid w:val="004214DB"/>
    <w:rsid w:val="00423D16"/>
    <w:rsid w:val="00424E2D"/>
    <w:rsid w:val="0042523E"/>
    <w:rsid w:val="00425AAD"/>
    <w:rsid w:val="004272EE"/>
    <w:rsid w:val="00427988"/>
    <w:rsid w:val="0043080D"/>
    <w:rsid w:val="00433401"/>
    <w:rsid w:val="00435C32"/>
    <w:rsid w:val="004367EF"/>
    <w:rsid w:val="00437919"/>
    <w:rsid w:val="00444D66"/>
    <w:rsid w:val="00444E27"/>
    <w:rsid w:val="00446138"/>
    <w:rsid w:val="00447F85"/>
    <w:rsid w:val="00452CB6"/>
    <w:rsid w:val="004547F3"/>
    <w:rsid w:val="00456883"/>
    <w:rsid w:val="00460985"/>
    <w:rsid w:val="00464BD0"/>
    <w:rsid w:val="00464E67"/>
    <w:rsid w:val="004675E5"/>
    <w:rsid w:val="0047099D"/>
    <w:rsid w:val="00477299"/>
    <w:rsid w:val="00477DFD"/>
    <w:rsid w:val="00480607"/>
    <w:rsid w:val="00480B34"/>
    <w:rsid w:val="00485676"/>
    <w:rsid w:val="00485B6E"/>
    <w:rsid w:val="00491487"/>
    <w:rsid w:val="004938DD"/>
    <w:rsid w:val="004947BC"/>
    <w:rsid w:val="00497EB4"/>
    <w:rsid w:val="004A3EFB"/>
    <w:rsid w:val="004A41AB"/>
    <w:rsid w:val="004B318A"/>
    <w:rsid w:val="004B3813"/>
    <w:rsid w:val="004B6363"/>
    <w:rsid w:val="004B7260"/>
    <w:rsid w:val="004C1131"/>
    <w:rsid w:val="004C5EEC"/>
    <w:rsid w:val="004C6554"/>
    <w:rsid w:val="004D011D"/>
    <w:rsid w:val="004D0ADF"/>
    <w:rsid w:val="004D11A3"/>
    <w:rsid w:val="004D13FE"/>
    <w:rsid w:val="004D4924"/>
    <w:rsid w:val="004E3FEA"/>
    <w:rsid w:val="004E52DE"/>
    <w:rsid w:val="004E5CC7"/>
    <w:rsid w:val="004E678A"/>
    <w:rsid w:val="004F1549"/>
    <w:rsid w:val="004F4604"/>
    <w:rsid w:val="005006B5"/>
    <w:rsid w:val="00501AF7"/>
    <w:rsid w:val="00505271"/>
    <w:rsid w:val="005057FC"/>
    <w:rsid w:val="005079FB"/>
    <w:rsid w:val="0051073C"/>
    <w:rsid w:val="005110C6"/>
    <w:rsid w:val="0052181A"/>
    <w:rsid w:val="00522F62"/>
    <w:rsid w:val="005259BE"/>
    <w:rsid w:val="005271B6"/>
    <w:rsid w:val="00531837"/>
    <w:rsid w:val="0053222B"/>
    <w:rsid w:val="00533EC1"/>
    <w:rsid w:val="0053799B"/>
    <w:rsid w:val="00541DC1"/>
    <w:rsid w:val="00542E6C"/>
    <w:rsid w:val="005477CC"/>
    <w:rsid w:val="00555DEF"/>
    <w:rsid w:val="0055773E"/>
    <w:rsid w:val="00564265"/>
    <w:rsid w:val="005671C8"/>
    <w:rsid w:val="00573EF8"/>
    <w:rsid w:val="00577F37"/>
    <w:rsid w:val="00582A9C"/>
    <w:rsid w:val="005909E3"/>
    <w:rsid w:val="005972D8"/>
    <w:rsid w:val="005A0710"/>
    <w:rsid w:val="005A2C58"/>
    <w:rsid w:val="005A3912"/>
    <w:rsid w:val="005B0E35"/>
    <w:rsid w:val="005B1ADF"/>
    <w:rsid w:val="005B3DFD"/>
    <w:rsid w:val="005B48D7"/>
    <w:rsid w:val="005B68BE"/>
    <w:rsid w:val="005B79E5"/>
    <w:rsid w:val="005B7FEB"/>
    <w:rsid w:val="005C2307"/>
    <w:rsid w:val="005C64DC"/>
    <w:rsid w:val="005C68DE"/>
    <w:rsid w:val="005C6D2A"/>
    <w:rsid w:val="005D09F0"/>
    <w:rsid w:val="005D20B7"/>
    <w:rsid w:val="005D27B7"/>
    <w:rsid w:val="005D3E02"/>
    <w:rsid w:val="005E2995"/>
    <w:rsid w:val="005E4F8C"/>
    <w:rsid w:val="005E501D"/>
    <w:rsid w:val="005E6DDE"/>
    <w:rsid w:val="005F122D"/>
    <w:rsid w:val="005F1A92"/>
    <w:rsid w:val="005F3274"/>
    <w:rsid w:val="00601BF0"/>
    <w:rsid w:val="00602DA3"/>
    <w:rsid w:val="0061468D"/>
    <w:rsid w:val="00616690"/>
    <w:rsid w:val="00617B79"/>
    <w:rsid w:val="0062113D"/>
    <w:rsid w:val="00622020"/>
    <w:rsid w:val="0062237E"/>
    <w:rsid w:val="0062411F"/>
    <w:rsid w:val="0062455E"/>
    <w:rsid w:val="00624AE7"/>
    <w:rsid w:val="00624F8C"/>
    <w:rsid w:val="00625285"/>
    <w:rsid w:val="00625B17"/>
    <w:rsid w:val="00633F47"/>
    <w:rsid w:val="0063525A"/>
    <w:rsid w:val="00641896"/>
    <w:rsid w:val="00642D40"/>
    <w:rsid w:val="00643C5B"/>
    <w:rsid w:val="006444CE"/>
    <w:rsid w:val="006550C5"/>
    <w:rsid w:val="006562B6"/>
    <w:rsid w:val="00657D88"/>
    <w:rsid w:val="00657E60"/>
    <w:rsid w:val="00661EEF"/>
    <w:rsid w:val="00666FF1"/>
    <w:rsid w:val="006677CD"/>
    <w:rsid w:val="00673365"/>
    <w:rsid w:val="00673837"/>
    <w:rsid w:val="006748E7"/>
    <w:rsid w:val="006775CA"/>
    <w:rsid w:val="00683523"/>
    <w:rsid w:val="0068495A"/>
    <w:rsid w:val="00690132"/>
    <w:rsid w:val="006925C3"/>
    <w:rsid w:val="006A1530"/>
    <w:rsid w:val="006A3963"/>
    <w:rsid w:val="006A57A6"/>
    <w:rsid w:val="006B0F6D"/>
    <w:rsid w:val="006B1EF6"/>
    <w:rsid w:val="006B6C1A"/>
    <w:rsid w:val="006C01A1"/>
    <w:rsid w:val="006C04E8"/>
    <w:rsid w:val="006C0D1B"/>
    <w:rsid w:val="006C2CAA"/>
    <w:rsid w:val="006C46F6"/>
    <w:rsid w:val="006C5569"/>
    <w:rsid w:val="006D0AC1"/>
    <w:rsid w:val="006D5182"/>
    <w:rsid w:val="006E1F68"/>
    <w:rsid w:val="006E4B97"/>
    <w:rsid w:val="006E60BE"/>
    <w:rsid w:val="006F0548"/>
    <w:rsid w:val="006F1AE7"/>
    <w:rsid w:val="006F5D5E"/>
    <w:rsid w:val="006F6289"/>
    <w:rsid w:val="0070059D"/>
    <w:rsid w:val="0070275D"/>
    <w:rsid w:val="00702F40"/>
    <w:rsid w:val="00704117"/>
    <w:rsid w:val="007127BC"/>
    <w:rsid w:val="00716999"/>
    <w:rsid w:val="00724402"/>
    <w:rsid w:val="00725BE9"/>
    <w:rsid w:val="00734E43"/>
    <w:rsid w:val="007372EA"/>
    <w:rsid w:val="007406B0"/>
    <w:rsid w:val="00744B85"/>
    <w:rsid w:val="00745010"/>
    <w:rsid w:val="00745ABF"/>
    <w:rsid w:val="00745E01"/>
    <w:rsid w:val="00746B17"/>
    <w:rsid w:val="00746B1C"/>
    <w:rsid w:val="00747BDE"/>
    <w:rsid w:val="00747F98"/>
    <w:rsid w:val="00750F71"/>
    <w:rsid w:val="007516A0"/>
    <w:rsid w:val="007517FF"/>
    <w:rsid w:val="00754B4E"/>
    <w:rsid w:val="007566A6"/>
    <w:rsid w:val="007608A5"/>
    <w:rsid w:val="00760AFE"/>
    <w:rsid w:val="00761BF4"/>
    <w:rsid w:val="007629FC"/>
    <w:rsid w:val="007654A2"/>
    <w:rsid w:val="00766429"/>
    <w:rsid w:val="00766540"/>
    <w:rsid w:val="007665AC"/>
    <w:rsid w:val="00766CD0"/>
    <w:rsid w:val="007712FB"/>
    <w:rsid w:val="0077158F"/>
    <w:rsid w:val="007718D2"/>
    <w:rsid w:val="007736CD"/>
    <w:rsid w:val="0077714A"/>
    <w:rsid w:val="007779D4"/>
    <w:rsid w:val="007807F1"/>
    <w:rsid w:val="00780C0D"/>
    <w:rsid w:val="00782A36"/>
    <w:rsid w:val="00783B1A"/>
    <w:rsid w:val="00784909"/>
    <w:rsid w:val="00786AAF"/>
    <w:rsid w:val="0079215C"/>
    <w:rsid w:val="00792F06"/>
    <w:rsid w:val="0079431F"/>
    <w:rsid w:val="0079448C"/>
    <w:rsid w:val="00794F52"/>
    <w:rsid w:val="00794FB7"/>
    <w:rsid w:val="007A0AB7"/>
    <w:rsid w:val="007A5184"/>
    <w:rsid w:val="007B22B3"/>
    <w:rsid w:val="007B6105"/>
    <w:rsid w:val="007B6591"/>
    <w:rsid w:val="007C557F"/>
    <w:rsid w:val="007C611C"/>
    <w:rsid w:val="007D18FB"/>
    <w:rsid w:val="007D254C"/>
    <w:rsid w:val="007D2E75"/>
    <w:rsid w:val="007D4251"/>
    <w:rsid w:val="007E218F"/>
    <w:rsid w:val="007E281A"/>
    <w:rsid w:val="007E2D03"/>
    <w:rsid w:val="007E6BDA"/>
    <w:rsid w:val="007E7BE6"/>
    <w:rsid w:val="007F1C9D"/>
    <w:rsid w:val="007F1E47"/>
    <w:rsid w:val="007F4B2B"/>
    <w:rsid w:val="007F6423"/>
    <w:rsid w:val="007F7A80"/>
    <w:rsid w:val="0080622A"/>
    <w:rsid w:val="00807FC3"/>
    <w:rsid w:val="00813090"/>
    <w:rsid w:val="00814BAD"/>
    <w:rsid w:val="00817DE9"/>
    <w:rsid w:val="00821570"/>
    <w:rsid w:val="0082177E"/>
    <w:rsid w:val="00822182"/>
    <w:rsid w:val="00831C6D"/>
    <w:rsid w:val="00833733"/>
    <w:rsid w:val="00834CB1"/>
    <w:rsid w:val="0083734D"/>
    <w:rsid w:val="00841C58"/>
    <w:rsid w:val="008432F6"/>
    <w:rsid w:val="00844039"/>
    <w:rsid w:val="008449EB"/>
    <w:rsid w:val="0085515F"/>
    <w:rsid w:val="008554C6"/>
    <w:rsid w:val="00857B66"/>
    <w:rsid w:val="0086020C"/>
    <w:rsid w:val="008626F9"/>
    <w:rsid w:val="00863467"/>
    <w:rsid w:val="00870F83"/>
    <w:rsid w:val="008739CB"/>
    <w:rsid w:val="00873BDF"/>
    <w:rsid w:val="00874A19"/>
    <w:rsid w:val="00874B49"/>
    <w:rsid w:val="00875C4D"/>
    <w:rsid w:val="00875D52"/>
    <w:rsid w:val="00877C02"/>
    <w:rsid w:val="00890616"/>
    <w:rsid w:val="0089094A"/>
    <w:rsid w:val="00891A27"/>
    <w:rsid w:val="0089476F"/>
    <w:rsid w:val="00894E05"/>
    <w:rsid w:val="00894EF5"/>
    <w:rsid w:val="008A48CA"/>
    <w:rsid w:val="008A73B8"/>
    <w:rsid w:val="008B0EBE"/>
    <w:rsid w:val="008B4D21"/>
    <w:rsid w:val="008B5220"/>
    <w:rsid w:val="008C03C6"/>
    <w:rsid w:val="008C0B98"/>
    <w:rsid w:val="008C38A4"/>
    <w:rsid w:val="008C61FD"/>
    <w:rsid w:val="008C7A5B"/>
    <w:rsid w:val="008D04C1"/>
    <w:rsid w:val="008D0BF6"/>
    <w:rsid w:val="008D28C1"/>
    <w:rsid w:val="008D552C"/>
    <w:rsid w:val="008D7EA5"/>
    <w:rsid w:val="008E496D"/>
    <w:rsid w:val="008E4A29"/>
    <w:rsid w:val="008E5570"/>
    <w:rsid w:val="008E5A2D"/>
    <w:rsid w:val="008E6A21"/>
    <w:rsid w:val="008F133E"/>
    <w:rsid w:val="008F434F"/>
    <w:rsid w:val="008F6988"/>
    <w:rsid w:val="008F727D"/>
    <w:rsid w:val="00900AA9"/>
    <w:rsid w:val="00902538"/>
    <w:rsid w:val="0090508B"/>
    <w:rsid w:val="00906ED3"/>
    <w:rsid w:val="009074FE"/>
    <w:rsid w:val="009109C4"/>
    <w:rsid w:val="00910C9F"/>
    <w:rsid w:val="00912526"/>
    <w:rsid w:val="00914E86"/>
    <w:rsid w:val="0092022E"/>
    <w:rsid w:val="009211F1"/>
    <w:rsid w:val="00935130"/>
    <w:rsid w:val="00940571"/>
    <w:rsid w:val="00940890"/>
    <w:rsid w:val="00942318"/>
    <w:rsid w:val="00942F92"/>
    <w:rsid w:val="009515E0"/>
    <w:rsid w:val="009531BB"/>
    <w:rsid w:val="0095671D"/>
    <w:rsid w:val="00956C1A"/>
    <w:rsid w:val="00961CED"/>
    <w:rsid w:val="009629C9"/>
    <w:rsid w:val="00962D41"/>
    <w:rsid w:val="00964C4E"/>
    <w:rsid w:val="00965680"/>
    <w:rsid w:val="00965FE5"/>
    <w:rsid w:val="009666DD"/>
    <w:rsid w:val="00967ECC"/>
    <w:rsid w:val="0097110C"/>
    <w:rsid w:val="00971921"/>
    <w:rsid w:val="0098157B"/>
    <w:rsid w:val="00983262"/>
    <w:rsid w:val="009833E0"/>
    <w:rsid w:val="00985883"/>
    <w:rsid w:val="00987D1F"/>
    <w:rsid w:val="009A3A00"/>
    <w:rsid w:val="009A4D1D"/>
    <w:rsid w:val="009B0EAD"/>
    <w:rsid w:val="009B52DC"/>
    <w:rsid w:val="009C102D"/>
    <w:rsid w:val="009C1BDA"/>
    <w:rsid w:val="009C3505"/>
    <w:rsid w:val="009C5C58"/>
    <w:rsid w:val="009D0EFD"/>
    <w:rsid w:val="009D14F7"/>
    <w:rsid w:val="009D4250"/>
    <w:rsid w:val="009D67F3"/>
    <w:rsid w:val="009E06A6"/>
    <w:rsid w:val="009E4794"/>
    <w:rsid w:val="009E6F1C"/>
    <w:rsid w:val="009F03F9"/>
    <w:rsid w:val="009F38E2"/>
    <w:rsid w:val="009F448E"/>
    <w:rsid w:val="009F45B5"/>
    <w:rsid w:val="009F54D7"/>
    <w:rsid w:val="009F6194"/>
    <w:rsid w:val="009F6A3E"/>
    <w:rsid w:val="00A00A93"/>
    <w:rsid w:val="00A00C09"/>
    <w:rsid w:val="00A03E61"/>
    <w:rsid w:val="00A05C1B"/>
    <w:rsid w:val="00A152D7"/>
    <w:rsid w:val="00A20099"/>
    <w:rsid w:val="00A203CE"/>
    <w:rsid w:val="00A20673"/>
    <w:rsid w:val="00A26EDC"/>
    <w:rsid w:val="00A34C36"/>
    <w:rsid w:val="00A360B8"/>
    <w:rsid w:val="00A40667"/>
    <w:rsid w:val="00A408EB"/>
    <w:rsid w:val="00A41D92"/>
    <w:rsid w:val="00A42518"/>
    <w:rsid w:val="00A42BDC"/>
    <w:rsid w:val="00A5146E"/>
    <w:rsid w:val="00A52098"/>
    <w:rsid w:val="00A53680"/>
    <w:rsid w:val="00A57D89"/>
    <w:rsid w:val="00A60246"/>
    <w:rsid w:val="00A60D14"/>
    <w:rsid w:val="00A63831"/>
    <w:rsid w:val="00A64ED4"/>
    <w:rsid w:val="00A66B0C"/>
    <w:rsid w:val="00A7259F"/>
    <w:rsid w:val="00A72E92"/>
    <w:rsid w:val="00A747B9"/>
    <w:rsid w:val="00A753EA"/>
    <w:rsid w:val="00A77315"/>
    <w:rsid w:val="00A839E7"/>
    <w:rsid w:val="00A852B4"/>
    <w:rsid w:val="00A90A63"/>
    <w:rsid w:val="00A93548"/>
    <w:rsid w:val="00A940EB"/>
    <w:rsid w:val="00A968FA"/>
    <w:rsid w:val="00AA14D1"/>
    <w:rsid w:val="00AA41C3"/>
    <w:rsid w:val="00AA5B8E"/>
    <w:rsid w:val="00AA7FA0"/>
    <w:rsid w:val="00AB0027"/>
    <w:rsid w:val="00AB1D4C"/>
    <w:rsid w:val="00AB4956"/>
    <w:rsid w:val="00AB749C"/>
    <w:rsid w:val="00AC01AD"/>
    <w:rsid w:val="00AC0A01"/>
    <w:rsid w:val="00AC1AF7"/>
    <w:rsid w:val="00AC3805"/>
    <w:rsid w:val="00AC3845"/>
    <w:rsid w:val="00AC495C"/>
    <w:rsid w:val="00AC50BA"/>
    <w:rsid w:val="00AC69EB"/>
    <w:rsid w:val="00AD0A6F"/>
    <w:rsid w:val="00AD0F99"/>
    <w:rsid w:val="00AD2901"/>
    <w:rsid w:val="00AD641B"/>
    <w:rsid w:val="00AD65AD"/>
    <w:rsid w:val="00AE34EA"/>
    <w:rsid w:val="00AE5B1D"/>
    <w:rsid w:val="00AF1FAD"/>
    <w:rsid w:val="00AF4A6E"/>
    <w:rsid w:val="00AF5856"/>
    <w:rsid w:val="00AF5F09"/>
    <w:rsid w:val="00AF5F5D"/>
    <w:rsid w:val="00AF6F0A"/>
    <w:rsid w:val="00B03A42"/>
    <w:rsid w:val="00B068C6"/>
    <w:rsid w:val="00B10C19"/>
    <w:rsid w:val="00B11372"/>
    <w:rsid w:val="00B13450"/>
    <w:rsid w:val="00B17994"/>
    <w:rsid w:val="00B21F69"/>
    <w:rsid w:val="00B27BBA"/>
    <w:rsid w:val="00B3390A"/>
    <w:rsid w:val="00B342C0"/>
    <w:rsid w:val="00B360C0"/>
    <w:rsid w:val="00B40534"/>
    <w:rsid w:val="00B43B44"/>
    <w:rsid w:val="00B5261B"/>
    <w:rsid w:val="00B52B57"/>
    <w:rsid w:val="00B541C3"/>
    <w:rsid w:val="00B5476A"/>
    <w:rsid w:val="00B555FC"/>
    <w:rsid w:val="00B559B2"/>
    <w:rsid w:val="00B60B60"/>
    <w:rsid w:val="00B62A22"/>
    <w:rsid w:val="00B63CA0"/>
    <w:rsid w:val="00B63EB8"/>
    <w:rsid w:val="00B653B2"/>
    <w:rsid w:val="00B75EC4"/>
    <w:rsid w:val="00B81462"/>
    <w:rsid w:val="00B8248D"/>
    <w:rsid w:val="00B82F08"/>
    <w:rsid w:val="00B85017"/>
    <w:rsid w:val="00B92D41"/>
    <w:rsid w:val="00B941ED"/>
    <w:rsid w:val="00BA101A"/>
    <w:rsid w:val="00BA1BDA"/>
    <w:rsid w:val="00BA22AB"/>
    <w:rsid w:val="00BA25C7"/>
    <w:rsid w:val="00BB3357"/>
    <w:rsid w:val="00BB466B"/>
    <w:rsid w:val="00BB54CB"/>
    <w:rsid w:val="00BB563E"/>
    <w:rsid w:val="00BB6F22"/>
    <w:rsid w:val="00BB73B5"/>
    <w:rsid w:val="00BC0442"/>
    <w:rsid w:val="00BC41A3"/>
    <w:rsid w:val="00BD0DCD"/>
    <w:rsid w:val="00BD6456"/>
    <w:rsid w:val="00BD6F03"/>
    <w:rsid w:val="00BE0651"/>
    <w:rsid w:val="00BE19C3"/>
    <w:rsid w:val="00BE1BCD"/>
    <w:rsid w:val="00BE300B"/>
    <w:rsid w:val="00BE543F"/>
    <w:rsid w:val="00BE571B"/>
    <w:rsid w:val="00BF0D0A"/>
    <w:rsid w:val="00BF0D88"/>
    <w:rsid w:val="00BF1609"/>
    <w:rsid w:val="00BF1DE6"/>
    <w:rsid w:val="00BF61E8"/>
    <w:rsid w:val="00C015A7"/>
    <w:rsid w:val="00C038B5"/>
    <w:rsid w:val="00C07668"/>
    <w:rsid w:val="00C1132E"/>
    <w:rsid w:val="00C15CB0"/>
    <w:rsid w:val="00C17B87"/>
    <w:rsid w:val="00C17CB9"/>
    <w:rsid w:val="00C2120E"/>
    <w:rsid w:val="00C217DE"/>
    <w:rsid w:val="00C27678"/>
    <w:rsid w:val="00C320FB"/>
    <w:rsid w:val="00C322A1"/>
    <w:rsid w:val="00C32550"/>
    <w:rsid w:val="00C36875"/>
    <w:rsid w:val="00C43A72"/>
    <w:rsid w:val="00C54BED"/>
    <w:rsid w:val="00C60848"/>
    <w:rsid w:val="00C609FF"/>
    <w:rsid w:val="00C626F1"/>
    <w:rsid w:val="00C64CE5"/>
    <w:rsid w:val="00C653B5"/>
    <w:rsid w:val="00C666BF"/>
    <w:rsid w:val="00C674F8"/>
    <w:rsid w:val="00C702E2"/>
    <w:rsid w:val="00C7115B"/>
    <w:rsid w:val="00C729CE"/>
    <w:rsid w:val="00C830E6"/>
    <w:rsid w:val="00C8590D"/>
    <w:rsid w:val="00C86599"/>
    <w:rsid w:val="00C9393A"/>
    <w:rsid w:val="00C95AD9"/>
    <w:rsid w:val="00C95D3A"/>
    <w:rsid w:val="00CA0E72"/>
    <w:rsid w:val="00CA33B8"/>
    <w:rsid w:val="00CA403E"/>
    <w:rsid w:val="00CA506A"/>
    <w:rsid w:val="00CB06A1"/>
    <w:rsid w:val="00CB30F2"/>
    <w:rsid w:val="00CB38E3"/>
    <w:rsid w:val="00CB4326"/>
    <w:rsid w:val="00CB5D82"/>
    <w:rsid w:val="00CC57C2"/>
    <w:rsid w:val="00CC7F00"/>
    <w:rsid w:val="00CD2711"/>
    <w:rsid w:val="00CD39D9"/>
    <w:rsid w:val="00CD4FC4"/>
    <w:rsid w:val="00CD530F"/>
    <w:rsid w:val="00CD6746"/>
    <w:rsid w:val="00CD6E2E"/>
    <w:rsid w:val="00CD6E53"/>
    <w:rsid w:val="00CD7AF9"/>
    <w:rsid w:val="00CE13DB"/>
    <w:rsid w:val="00CE18FC"/>
    <w:rsid w:val="00CE2637"/>
    <w:rsid w:val="00CE28CD"/>
    <w:rsid w:val="00CE2B55"/>
    <w:rsid w:val="00CE4108"/>
    <w:rsid w:val="00CE6ABB"/>
    <w:rsid w:val="00CE7E57"/>
    <w:rsid w:val="00CF05AF"/>
    <w:rsid w:val="00CF5843"/>
    <w:rsid w:val="00CF5D55"/>
    <w:rsid w:val="00CF6C78"/>
    <w:rsid w:val="00CF6E39"/>
    <w:rsid w:val="00D03C91"/>
    <w:rsid w:val="00D0579F"/>
    <w:rsid w:val="00D05D63"/>
    <w:rsid w:val="00D10574"/>
    <w:rsid w:val="00D1110E"/>
    <w:rsid w:val="00D1659C"/>
    <w:rsid w:val="00D20078"/>
    <w:rsid w:val="00D242B5"/>
    <w:rsid w:val="00D24508"/>
    <w:rsid w:val="00D25692"/>
    <w:rsid w:val="00D257CC"/>
    <w:rsid w:val="00D25D9C"/>
    <w:rsid w:val="00D26EEF"/>
    <w:rsid w:val="00D27773"/>
    <w:rsid w:val="00D3350D"/>
    <w:rsid w:val="00D33A75"/>
    <w:rsid w:val="00D34DFA"/>
    <w:rsid w:val="00D373F9"/>
    <w:rsid w:val="00D40A97"/>
    <w:rsid w:val="00D4497A"/>
    <w:rsid w:val="00D44D6C"/>
    <w:rsid w:val="00D51011"/>
    <w:rsid w:val="00D5249B"/>
    <w:rsid w:val="00D55708"/>
    <w:rsid w:val="00D57D7E"/>
    <w:rsid w:val="00D604F2"/>
    <w:rsid w:val="00D6139D"/>
    <w:rsid w:val="00D62022"/>
    <w:rsid w:val="00D63757"/>
    <w:rsid w:val="00D63E01"/>
    <w:rsid w:val="00D64237"/>
    <w:rsid w:val="00D6540C"/>
    <w:rsid w:val="00D7094D"/>
    <w:rsid w:val="00D70C6B"/>
    <w:rsid w:val="00D717EE"/>
    <w:rsid w:val="00D73297"/>
    <w:rsid w:val="00D80FEC"/>
    <w:rsid w:val="00D8222C"/>
    <w:rsid w:val="00D82B64"/>
    <w:rsid w:val="00D85DF2"/>
    <w:rsid w:val="00D914C8"/>
    <w:rsid w:val="00D91D36"/>
    <w:rsid w:val="00D97140"/>
    <w:rsid w:val="00D9776A"/>
    <w:rsid w:val="00DA1252"/>
    <w:rsid w:val="00DA47A3"/>
    <w:rsid w:val="00DA6CFC"/>
    <w:rsid w:val="00DB040A"/>
    <w:rsid w:val="00DB170E"/>
    <w:rsid w:val="00DB6283"/>
    <w:rsid w:val="00DB7BBF"/>
    <w:rsid w:val="00DC0141"/>
    <w:rsid w:val="00DD0704"/>
    <w:rsid w:val="00DD2286"/>
    <w:rsid w:val="00DE234A"/>
    <w:rsid w:val="00DE3D6E"/>
    <w:rsid w:val="00DE3E6C"/>
    <w:rsid w:val="00DE4729"/>
    <w:rsid w:val="00DE7A5A"/>
    <w:rsid w:val="00DF0946"/>
    <w:rsid w:val="00DF6125"/>
    <w:rsid w:val="00E000C8"/>
    <w:rsid w:val="00E01531"/>
    <w:rsid w:val="00E10E3A"/>
    <w:rsid w:val="00E10E63"/>
    <w:rsid w:val="00E122E1"/>
    <w:rsid w:val="00E12CF1"/>
    <w:rsid w:val="00E13392"/>
    <w:rsid w:val="00E1377E"/>
    <w:rsid w:val="00E20A00"/>
    <w:rsid w:val="00E31E4B"/>
    <w:rsid w:val="00E414C5"/>
    <w:rsid w:val="00E4397B"/>
    <w:rsid w:val="00E45C7E"/>
    <w:rsid w:val="00E53DCB"/>
    <w:rsid w:val="00E564A0"/>
    <w:rsid w:val="00E64FB1"/>
    <w:rsid w:val="00E70988"/>
    <w:rsid w:val="00E738D0"/>
    <w:rsid w:val="00E82FA2"/>
    <w:rsid w:val="00E87F6C"/>
    <w:rsid w:val="00E9343C"/>
    <w:rsid w:val="00E939D5"/>
    <w:rsid w:val="00E9598D"/>
    <w:rsid w:val="00E95A07"/>
    <w:rsid w:val="00EA0229"/>
    <w:rsid w:val="00EA3C2F"/>
    <w:rsid w:val="00EA4D3E"/>
    <w:rsid w:val="00EA7B6E"/>
    <w:rsid w:val="00EB5494"/>
    <w:rsid w:val="00EB5971"/>
    <w:rsid w:val="00EB6D85"/>
    <w:rsid w:val="00EC0D89"/>
    <w:rsid w:val="00EC289A"/>
    <w:rsid w:val="00EC4C56"/>
    <w:rsid w:val="00EC58A4"/>
    <w:rsid w:val="00ED06E1"/>
    <w:rsid w:val="00ED1B75"/>
    <w:rsid w:val="00ED1D76"/>
    <w:rsid w:val="00ED329E"/>
    <w:rsid w:val="00ED4BD7"/>
    <w:rsid w:val="00ED51D2"/>
    <w:rsid w:val="00EE22F7"/>
    <w:rsid w:val="00EE36DE"/>
    <w:rsid w:val="00EE3AE6"/>
    <w:rsid w:val="00EF3556"/>
    <w:rsid w:val="00EF5FAF"/>
    <w:rsid w:val="00EF6DDE"/>
    <w:rsid w:val="00EF71C9"/>
    <w:rsid w:val="00F01E92"/>
    <w:rsid w:val="00F0412C"/>
    <w:rsid w:val="00F048A6"/>
    <w:rsid w:val="00F056DD"/>
    <w:rsid w:val="00F1184D"/>
    <w:rsid w:val="00F202B0"/>
    <w:rsid w:val="00F24C3C"/>
    <w:rsid w:val="00F24E71"/>
    <w:rsid w:val="00F265FE"/>
    <w:rsid w:val="00F328A1"/>
    <w:rsid w:val="00F328CF"/>
    <w:rsid w:val="00F32C0E"/>
    <w:rsid w:val="00F34A81"/>
    <w:rsid w:val="00F360C5"/>
    <w:rsid w:val="00F36F95"/>
    <w:rsid w:val="00F40700"/>
    <w:rsid w:val="00F419E4"/>
    <w:rsid w:val="00F43560"/>
    <w:rsid w:val="00F46666"/>
    <w:rsid w:val="00F509E4"/>
    <w:rsid w:val="00F5120E"/>
    <w:rsid w:val="00F51EEC"/>
    <w:rsid w:val="00F530DA"/>
    <w:rsid w:val="00F5551D"/>
    <w:rsid w:val="00F55725"/>
    <w:rsid w:val="00F60232"/>
    <w:rsid w:val="00F61F48"/>
    <w:rsid w:val="00F630F2"/>
    <w:rsid w:val="00F63E17"/>
    <w:rsid w:val="00F648B8"/>
    <w:rsid w:val="00F673FD"/>
    <w:rsid w:val="00F704F6"/>
    <w:rsid w:val="00F71C93"/>
    <w:rsid w:val="00F71E08"/>
    <w:rsid w:val="00F72968"/>
    <w:rsid w:val="00F83A77"/>
    <w:rsid w:val="00F92B39"/>
    <w:rsid w:val="00F94C68"/>
    <w:rsid w:val="00F954D0"/>
    <w:rsid w:val="00F96008"/>
    <w:rsid w:val="00F97940"/>
    <w:rsid w:val="00FA0C82"/>
    <w:rsid w:val="00FA0F48"/>
    <w:rsid w:val="00FA2612"/>
    <w:rsid w:val="00FA26E5"/>
    <w:rsid w:val="00FA3C83"/>
    <w:rsid w:val="00FB0020"/>
    <w:rsid w:val="00FB185E"/>
    <w:rsid w:val="00FB24BB"/>
    <w:rsid w:val="00FB3A38"/>
    <w:rsid w:val="00FB3AE4"/>
    <w:rsid w:val="00FB459C"/>
    <w:rsid w:val="00FB48E4"/>
    <w:rsid w:val="00FB510E"/>
    <w:rsid w:val="00FB6C7B"/>
    <w:rsid w:val="00FC4CC2"/>
    <w:rsid w:val="00FC7792"/>
    <w:rsid w:val="00FD115F"/>
    <w:rsid w:val="00FD3B03"/>
    <w:rsid w:val="00FD5228"/>
    <w:rsid w:val="00FE0258"/>
    <w:rsid w:val="00FE04ED"/>
    <w:rsid w:val="00FE0E4D"/>
    <w:rsid w:val="00FE37DB"/>
    <w:rsid w:val="00FE4841"/>
    <w:rsid w:val="00FE54F0"/>
    <w:rsid w:val="00FE7E2E"/>
    <w:rsid w:val="00FF1663"/>
    <w:rsid w:val="00FF16F8"/>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99"/>
    <w:semiHidden/>
    <w:unhideWhenUsed/>
    <w:rsid w:val="00196262"/>
    <w:pPr>
      <w:spacing w:after="120"/>
    </w:pPr>
  </w:style>
  <w:style w:type="character" w:customStyle="1" w:styleId="BodyTextChar">
    <w:name w:val="Body Text Char"/>
    <w:basedOn w:val="DefaultParagraphFont"/>
    <w:link w:val="BodyText"/>
    <w:uiPriority w:val="99"/>
    <w:semiHidden/>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325521891">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06B267FC522449686156B6CFAA305" ma:contentTypeVersion="0" ma:contentTypeDescription="Create a new document." ma:contentTypeScope="" ma:versionID="17968cb146eb8414ad9f1e5a9825d8e1">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89E40-FEA3-4F09-9C68-228108EA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D820181C-4B0B-40D1-B949-C0BD5C2E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2017-04-05T19:51:00Z</dcterms:created>
  <dcterms:modified xsi:type="dcterms:W3CDTF">2017-04-05T20:04:00Z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0x01010006106B267FC522449686156B6CFAA305</vt:lpwstr>
  </property>
  <property fmtid="{D5CDD505-2E9C-101B-9397-08002B2CF9AE}" pid="4" name="_AdHocReviewCycleID">
    <vt:i4>-1214416229</vt:i4>
  </property>
</Properties>
</file>