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0EE509C5"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41147DFC" w14:textId="77777777" w:rsidTr="00630F27">
            <w:trPr>
              <w:trHeight w:val="684"/>
            </w:trPr>
            <w:tc>
              <w:tcPr>
                <w:tcW w:w="7672" w:type="dxa"/>
                <w:tcMar>
                  <w:top w:w="216" w:type="dxa"/>
                  <w:left w:w="115" w:type="dxa"/>
                  <w:bottom w:w="216" w:type="dxa"/>
                  <w:right w:w="115" w:type="dxa"/>
                </w:tcMar>
              </w:tcPr>
              <w:p w14:paraId="03B49067" w14:textId="77777777" w:rsidR="002F03D6" w:rsidRPr="009A5895" w:rsidRDefault="002F03D6" w:rsidP="00A17B6F">
                <w:pPr>
                  <w:pStyle w:val="NoSpacing"/>
                  <w:rPr>
                    <w:color w:val="365F91" w:themeColor="accent1" w:themeShade="BF"/>
                  </w:rPr>
                </w:pPr>
              </w:p>
            </w:tc>
          </w:tr>
          <w:tr w:rsidR="002F03D6" w:rsidRPr="009A5895" w14:paraId="7A460B7D" w14:textId="77777777">
            <w:tc>
              <w:tcPr>
                <w:tcW w:w="7672" w:type="dxa"/>
              </w:tcPr>
              <w:sdt>
                <w:sdtPr>
                  <w:rPr>
                    <w:rFonts w:eastAsia="Times New Roman"/>
                    <w:b/>
                    <w:sz w:val="28"/>
                    <w:szCs w:val="24"/>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4A31F9B9" w14:textId="613803DE" w:rsidR="002F03D6" w:rsidRPr="009A5895" w:rsidRDefault="00B64DB1" w:rsidP="00FE4B97">
                    <w:pPr>
                      <w:pStyle w:val="NoSpacing"/>
                      <w:spacing w:line="216" w:lineRule="auto"/>
                      <w:rPr>
                        <w:rFonts w:eastAsiaTheme="majorEastAsia" w:cstheme="majorBidi"/>
                        <w:color w:val="4F81BD" w:themeColor="accent1"/>
                      </w:rPr>
                    </w:pPr>
                    <w:r>
                      <w:rPr>
                        <w:rFonts w:eastAsia="Times New Roman"/>
                        <w:b/>
                        <w:sz w:val="28"/>
                        <w:szCs w:val="24"/>
                      </w:rPr>
                      <w:t xml:space="preserve">I-Catalyst Program -   Community-based Mosquito </w:t>
                    </w:r>
                    <w:r w:rsidR="00160B58">
                      <w:rPr>
                        <w:rFonts w:eastAsia="Times New Roman"/>
                        <w:b/>
                        <w:sz w:val="28"/>
                        <w:szCs w:val="24"/>
                      </w:rPr>
                      <w:t xml:space="preserve">Surveillance </w:t>
                    </w:r>
                    <w:r w:rsidR="00FE4B97">
                      <w:rPr>
                        <w:rFonts w:eastAsia="Times New Roman"/>
                        <w:b/>
                        <w:sz w:val="28"/>
                        <w:szCs w:val="24"/>
                      </w:rPr>
                      <w:t>Maternal Child Health Providers</w:t>
                    </w:r>
                    <w:r w:rsidR="002445E2">
                      <w:rPr>
                        <w:rFonts w:eastAsia="Times New Roman"/>
                        <w:b/>
                        <w:sz w:val="28"/>
                        <w:szCs w:val="24"/>
                      </w:rPr>
                      <w:t xml:space="preserve"> (MHP</w:t>
                    </w:r>
                    <w:r w:rsidR="00FA6DA7">
                      <w:rPr>
                        <w:rFonts w:eastAsia="Times New Roman"/>
                        <w:b/>
                        <w:sz w:val="28"/>
                        <w:szCs w:val="24"/>
                      </w:rPr>
                      <w:t>s)</w:t>
                    </w:r>
                  </w:p>
                </w:sdtContent>
              </w:sdt>
            </w:tc>
          </w:tr>
          <w:tr w:rsidR="002F03D6" w:rsidRPr="009A5895" w14:paraId="185CC145"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C33C014" w14:textId="77777777" w:rsidR="002F03D6" w:rsidRPr="009A5895" w:rsidRDefault="00B64DB1"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5018D317" w14:textId="77777777">
            <w:tc>
              <w:tcPr>
                <w:tcW w:w="7221" w:type="dxa"/>
                <w:tcMar>
                  <w:top w:w="216" w:type="dxa"/>
                  <w:left w:w="115" w:type="dxa"/>
                  <w:bottom w:w="216" w:type="dxa"/>
                  <w:right w:w="115" w:type="dxa"/>
                </w:tcMar>
              </w:tcPr>
              <w:p w14:paraId="396F2D3D" w14:textId="77777777" w:rsidR="00A17B6F" w:rsidRDefault="00A17B6F" w:rsidP="00A17B6F">
                <w:pPr>
                  <w:rPr>
                    <w:color w:val="44546A"/>
                  </w:rPr>
                </w:pPr>
                <w:r>
                  <w:rPr>
                    <w:color w:val="44546A"/>
                  </w:rPr>
                  <w:t>Juliana K. Cyril, MPH, PhD</w:t>
                </w:r>
              </w:p>
              <w:p w14:paraId="79274756"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72E8A7B3" w14:textId="77777777" w:rsidR="00A17B6F" w:rsidRDefault="00A17B6F" w:rsidP="00A17B6F">
                <w:pPr>
                  <w:rPr>
                    <w:color w:val="44546A"/>
                  </w:rPr>
                </w:pPr>
                <w:r>
                  <w:rPr>
                    <w:color w:val="44546A"/>
                  </w:rPr>
                  <w:t>Office of the Associate Director for Science</w:t>
                </w:r>
              </w:p>
              <w:p w14:paraId="627668CC" w14:textId="77777777" w:rsidR="00A17B6F" w:rsidRDefault="00A17B6F" w:rsidP="00A17B6F">
                <w:pPr>
                  <w:rPr>
                    <w:color w:val="44546A"/>
                  </w:rPr>
                </w:pPr>
                <w:r>
                  <w:rPr>
                    <w:color w:val="44546A"/>
                  </w:rPr>
                  <w:t>Centers for Disease Control and Prevention</w:t>
                </w:r>
              </w:p>
              <w:p w14:paraId="739F542A" w14:textId="77777777" w:rsidR="00A17B6F" w:rsidRDefault="00A17B6F" w:rsidP="00A17B6F">
                <w:pPr>
                  <w:rPr>
                    <w:color w:val="44546A"/>
                  </w:rPr>
                </w:pPr>
                <w:r>
                  <w:rPr>
                    <w:color w:val="44546A"/>
                  </w:rPr>
                  <w:t>Ph: 404-639-4639</w:t>
                </w:r>
              </w:p>
              <w:p w14:paraId="426CCB57" w14:textId="77777777" w:rsidR="00A17B6F" w:rsidRDefault="00A17B6F" w:rsidP="00A17B6F">
                <w:pPr>
                  <w:rPr>
                    <w:color w:val="44546A"/>
                  </w:rPr>
                </w:pPr>
                <w:r>
                  <w:rPr>
                    <w:color w:val="44546A"/>
                  </w:rPr>
                  <w:t>Fax: 404-639-4903</w:t>
                </w:r>
              </w:p>
              <w:p w14:paraId="62C19AA6" w14:textId="77777777" w:rsidR="00A17B6F" w:rsidRDefault="00A17B6F" w:rsidP="00A17B6F">
                <w:pPr>
                  <w:rPr>
                    <w:color w:val="44546A"/>
                  </w:rPr>
                </w:pPr>
              </w:p>
              <w:p w14:paraId="3856CE89" w14:textId="77777777" w:rsidR="00A013EA" w:rsidRDefault="00E55615" w:rsidP="00A17B6F">
                <w:pPr>
                  <w:rPr>
                    <w:color w:val="44546A"/>
                  </w:rPr>
                </w:pPr>
                <w:r w:rsidRPr="00E55615">
                  <w:rPr>
                    <w:color w:val="44546A"/>
                  </w:rPr>
                  <w:t xml:space="preserve">Team Lead – </w:t>
                </w:r>
                <w:r w:rsidR="00E70242">
                  <w:rPr>
                    <w:color w:val="44546A"/>
                  </w:rPr>
                  <w:t>Alba Phippard</w:t>
                </w:r>
                <w:r w:rsidR="00C0273B">
                  <w:rPr>
                    <w:color w:val="44546A"/>
                  </w:rPr>
                  <w:t xml:space="preserve">, </w:t>
                </w:r>
                <w:r w:rsidR="00547E23">
                  <w:rPr>
                    <w:color w:val="44546A"/>
                  </w:rPr>
                  <w:t>NCEZID</w:t>
                </w:r>
              </w:p>
              <w:p w14:paraId="753E3DC0" w14:textId="77777777" w:rsidR="00A013EA" w:rsidRDefault="00A013EA" w:rsidP="00A17B6F">
                <w:pPr>
                  <w:rPr>
                    <w:color w:val="44546A"/>
                  </w:rPr>
                </w:pPr>
              </w:p>
              <w:p w14:paraId="6FD3E2BD" w14:textId="77777777" w:rsidR="00A013EA" w:rsidRDefault="00A013EA" w:rsidP="00A17B6F">
                <w:pPr>
                  <w:rPr>
                    <w:color w:val="44546A"/>
                  </w:rPr>
                </w:pPr>
              </w:p>
              <w:p w14:paraId="2EAE4D65" w14:textId="784C2314" w:rsidR="00A17B6F" w:rsidRDefault="00A17B6F" w:rsidP="00A17B6F">
                <w:pPr>
                  <w:rPr>
                    <w:color w:val="44546A"/>
                  </w:rPr>
                </w:pPr>
                <w:r>
                  <w:rPr>
                    <w:color w:val="44546A"/>
                  </w:rPr>
                  <w:t>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1-27T00:00:00Z">
                    <w:dateFormat w:val="M-d-yyyy"/>
                    <w:lid w:val="en-US"/>
                    <w:storeMappedDataAs w:val="dateTime"/>
                    <w:calendar w:val="gregorian"/>
                  </w:date>
                </w:sdtPr>
                <w:sdtEndPr/>
                <w:sdtContent>
                  <w:p w14:paraId="6FDBE259" w14:textId="277F4FCC" w:rsidR="002F03D6" w:rsidRPr="009A5895" w:rsidRDefault="00B64DB1">
                    <w:pPr>
                      <w:pStyle w:val="NoSpacing"/>
                      <w:rPr>
                        <w:color w:val="4F81BD" w:themeColor="accent1"/>
                      </w:rPr>
                    </w:pPr>
                    <w:r>
                      <w:rPr>
                        <w:color w:val="4F81BD" w:themeColor="accent1"/>
                      </w:rPr>
                      <w:t>1</w:t>
                    </w:r>
                    <w:r w:rsidR="00FA6DA7">
                      <w:rPr>
                        <w:color w:val="4F81BD" w:themeColor="accent1"/>
                      </w:rPr>
                      <w:t>1</w:t>
                    </w:r>
                    <w:r w:rsidR="006E4D7A">
                      <w:rPr>
                        <w:color w:val="4F81BD" w:themeColor="accent1"/>
                      </w:rPr>
                      <w:t>-27</w:t>
                    </w:r>
                    <w:r>
                      <w:rPr>
                        <w:color w:val="4F81BD" w:themeColor="accent1"/>
                      </w:rPr>
                      <w:t>-2017</w:t>
                    </w:r>
                  </w:p>
                </w:sdtContent>
              </w:sdt>
              <w:p w14:paraId="1FDBD8CC" w14:textId="77777777" w:rsidR="007527DE" w:rsidRPr="009A5895" w:rsidRDefault="007527DE" w:rsidP="00ED3242">
                <w:pPr>
                  <w:pStyle w:val="NoSpacing"/>
                  <w:rPr>
                    <w:color w:val="4F81BD" w:themeColor="accent1"/>
                  </w:rPr>
                </w:pPr>
              </w:p>
            </w:tc>
          </w:tr>
        </w:tbl>
        <w:p w14:paraId="6366F00C"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7F13DC44"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37F609BA" w14:textId="20CBA937"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6E4D7A">
              <w:rPr>
                <w:noProof/>
                <w:webHidden/>
              </w:rPr>
              <w:t>3</w:t>
            </w:r>
            <w:r w:rsidR="00BC1559">
              <w:rPr>
                <w:noProof/>
                <w:webHidden/>
              </w:rPr>
              <w:fldChar w:fldCharType="end"/>
            </w:r>
          </w:hyperlink>
        </w:p>
        <w:p w14:paraId="74DFE322" w14:textId="759AC407" w:rsidR="00BC1559" w:rsidRDefault="009154C5">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6E4D7A">
              <w:rPr>
                <w:noProof/>
                <w:webHidden/>
              </w:rPr>
              <w:t>3</w:t>
            </w:r>
            <w:r w:rsidR="00BC1559">
              <w:rPr>
                <w:noProof/>
                <w:webHidden/>
              </w:rPr>
              <w:fldChar w:fldCharType="end"/>
            </w:r>
          </w:hyperlink>
        </w:p>
        <w:p w14:paraId="4C1982E4" w14:textId="21A875EF" w:rsidR="00BC1559" w:rsidRDefault="009154C5">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6E4D7A">
              <w:rPr>
                <w:noProof/>
                <w:webHidden/>
              </w:rPr>
              <w:t>3</w:t>
            </w:r>
            <w:r w:rsidR="00BC1559">
              <w:rPr>
                <w:noProof/>
                <w:webHidden/>
              </w:rPr>
              <w:fldChar w:fldCharType="end"/>
            </w:r>
          </w:hyperlink>
        </w:p>
        <w:p w14:paraId="09BF4244" w14:textId="57E5DC1D" w:rsidR="00BC1559" w:rsidRDefault="009154C5">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6E4D7A">
              <w:rPr>
                <w:noProof/>
                <w:webHidden/>
              </w:rPr>
              <w:t>4</w:t>
            </w:r>
            <w:r w:rsidR="00BC1559">
              <w:rPr>
                <w:noProof/>
                <w:webHidden/>
              </w:rPr>
              <w:fldChar w:fldCharType="end"/>
            </w:r>
          </w:hyperlink>
        </w:p>
        <w:p w14:paraId="095DF197" w14:textId="3FA5A91D" w:rsidR="00BC1559" w:rsidRDefault="009154C5">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6E4D7A">
              <w:rPr>
                <w:noProof/>
                <w:webHidden/>
              </w:rPr>
              <w:t>4</w:t>
            </w:r>
            <w:r w:rsidR="00BC1559">
              <w:rPr>
                <w:noProof/>
                <w:webHidden/>
              </w:rPr>
              <w:fldChar w:fldCharType="end"/>
            </w:r>
          </w:hyperlink>
        </w:p>
        <w:p w14:paraId="7409DAE2" w14:textId="4CA05082" w:rsidR="00BC1559" w:rsidRDefault="009154C5">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391F16AC" w14:textId="1B19F56C" w:rsidR="00BC1559" w:rsidRDefault="009154C5">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78B5A703" w14:textId="34FF8188" w:rsidR="00BC1559" w:rsidRDefault="009154C5">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6BD518D2" w14:textId="3578D5EC" w:rsidR="00BC1559" w:rsidRDefault="009154C5">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69261E82" w14:textId="2A2DC949" w:rsidR="00BC1559" w:rsidRDefault="009154C5">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766D428E" w14:textId="4957FC7F" w:rsidR="00BC1559" w:rsidRDefault="009154C5">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589F3FEA" w14:textId="325BA911" w:rsidR="00BC1559" w:rsidRDefault="009154C5">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7063D76F" w14:textId="28F4867E" w:rsidR="00BC1559" w:rsidRDefault="009154C5">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6E4D7A">
              <w:rPr>
                <w:noProof/>
                <w:webHidden/>
              </w:rPr>
              <w:t>5</w:t>
            </w:r>
            <w:r w:rsidR="00BC1559">
              <w:rPr>
                <w:noProof/>
                <w:webHidden/>
              </w:rPr>
              <w:fldChar w:fldCharType="end"/>
            </w:r>
          </w:hyperlink>
        </w:p>
        <w:p w14:paraId="414CBEF3" w14:textId="7C36F876" w:rsidR="00BC1559" w:rsidRDefault="009154C5">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6E4D7A">
              <w:rPr>
                <w:noProof/>
                <w:webHidden/>
              </w:rPr>
              <w:t>6</w:t>
            </w:r>
            <w:r w:rsidR="00BC1559">
              <w:rPr>
                <w:noProof/>
                <w:webHidden/>
              </w:rPr>
              <w:fldChar w:fldCharType="end"/>
            </w:r>
          </w:hyperlink>
        </w:p>
        <w:p w14:paraId="38465369" w14:textId="75D58ADF" w:rsidR="00BC1559" w:rsidRDefault="009154C5">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6E4D7A">
              <w:rPr>
                <w:noProof/>
                <w:webHidden/>
              </w:rPr>
              <w:t>6</w:t>
            </w:r>
            <w:r w:rsidR="00BC1559">
              <w:rPr>
                <w:noProof/>
                <w:webHidden/>
              </w:rPr>
              <w:fldChar w:fldCharType="end"/>
            </w:r>
          </w:hyperlink>
        </w:p>
        <w:p w14:paraId="7CFAA288" w14:textId="218275E6" w:rsidR="00BC1559" w:rsidRDefault="009154C5">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6E4D7A">
              <w:rPr>
                <w:noProof/>
                <w:webHidden/>
              </w:rPr>
              <w:t>6</w:t>
            </w:r>
            <w:r w:rsidR="00BC1559">
              <w:rPr>
                <w:noProof/>
                <w:webHidden/>
              </w:rPr>
              <w:fldChar w:fldCharType="end"/>
            </w:r>
          </w:hyperlink>
        </w:p>
        <w:p w14:paraId="363A2EDF" w14:textId="1A061F26" w:rsidR="00BC1559" w:rsidRDefault="009154C5">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6E4D7A">
              <w:rPr>
                <w:noProof/>
                <w:webHidden/>
              </w:rPr>
              <w:t>6</w:t>
            </w:r>
            <w:r w:rsidR="00BC1559">
              <w:rPr>
                <w:noProof/>
                <w:webHidden/>
              </w:rPr>
              <w:fldChar w:fldCharType="end"/>
            </w:r>
          </w:hyperlink>
        </w:p>
        <w:p w14:paraId="7124F767" w14:textId="6E2F077F" w:rsidR="00BC1559" w:rsidRDefault="009154C5">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6E4D7A">
              <w:rPr>
                <w:noProof/>
                <w:webHidden/>
              </w:rPr>
              <w:t>6</w:t>
            </w:r>
            <w:r w:rsidR="00BC1559">
              <w:rPr>
                <w:noProof/>
                <w:webHidden/>
              </w:rPr>
              <w:fldChar w:fldCharType="end"/>
            </w:r>
          </w:hyperlink>
        </w:p>
        <w:p w14:paraId="323414D1" w14:textId="55F8C3C6" w:rsidR="00BC1559" w:rsidRDefault="009154C5">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6E4D7A">
              <w:rPr>
                <w:noProof/>
                <w:webHidden/>
              </w:rPr>
              <w:t>6</w:t>
            </w:r>
            <w:r w:rsidR="00BC1559">
              <w:rPr>
                <w:noProof/>
                <w:webHidden/>
              </w:rPr>
              <w:fldChar w:fldCharType="end"/>
            </w:r>
          </w:hyperlink>
        </w:p>
        <w:p w14:paraId="130F6D12"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51D80888" w14:textId="77777777" w:rsidR="00DC57CC" w:rsidRPr="009A5895" w:rsidRDefault="00DC57CC">
      <w:pPr>
        <w:rPr>
          <w:rFonts w:asciiTheme="minorHAnsi" w:hAnsiTheme="minorHAnsi"/>
        </w:rPr>
      </w:pPr>
    </w:p>
    <w:p w14:paraId="67CC1DB3" w14:textId="77777777" w:rsidR="007D5B5C" w:rsidRPr="009A5895" w:rsidRDefault="007D5B5C">
      <w:pPr>
        <w:rPr>
          <w:rFonts w:asciiTheme="minorHAnsi" w:hAnsiTheme="minorHAnsi"/>
        </w:rPr>
      </w:pPr>
    </w:p>
    <w:p w14:paraId="1C9C4322" w14:textId="77777777"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31C8206E" w14:textId="72B06958" w:rsidR="00AC0988" w:rsidRDefault="00AC0988" w:rsidP="00C573FA">
      <w:pPr>
        <w:pStyle w:val="ListParagraph"/>
      </w:pPr>
    </w:p>
    <w:p w14:paraId="55B7CC0F" w14:textId="2FF3AF4E" w:rsidR="00ED3242" w:rsidRDefault="00ED3242" w:rsidP="00ED3242">
      <w:pPr>
        <w:pStyle w:val="ListParagraph"/>
        <w:numPr>
          <w:ilvl w:val="0"/>
          <w:numId w:val="28"/>
        </w:numPr>
      </w:pPr>
      <w:r>
        <w:t>Supporting Statement A</w:t>
      </w:r>
    </w:p>
    <w:p w14:paraId="3E96AC7B" w14:textId="77777777" w:rsidR="003A7E8A" w:rsidRDefault="00ED3242" w:rsidP="00ED3242">
      <w:pPr>
        <w:pStyle w:val="ListParagraph"/>
        <w:numPr>
          <w:ilvl w:val="0"/>
          <w:numId w:val="28"/>
        </w:numPr>
      </w:pPr>
      <w:r>
        <w:t>Att. 1: I-Cat Interview Protocol Guide and Questions</w:t>
      </w:r>
    </w:p>
    <w:p w14:paraId="2623CA3C" w14:textId="77777777" w:rsidR="00ED3242" w:rsidRDefault="00ED3242" w:rsidP="00C573FA">
      <w:pPr>
        <w:pStyle w:val="ListParagraph"/>
        <w:numPr>
          <w:ilvl w:val="0"/>
          <w:numId w:val="28"/>
        </w:numPr>
      </w:pPr>
      <w:r>
        <w:t>I-Catalyst Request Template</w:t>
      </w:r>
    </w:p>
    <w:p w14:paraId="517540AF" w14:textId="77777777" w:rsidR="00ED3242" w:rsidRDefault="00ED3242" w:rsidP="00C573FA">
      <w:pPr>
        <w:ind w:left="360"/>
      </w:pPr>
    </w:p>
    <w:p w14:paraId="1B211DF8" w14:textId="522FF033" w:rsidR="007D5B5C" w:rsidRPr="009A5895" w:rsidRDefault="001478D1">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32CC664C" wp14:editId="4DAF4C98">
                <wp:simplePos x="0" y="0"/>
                <wp:positionH relativeFrom="margin">
                  <wp:posOffset>-76200</wp:posOffset>
                </wp:positionH>
                <wp:positionV relativeFrom="paragraph">
                  <wp:posOffset>466725</wp:posOffset>
                </wp:positionV>
                <wp:extent cx="6484620" cy="43529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352925"/>
                        </a:xfrm>
                        <a:prstGeom prst="rect">
                          <a:avLst/>
                        </a:prstGeom>
                        <a:solidFill>
                          <a:srgbClr val="FFFFFF"/>
                        </a:solidFill>
                        <a:ln w="9525">
                          <a:solidFill>
                            <a:srgbClr val="000000"/>
                          </a:solidFill>
                          <a:miter lim="800000"/>
                          <a:headEnd/>
                          <a:tailEnd/>
                        </a:ln>
                      </wps:spPr>
                      <wps:txbx>
                        <w:txbxContent>
                          <w:p w14:paraId="6E932BCD" w14:textId="77777777" w:rsidR="00AC0988" w:rsidRDefault="00AC0988" w:rsidP="00AC0988">
                            <w:pPr>
                              <w:pStyle w:val="ListParagraph"/>
                              <w:jc w:val="both"/>
                              <w:rPr>
                                <w:rFonts w:eastAsia="Times New Roman" w:cs="Segoe UI"/>
                              </w:rPr>
                            </w:pPr>
                          </w:p>
                          <w:p w14:paraId="1F04453F" w14:textId="049BBF0C" w:rsidR="00ED26F0" w:rsidRDefault="00ED3242" w:rsidP="001478D1">
                            <w:pPr>
                              <w:pStyle w:val="ListParagraph"/>
                              <w:numPr>
                                <w:ilvl w:val="0"/>
                                <w:numId w:val="21"/>
                              </w:numPr>
                              <w:jc w:val="both"/>
                              <w:rPr>
                                <w:rFonts w:asciiTheme="minorHAnsi" w:hAnsiTheme="minorHAnsi" w:cs="Segoe UI"/>
                              </w:rPr>
                            </w:pPr>
                            <w:r>
                              <w:rPr>
                                <w:rFonts w:asciiTheme="minorHAnsi" w:hAnsiTheme="minorHAnsi" w:cs="Segoe UI"/>
                              </w:rPr>
                              <w:t xml:space="preserve">Goal of the Study: </w:t>
                            </w:r>
                            <w:r w:rsidR="00E36B8E">
                              <w:rPr>
                                <w:rFonts w:asciiTheme="minorHAnsi" w:hAnsiTheme="minorHAnsi" w:cs="Segoe UI"/>
                              </w:rPr>
                              <w:t xml:space="preserve">To </w:t>
                            </w:r>
                            <w:r w:rsidR="009A351F">
                              <w:rPr>
                                <w:rFonts w:asciiTheme="minorHAnsi" w:hAnsiTheme="minorHAnsi" w:cs="Segoe UI"/>
                              </w:rPr>
                              <w:t>explore</w:t>
                            </w:r>
                            <w:r w:rsidR="00E36B8E">
                              <w:rPr>
                                <w:rFonts w:asciiTheme="minorHAnsi" w:hAnsiTheme="minorHAnsi" w:cs="Segoe UI"/>
                              </w:rPr>
                              <w:t xml:space="preserve"> whether a </w:t>
                            </w:r>
                            <w:r w:rsidR="00E36B8E" w:rsidRPr="00E70242">
                              <w:rPr>
                                <w:rFonts w:asciiTheme="minorHAnsi" w:hAnsiTheme="minorHAnsi" w:cs="Segoe UI"/>
                              </w:rPr>
                              <w:t xml:space="preserve">community-based surveillance and education platform, Kidenga, </w:t>
                            </w:r>
                            <w:r w:rsidR="00E36B8E">
                              <w:rPr>
                                <w:rFonts w:asciiTheme="minorHAnsi" w:hAnsiTheme="minorHAnsi" w:cs="Segoe UI"/>
                              </w:rPr>
                              <w:t>would</w:t>
                            </w:r>
                            <w:r w:rsidR="00E36B8E" w:rsidRPr="00E70242">
                              <w:rPr>
                                <w:rFonts w:asciiTheme="minorHAnsi" w:hAnsiTheme="minorHAnsi" w:cs="Segoe UI"/>
                              </w:rPr>
                              <w:t xml:space="preserve"> </w:t>
                            </w:r>
                            <w:r w:rsidR="0016362B">
                              <w:rPr>
                                <w:rFonts w:asciiTheme="minorHAnsi" w:hAnsiTheme="minorHAnsi" w:cs="Segoe UI"/>
                              </w:rPr>
                              <w:t xml:space="preserve">be likely to </w:t>
                            </w:r>
                            <w:r w:rsidR="00E36B8E" w:rsidRPr="00E70242">
                              <w:rPr>
                                <w:rFonts w:asciiTheme="minorHAnsi" w:hAnsiTheme="minorHAnsi" w:cs="Segoe UI"/>
                              </w:rPr>
                              <w:t xml:space="preserve">engage the public in reducing mosquito habitat by sending tailored, weather-based warnings of high-risk periods of mosquito reproduction and activity to users’ smart-phones, along with cues to action. </w:t>
                            </w:r>
                          </w:p>
                          <w:p w14:paraId="01E1396A" w14:textId="77777777" w:rsidR="00DA621F" w:rsidRPr="00DA621F" w:rsidRDefault="00DA621F" w:rsidP="001478D1">
                            <w:pPr>
                              <w:pStyle w:val="ListParagraph"/>
                              <w:jc w:val="both"/>
                              <w:rPr>
                                <w:rFonts w:asciiTheme="minorHAnsi" w:hAnsiTheme="minorHAnsi" w:cs="Segoe UI"/>
                              </w:rPr>
                            </w:pPr>
                          </w:p>
                          <w:p w14:paraId="4FEFC3F1" w14:textId="1DCAB558" w:rsidR="008818C2"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Intended Use of Resulting Data:  </w:t>
                            </w:r>
                            <w:r w:rsidR="001478D1" w:rsidRPr="001478D1">
                              <w:rPr>
                                <w:rFonts w:asciiTheme="minorHAnsi" w:hAnsiTheme="minorHAnsi" w:cs="Helvetica"/>
                                <w:color w:val="000000"/>
                              </w:rPr>
                              <w:t>Resulting data will be used for internal decision making regarding CDC’s support of the development of the weather-based alerts and to provide suggestions for improving community engagement features of the Kidenga app.</w:t>
                            </w:r>
                            <w:r w:rsidRPr="00E70242">
                              <w:rPr>
                                <w:rFonts w:asciiTheme="minorHAnsi" w:hAnsiTheme="minorHAnsi" w:cs="CourierStd"/>
                              </w:rPr>
                              <w:t xml:space="preserve"> </w:t>
                            </w:r>
                            <w:r w:rsidR="001478D1" w:rsidRPr="001478D1">
                              <w:rPr>
                                <w:rFonts w:asciiTheme="minorHAnsi" w:hAnsiTheme="minorHAnsi" w:cs="CourierStd"/>
                              </w:rPr>
                              <w:t>The data collection is not designed to obtain generalizable knowledge, but to inform the CDC Kidenga team’s efforts among a targeted population.</w:t>
                            </w:r>
                          </w:p>
                          <w:p w14:paraId="3C3CD9EE" w14:textId="77777777" w:rsidR="008818C2" w:rsidRPr="00C573FA" w:rsidRDefault="008818C2" w:rsidP="001478D1">
                            <w:pPr>
                              <w:pStyle w:val="ListParagraph"/>
                              <w:jc w:val="both"/>
                              <w:rPr>
                                <w:rFonts w:asciiTheme="minorHAnsi" w:hAnsiTheme="minorHAnsi"/>
                              </w:rPr>
                            </w:pPr>
                          </w:p>
                          <w:p w14:paraId="38643B79" w14:textId="07B41EA9" w:rsidR="00AC0988"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Methods for Collecting Data:  The CDC project team will conduct 30-minute, semi-structured interviews with respondents in areas where Aedes mosquitos are endemic.  </w:t>
                            </w:r>
                            <w:r w:rsidR="00AC0988" w:rsidRPr="00C573FA">
                              <w:rPr>
                                <w:rFonts w:asciiTheme="minorHAnsi" w:hAnsiTheme="minorHAnsi"/>
                              </w:rPr>
                              <w:t>Teams will use convenience sampling methods to select subjects who are readily available and within close proximity.</w:t>
                            </w:r>
                          </w:p>
                          <w:p w14:paraId="784A71FD" w14:textId="77777777" w:rsidR="00AC0988" w:rsidRPr="00F21FD6" w:rsidRDefault="00AC0988" w:rsidP="001478D1">
                            <w:pPr>
                              <w:autoSpaceDE w:val="0"/>
                              <w:autoSpaceDN w:val="0"/>
                              <w:adjustRightInd w:val="0"/>
                              <w:jc w:val="both"/>
                              <w:rPr>
                                <w:rFonts w:asciiTheme="minorHAnsi" w:hAnsiTheme="minorHAnsi" w:cs="Helvetica"/>
                              </w:rPr>
                            </w:pPr>
                          </w:p>
                          <w:p w14:paraId="5B03F05E" w14:textId="39B7062B" w:rsidR="0081233C" w:rsidRDefault="008818C2" w:rsidP="00FA6DA7">
                            <w:pPr>
                              <w:pStyle w:val="ListParagraph"/>
                              <w:numPr>
                                <w:ilvl w:val="0"/>
                                <w:numId w:val="21"/>
                              </w:numPr>
                              <w:autoSpaceDE w:val="0"/>
                              <w:autoSpaceDN w:val="0"/>
                              <w:adjustRightInd w:val="0"/>
                              <w:jc w:val="both"/>
                              <w:rPr>
                                <w:rFonts w:asciiTheme="minorHAnsi" w:hAnsiTheme="minorHAnsi" w:cs="Helvetica"/>
                              </w:rPr>
                            </w:pPr>
                            <w:r>
                              <w:rPr>
                                <w:rFonts w:asciiTheme="minorHAnsi" w:hAnsiTheme="minorHAnsi" w:cs="Helvetica"/>
                              </w:rPr>
                              <w:t xml:space="preserve">Subpopulation to be Studied:  </w:t>
                            </w:r>
                            <w:r w:rsidR="00FA6DA7" w:rsidRPr="00FA6DA7">
                              <w:rPr>
                                <w:rFonts w:asciiTheme="minorHAnsi" w:hAnsiTheme="minorHAnsi" w:cs="Helvetica"/>
                              </w:rPr>
                              <w:t xml:space="preserve">Populations and customers to be interviewed include clinical and non-clinical Maternal-Child Health </w:t>
                            </w:r>
                            <w:r w:rsidR="002445E2">
                              <w:rPr>
                                <w:rFonts w:asciiTheme="minorHAnsi" w:hAnsiTheme="minorHAnsi" w:cs="Helvetica"/>
                              </w:rPr>
                              <w:t>P</w:t>
                            </w:r>
                            <w:r w:rsidR="00FA6DA7" w:rsidRPr="00FA6DA7">
                              <w:rPr>
                                <w:rFonts w:asciiTheme="minorHAnsi" w:hAnsiTheme="minorHAnsi" w:cs="Helvetica"/>
                              </w:rPr>
                              <w:t>roviders</w:t>
                            </w:r>
                            <w:r w:rsidR="002445E2">
                              <w:rPr>
                                <w:rFonts w:asciiTheme="minorHAnsi" w:hAnsiTheme="minorHAnsi" w:cs="Helvetica"/>
                              </w:rPr>
                              <w:t xml:space="preserve"> - MHPs</w:t>
                            </w:r>
                            <w:r w:rsidR="00FA6DA7" w:rsidRPr="00FA6DA7">
                              <w:rPr>
                                <w:rFonts w:asciiTheme="minorHAnsi" w:hAnsiTheme="minorHAnsi" w:cs="Helvetica"/>
                              </w:rPr>
                              <w:t xml:space="preserve"> (physicians, Doulas, Community Healthcare Workers, Promatoras).</w:t>
                            </w:r>
                          </w:p>
                          <w:p w14:paraId="2E741E39" w14:textId="77777777" w:rsidR="008818C2" w:rsidRPr="00C573FA" w:rsidRDefault="008818C2" w:rsidP="001478D1">
                            <w:pPr>
                              <w:pStyle w:val="ListParagraph"/>
                              <w:jc w:val="both"/>
                              <w:rPr>
                                <w:rFonts w:asciiTheme="minorHAnsi" w:hAnsiTheme="minorHAnsi" w:cs="Helvetica"/>
                              </w:rPr>
                            </w:pPr>
                          </w:p>
                          <w:p w14:paraId="78A88995" w14:textId="77777777" w:rsidR="001478D1" w:rsidRPr="001478D1" w:rsidRDefault="008818C2" w:rsidP="001478D1">
                            <w:pPr>
                              <w:pStyle w:val="ListParagraph"/>
                              <w:numPr>
                                <w:ilvl w:val="0"/>
                                <w:numId w:val="21"/>
                              </w:numPr>
                              <w:jc w:val="both"/>
                              <w:rPr>
                                <w:rFonts w:asciiTheme="minorHAnsi" w:hAnsiTheme="minorHAnsi" w:cs="Helvetica"/>
                              </w:rPr>
                            </w:pPr>
                            <w:r w:rsidRPr="001478D1">
                              <w:rPr>
                                <w:rFonts w:asciiTheme="minorHAnsi" w:hAnsiTheme="minorHAnsi" w:cs="Helvetica"/>
                              </w:rPr>
                              <w:t xml:space="preserve">How Data Will be Analyzed:  </w:t>
                            </w:r>
                            <w:r w:rsidR="001478D1" w:rsidRPr="001478D1">
                              <w:rPr>
                                <w:rFonts w:asciiTheme="minorHAnsi" w:hAnsiTheme="minorHAnsi" w:cs="Helvetica"/>
                              </w:rPr>
                              <w:t>Simple analysis techniques will be performed to group, organize, and identify themes or repeated insights/feedback in the information collected. No statistical analyses is planned. The information gained through the interviews will be used to make internal decisions about acceptability, usage, and usefulness of methods and whether to pursue further development of solutions or not for local and state health departments. Generalization of results is not intended.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75pt;width:510.6pt;height:3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">
                <v:textbox>
                  <w:txbxContent>
                    <w:p w14:paraId="6E932BCD" w14:textId="77777777" w:rsidR="00AC0988" w:rsidRDefault="00AC0988" w:rsidP="00AC0988">
                      <w:pPr>
                        <w:pStyle w:val="ListParagraph"/>
                        <w:jc w:val="both"/>
                        <w:rPr>
                          <w:rFonts w:eastAsia="Times New Roman" w:cs="Segoe UI"/>
                        </w:rPr>
                      </w:pPr>
                    </w:p>
                    <w:p w14:paraId="1F04453F" w14:textId="049BBF0C" w:rsidR="00ED26F0" w:rsidRDefault="00ED3242" w:rsidP="001478D1">
                      <w:pPr>
                        <w:pStyle w:val="ListParagraph"/>
                        <w:numPr>
                          <w:ilvl w:val="0"/>
                          <w:numId w:val="21"/>
                        </w:numPr>
                        <w:jc w:val="both"/>
                        <w:rPr>
                          <w:rFonts w:asciiTheme="minorHAnsi" w:hAnsiTheme="minorHAnsi" w:cs="Segoe UI"/>
                        </w:rPr>
                      </w:pPr>
                      <w:r>
                        <w:rPr>
                          <w:rFonts w:asciiTheme="minorHAnsi" w:hAnsiTheme="minorHAnsi" w:cs="Segoe UI"/>
                        </w:rPr>
                        <w:t xml:space="preserve">Goal of the Study: </w:t>
                      </w:r>
                      <w:r w:rsidR="00E36B8E">
                        <w:rPr>
                          <w:rFonts w:asciiTheme="minorHAnsi" w:hAnsiTheme="minorHAnsi" w:cs="Segoe UI"/>
                        </w:rPr>
                        <w:t xml:space="preserve">To </w:t>
                      </w:r>
                      <w:r w:rsidR="009A351F">
                        <w:rPr>
                          <w:rFonts w:asciiTheme="minorHAnsi" w:hAnsiTheme="minorHAnsi" w:cs="Segoe UI"/>
                        </w:rPr>
                        <w:t>explore</w:t>
                      </w:r>
                      <w:r w:rsidR="00E36B8E">
                        <w:rPr>
                          <w:rFonts w:asciiTheme="minorHAnsi" w:hAnsiTheme="minorHAnsi" w:cs="Segoe UI"/>
                        </w:rPr>
                        <w:t xml:space="preserve"> whether a </w:t>
                      </w:r>
                      <w:r w:rsidR="00E36B8E" w:rsidRPr="00E70242">
                        <w:rPr>
                          <w:rFonts w:asciiTheme="minorHAnsi" w:hAnsiTheme="minorHAnsi" w:cs="Segoe UI"/>
                        </w:rPr>
                        <w:t xml:space="preserve">community-based surveillance and education platform, Kidenga, </w:t>
                      </w:r>
                      <w:r w:rsidR="00E36B8E">
                        <w:rPr>
                          <w:rFonts w:asciiTheme="minorHAnsi" w:hAnsiTheme="minorHAnsi" w:cs="Segoe UI"/>
                        </w:rPr>
                        <w:t>would</w:t>
                      </w:r>
                      <w:r w:rsidR="00E36B8E" w:rsidRPr="00E70242">
                        <w:rPr>
                          <w:rFonts w:asciiTheme="minorHAnsi" w:hAnsiTheme="minorHAnsi" w:cs="Segoe UI"/>
                        </w:rPr>
                        <w:t xml:space="preserve"> </w:t>
                      </w:r>
                      <w:r w:rsidR="0016362B">
                        <w:rPr>
                          <w:rFonts w:asciiTheme="minorHAnsi" w:hAnsiTheme="minorHAnsi" w:cs="Segoe UI"/>
                        </w:rPr>
                        <w:t xml:space="preserve">be likely to </w:t>
                      </w:r>
                      <w:r w:rsidR="00E36B8E" w:rsidRPr="00E70242">
                        <w:rPr>
                          <w:rFonts w:asciiTheme="minorHAnsi" w:hAnsiTheme="minorHAnsi" w:cs="Segoe UI"/>
                        </w:rPr>
                        <w:t xml:space="preserve">engage the public in reducing mosquito habitat by sending tailored, weather-based warnings of high-risk periods of mosquito reproduction and activity to users’ smart-phones, along with cues to action. </w:t>
                      </w:r>
                    </w:p>
                    <w:p w14:paraId="01E1396A" w14:textId="77777777" w:rsidR="00DA621F" w:rsidRPr="00DA621F" w:rsidRDefault="00DA621F" w:rsidP="001478D1">
                      <w:pPr>
                        <w:pStyle w:val="ListParagraph"/>
                        <w:jc w:val="both"/>
                        <w:rPr>
                          <w:rFonts w:asciiTheme="minorHAnsi" w:hAnsiTheme="minorHAnsi" w:cs="Segoe UI"/>
                        </w:rPr>
                      </w:pPr>
                    </w:p>
                    <w:p w14:paraId="4FEFC3F1" w14:textId="1DCAB558" w:rsidR="008818C2"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Intended Use of Resulting Data:  </w:t>
                      </w:r>
                      <w:r w:rsidR="001478D1" w:rsidRPr="001478D1">
                        <w:rPr>
                          <w:rFonts w:asciiTheme="minorHAnsi" w:hAnsiTheme="minorHAnsi" w:cs="Helvetica"/>
                          <w:color w:val="000000"/>
                        </w:rPr>
                        <w:t>Resulting data will be used for internal decision making regarding CDC’s support of the development of the weather-based alerts and to provide suggestions for improving community engagement features of the Kidenga app.</w:t>
                      </w:r>
                      <w:r w:rsidRPr="00E70242">
                        <w:rPr>
                          <w:rFonts w:asciiTheme="minorHAnsi" w:hAnsiTheme="minorHAnsi" w:cs="CourierStd"/>
                        </w:rPr>
                        <w:t xml:space="preserve"> </w:t>
                      </w:r>
                      <w:r w:rsidR="001478D1" w:rsidRPr="001478D1">
                        <w:rPr>
                          <w:rFonts w:asciiTheme="minorHAnsi" w:hAnsiTheme="minorHAnsi" w:cs="CourierStd"/>
                        </w:rPr>
                        <w:t>The data collection is not designed to obtain generalizable knowledge, but to inform the CDC Kidenga team’s efforts among a targeted population.</w:t>
                      </w:r>
                    </w:p>
                    <w:p w14:paraId="3C3CD9EE" w14:textId="77777777" w:rsidR="008818C2" w:rsidRPr="00C573FA" w:rsidRDefault="008818C2" w:rsidP="001478D1">
                      <w:pPr>
                        <w:pStyle w:val="ListParagraph"/>
                        <w:jc w:val="both"/>
                        <w:rPr>
                          <w:rFonts w:asciiTheme="minorHAnsi" w:hAnsiTheme="minorHAnsi"/>
                        </w:rPr>
                      </w:pPr>
                    </w:p>
                    <w:p w14:paraId="38643B79" w14:textId="07B41EA9" w:rsidR="00AC0988"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Methods for Collecting Data:  The CDC project team will conduct 30-minute, semi-structured interviews with respondents in areas where Aedes mosquitos are endemic.  </w:t>
                      </w:r>
                      <w:r w:rsidR="00AC0988" w:rsidRPr="00C573FA">
                        <w:rPr>
                          <w:rFonts w:asciiTheme="minorHAnsi" w:hAnsiTheme="minorHAnsi"/>
                        </w:rPr>
                        <w:t>Teams will use convenience sampling methods to select subjects who are readily available and within close proximity.</w:t>
                      </w:r>
                    </w:p>
                    <w:p w14:paraId="784A71FD" w14:textId="77777777" w:rsidR="00AC0988" w:rsidRPr="00F21FD6" w:rsidRDefault="00AC0988" w:rsidP="001478D1">
                      <w:pPr>
                        <w:autoSpaceDE w:val="0"/>
                        <w:autoSpaceDN w:val="0"/>
                        <w:adjustRightInd w:val="0"/>
                        <w:jc w:val="both"/>
                        <w:rPr>
                          <w:rFonts w:asciiTheme="minorHAnsi" w:hAnsiTheme="minorHAnsi" w:cs="Helvetica"/>
                        </w:rPr>
                      </w:pPr>
                    </w:p>
                    <w:p w14:paraId="5B03F05E" w14:textId="39B7062B" w:rsidR="0081233C" w:rsidRDefault="008818C2" w:rsidP="00FA6DA7">
                      <w:pPr>
                        <w:pStyle w:val="ListParagraph"/>
                        <w:numPr>
                          <w:ilvl w:val="0"/>
                          <w:numId w:val="21"/>
                        </w:numPr>
                        <w:autoSpaceDE w:val="0"/>
                        <w:autoSpaceDN w:val="0"/>
                        <w:adjustRightInd w:val="0"/>
                        <w:jc w:val="both"/>
                        <w:rPr>
                          <w:rFonts w:asciiTheme="minorHAnsi" w:hAnsiTheme="minorHAnsi" w:cs="Helvetica"/>
                        </w:rPr>
                      </w:pPr>
                      <w:r>
                        <w:rPr>
                          <w:rFonts w:asciiTheme="minorHAnsi" w:hAnsiTheme="minorHAnsi" w:cs="Helvetica"/>
                        </w:rPr>
                        <w:t xml:space="preserve">Subpopulation to be Studied:  </w:t>
                      </w:r>
                      <w:r w:rsidR="00FA6DA7" w:rsidRPr="00FA6DA7">
                        <w:rPr>
                          <w:rFonts w:asciiTheme="minorHAnsi" w:hAnsiTheme="minorHAnsi" w:cs="Helvetica"/>
                        </w:rPr>
                        <w:t xml:space="preserve">Populations and customers to be interviewed include clinical and non-clinical Maternal-Child Health </w:t>
                      </w:r>
                      <w:r w:rsidR="002445E2">
                        <w:rPr>
                          <w:rFonts w:asciiTheme="minorHAnsi" w:hAnsiTheme="minorHAnsi" w:cs="Helvetica"/>
                        </w:rPr>
                        <w:t>P</w:t>
                      </w:r>
                      <w:r w:rsidR="00FA6DA7" w:rsidRPr="00FA6DA7">
                        <w:rPr>
                          <w:rFonts w:asciiTheme="minorHAnsi" w:hAnsiTheme="minorHAnsi" w:cs="Helvetica"/>
                        </w:rPr>
                        <w:t>roviders</w:t>
                      </w:r>
                      <w:r w:rsidR="002445E2">
                        <w:rPr>
                          <w:rFonts w:asciiTheme="minorHAnsi" w:hAnsiTheme="minorHAnsi" w:cs="Helvetica"/>
                        </w:rPr>
                        <w:t xml:space="preserve"> - MHPs</w:t>
                      </w:r>
                      <w:r w:rsidR="00FA6DA7" w:rsidRPr="00FA6DA7">
                        <w:rPr>
                          <w:rFonts w:asciiTheme="minorHAnsi" w:hAnsiTheme="minorHAnsi" w:cs="Helvetica"/>
                        </w:rPr>
                        <w:t xml:space="preserve"> (physicians, Doulas, Community Healthcare Workers, Promatoras).</w:t>
                      </w:r>
                    </w:p>
                    <w:p w14:paraId="2E741E39" w14:textId="77777777" w:rsidR="008818C2" w:rsidRPr="00C573FA" w:rsidRDefault="008818C2" w:rsidP="001478D1">
                      <w:pPr>
                        <w:pStyle w:val="ListParagraph"/>
                        <w:jc w:val="both"/>
                        <w:rPr>
                          <w:rFonts w:asciiTheme="minorHAnsi" w:hAnsiTheme="minorHAnsi" w:cs="Helvetica"/>
                        </w:rPr>
                      </w:pPr>
                    </w:p>
                    <w:p w14:paraId="78A88995" w14:textId="77777777" w:rsidR="001478D1" w:rsidRPr="001478D1" w:rsidRDefault="008818C2" w:rsidP="001478D1">
                      <w:pPr>
                        <w:pStyle w:val="ListParagraph"/>
                        <w:numPr>
                          <w:ilvl w:val="0"/>
                          <w:numId w:val="21"/>
                        </w:numPr>
                        <w:jc w:val="both"/>
                        <w:rPr>
                          <w:rFonts w:asciiTheme="minorHAnsi" w:hAnsiTheme="minorHAnsi" w:cs="Helvetica"/>
                        </w:rPr>
                      </w:pPr>
                      <w:r w:rsidRPr="001478D1">
                        <w:rPr>
                          <w:rFonts w:asciiTheme="minorHAnsi" w:hAnsiTheme="minorHAnsi" w:cs="Helvetica"/>
                        </w:rPr>
                        <w:t xml:space="preserve">How Data Will be Analyzed:  </w:t>
                      </w:r>
                      <w:r w:rsidR="001478D1" w:rsidRPr="001478D1">
                        <w:rPr>
                          <w:rFonts w:asciiTheme="minorHAnsi" w:hAnsiTheme="minorHAnsi" w:cs="Helvetica"/>
                        </w:rPr>
                        <w:t>Simple analysis techniques will be performed to group, organize, and identify themes or repeated insights/feedback in the information collected. No statistical analyses is planned. The information gained through the interviews will be used to make internal decisions about acceptability, usage, and usefulness of methods and whether to pursue further development of solutions or not for local and state health departments. Generalization of results is not intended.</w:t>
                      </w:r>
                    </w:p>
                  </w:txbxContent>
                </v:textbox>
                <w10:wrap type="square" anchorx="margin"/>
              </v:shape>
            </w:pict>
          </mc:Fallback>
        </mc:AlternateContent>
      </w:r>
      <w:r w:rsidR="00ED3242">
        <w:br w:type="page"/>
      </w:r>
    </w:p>
    <w:p w14:paraId="05110465" w14:textId="77777777"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78E25986" w14:textId="77777777"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14:paraId="22CD0BF7" w14:textId="214435D4" w:rsidR="001478D1" w:rsidRPr="001478D1" w:rsidRDefault="001478D1" w:rsidP="001478D1">
      <w:pPr>
        <w:jc w:val="both"/>
        <w:rPr>
          <w:rFonts w:asciiTheme="minorHAnsi" w:hAnsiTheme="minorHAnsi"/>
        </w:rPr>
      </w:pPr>
      <w:r w:rsidRPr="001478D1">
        <w:rPr>
          <w:rFonts w:asciiTheme="minorHAnsi" w:hAnsiTheme="minorHAnsi"/>
        </w:rPr>
        <w:t>CDC has provided funding and technical assistance in the development of a surveillance, education, and community engagement app called Kidenga (http://Kidenga.org), launched in the fall of 2016, to help prevent and control the spread of Aedes mosquito-borne diseases like Zika, dengue, and chikungunya in US-Mexico border communities. Developing a flexible and responsive framework for neighborhood-level environmental management is paramount to controlling mosquito populations, and without significant community engagement, mosquito control programs have often failed.  The Health Belief Model suggests that ‘cues to action’, in conjunction with other factors can improve the chances of the recipient of the cue performing health behaviors.  In a survey conducted by partners at the Arizona Department of State Health Services, participants ranked targeted weather-based alerts of mosquito risk as a top feature that would motivate them to use the Kidenga app regularly, and over 70% of pregnant women surveyed reported interest in such weather-based alerts. Therefore, the CDC Kidenga team seeks to explore potential solutions for be</w:t>
      </w:r>
      <w:r w:rsidR="00EE65E8">
        <w:rPr>
          <w:rFonts w:asciiTheme="minorHAnsi" w:hAnsiTheme="minorHAnsi"/>
        </w:rPr>
        <w:t>tter engaging pregnant women,</w:t>
      </w:r>
      <w:r w:rsidRPr="001478D1">
        <w:rPr>
          <w:rFonts w:asciiTheme="minorHAnsi" w:hAnsiTheme="minorHAnsi"/>
        </w:rPr>
        <w:t xml:space="preserve"> their families</w:t>
      </w:r>
      <w:r w:rsidR="00EE65E8">
        <w:rPr>
          <w:rFonts w:asciiTheme="minorHAnsi" w:hAnsiTheme="minorHAnsi"/>
        </w:rPr>
        <w:t xml:space="preserve"> and Maternal-Child Health Providers (MHPs) </w:t>
      </w:r>
      <w:r w:rsidRPr="001478D1">
        <w:rPr>
          <w:rFonts w:asciiTheme="minorHAnsi" w:hAnsiTheme="minorHAnsi"/>
        </w:rPr>
        <w:t xml:space="preserve">in mosquito-control in their environments through the Kindenga app. With this innovation, pregnant women, their families, and ultimately the communities using this app may improve their capacity to take action in mosquito control at the most critical risk periods. </w:t>
      </w:r>
    </w:p>
    <w:p w14:paraId="2F50C75E" w14:textId="77777777" w:rsidR="001478D1" w:rsidRPr="001478D1" w:rsidRDefault="001478D1" w:rsidP="001478D1">
      <w:pPr>
        <w:jc w:val="both"/>
        <w:rPr>
          <w:rFonts w:asciiTheme="minorHAnsi" w:hAnsiTheme="minorHAnsi"/>
        </w:rPr>
      </w:pPr>
    </w:p>
    <w:p w14:paraId="48FD234F" w14:textId="77777777" w:rsidR="001478D1" w:rsidRPr="001478D1" w:rsidRDefault="001478D1" w:rsidP="001478D1">
      <w:pPr>
        <w:jc w:val="both"/>
        <w:rPr>
          <w:rFonts w:asciiTheme="minorHAnsi" w:hAnsiTheme="minorHAnsi"/>
        </w:rPr>
      </w:pPr>
      <w:r w:rsidRPr="001478D1">
        <w:rPr>
          <w:rFonts w:asciiTheme="minorHAnsi" w:hAnsiTheme="minorHAnsi"/>
        </w:rPr>
        <w:t xml:space="preserve">Federal scientific agencies, like the CDC, rely on research and findings through public health surveillance, epidemiologic assessments, and evaluations that help them develop solutions (e.g. tools) for public health problems that ultimately are disseminated to end-users and stakeholders for adoption and use. However, anecdotal and empirical data show that many data-based, robust tools are never used or adopted by the intended end-user. One reason for this is that very often federal agencies make assumptions about what our end-users want and need. Through a “customer discovery” process, the Kidenga team will explore who their end-user is, the exact problem they are trying to solve for the end-user, and how the end-user wants to receive or use the solution from the team —which the team will then explore further  mainly through interviews with likely end-users. This information is important to creating usable solutions that are end-user centric and meaningful to users. </w:t>
      </w:r>
    </w:p>
    <w:p w14:paraId="32407673" w14:textId="77777777" w:rsidR="001478D1" w:rsidRPr="001478D1" w:rsidRDefault="001478D1" w:rsidP="001478D1">
      <w:pPr>
        <w:jc w:val="both"/>
        <w:rPr>
          <w:rFonts w:asciiTheme="minorHAnsi" w:hAnsiTheme="minorHAnsi"/>
        </w:rPr>
      </w:pPr>
    </w:p>
    <w:p w14:paraId="461A5FE1" w14:textId="7DD11269" w:rsidR="00304C7F" w:rsidRPr="00ED01F1" w:rsidRDefault="006B05AB" w:rsidP="00304C7F">
      <w:pPr>
        <w:jc w:val="both"/>
        <w:rPr>
          <w:rFonts w:asciiTheme="minorHAnsi" w:hAnsiTheme="minorHAnsi"/>
          <w:color w:val="000000"/>
        </w:rPr>
      </w:pPr>
      <w:r>
        <w:rPr>
          <w:rFonts w:asciiTheme="minorHAnsi" w:eastAsia="Times New Roman" w:hAnsiTheme="minorHAnsi"/>
        </w:rPr>
        <w:t xml:space="preserve">In this GenIC, NCEZID/DGQM </w:t>
      </w:r>
      <w:r w:rsidR="00BC3EF4">
        <w:rPr>
          <w:rFonts w:asciiTheme="minorHAnsi" w:eastAsia="Times New Roman" w:hAnsiTheme="minorHAnsi"/>
        </w:rPr>
        <w:t xml:space="preserve">project team </w:t>
      </w:r>
      <w:r>
        <w:rPr>
          <w:rFonts w:asciiTheme="minorHAnsi" w:eastAsia="Times New Roman" w:hAnsiTheme="minorHAnsi"/>
        </w:rPr>
        <w:t>requests OMB approval to con</w:t>
      </w:r>
      <w:r w:rsidR="00904863">
        <w:rPr>
          <w:rFonts w:asciiTheme="minorHAnsi" w:eastAsia="Times New Roman" w:hAnsiTheme="minorHAnsi"/>
        </w:rPr>
        <w:t xml:space="preserve">duct semi-structured interviews, </w:t>
      </w:r>
      <w:r w:rsidR="002445E2">
        <w:rPr>
          <w:rFonts w:asciiTheme="minorHAnsi" w:eastAsia="Times New Roman" w:hAnsiTheme="minorHAnsi"/>
        </w:rPr>
        <w:t>with M</w:t>
      </w:r>
      <w:r w:rsidR="000A2653">
        <w:rPr>
          <w:rFonts w:asciiTheme="minorHAnsi" w:eastAsia="Times New Roman" w:hAnsiTheme="minorHAnsi"/>
        </w:rPr>
        <w:t xml:space="preserve">aternal-Child </w:t>
      </w:r>
      <w:r w:rsidR="00EE65E8">
        <w:rPr>
          <w:rFonts w:asciiTheme="minorHAnsi" w:eastAsia="Times New Roman" w:hAnsiTheme="minorHAnsi"/>
        </w:rPr>
        <w:t>H</w:t>
      </w:r>
      <w:r w:rsidR="000A2653">
        <w:rPr>
          <w:rFonts w:asciiTheme="minorHAnsi" w:eastAsia="Times New Roman" w:hAnsiTheme="minorHAnsi"/>
        </w:rPr>
        <w:t xml:space="preserve">ealth </w:t>
      </w:r>
      <w:r w:rsidR="002445E2">
        <w:rPr>
          <w:rFonts w:asciiTheme="minorHAnsi" w:eastAsia="Times New Roman" w:hAnsiTheme="minorHAnsi"/>
        </w:rPr>
        <w:t>P</w:t>
      </w:r>
      <w:r w:rsidR="000A2653">
        <w:rPr>
          <w:rFonts w:asciiTheme="minorHAnsi" w:eastAsia="Times New Roman" w:hAnsiTheme="minorHAnsi"/>
        </w:rPr>
        <w:t>rovider</w:t>
      </w:r>
      <w:r w:rsidR="00EE65E8">
        <w:rPr>
          <w:rFonts w:asciiTheme="minorHAnsi" w:eastAsia="Times New Roman" w:hAnsiTheme="minorHAnsi"/>
        </w:rPr>
        <w:t>s</w:t>
      </w:r>
      <w:r w:rsidR="000A2653">
        <w:rPr>
          <w:rFonts w:asciiTheme="minorHAnsi" w:eastAsia="Times New Roman" w:hAnsiTheme="minorHAnsi"/>
        </w:rPr>
        <w:t xml:space="preserve"> (MHPs)</w:t>
      </w:r>
      <w:r w:rsidR="00EE65E8">
        <w:rPr>
          <w:rFonts w:asciiTheme="minorHAnsi" w:eastAsia="Times New Roman" w:hAnsiTheme="minorHAnsi"/>
        </w:rPr>
        <w:t xml:space="preserve">, </w:t>
      </w:r>
      <w:r w:rsidR="00904863">
        <w:rPr>
          <w:rFonts w:asciiTheme="minorHAnsi" w:eastAsia="Times New Roman" w:hAnsiTheme="minorHAnsi"/>
        </w:rPr>
        <w:t>t</w:t>
      </w:r>
      <w:r w:rsidR="00904863" w:rsidRPr="00904863">
        <w:rPr>
          <w:rFonts w:asciiTheme="minorHAnsi" w:eastAsia="Times New Roman" w:hAnsiTheme="minorHAnsi"/>
        </w:rPr>
        <w:t>o explore whether a community-based surveillance and education platform, Kidenga, would be likely to engage the public in reducing mosquito habitat by sending tailored, weather-based warnings of high-risk periods of mosquito reproduction and activity to users’ smart-phones, along with cues to action</w:t>
      </w:r>
      <w:r w:rsidR="00F1323E">
        <w:rPr>
          <w:rFonts w:asciiTheme="minorHAnsi" w:eastAsia="Times New Roman" w:hAnsiTheme="minorHAnsi"/>
        </w:rPr>
        <w:t xml:space="preserve">. </w:t>
      </w:r>
      <w:r w:rsidR="000C6919">
        <w:t>The</w:t>
      </w:r>
      <w:r w:rsidR="00620D28">
        <w:t xml:space="preserve">se </w:t>
      </w:r>
      <w:r w:rsidR="00FD5E1F">
        <w:t xml:space="preserve">CDC activities </w:t>
      </w:r>
      <w:r w:rsidR="00620D28">
        <w:t>are</w:t>
      </w:r>
      <w:r w:rsidR="00FD5E1F">
        <w:t xml:space="preserve"> authorized under Section 301 of the Public Health Service Act 42 </w:t>
      </w:r>
      <w:r w:rsidR="00B4537B">
        <w:t xml:space="preserve">U.S.C.241. </w:t>
      </w:r>
    </w:p>
    <w:p w14:paraId="56DC8DFA" w14:textId="663F8131" w:rsidR="00BC3EF4" w:rsidRDefault="00BC3EF4" w:rsidP="00B66115">
      <w:pPr>
        <w:jc w:val="both"/>
        <w:rPr>
          <w:rFonts w:asciiTheme="minorHAnsi" w:eastAsia="Times New Roman" w:hAnsiTheme="minorHAnsi"/>
        </w:rPr>
      </w:pPr>
    </w:p>
    <w:p w14:paraId="2D4C18AF" w14:textId="77777777" w:rsidR="00BC3EF4" w:rsidRPr="00B66115" w:rsidRDefault="00BC3EF4" w:rsidP="00B66115">
      <w:pPr>
        <w:jc w:val="both"/>
        <w:rPr>
          <w:rFonts w:asciiTheme="minorHAnsi" w:eastAsia="Times New Roman" w:hAnsiTheme="minorHAnsi"/>
        </w:rPr>
      </w:pPr>
    </w:p>
    <w:p w14:paraId="46BC16D6" w14:textId="77777777"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38C4ED7A" w14:textId="76E8E945" w:rsidR="00B81E58" w:rsidRDefault="00B81E58" w:rsidP="00E70242">
      <w:pPr>
        <w:autoSpaceDE w:val="0"/>
        <w:autoSpaceDN w:val="0"/>
        <w:adjustRightInd w:val="0"/>
        <w:jc w:val="both"/>
        <w:rPr>
          <w:rFonts w:asciiTheme="minorHAnsi" w:hAnsiTheme="minorHAnsi"/>
        </w:rPr>
      </w:pPr>
      <w:r w:rsidRPr="00B81E58">
        <w:rPr>
          <w:rFonts w:asciiTheme="minorHAnsi" w:eastAsia="Times New Roman" w:hAnsiTheme="minorHAnsi"/>
        </w:rPr>
        <w:t xml:space="preserve"> </w:t>
      </w:r>
      <w:r w:rsidR="00904863" w:rsidRPr="00726232">
        <w:rPr>
          <w:rFonts w:asciiTheme="minorHAnsi" w:hAnsiTheme="minorHAnsi"/>
        </w:rPr>
        <w:t xml:space="preserve">The CDC I-Catalyst program </w:t>
      </w:r>
      <w:r w:rsidR="00904863">
        <w:rPr>
          <w:rFonts w:asciiTheme="minorHAnsi" w:hAnsiTheme="minorHAnsi"/>
        </w:rPr>
        <w:t>guides participants through</w:t>
      </w:r>
      <w:r w:rsidR="00904863" w:rsidRPr="00726232">
        <w:rPr>
          <w:rFonts w:asciiTheme="minorHAnsi" w:hAnsiTheme="minorHAnsi"/>
        </w:rPr>
        <w:t xml:space="preserve"> a “customer discovery” process aimed at helping teams with a new solution </w:t>
      </w:r>
      <w:r w:rsidR="00904863">
        <w:rPr>
          <w:rFonts w:asciiTheme="minorHAnsi" w:hAnsiTheme="minorHAnsi"/>
        </w:rPr>
        <w:t xml:space="preserve">to </w:t>
      </w:r>
      <w:r w:rsidR="00904863" w:rsidRPr="00726232">
        <w:rPr>
          <w:rFonts w:asciiTheme="minorHAnsi" w:hAnsiTheme="minorHAnsi"/>
        </w:rPr>
        <w:t xml:space="preserve">identify their customers. This </w:t>
      </w:r>
      <w:r w:rsidR="00904863">
        <w:rPr>
          <w:rFonts w:asciiTheme="minorHAnsi" w:hAnsiTheme="minorHAnsi"/>
        </w:rPr>
        <w:t xml:space="preserve">is </w:t>
      </w:r>
      <w:r w:rsidR="00904863"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904863" w:rsidRPr="00ED01F1">
        <w:rPr>
          <w:rFonts w:asciiTheme="minorHAnsi" w:hAnsiTheme="minorHAnsi"/>
        </w:rPr>
        <w:t xml:space="preserve"> </w:t>
      </w:r>
      <w:r w:rsidR="00904863" w:rsidRPr="00B66115">
        <w:rPr>
          <w:rFonts w:asciiTheme="minorHAnsi" w:hAnsiTheme="minorHAnsi"/>
        </w:rPr>
        <w:t xml:space="preserve">Only conversations with potential </w:t>
      </w:r>
      <w:r w:rsidR="00904863">
        <w:rPr>
          <w:rFonts w:asciiTheme="minorHAnsi" w:hAnsiTheme="minorHAnsi"/>
        </w:rPr>
        <w:t>customers (stakeholders)</w:t>
      </w:r>
      <w:r w:rsidR="00904863" w:rsidRPr="00B66115">
        <w:rPr>
          <w:rFonts w:asciiTheme="minorHAnsi" w:hAnsiTheme="minorHAnsi"/>
        </w:rPr>
        <w:t xml:space="preserve"> can provide the facts from which hypotheses are proven or disproven about whether a solution (product, process, etc.) creates value for the intended beneficiaries.</w:t>
      </w:r>
      <w:r w:rsidR="00904863" w:rsidRPr="00342807">
        <w:t xml:space="preserve"> </w:t>
      </w:r>
      <w:r w:rsidR="00904863" w:rsidRPr="006F3E99">
        <w:rPr>
          <w:rFonts w:asciiTheme="minorHAnsi" w:hAnsiTheme="minorHAnsi"/>
        </w:rPr>
        <w:t>It is expected that participants will leave the program with the ability to evaluate and translate their insights into solutions</w:t>
      </w:r>
      <w:r w:rsidR="00904863">
        <w:rPr>
          <w:rFonts w:asciiTheme="minorHAnsi" w:hAnsiTheme="minorHAnsi"/>
        </w:rPr>
        <w:t xml:space="preserve"> that </w:t>
      </w:r>
      <w:r w:rsidR="00904863" w:rsidRPr="00B66115">
        <w:rPr>
          <w:rFonts w:asciiTheme="minorHAnsi" w:hAnsiTheme="minorHAnsi"/>
        </w:rPr>
        <w:t>have high levels of efficacy and user acceptability</w:t>
      </w:r>
      <w:r w:rsidR="00904863" w:rsidRPr="006F3E99">
        <w:rPr>
          <w:rFonts w:asciiTheme="minorHAnsi" w:hAnsiTheme="minorHAnsi"/>
        </w:rPr>
        <w:t>.</w:t>
      </w:r>
      <w:r w:rsidR="00904863">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protocols, or interventions.  </w:t>
      </w:r>
    </w:p>
    <w:p w14:paraId="6049E9AF" w14:textId="77777777" w:rsidR="00904863" w:rsidRDefault="00904863" w:rsidP="00E70242">
      <w:pPr>
        <w:autoSpaceDE w:val="0"/>
        <w:autoSpaceDN w:val="0"/>
        <w:adjustRightInd w:val="0"/>
        <w:jc w:val="both"/>
        <w:rPr>
          <w:rFonts w:asciiTheme="minorHAnsi" w:eastAsia="Times New Roman" w:hAnsiTheme="minorHAnsi"/>
        </w:rPr>
      </w:pPr>
    </w:p>
    <w:p w14:paraId="542E2C03" w14:textId="531DA8CF" w:rsidR="001A7352" w:rsidRDefault="00E70242" w:rsidP="001A7352">
      <w:pPr>
        <w:autoSpaceDE w:val="0"/>
        <w:autoSpaceDN w:val="0"/>
        <w:adjustRightInd w:val="0"/>
        <w:jc w:val="both"/>
        <w:rPr>
          <w:rFonts w:asciiTheme="minorHAnsi" w:eastAsia="Times New Roman" w:hAnsiTheme="minorHAnsi"/>
        </w:rPr>
      </w:pPr>
      <w:r w:rsidRPr="00E70242">
        <w:rPr>
          <w:rFonts w:asciiTheme="minorHAnsi" w:eastAsia="Times New Roman" w:hAnsiTheme="minorHAnsi"/>
        </w:rPr>
        <w:t xml:space="preserve">The Health Belief Model (HBM), widely accepted to explain and predict health behaviors, suggests that people’s health behaviors are driven by a combination of perceived severity, susceptibility, barriers and benefits of the behavior, and cues to action. The Kidenga app addresses several components of the HBM including information about the severity of Zika, dengue, and chikungunya, number of cases of these diseases in the user’s county (i.e. susceptibility), and how to prevent and control mosquitoes to enhance self-efficacy.  However, Kidenga does not yet provide timely cues to action, which are critical as message fatigue can lead to complacency in health behaviors.  The National Center for Atmospheric Research has modelled Aedes abundance using weather inputs and other factors.  These models can be used to predict the relative abundance of Aedes mosquito populations, and could be used to create geo-tailored alerts of mosquito-risk to improve individual prevention behaviors when </w:t>
      </w:r>
      <w:r w:rsidR="00EC3793">
        <w:rPr>
          <w:rFonts w:asciiTheme="minorHAnsi" w:eastAsia="Times New Roman" w:hAnsiTheme="minorHAnsi"/>
        </w:rPr>
        <w:t>they are</w:t>
      </w:r>
      <w:r w:rsidRPr="00E70242">
        <w:rPr>
          <w:rFonts w:asciiTheme="minorHAnsi" w:eastAsia="Times New Roman" w:hAnsiTheme="minorHAnsi"/>
        </w:rPr>
        <w:t xml:space="preserve"> most-needed.</w:t>
      </w:r>
      <w:r w:rsidR="001A7352" w:rsidRPr="001A7352">
        <w:rPr>
          <w:rFonts w:asciiTheme="minorHAnsi" w:eastAsia="Times New Roman" w:hAnsiTheme="minorHAnsi"/>
        </w:rPr>
        <w:t xml:space="preserve"> </w:t>
      </w:r>
      <w:r w:rsidR="001A7352" w:rsidRPr="00E70242">
        <w:rPr>
          <w:rFonts w:asciiTheme="minorHAnsi" w:eastAsia="Times New Roman" w:hAnsiTheme="minorHAnsi"/>
        </w:rPr>
        <w:t>A</w:t>
      </w:r>
      <w:r w:rsidR="001A7352">
        <w:rPr>
          <w:rFonts w:asciiTheme="minorHAnsi" w:eastAsia="Times New Roman" w:hAnsiTheme="minorHAnsi"/>
        </w:rPr>
        <w:t>n example a</w:t>
      </w:r>
      <w:r w:rsidR="001A7352" w:rsidRPr="00E70242">
        <w:rPr>
          <w:rFonts w:asciiTheme="minorHAnsi" w:eastAsia="Times New Roman" w:hAnsiTheme="minorHAnsi"/>
        </w:rPr>
        <w:t>lert</w:t>
      </w:r>
      <w:r w:rsidR="001A7352">
        <w:rPr>
          <w:rFonts w:asciiTheme="minorHAnsi" w:eastAsia="Times New Roman" w:hAnsiTheme="minorHAnsi"/>
        </w:rPr>
        <w:t xml:space="preserve"> might read:</w:t>
      </w:r>
    </w:p>
    <w:p w14:paraId="0A5B5898" w14:textId="77777777" w:rsidR="001A7352" w:rsidRPr="004338D8" w:rsidRDefault="001A7352" w:rsidP="00C573FA">
      <w:pPr>
        <w:autoSpaceDE w:val="0"/>
        <w:autoSpaceDN w:val="0"/>
        <w:adjustRightInd w:val="0"/>
        <w:ind w:left="1440" w:right="1440"/>
        <w:jc w:val="both"/>
        <w:rPr>
          <w:rFonts w:asciiTheme="minorHAnsi" w:eastAsia="Times New Roman" w:hAnsiTheme="minorHAnsi"/>
          <w:i/>
        </w:rPr>
      </w:pPr>
      <w:r w:rsidRPr="004338D8">
        <w:rPr>
          <w:rFonts w:asciiTheme="minorHAnsi" w:eastAsia="Times New Roman" w:hAnsiTheme="minorHAnsi"/>
          <w:i/>
        </w:rPr>
        <w:t>“Due to the recent rain in Brownsville and current temperatures, mosquitoes can hatch in 4 days. Take Action! Remove standing water from inside and outside your home. Clear your yard of anything that can collect water.”</w:t>
      </w:r>
    </w:p>
    <w:p w14:paraId="285E616F" w14:textId="7E6BC527" w:rsidR="00620D28" w:rsidRDefault="001A7352" w:rsidP="00C573FA">
      <w:pPr>
        <w:autoSpaceDE w:val="0"/>
        <w:autoSpaceDN w:val="0"/>
        <w:adjustRightInd w:val="0"/>
        <w:ind w:right="720"/>
        <w:jc w:val="both"/>
        <w:rPr>
          <w:rFonts w:asciiTheme="minorHAnsi" w:eastAsia="Times New Roman" w:hAnsiTheme="minorHAnsi"/>
        </w:rPr>
      </w:pPr>
      <w:r w:rsidRPr="00E70242">
        <w:rPr>
          <w:rFonts w:asciiTheme="minorHAnsi" w:eastAsia="Times New Roman" w:hAnsiTheme="minorHAnsi"/>
        </w:rPr>
        <w:t xml:space="preserve">The alert could also link to an existing interactive graphic of a home within the app, with specific recommendations on where to look for standing water, and how to treat it.  </w:t>
      </w:r>
      <w:r w:rsidR="00F315F1">
        <w:rPr>
          <w:rFonts w:asciiTheme="minorHAnsi" w:eastAsia="Times New Roman" w:hAnsiTheme="minorHAnsi"/>
        </w:rPr>
        <w:t>Finally, t</w:t>
      </w:r>
      <w:r w:rsidRPr="00E70242">
        <w:rPr>
          <w:rFonts w:asciiTheme="minorHAnsi" w:eastAsia="Times New Roman" w:hAnsiTheme="minorHAnsi"/>
        </w:rPr>
        <w:t xml:space="preserve">he alert could be shared within the users social networks like Facebook, Twitter, and Google +. </w:t>
      </w:r>
      <w:r>
        <w:rPr>
          <w:rFonts w:asciiTheme="minorHAnsi" w:eastAsia="Times New Roman" w:hAnsiTheme="minorHAnsi"/>
        </w:rPr>
        <w:t xml:space="preserve"> </w:t>
      </w:r>
    </w:p>
    <w:p w14:paraId="104ABB93" w14:textId="77777777" w:rsidR="00620D28" w:rsidRDefault="00620D28" w:rsidP="00144BDE">
      <w:pPr>
        <w:autoSpaceDE w:val="0"/>
        <w:autoSpaceDN w:val="0"/>
        <w:adjustRightInd w:val="0"/>
        <w:jc w:val="both"/>
        <w:rPr>
          <w:rFonts w:asciiTheme="minorHAnsi" w:eastAsia="Times New Roman" w:hAnsiTheme="minorHAnsi"/>
        </w:rPr>
      </w:pPr>
    </w:p>
    <w:p w14:paraId="5E5B762D" w14:textId="12732036" w:rsidR="00B85B7E" w:rsidRDefault="00BC3EF4">
      <w:pPr>
        <w:autoSpaceDE w:val="0"/>
        <w:autoSpaceDN w:val="0"/>
        <w:adjustRightInd w:val="0"/>
        <w:jc w:val="both"/>
        <w:rPr>
          <w:rFonts w:asciiTheme="minorHAnsi" w:eastAsia="Times New Roman" w:hAnsiTheme="minorHAnsi"/>
        </w:rPr>
      </w:pPr>
      <w:r>
        <w:rPr>
          <w:rFonts w:asciiTheme="minorHAnsi" w:eastAsia="Times New Roman" w:hAnsiTheme="minorHAnsi"/>
        </w:rPr>
        <w:t>The project team</w:t>
      </w:r>
      <w:r w:rsidR="00E70242" w:rsidRPr="00E70242">
        <w:rPr>
          <w:rFonts w:asciiTheme="minorHAnsi" w:eastAsia="Times New Roman" w:hAnsiTheme="minorHAnsi"/>
        </w:rPr>
        <w:t xml:space="preserve"> would like to engage community members in an iterative process to </w:t>
      </w:r>
      <w:r w:rsidR="001A7352">
        <w:rPr>
          <w:rFonts w:asciiTheme="minorHAnsi" w:eastAsia="Times New Roman" w:hAnsiTheme="minorHAnsi"/>
        </w:rPr>
        <w:t>assess</w:t>
      </w:r>
      <w:r w:rsidR="00E70242" w:rsidRPr="00E70242">
        <w:rPr>
          <w:rFonts w:asciiTheme="minorHAnsi" w:eastAsia="Times New Roman" w:hAnsiTheme="minorHAnsi"/>
        </w:rPr>
        <w:t xml:space="preserve"> the acceptability, content and frequency of messages that will most likely spur action to reduce mosquito habitat. </w:t>
      </w:r>
      <w:r w:rsidR="00934C48">
        <w:rPr>
          <w:rFonts w:asciiTheme="minorHAnsi" w:eastAsia="Times New Roman" w:hAnsiTheme="minorHAnsi"/>
        </w:rPr>
        <w:t xml:space="preserve">The first step in this process is to improve understanding of </w:t>
      </w:r>
      <w:r>
        <w:rPr>
          <w:rFonts w:asciiTheme="minorHAnsi" w:eastAsia="Times New Roman" w:hAnsiTheme="minorHAnsi"/>
        </w:rPr>
        <w:t>individual community members in areas with high mosquitos</w:t>
      </w:r>
      <w:r w:rsidR="0070695C">
        <w:rPr>
          <w:rFonts w:asciiTheme="minorHAnsi" w:eastAsia="Times New Roman" w:hAnsiTheme="minorHAnsi"/>
        </w:rPr>
        <w:t xml:space="preserve"> </w:t>
      </w:r>
      <w:r w:rsidR="008E4649">
        <w:rPr>
          <w:rFonts w:asciiTheme="minorHAnsi" w:eastAsia="Times New Roman" w:hAnsiTheme="minorHAnsi"/>
        </w:rPr>
        <w:t>with re</w:t>
      </w:r>
      <w:r w:rsidR="00B57EB0">
        <w:rPr>
          <w:rFonts w:asciiTheme="minorHAnsi" w:eastAsia="Times New Roman" w:hAnsiTheme="minorHAnsi"/>
        </w:rPr>
        <w:t xml:space="preserve">gard </w:t>
      </w:r>
      <w:r w:rsidR="0070695C">
        <w:rPr>
          <w:rFonts w:asciiTheme="minorHAnsi" w:eastAsia="Times New Roman" w:hAnsiTheme="minorHAnsi"/>
        </w:rPr>
        <w:t xml:space="preserve">to vector control. If </w:t>
      </w:r>
      <w:r w:rsidR="004C6495">
        <w:rPr>
          <w:rFonts w:asciiTheme="minorHAnsi" w:eastAsia="Times New Roman" w:hAnsiTheme="minorHAnsi"/>
        </w:rPr>
        <w:t xml:space="preserve">findings suggest that a smartphone-based app may be useful and practicable, </w:t>
      </w:r>
      <w:r>
        <w:rPr>
          <w:rFonts w:asciiTheme="minorHAnsi" w:eastAsia="Times New Roman" w:hAnsiTheme="minorHAnsi"/>
        </w:rPr>
        <w:t xml:space="preserve">the project team at </w:t>
      </w:r>
      <w:r w:rsidR="004C6495">
        <w:rPr>
          <w:rFonts w:asciiTheme="minorHAnsi" w:eastAsia="Times New Roman" w:hAnsiTheme="minorHAnsi"/>
        </w:rPr>
        <w:t xml:space="preserve">NCEZID/DGQM will </w:t>
      </w:r>
      <w:r w:rsidR="00B011B6">
        <w:rPr>
          <w:rFonts w:asciiTheme="minorHAnsi" w:eastAsia="Times New Roman" w:hAnsiTheme="minorHAnsi"/>
        </w:rPr>
        <w:t xml:space="preserve">continue the development of </w:t>
      </w:r>
      <w:r w:rsidR="008E4649">
        <w:rPr>
          <w:rFonts w:asciiTheme="minorHAnsi" w:eastAsia="Times New Roman" w:hAnsiTheme="minorHAnsi"/>
        </w:rPr>
        <w:t xml:space="preserve">targeted </w:t>
      </w:r>
      <w:r w:rsidR="00B011B6">
        <w:rPr>
          <w:rFonts w:asciiTheme="minorHAnsi" w:eastAsia="Times New Roman" w:hAnsiTheme="minorHAnsi"/>
        </w:rPr>
        <w:t xml:space="preserve">messages </w:t>
      </w:r>
      <w:r w:rsidR="008E4649">
        <w:rPr>
          <w:rFonts w:asciiTheme="minorHAnsi" w:eastAsia="Times New Roman" w:hAnsiTheme="minorHAnsi"/>
        </w:rPr>
        <w:t>for</w:t>
      </w:r>
      <w:r w:rsidR="00B011B6">
        <w:rPr>
          <w:rFonts w:asciiTheme="minorHAnsi" w:eastAsia="Times New Roman" w:hAnsiTheme="minorHAnsi"/>
        </w:rPr>
        <w:t xml:space="preserve"> distribut</w:t>
      </w:r>
      <w:r w:rsidR="008E4649">
        <w:rPr>
          <w:rFonts w:asciiTheme="minorHAnsi" w:eastAsia="Times New Roman" w:hAnsiTheme="minorHAnsi"/>
        </w:rPr>
        <w:t>ion</w:t>
      </w:r>
      <w:r w:rsidR="00B011B6">
        <w:rPr>
          <w:rFonts w:asciiTheme="minorHAnsi" w:eastAsia="Times New Roman" w:hAnsiTheme="minorHAnsi"/>
        </w:rPr>
        <w:t xml:space="preserve"> via the</w:t>
      </w:r>
      <w:r w:rsidR="0070695C">
        <w:rPr>
          <w:rFonts w:asciiTheme="minorHAnsi" w:eastAsia="Times New Roman" w:hAnsiTheme="minorHAnsi"/>
        </w:rPr>
        <w:t xml:space="preserve"> Kidenga platform.</w:t>
      </w:r>
      <w:r w:rsidR="00934C48">
        <w:rPr>
          <w:rFonts w:asciiTheme="minorHAnsi" w:eastAsia="Times New Roman" w:hAnsiTheme="minorHAnsi"/>
        </w:rPr>
        <w:t xml:space="preserve"> </w:t>
      </w:r>
    </w:p>
    <w:p w14:paraId="75D17E20" w14:textId="77777777" w:rsidR="00B85B7E" w:rsidRDefault="00B85B7E" w:rsidP="00144BDE">
      <w:pPr>
        <w:autoSpaceDE w:val="0"/>
        <w:autoSpaceDN w:val="0"/>
        <w:adjustRightInd w:val="0"/>
        <w:jc w:val="both"/>
        <w:rPr>
          <w:rFonts w:asciiTheme="minorHAnsi" w:eastAsia="Times New Roman" w:hAnsiTheme="minorHAnsi"/>
        </w:rPr>
      </w:pPr>
    </w:p>
    <w:p w14:paraId="763B1C79" w14:textId="4B760F83" w:rsidR="00904863" w:rsidRPr="001478D1" w:rsidRDefault="00556E61" w:rsidP="00904863">
      <w:pPr>
        <w:jc w:val="both"/>
        <w:rPr>
          <w:rFonts w:asciiTheme="minorHAnsi" w:hAnsiTheme="minorHAnsi"/>
        </w:rPr>
      </w:pPr>
      <w:r>
        <w:rPr>
          <w:rFonts w:asciiTheme="minorHAnsi" w:eastAsia="Times New Roman" w:hAnsiTheme="minorHAnsi"/>
        </w:rPr>
        <w:t>The information collected</w:t>
      </w:r>
      <w:r w:rsidR="001F1862" w:rsidRPr="001F1862">
        <w:rPr>
          <w:rFonts w:asciiTheme="minorHAnsi" w:eastAsia="Times New Roman" w:hAnsiTheme="minorHAnsi"/>
        </w:rPr>
        <w:t xml:space="preserve"> will be used </w:t>
      </w:r>
      <w:r w:rsidR="00904863">
        <w:rPr>
          <w:rFonts w:asciiTheme="minorHAnsi" w:eastAsia="Times New Roman" w:hAnsiTheme="minorHAnsi"/>
        </w:rPr>
        <w:t xml:space="preserve">by </w:t>
      </w:r>
      <w:r w:rsidR="00904863" w:rsidRPr="001478D1">
        <w:rPr>
          <w:rFonts w:asciiTheme="minorHAnsi" w:hAnsiTheme="minorHAnsi"/>
        </w:rPr>
        <w:t xml:space="preserve">the Kidenga team to talk with MHPs to better understand the end-user, the problem, </w:t>
      </w:r>
      <w:r w:rsidR="00894B52">
        <w:rPr>
          <w:rFonts w:asciiTheme="minorHAnsi" w:hAnsiTheme="minorHAnsi"/>
        </w:rPr>
        <w:t>and the appropriate solutions.</w:t>
      </w:r>
      <w:r w:rsidR="002445E2">
        <w:rPr>
          <w:rFonts w:asciiTheme="minorHAnsi" w:hAnsiTheme="minorHAnsi"/>
        </w:rPr>
        <w:t xml:space="preserve"> The team hopes to seek input from MHP</w:t>
      </w:r>
      <w:r w:rsidR="00894B52">
        <w:rPr>
          <w:rFonts w:asciiTheme="minorHAnsi" w:hAnsiTheme="minorHAnsi"/>
        </w:rPr>
        <w:t>s because they provide care to pregnant women and their families and can assist in providing useful information for the educational component of the alerts to be similar to their patient visit interaction</w:t>
      </w:r>
      <w:r w:rsidR="002445E2">
        <w:rPr>
          <w:rFonts w:asciiTheme="minorHAnsi" w:hAnsiTheme="minorHAnsi"/>
        </w:rPr>
        <w:t>s</w:t>
      </w:r>
      <w:r w:rsidR="00894B52">
        <w:rPr>
          <w:rFonts w:asciiTheme="minorHAnsi" w:hAnsiTheme="minorHAnsi"/>
        </w:rPr>
        <w:t>. It will also serve as a way t</w:t>
      </w:r>
      <w:r w:rsidR="002445E2">
        <w:rPr>
          <w:rFonts w:asciiTheme="minorHAnsi" w:hAnsiTheme="minorHAnsi"/>
        </w:rPr>
        <w:t>o inform the project team on how best M</w:t>
      </w:r>
      <w:r w:rsidR="00894B52">
        <w:rPr>
          <w:rFonts w:asciiTheme="minorHAnsi" w:hAnsiTheme="minorHAnsi"/>
        </w:rPr>
        <w:t>H</w:t>
      </w:r>
      <w:r w:rsidR="002445E2">
        <w:rPr>
          <w:rFonts w:asciiTheme="minorHAnsi" w:hAnsiTheme="minorHAnsi"/>
        </w:rPr>
        <w:t>P</w:t>
      </w:r>
      <w:r w:rsidR="00894B52">
        <w:rPr>
          <w:rFonts w:asciiTheme="minorHAnsi" w:hAnsiTheme="minorHAnsi"/>
        </w:rPr>
        <w:t xml:space="preserve">s want to receive the educational alerts to better inform and prepare for their patients, with the latest information about mosquito and disease risk. </w:t>
      </w:r>
      <w:r w:rsidR="00904863" w:rsidRPr="001478D1">
        <w:rPr>
          <w:rFonts w:asciiTheme="minorHAnsi" w:hAnsiTheme="minorHAnsi"/>
        </w:rPr>
        <w:t>Ultimately, the team aims to develop an innovative, low-resource approach to facilitate improved community engagement in mosquito control.</w:t>
      </w:r>
      <w:r w:rsidR="00904863" w:rsidRPr="00904863">
        <w:t xml:space="preserve"> </w:t>
      </w:r>
      <w:r w:rsidR="00904863" w:rsidRPr="00904863">
        <w:rPr>
          <w:rFonts w:asciiTheme="minorHAnsi" w:hAnsiTheme="minorHAnsi"/>
        </w:rPr>
        <w:t xml:space="preserve">Resulting data will be used for internal decision making regarding CDC’s support of the development of the weather-based alerts and to provide suggestions for improving community engagement features of the Kidenga app. </w:t>
      </w:r>
      <w:r w:rsidR="00D45EB7" w:rsidRPr="00D45EB7">
        <w:rPr>
          <w:rFonts w:asciiTheme="minorHAnsi" w:hAnsiTheme="minorHAnsi"/>
        </w:rPr>
        <w:t>The collected information will be used for internal decision-making purposes.</w:t>
      </w:r>
      <w:r w:rsidR="00D45EB7">
        <w:rPr>
          <w:rFonts w:asciiTheme="minorHAnsi" w:hAnsiTheme="minorHAnsi"/>
        </w:rPr>
        <w:t xml:space="preserve"> </w:t>
      </w:r>
      <w:r w:rsidR="00904863" w:rsidRPr="00904863">
        <w:rPr>
          <w:rFonts w:asciiTheme="minorHAnsi" w:hAnsiTheme="minorHAnsi"/>
        </w:rPr>
        <w:t>The data collection is not designed to obtain generalizable knowledge, but to inform the CDC Kidenga team’s efforts among a targeted population.</w:t>
      </w:r>
    </w:p>
    <w:p w14:paraId="4283A0F9" w14:textId="77777777" w:rsidR="00304C7F" w:rsidRDefault="00304C7F" w:rsidP="00304C7F">
      <w:pPr>
        <w:autoSpaceDE w:val="0"/>
        <w:autoSpaceDN w:val="0"/>
        <w:adjustRightInd w:val="0"/>
        <w:jc w:val="both"/>
        <w:rPr>
          <w:rFonts w:asciiTheme="minorHAnsi" w:eastAsia="Times New Roman" w:hAnsiTheme="minorHAnsi"/>
        </w:rPr>
      </w:pPr>
    </w:p>
    <w:p w14:paraId="4EC34008" w14:textId="77777777"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337C5477" w14:textId="3B973B03"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w:t>
      </w:r>
      <w:r w:rsidR="000C05EC">
        <w:rPr>
          <w:rFonts w:asciiTheme="minorHAnsi" w:hAnsiTheme="minorHAnsi"/>
        </w:rPr>
        <w:t>enhance convenience and</w:t>
      </w:r>
      <w:r w:rsidR="00A73F24">
        <w:rPr>
          <w:rFonts w:asciiTheme="minorHAnsi" w:hAnsiTheme="minorHAnsi"/>
        </w:rPr>
        <w:t xml:space="preserve"> provide flexibility in responder’s schedule.  </w:t>
      </w:r>
      <w:r w:rsidR="00494E3D" w:rsidRPr="00681832">
        <w:rPr>
          <w:rFonts w:asciiTheme="minorHAnsi" w:hAnsiTheme="minorHAnsi"/>
        </w:rPr>
        <w:t xml:space="preserve"> </w:t>
      </w:r>
    </w:p>
    <w:p w14:paraId="43C11FBD" w14:textId="77777777" w:rsidR="00F52FC0" w:rsidRPr="009A5895" w:rsidRDefault="00F52FC0" w:rsidP="00DC2CD8">
      <w:pPr>
        <w:jc w:val="both"/>
        <w:rPr>
          <w:rFonts w:asciiTheme="minorHAnsi" w:hAnsiTheme="minorHAnsi"/>
        </w:rPr>
      </w:pPr>
    </w:p>
    <w:p w14:paraId="62EB6C93" w14:textId="77777777"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7CB13836" w14:textId="4258A523" w:rsidR="00604F78" w:rsidRDefault="006D5784" w:rsidP="00C51751">
      <w:pPr>
        <w:jc w:val="both"/>
        <w:rPr>
          <w:rFonts w:asciiTheme="minorHAnsi" w:hAnsiTheme="minorHAnsi"/>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E145E0">
        <w:rPr>
          <w:rFonts w:asciiTheme="minorHAnsi" w:hAnsiTheme="minorHAnsi"/>
        </w:rPr>
        <w:t xml:space="preserve"> necessary for </w:t>
      </w:r>
      <w:r w:rsidR="0078621F">
        <w:rPr>
          <w:rFonts w:asciiTheme="minorHAnsi" w:hAnsiTheme="minorHAnsi"/>
        </w:rPr>
        <w:t>NCEZID to understand</w:t>
      </w:r>
      <w:r w:rsidR="00E145E0">
        <w:rPr>
          <w:rFonts w:asciiTheme="minorHAnsi" w:hAnsiTheme="minorHAnsi"/>
        </w:rPr>
        <w:t xml:space="preserve"> </w:t>
      </w:r>
      <w:r w:rsidR="00144BDE">
        <w:rPr>
          <w:rFonts w:asciiTheme="minorHAnsi" w:hAnsiTheme="minorHAnsi"/>
        </w:rPr>
        <w:t xml:space="preserve">need and use of </w:t>
      </w:r>
      <w:r w:rsidR="00E70242" w:rsidRPr="00E70242">
        <w:rPr>
          <w:rFonts w:asciiTheme="minorHAnsi" w:hAnsiTheme="minorHAnsi"/>
        </w:rPr>
        <w:t>community-based surveillance and education platform</w:t>
      </w:r>
      <w:r w:rsidR="00E70242">
        <w:rPr>
          <w:rFonts w:asciiTheme="minorHAnsi" w:hAnsiTheme="minorHAnsi"/>
        </w:rPr>
        <w:t xml:space="preserve"> in the control of vector-borne diseases, specifically for those highly impacted in the gulf coast and border regions. </w:t>
      </w:r>
    </w:p>
    <w:p w14:paraId="5DC3FA7E" w14:textId="77777777" w:rsidR="006E4D7A" w:rsidRPr="00681832" w:rsidRDefault="006E4D7A" w:rsidP="00C51751">
      <w:pPr>
        <w:jc w:val="both"/>
        <w:rPr>
          <w:rFonts w:asciiTheme="minorHAnsi" w:hAnsiTheme="minorHAnsi"/>
          <w:color w:val="000000"/>
        </w:rPr>
      </w:pPr>
    </w:p>
    <w:p w14:paraId="19C23158" w14:textId="77777777"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49EBC68C" w14:textId="77777777"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14:paraId="752CD0EF" w14:textId="77777777" w:rsidR="0081264D" w:rsidRDefault="0081264D" w:rsidP="006E7523">
      <w:pPr>
        <w:pStyle w:val="Default"/>
        <w:rPr>
          <w:rFonts w:asciiTheme="minorHAnsi" w:hAnsiTheme="minorHAnsi"/>
          <w:sz w:val="22"/>
          <w:szCs w:val="22"/>
        </w:rPr>
      </w:pPr>
    </w:p>
    <w:p w14:paraId="53584620" w14:textId="77777777"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7C8729A4"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6855679F" w14:textId="77777777" w:rsidR="006E7523" w:rsidRPr="009A5895" w:rsidRDefault="006E7523" w:rsidP="006E7523">
      <w:pPr>
        <w:rPr>
          <w:rFonts w:asciiTheme="minorHAnsi" w:hAnsiTheme="minorHAnsi"/>
        </w:rPr>
      </w:pPr>
    </w:p>
    <w:p w14:paraId="2F752018" w14:textId="77777777"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3B5D10AF"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7C55ECDA" w14:textId="77777777" w:rsidR="006E7523" w:rsidRPr="009A5895" w:rsidRDefault="006E7523" w:rsidP="006E7523">
      <w:pPr>
        <w:rPr>
          <w:rFonts w:asciiTheme="minorHAnsi" w:hAnsiTheme="minorHAnsi"/>
        </w:rPr>
      </w:pPr>
    </w:p>
    <w:p w14:paraId="076C5AE3" w14:textId="77777777"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62E77B52"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6572F638" w14:textId="77777777" w:rsidR="00765A29" w:rsidRPr="00D97262" w:rsidRDefault="00765A29" w:rsidP="00765A29">
      <w:pPr>
        <w:pStyle w:val="ListParagraph"/>
        <w:jc w:val="both"/>
        <w:rPr>
          <w:rFonts w:asciiTheme="minorHAnsi" w:hAnsiTheme="minorHAnsi"/>
        </w:rPr>
      </w:pPr>
    </w:p>
    <w:p w14:paraId="065C9EBC" w14:textId="77777777"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2A42445A" w14:textId="5C935A74" w:rsidR="002B470C" w:rsidRPr="009A5895" w:rsidRDefault="000C05EC" w:rsidP="00DC2CD8">
      <w:pPr>
        <w:jc w:val="both"/>
        <w:rPr>
          <w:rFonts w:asciiTheme="minorHAnsi" w:hAnsiTheme="minorHAnsi"/>
        </w:rPr>
      </w:pPr>
      <w:r>
        <w:rPr>
          <w:rFonts w:asciiTheme="minorHAnsi" w:hAnsiTheme="minorHAnsi"/>
        </w:rPr>
        <w:t xml:space="preserve">No </w:t>
      </w:r>
      <w:r w:rsidR="002B470C" w:rsidRPr="009A5895">
        <w:rPr>
          <w:rFonts w:asciiTheme="minorHAnsi" w:hAnsiTheme="minorHAnsi"/>
        </w:rPr>
        <w:t xml:space="preserve">payment or gifts </w:t>
      </w:r>
      <w:r>
        <w:rPr>
          <w:rFonts w:asciiTheme="minorHAnsi" w:hAnsiTheme="minorHAnsi"/>
        </w:rPr>
        <w:t xml:space="preserve">will be offered </w:t>
      </w:r>
      <w:r w:rsidR="002B470C" w:rsidRPr="009A5895">
        <w:rPr>
          <w:rFonts w:asciiTheme="minorHAnsi" w:hAnsiTheme="minorHAnsi"/>
        </w:rPr>
        <w:t>to respondents</w:t>
      </w:r>
      <w:r w:rsidR="001501D5" w:rsidRPr="009A5895">
        <w:rPr>
          <w:rFonts w:asciiTheme="minorHAnsi" w:hAnsiTheme="minorHAnsi"/>
        </w:rPr>
        <w:t>.</w:t>
      </w:r>
    </w:p>
    <w:p w14:paraId="4B44F10F" w14:textId="77777777" w:rsidR="002B470C" w:rsidRPr="009A5895" w:rsidRDefault="002B470C" w:rsidP="00DC2CD8">
      <w:pPr>
        <w:jc w:val="both"/>
        <w:rPr>
          <w:rFonts w:asciiTheme="minorHAnsi" w:hAnsiTheme="minorHAnsi"/>
        </w:rPr>
      </w:pPr>
    </w:p>
    <w:p w14:paraId="2EE0A76A" w14:textId="77777777"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736EF9FF" w14:textId="77777777" w:rsidR="003A7E8A" w:rsidRDefault="007C3E1C" w:rsidP="006D5784">
      <w:pPr>
        <w:jc w:val="both"/>
        <w:rPr>
          <w:rFonts w:asciiTheme="minorHAnsi" w:hAnsiTheme="minorHAnsi"/>
        </w:rPr>
      </w:pPr>
      <w:r>
        <w:rPr>
          <w:rFonts w:asciiTheme="minorHAnsi" w:hAnsiTheme="minorHAnsi"/>
        </w:rPr>
        <w:t>Activities for this request do not involve the collection of Individually Identifiable Information.</w:t>
      </w:r>
    </w:p>
    <w:p w14:paraId="7B83549D" w14:textId="5499DC67" w:rsidR="002B470C" w:rsidRDefault="000908C0" w:rsidP="006D5784">
      <w:pPr>
        <w:jc w:val="both"/>
        <w:rPr>
          <w:rFonts w:asciiTheme="minorHAnsi" w:hAnsiTheme="minorHAnsi"/>
        </w:rPr>
      </w:pPr>
      <w:r>
        <w:rPr>
          <w:rFonts w:asciiTheme="minorHAnsi" w:hAnsiTheme="minorHAnsi"/>
        </w:rPr>
        <w:t xml:space="preserve">Prior to the </w:t>
      </w:r>
      <w:r w:rsidR="003A7E8A">
        <w:rPr>
          <w:rFonts w:asciiTheme="minorHAnsi" w:hAnsiTheme="minorHAnsi"/>
        </w:rPr>
        <w:t xml:space="preserve">semi-structured interview, the interviewer describes the purpose of the project and obtains </w:t>
      </w:r>
      <w:r w:rsidR="001E18F3">
        <w:rPr>
          <w:rFonts w:asciiTheme="minorHAnsi" w:hAnsiTheme="minorHAnsi"/>
        </w:rPr>
        <w:t xml:space="preserve">the respondent’s </w:t>
      </w:r>
      <w:r w:rsidR="003A7E8A">
        <w:rPr>
          <w:rFonts w:asciiTheme="minorHAnsi" w:hAnsiTheme="minorHAnsi"/>
        </w:rPr>
        <w:t>verbal consent.</w:t>
      </w:r>
      <w:r w:rsidRPr="000908C0">
        <w:t xml:space="preserve"> </w:t>
      </w:r>
      <w:r>
        <w:rPr>
          <w:rFonts w:asciiTheme="minorHAnsi" w:hAnsiTheme="minorHAnsi"/>
        </w:rPr>
        <w:t>Project t</w:t>
      </w:r>
      <w:r w:rsidRPr="000908C0">
        <w:rPr>
          <w:rFonts w:asciiTheme="minorHAnsi" w:hAnsiTheme="minorHAnsi"/>
        </w:rPr>
        <w:t>eams will use convenience sampling methods to select subjects</w:t>
      </w:r>
      <w:r>
        <w:rPr>
          <w:rFonts w:asciiTheme="minorHAnsi" w:hAnsiTheme="minorHAnsi"/>
        </w:rPr>
        <w:t>,</w:t>
      </w:r>
      <w:r w:rsidRPr="000908C0">
        <w:rPr>
          <w:rFonts w:asciiTheme="minorHAnsi" w:hAnsiTheme="minorHAnsi"/>
        </w:rPr>
        <w:t xml:space="preserve"> </w:t>
      </w:r>
      <w:r>
        <w:rPr>
          <w:rFonts w:asciiTheme="minorHAnsi" w:hAnsiTheme="minorHAnsi"/>
        </w:rPr>
        <w:t>in the Brownsville area (parks, supermarkets, community events</w:t>
      </w:r>
      <w:r w:rsidR="00EE65E8">
        <w:rPr>
          <w:rFonts w:asciiTheme="minorHAnsi" w:hAnsiTheme="minorHAnsi"/>
        </w:rPr>
        <w:t>, clinics and health care services</w:t>
      </w:r>
      <w:r>
        <w:rPr>
          <w:rFonts w:asciiTheme="minorHAnsi" w:hAnsiTheme="minorHAnsi"/>
        </w:rPr>
        <w:t>) in San Diego</w:t>
      </w:r>
      <w:r w:rsidR="00EE65E8">
        <w:rPr>
          <w:rFonts w:asciiTheme="minorHAnsi" w:hAnsiTheme="minorHAnsi"/>
        </w:rPr>
        <w:t xml:space="preserve"> and Arizona</w:t>
      </w:r>
      <w:r>
        <w:rPr>
          <w:rFonts w:asciiTheme="minorHAnsi" w:hAnsiTheme="minorHAnsi"/>
        </w:rPr>
        <w:t xml:space="preserve">, </w:t>
      </w:r>
      <w:r w:rsidRPr="000908C0">
        <w:rPr>
          <w:rFonts w:asciiTheme="minorHAnsi" w:hAnsiTheme="minorHAnsi"/>
        </w:rPr>
        <w:t>who are readily available and within close proximity.</w:t>
      </w:r>
      <w:r>
        <w:rPr>
          <w:rFonts w:asciiTheme="minorHAnsi" w:hAnsiTheme="minorHAnsi"/>
        </w:rPr>
        <w:t xml:space="preserve"> </w:t>
      </w:r>
    </w:p>
    <w:p w14:paraId="7851F355" w14:textId="77777777" w:rsidR="00C845E2" w:rsidRPr="00C845E2" w:rsidRDefault="00C845E2" w:rsidP="00C845E2">
      <w:pPr>
        <w:pStyle w:val="ListParagraph"/>
        <w:ind w:left="1440"/>
        <w:jc w:val="both"/>
        <w:rPr>
          <w:rFonts w:asciiTheme="minorHAnsi" w:hAnsiTheme="minorHAnsi"/>
        </w:rPr>
      </w:pPr>
    </w:p>
    <w:p w14:paraId="7AF0FE15" w14:textId="77777777"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0A5075BA" w14:textId="1E239D07"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3A7E8A">
        <w:rPr>
          <w:rFonts w:asciiTheme="minorHAnsi" w:hAnsiTheme="minorHAnsi"/>
        </w:rPr>
        <w:t xml:space="preserve">The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w:t>
      </w:r>
      <w:r w:rsidR="003A7E8A">
        <w:rPr>
          <w:rFonts w:asciiTheme="minorHAnsi" w:hAnsiTheme="minorHAnsi"/>
        </w:rPr>
        <w:t>the information collection</w:t>
      </w:r>
      <w:r w:rsidR="00F83FB1">
        <w:rPr>
          <w:rFonts w:asciiTheme="minorHAnsi" w:hAnsiTheme="minorHAnsi"/>
        </w:rPr>
        <w:t xml:space="preserve"> </w:t>
      </w:r>
      <w:r w:rsidR="003A7E8A">
        <w:rPr>
          <w:rFonts w:asciiTheme="minorHAnsi" w:hAnsiTheme="minorHAnsi"/>
        </w:rPr>
        <w:t>does</w:t>
      </w:r>
      <w:r w:rsidR="00F83FB1">
        <w:rPr>
          <w:rFonts w:asciiTheme="minorHAnsi" w:hAnsiTheme="minorHAnsi"/>
        </w:rPr>
        <w:t xml:space="preserve"> not</w:t>
      </w:r>
      <w:r w:rsidR="003A7E8A">
        <w:rPr>
          <w:rFonts w:asciiTheme="minorHAnsi" w:hAnsiTheme="minorHAnsi"/>
        </w:rPr>
        <w:t xml:space="preserve"> constitute</w:t>
      </w:r>
      <w:r w:rsidR="00F83FB1">
        <w:rPr>
          <w:rFonts w:asciiTheme="minorHAnsi" w:hAnsiTheme="minorHAnsi"/>
        </w:rPr>
        <w:t xml:space="preserve"> research involving human subjects and IRB</w:t>
      </w:r>
      <w:r w:rsidR="003A7E8A">
        <w:rPr>
          <w:rFonts w:asciiTheme="minorHAnsi" w:hAnsiTheme="minorHAnsi"/>
        </w:rPr>
        <w:t xml:space="preserve"> approval</w:t>
      </w:r>
      <w:r w:rsidR="00F83FB1">
        <w:rPr>
          <w:rFonts w:asciiTheme="minorHAnsi" w:hAnsiTheme="minorHAnsi"/>
        </w:rPr>
        <w:t xml:space="preserve"> is not required</w:t>
      </w:r>
      <w:r w:rsidR="000908C0">
        <w:rPr>
          <w:rFonts w:asciiTheme="minorHAnsi" w:hAnsiTheme="minorHAnsi"/>
        </w:rPr>
        <w:t>.</w:t>
      </w:r>
    </w:p>
    <w:p w14:paraId="4BC10B0E" w14:textId="77777777" w:rsidR="0002094C" w:rsidRPr="009A5895" w:rsidRDefault="0002094C" w:rsidP="0002094C">
      <w:pPr>
        <w:jc w:val="both"/>
        <w:rPr>
          <w:rFonts w:asciiTheme="minorHAnsi" w:hAnsiTheme="minorHAnsi"/>
        </w:rPr>
      </w:pPr>
    </w:p>
    <w:p w14:paraId="47D1F18D" w14:textId="77777777"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5C2C836A" w14:textId="14069CA8" w:rsidR="00920F4C" w:rsidRPr="009A5895" w:rsidRDefault="00E145E0" w:rsidP="00E54147">
      <w:pPr>
        <w:rPr>
          <w:rFonts w:asciiTheme="minorHAnsi" w:hAnsiTheme="minorHAnsi"/>
        </w:rPr>
      </w:pPr>
      <w:r>
        <w:rPr>
          <w:rFonts w:asciiTheme="minorHAnsi" w:hAnsiTheme="minorHAnsi"/>
        </w:rPr>
        <w:t>The project team</w:t>
      </w:r>
      <w:r w:rsidR="006D5784">
        <w:rPr>
          <w:rFonts w:asciiTheme="minorHAnsi" w:hAnsiTheme="minorHAnsi"/>
        </w:rPr>
        <w:t xml:space="preserve"> will interview 50 respondents for this ICR. The project will interview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6E4D7A" w:rsidRPr="006E4D7A">
        <w:rPr>
          <w:rFonts w:asciiTheme="minorHAnsi" w:hAnsiTheme="minorHAnsi"/>
        </w:rPr>
        <w:t xml:space="preserve"> 1,187.75</w:t>
      </w:r>
      <w:r w:rsidR="00B85B7E">
        <w:rPr>
          <w:rFonts w:asciiTheme="minorHAnsi" w:hAnsiTheme="minorHAnsi"/>
        </w:rPr>
        <w:t>.</w:t>
      </w:r>
    </w:p>
    <w:p w14:paraId="32BA6781" w14:textId="77777777" w:rsidR="00ED67BF" w:rsidRPr="009A5895" w:rsidRDefault="00ED67BF" w:rsidP="00DC2CD8">
      <w:pPr>
        <w:jc w:val="both"/>
        <w:rPr>
          <w:rFonts w:asciiTheme="minorHAnsi" w:hAnsiTheme="minorHAnsi"/>
        </w:rPr>
      </w:pPr>
    </w:p>
    <w:p w14:paraId="34218C37"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060CF758"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14:paraId="07AB8ECE" w14:textId="77777777" w:rsidTr="00895A47">
        <w:trPr>
          <w:trHeight w:val="710"/>
        </w:trPr>
        <w:tc>
          <w:tcPr>
            <w:tcW w:w="3415" w:type="dxa"/>
            <w:shd w:val="clear" w:color="auto" w:fill="auto"/>
          </w:tcPr>
          <w:p w14:paraId="3A79AAE2"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14:paraId="689D779E"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14:paraId="7C02C83A"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11C8657D"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14:paraId="4FEA2F2C"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14:paraId="66207EC1"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14:paraId="1D869F80" w14:textId="77777777" w:rsidTr="007B7C94">
        <w:trPr>
          <w:trHeight w:val="304"/>
        </w:trPr>
        <w:tc>
          <w:tcPr>
            <w:tcW w:w="3415" w:type="dxa"/>
            <w:shd w:val="clear" w:color="auto" w:fill="auto"/>
          </w:tcPr>
          <w:p w14:paraId="5B921C66" w14:textId="6C47AF95" w:rsidR="0003143E" w:rsidRPr="00BB3935" w:rsidRDefault="00FE4B97" w:rsidP="00E70242">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Maternal Child Health Providers</w:t>
            </w:r>
          </w:p>
        </w:tc>
        <w:tc>
          <w:tcPr>
            <w:tcW w:w="1223" w:type="dxa"/>
            <w:shd w:val="clear" w:color="auto" w:fill="auto"/>
          </w:tcPr>
          <w:p w14:paraId="0F584B4D"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14:paraId="494D7F12" w14:textId="77777777"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3D10B4EC"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14:paraId="44F9A457"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14:paraId="382278F2" w14:textId="77777777"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6E757BAC" w14:textId="77777777" w:rsidTr="007B7C94">
        <w:trPr>
          <w:trHeight w:val="215"/>
        </w:trPr>
        <w:tc>
          <w:tcPr>
            <w:tcW w:w="3415" w:type="dxa"/>
            <w:shd w:val="clear" w:color="auto" w:fill="auto"/>
          </w:tcPr>
          <w:p w14:paraId="50A1C532"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14:paraId="6916E4E1"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14:paraId="2E578426" w14:textId="77777777"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25</w:t>
            </w:r>
          </w:p>
        </w:tc>
      </w:tr>
    </w:tbl>
    <w:p w14:paraId="2C165578" w14:textId="77777777" w:rsidR="00920F4C" w:rsidRDefault="00920F4C" w:rsidP="00DC2CD8">
      <w:pPr>
        <w:jc w:val="both"/>
        <w:rPr>
          <w:rFonts w:asciiTheme="minorHAnsi" w:hAnsiTheme="minorHAnsi"/>
        </w:rPr>
      </w:pPr>
    </w:p>
    <w:p w14:paraId="6FD9AA4B"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14:paraId="3FABEBDC" w14:textId="77777777" w:rsidTr="00532103">
        <w:tc>
          <w:tcPr>
            <w:tcW w:w="2155" w:type="dxa"/>
            <w:shd w:val="clear" w:color="auto" w:fill="auto"/>
          </w:tcPr>
          <w:p w14:paraId="0C66E6F3"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14:paraId="62B6BABD"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14:paraId="1726C2EC"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45109E8B"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14:paraId="299F06ED"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14:paraId="54D97010"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14:paraId="34ACF7F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14:paraId="6AB1BCFB"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14:paraId="473070B3" w14:textId="77777777" w:rsidTr="00532103">
        <w:tc>
          <w:tcPr>
            <w:tcW w:w="7735" w:type="dxa"/>
            <w:gridSpan w:val="6"/>
            <w:shd w:val="clear" w:color="auto" w:fill="D9D9D9" w:themeFill="background1" w:themeFillShade="D9"/>
          </w:tcPr>
          <w:p w14:paraId="4184285F"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14:paraId="060D8900"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14:paraId="504D793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14:paraId="7D4FAF7D" w14:textId="77777777" w:rsidTr="00532103">
        <w:trPr>
          <w:trHeight w:val="359"/>
        </w:trPr>
        <w:tc>
          <w:tcPr>
            <w:tcW w:w="2155" w:type="dxa"/>
            <w:shd w:val="clear" w:color="auto" w:fill="auto"/>
          </w:tcPr>
          <w:p w14:paraId="28605992" w14:textId="69E92143" w:rsidR="007B7C94" w:rsidRDefault="002445E2"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Times New Roman" w:hAnsiTheme="minorHAnsi"/>
              </w:rPr>
              <w:t>Maternal Child Health Providers</w:t>
            </w:r>
          </w:p>
        </w:tc>
        <w:tc>
          <w:tcPr>
            <w:tcW w:w="810" w:type="dxa"/>
            <w:shd w:val="clear" w:color="auto" w:fill="auto"/>
          </w:tcPr>
          <w:p w14:paraId="13590803"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14:paraId="599529FD" w14:textId="77777777"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4A78B304"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14:paraId="13786DB5"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0E1576A6" w14:textId="77777777" w:rsidR="007B7C94" w:rsidRDefault="00E5414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14:paraId="68757321" w14:textId="77777777"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14:paraId="1C36FCF1" w14:textId="18EE4448" w:rsidR="00800A1B" w:rsidRDefault="006E4D7A"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47.51</w:t>
            </w:r>
          </w:p>
        </w:tc>
        <w:tc>
          <w:tcPr>
            <w:tcW w:w="1345" w:type="dxa"/>
          </w:tcPr>
          <w:p w14:paraId="0492583C" w14:textId="5C7FF2BF" w:rsidR="007B7C94" w:rsidRDefault="00800A1B" w:rsidP="006E4D7A">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6E4D7A">
              <w:rPr>
                <w:rFonts w:asciiTheme="minorHAnsi" w:eastAsia="Calibri" w:hAnsiTheme="minorHAnsi" w:cs="EEAGN D+ Melior"/>
                <w:color w:val="000000"/>
              </w:rPr>
              <w:t>1,187.75</w:t>
            </w:r>
          </w:p>
        </w:tc>
      </w:tr>
      <w:tr w:rsidR="0076702A" w:rsidRPr="00BB3935" w14:paraId="29D5874D" w14:textId="77777777" w:rsidTr="00532103">
        <w:trPr>
          <w:trHeight w:val="260"/>
        </w:trPr>
        <w:tc>
          <w:tcPr>
            <w:tcW w:w="2155" w:type="dxa"/>
            <w:shd w:val="clear" w:color="auto" w:fill="D9D9D9" w:themeFill="background1" w:themeFillShade="D9"/>
          </w:tcPr>
          <w:p w14:paraId="750C495D"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14:paraId="736777D5"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14:paraId="636D1ABE"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6BA7C84F"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1EBC5E03"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3B6F4E5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14:paraId="381E253F"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14:paraId="7787A518" w14:textId="67673613" w:rsidR="00B85B7E" w:rsidRPr="00B90BE8" w:rsidRDefault="007A1C68" w:rsidP="006E4D7A">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6E4D7A">
              <w:rPr>
                <w:rFonts w:asciiTheme="minorHAnsi" w:eastAsia="Calibri" w:hAnsiTheme="minorHAnsi" w:cs="EEAGN D+ Melior"/>
                <w:b/>
                <w:color w:val="000000"/>
              </w:rPr>
              <w:t>1,187.75</w:t>
            </w:r>
          </w:p>
        </w:tc>
      </w:tr>
    </w:tbl>
    <w:p w14:paraId="7FB458EE" w14:textId="55A4F6FC" w:rsidR="0076702A" w:rsidRPr="00E43E41" w:rsidRDefault="009E1E51" w:rsidP="00FA6DA7">
      <w:pPr>
        <w:widowControl w:val="0"/>
        <w:tabs>
          <w:tab w:val="left" w:pos="0"/>
        </w:tabs>
        <w:autoSpaceDE w:val="0"/>
        <w:autoSpaceDN w:val="0"/>
        <w:adjustRightInd w:val="0"/>
        <w:rPr>
          <w:rFonts w:asciiTheme="minorHAnsi" w:hAnsiTheme="minorHAnsi"/>
          <w:sz w:val="16"/>
          <w:szCs w:val="16"/>
        </w:rPr>
      </w:pPr>
      <w:r w:rsidRPr="00E43E41">
        <w:rPr>
          <w:rFonts w:asciiTheme="minorHAnsi" w:hAnsiTheme="minorHAnsi"/>
          <w:sz w:val="16"/>
          <w:szCs w:val="16"/>
        </w:rPr>
        <w:t>*</w:t>
      </w:r>
      <w:r w:rsidR="00930227" w:rsidRPr="00E43E41">
        <w:rPr>
          <w:rFonts w:asciiTheme="minorHAnsi" w:hAnsiTheme="minorHAnsi"/>
          <w:sz w:val="16"/>
          <w:szCs w:val="16"/>
        </w:rPr>
        <w:t>A</w:t>
      </w:r>
      <w:r w:rsidR="00664B37" w:rsidRPr="00E43E41">
        <w:rPr>
          <w:rFonts w:asciiTheme="minorHAnsi" w:hAnsiTheme="minorHAnsi"/>
          <w:sz w:val="16"/>
          <w:szCs w:val="16"/>
        </w:rPr>
        <w:t xml:space="preserve">verage of </w:t>
      </w:r>
      <w:r w:rsidRPr="00E43E41">
        <w:rPr>
          <w:rFonts w:asciiTheme="minorHAnsi" w:hAnsiTheme="minorHAnsi"/>
          <w:sz w:val="16"/>
          <w:szCs w:val="16"/>
        </w:rPr>
        <w:t>hourly wage</w:t>
      </w:r>
      <w:r w:rsidR="00664B37" w:rsidRPr="00E43E41">
        <w:rPr>
          <w:rFonts w:asciiTheme="minorHAnsi" w:hAnsiTheme="minorHAnsi"/>
          <w:sz w:val="16"/>
          <w:szCs w:val="16"/>
        </w:rPr>
        <w:t xml:space="preserve"> </w:t>
      </w:r>
      <w:r w:rsidRPr="00E43E41">
        <w:rPr>
          <w:rFonts w:asciiTheme="minorHAnsi" w:hAnsiTheme="minorHAnsi"/>
          <w:sz w:val="16"/>
          <w:szCs w:val="16"/>
        </w:rPr>
        <w:t xml:space="preserve">from </w:t>
      </w:r>
      <w:hyperlink r:id="rId10" w:history="1">
        <w:r w:rsidR="000837B6" w:rsidRPr="00E43E41">
          <w:rPr>
            <w:rStyle w:val="Hyperlink"/>
            <w:sz w:val="16"/>
            <w:szCs w:val="16"/>
          </w:rPr>
          <w:t>https://www.bls.gov/oes/current/oes_nat.htm</w:t>
        </w:r>
      </w:hyperlink>
      <w:r w:rsidR="000837B6" w:rsidRPr="00E43E41">
        <w:rPr>
          <w:sz w:val="16"/>
          <w:szCs w:val="16"/>
        </w:rPr>
        <w:t xml:space="preserve">   </w:t>
      </w:r>
      <w:r w:rsidR="000837B6" w:rsidRPr="00E43E41">
        <w:rPr>
          <w:rFonts w:asciiTheme="minorHAnsi" w:hAnsiTheme="minorHAnsi"/>
          <w:sz w:val="16"/>
          <w:szCs w:val="16"/>
        </w:rPr>
        <w:t>“</w:t>
      </w:r>
      <w:r w:rsidR="00EE65E8" w:rsidRPr="00E43E41">
        <w:rPr>
          <w:rFonts w:asciiTheme="minorHAnsi" w:hAnsiTheme="minorHAnsi"/>
          <w:sz w:val="16"/>
          <w:szCs w:val="16"/>
        </w:rPr>
        <w:t>Health Diagnosing and Treating Practitioners</w:t>
      </w:r>
      <w:r w:rsidR="00E43E41" w:rsidRPr="00E43E41">
        <w:rPr>
          <w:rFonts w:asciiTheme="minorHAnsi" w:hAnsiTheme="minorHAnsi"/>
          <w:sz w:val="16"/>
          <w:szCs w:val="16"/>
        </w:rPr>
        <w:t xml:space="preserve"> </w:t>
      </w:r>
      <w:r w:rsidR="00E43E41" w:rsidRPr="00E43E41">
        <w:rPr>
          <w:rFonts w:asciiTheme="minorHAnsi" w:hAnsiTheme="minorHAnsi" w:cstheme="minorHAnsi"/>
          <w:sz w:val="16"/>
          <w:szCs w:val="16"/>
        </w:rPr>
        <w:t>29-1000</w:t>
      </w:r>
      <w:r w:rsidR="000837B6" w:rsidRPr="00E43E41">
        <w:rPr>
          <w:rFonts w:asciiTheme="minorHAnsi" w:hAnsiTheme="minorHAnsi"/>
          <w:sz w:val="16"/>
          <w:szCs w:val="16"/>
        </w:rPr>
        <w:t>” 2016</w:t>
      </w:r>
    </w:p>
    <w:p w14:paraId="44C498FF" w14:textId="77777777" w:rsidR="009E1E51" w:rsidRDefault="009E1E51" w:rsidP="00DC2CD8">
      <w:pPr>
        <w:jc w:val="both"/>
        <w:rPr>
          <w:rFonts w:asciiTheme="minorHAnsi" w:hAnsiTheme="minorHAnsi"/>
        </w:rPr>
      </w:pPr>
    </w:p>
    <w:p w14:paraId="452E5643" w14:textId="77777777"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1DB02A33"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0A4FA28C"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2C1B9B4B" w14:textId="77777777"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3A215C32"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095E0F45" w14:textId="77777777" w:rsidTr="00AD41CC">
        <w:tc>
          <w:tcPr>
            <w:tcW w:w="5035" w:type="dxa"/>
          </w:tcPr>
          <w:p w14:paraId="2CDABCBD" w14:textId="77777777"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14:paraId="5E875894" w14:textId="77777777"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14:paraId="16C2CC29" w14:textId="77777777" w:rsidTr="00AD41CC">
        <w:tc>
          <w:tcPr>
            <w:tcW w:w="5035" w:type="dxa"/>
          </w:tcPr>
          <w:p w14:paraId="787C73F3" w14:textId="77777777"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59791FB8" w14:textId="77777777"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14:paraId="47BF6F12" w14:textId="77777777" w:rsidTr="00532103">
        <w:trPr>
          <w:trHeight w:val="243"/>
        </w:trPr>
        <w:tc>
          <w:tcPr>
            <w:tcW w:w="5035" w:type="dxa"/>
          </w:tcPr>
          <w:p w14:paraId="4A1EED1A" w14:textId="77777777"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PH Advisor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14:paraId="1F7ADEBB" w14:textId="65A33912" w:rsidR="00B90BE8" w:rsidRPr="00126315" w:rsidRDefault="00B90BE8" w:rsidP="00AD287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AD287F">
              <w:rPr>
                <w:rFonts w:asciiTheme="minorHAnsi" w:hAnsiTheme="minorHAnsi"/>
                <w:sz w:val="20"/>
                <w:szCs w:val="22"/>
              </w:rPr>
              <w:t>1,420</w:t>
            </w:r>
            <w:r w:rsidR="00517502" w:rsidRPr="00126315">
              <w:rPr>
                <w:rFonts w:asciiTheme="minorHAnsi" w:hAnsiTheme="minorHAnsi"/>
                <w:sz w:val="20"/>
                <w:szCs w:val="22"/>
              </w:rPr>
              <w:t>.00</w:t>
            </w:r>
          </w:p>
        </w:tc>
      </w:tr>
      <w:tr w:rsidR="00664B37" w:rsidRPr="00B4537B" w14:paraId="004C9B09" w14:textId="77777777" w:rsidTr="00AD41CC">
        <w:tc>
          <w:tcPr>
            <w:tcW w:w="5035" w:type="dxa"/>
          </w:tcPr>
          <w:p w14:paraId="1614D5CA" w14:textId="77777777"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14:paraId="385A6E77" w14:textId="604B0E4C" w:rsidR="00664B37" w:rsidRPr="00126315" w:rsidRDefault="00EC5F0F"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AD287F">
              <w:rPr>
                <w:rFonts w:asciiTheme="minorHAnsi" w:hAnsiTheme="minorHAnsi"/>
                <w:b/>
                <w:sz w:val="20"/>
                <w:szCs w:val="22"/>
              </w:rPr>
              <w:t>$6,42</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14:paraId="15E4468B"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717304A8" w14:textId="77777777"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64869826"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1A87C43F" w14:textId="77777777" w:rsidR="00920F4C" w:rsidRPr="009A5895" w:rsidRDefault="00920F4C" w:rsidP="005B2A35">
      <w:pPr>
        <w:pStyle w:val="Heading3"/>
        <w:rPr>
          <w:rFonts w:asciiTheme="minorHAnsi" w:hAnsiTheme="minorHAnsi" w:cs="Times New Roman"/>
          <w:sz w:val="22"/>
          <w:szCs w:val="22"/>
        </w:rPr>
      </w:pPr>
    </w:p>
    <w:p w14:paraId="65806194" w14:textId="77777777"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092C498E" w14:textId="77777777" w:rsidR="00920F4C" w:rsidRDefault="005E2958" w:rsidP="00BC1559">
      <w:r w:rsidRPr="005E2958">
        <w:t xml:space="preserve">The proposed interviews will be conducted </w:t>
      </w:r>
      <w:r w:rsidR="00490A24">
        <w:t xml:space="preserve">within </w:t>
      </w:r>
      <w:r w:rsidR="004A464E">
        <w:t>3-6</w:t>
      </w:r>
      <w:r w:rsidR="00490A24">
        <w:t xml:space="preserve">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030E7773" w14:textId="77777777" w:rsidR="005E2958" w:rsidRPr="005E2958" w:rsidRDefault="005E2958" w:rsidP="005E2958"/>
    <w:p w14:paraId="5D09265B" w14:textId="77777777"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43115803"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0B6A4B9A" w14:textId="77777777" w:rsidR="00B4537B" w:rsidRPr="009A5895" w:rsidRDefault="00B4537B" w:rsidP="00DC31EF">
      <w:pPr>
        <w:rPr>
          <w:rFonts w:asciiTheme="minorHAnsi" w:hAnsiTheme="minorHAnsi"/>
        </w:rPr>
      </w:pPr>
    </w:p>
    <w:p w14:paraId="07E304A0" w14:textId="77777777"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2B353203"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F1B1" w14:textId="77777777" w:rsidR="004856B0" w:rsidRDefault="004856B0" w:rsidP="008B5D54">
      <w:r>
        <w:separator/>
      </w:r>
    </w:p>
  </w:endnote>
  <w:endnote w:type="continuationSeparator" w:id="0">
    <w:p w14:paraId="755D7F82" w14:textId="77777777" w:rsidR="004856B0" w:rsidRDefault="004856B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D2E1A" w14:textId="77777777" w:rsidR="004856B0" w:rsidRDefault="004856B0" w:rsidP="008B5D54">
      <w:r>
        <w:separator/>
      </w:r>
    </w:p>
  </w:footnote>
  <w:footnote w:type="continuationSeparator" w:id="0">
    <w:p w14:paraId="19ED16A6" w14:textId="77777777" w:rsidR="004856B0" w:rsidRDefault="004856B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07FA3"/>
    <w:multiLevelType w:val="hybridMultilevel"/>
    <w:tmpl w:val="5A0C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0575E"/>
    <w:multiLevelType w:val="hybridMultilevel"/>
    <w:tmpl w:val="ADA64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E16D62"/>
    <w:multiLevelType w:val="hybridMultilevel"/>
    <w:tmpl w:val="D35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9"/>
  </w:num>
  <w:num w:numId="11">
    <w:abstractNumId w:val="7"/>
  </w:num>
  <w:num w:numId="12">
    <w:abstractNumId w:val="11"/>
  </w:num>
  <w:num w:numId="13">
    <w:abstractNumId w:val="13"/>
  </w:num>
  <w:num w:numId="14">
    <w:abstractNumId w:val="8"/>
  </w:num>
  <w:num w:numId="15">
    <w:abstractNumId w:val="4"/>
  </w:num>
  <w:num w:numId="16">
    <w:abstractNumId w:val="20"/>
  </w:num>
  <w:num w:numId="17">
    <w:abstractNumId w:val="18"/>
  </w:num>
  <w:num w:numId="18">
    <w:abstractNumId w:val="3"/>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5"/>
  </w:num>
  <w:num w:numId="23">
    <w:abstractNumId w:val="6"/>
  </w:num>
  <w:num w:numId="24">
    <w:abstractNumId w:val="2"/>
  </w:num>
  <w:num w:numId="25">
    <w:abstractNumId w:val="24"/>
  </w:num>
  <w:num w:numId="26">
    <w:abstractNumId w:val="12"/>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837B6"/>
    <w:rsid w:val="000908C0"/>
    <w:rsid w:val="00095972"/>
    <w:rsid w:val="000A2653"/>
    <w:rsid w:val="000A359E"/>
    <w:rsid w:val="000C05EC"/>
    <w:rsid w:val="000C6919"/>
    <w:rsid w:val="000F671D"/>
    <w:rsid w:val="00105190"/>
    <w:rsid w:val="0011411D"/>
    <w:rsid w:val="00124901"/>
    <w:rsid w:val="00126315"/>
    <w:rsid w:val="00144BDE"/>
    <w:rsid w:val="001478D1"/>
    <w:rsid w:val="001501D5"/>
    <w:rsid w:val="00160B58"/>
    <w:rsid w:val="0016362B"/>
    <w:rsid w:val="00173ED3"/>
    <w:rsid w:val="00181FB0"/>
    <w:rsid w:val="00185415"/>
    <w:rsid w:val="001A7352"/>
    <w:rsid w:val="001E18F3"/>
    <w:rsid w:val="001F1862"/>
    <w:rsid w:val="002015E5"/>
    <w:rsid w:val="002016B5"/>
    <w:rsid w:val="00212D0C"/>
    <w:rsid w:val="00212D75"/>
    <w:rsid w:val="00227FD4"/>
    <w:rsid w:val="00233338"/>
    <w:rsid w:val="00236E60"/>
    <w:rsid w:val="002445E2"/>
    <w:rsid w:val="002773AE"/>
    <w:rsid w:val="002873EC"/>
    <w:rsid w:val="00292050"/>
    <w:rsid w:val="002B470C"/>
    <w:rsid w:val="002C0065"/>
    <w:rsid w:val="002E70A7"/>
    <w:rsid w:val="002F03D6"/>
    <w:rsid w:val="002F256F"/>
    <w:rsid w:val="002F2EBF"/>
    <w:rsid w:val="00304C7F"/>
    <w:rsid w:val="0032181C"/>
    <w:rsid w:val="003252BB"/>
    <w:rsid w:val="00342807"/>
    <w:rsid w:val="00354330"/>
    <w:rsid w:val="0038475C"/>
    <w:rsid w:val="00393152"/>
    <w:rsid w:val="003A7E8A"/>
    <w:rsid w:val="003C1CC0"/>
    <w:rsid w:val="003D4FD1"/>
    <w:rsid w:val="003F68F7"/>
    <w:rsid w:val="00421FD7"/>
    <w:rsid w:val="00424A4F"/>
    <w:rsid w:val="0044424C"/>
    <w:rsid w:val="0044512B"/>
    <w:rsid w:val="00476461"/>
    <w:rsid w:val="004856B0"/>
    <w:rsid w:val="00490A24"/>
    <w:rsid w:val="004948C5"/>
    <w:rsid w:val="00494E3D"/>
    <w:rsid w:val="00496336"/>
    <w:rsid w:val="004A464E"/>
    <w:rsid w:val="004B3263"/>
    <w:rsid w:val="004C6495"/>
    <w:rsid w:val="004D2B63"/>
    <w:rsid w:val="004D6BE6"/>
    <w:rsid w:val="00502F72"/>
    <w:rsid w:val="00503F9F"/>
    <w:rsid w:val="005064A5"/>
    <w:rsid w:val="0051095B"/>
    <w:rsid w:val="00517502"/>
    <w:rsid w:val="00530220"/>
    <w:rsid w:val="00532058"/>
    <w:rsid w:val="00532103"/>
    <w:rsid w:val="00533D87"/>
    <w:rsid w:val="00536D97"/>
    <w:rsid w:val="00537AEF"/>
    <w:rsid w:val="00547E23"/>
    <w:rsid w:val="00550CE9"/>
    <w:rsid w:val="00556E61"/>
    <w:rsid w:val="00563488"/>
    <w:rsid w:val="00566116"/>
    <w:rsid w:val="00576A6E"/>
    <w:rsid w:val="005A1ED3"/>
    <w:rsid w:val="005A355F"/>
    <w:rsid w:val="005B2A35"/>
    <w:rsid w:val="005C68CD"/>
    <w:rsid w:val="005E1A4C"/>
    <w:rsid w:val="005E2958"/>
    <w:rsid w:val="00604F78"/>
    <w:rsid w:val="006174E8"/>
    <w:rsid w:val="00620A67"/>
    <w:rsid w:val="00620D28"/>
    <w:rsid w:val="00630F27"/>
    <w:rsid w:val="00635A52"/>
    <w:rsid w:val="00636770"/>
    <w:rsid w:val="00654100"/>
    <w:rsid w:val="00661485"/>
    <w:rsid w:val="00664B37"/>
    <w:rsid w:val="00681832"/>
    <w:rsid w:val="00690B97"/>
    <w:rsid w:val="006A01F6"/>
    <w:rsid w:val="006B05AB"/>
    <w:rsid w:val="006C6578"/>
    <w:rsid w:val="006C74FA"/>
    <w:rsid w:val="006D1DC4"/>
    <w:rsid w:val="006D5784"/>
    <w:rsid w:val="006E3F42"/>
    <w:rsid w:val="006E4D7A"/>
    <w:rsid w:val="006E7523"/>
    <w:rsid w:val="006F3E99"/>
    <w:rsid w:val="007035A9"/>
    <w:rsid w:val="0070695C"/>
    <w:rsid w:val="00713E50"/>
    <w:rsid w:val="00726232"/>
    <w:rsid w:val="0074690D"/>
    <w:rsid w:val="007527DE"/>
    <w:rsid w:val="007554A9"/>
    <w:rsid w:val="00765A29"/>
    <w:rsid w:val="0076702A"/>
    <w:rsid w:val="00775E10"/>
    <w:rsid w:val="00777E62"/>
    <w:rsid w:val="00781AD2"/>
    <w:rsid w:val="00782172"/>
    <w:rsid w:val="00782B24"/>
    <w:rsid w:val="0078567E"/>
    <w:rsid w:val="0078621F"/>
    <w:rsid w:val="00791C1B"/>
    <w:rsid w:val="00795F94"/>
    <w:rsid w:val="007961A9"/>
    <w:rsid w:val="007A1C68"/>
    <w:rsid w:val="007A387F"/>
    <w:rsid w:val="007B4517"/>
    <w:rsid w:val="007B6085"/>
    <w:rsid w:val="007B7C94"/>
    <w:rsid w:val="007C0ACA"/>
    <w:rsid w:val="007C34F9"/>
    <w:rsid w:val="007C3E1C"/>
    <w:rsid w:val="007C44DC"/>
    <w:rsid w:val="007D5B5C"/>
    <w:rsid w:val="007E1CB9"/>
    <w:rsid w:val="00800A1B"/>
    <w:rsid w:val="00801624"/>
    <w:rsid w:val="0080297B"/>
    <w:rsid w:val="00811811"/>
    <w:rsid w:val="0081233C"/>
    <w:rsid w:val="0081264D"/>
    <w:rsid w:val="00821335"/>
    <w:rsid w:val="008269A4"/>
    <w:rsid w:val="008425F6"/>
    <w:rsid w:val="00846385"/>
    <w:rsid w:val="00846407"/>
    <w:rsid w:val="0084673A"/>
    <w:rsid w:val="00862D9C"/>
    <w:rsid w:val="00874423"/>
    <w:rsid w:val="0087629F"/>
    <w:rsid w:val="008818C2"/>
    <w:rsid w:val="008935E8"/>
    <w:rsid w:val="00894B52"/>
    <w:rsid w:val="00895A47"/>
    <w:rsid w:val="008A7793"/>
    <w:rsid w:val="008B5D54"/>
    <w:rsid w:val="008E4649"/>
    <w:rsid w:val="008F5B44"/>
    <w:rsid w:val="009009E4"/>
    <w:rsid w:val="00904863"/>
    <w:rsid w:val="00910328"/>
    <w:rsid w:val="009154C5"/>
    <w:rsid w:val="009171C1"/>
    <w:rsid w:val="00920F4C"/>
    <w:rsid w:val="00930227"/>
    <w:rsid w:val="0093466B"/>
    <w:rsid w:val="00934C48"/>
    <w:rsid w:val="009819E1"/>
    <w:rsid w:val="00982C31"/>
    <w:rsid w:val="0098459F"/>
    <w:rsid w:val="0098525C"/>
    <w:rsid w:val="009A1CBA"/>
    <w:rsid w:val="009A351F"/>
    <w:rsid w:val="009A5895"/>
    <w:rsid w:val="009D0A70"/>
    <w:rsid w:val="009E1E51"/>
    <w:rsid w:val="009E763B"/>
    <w:rsid w:val="009F0A0D"/>
    <w:rsid w:val="00A013EA"/>
    <w:rsid w:val="00A17B6F"/>
    <w:rsid w:val="00A2070F"/>
    <w:rsid w:val="00A2193E"/>
    <w:rsid w:val="00A33B57"/>
    <w:rsid w:val="00A54A62"/>
    <w:rsid w:val="00A605A0"/>
    <w:rsid w:val="00A73F24"/>
    <w:rsid w:val="00AA0D3F"/>
    <w:rsid w:val="00AA1252"/>
    <w:rsid w:val="00AB001E"/>
    <w:rsid w:val="00AC0988"/>
    <w:rsid w:val="00AC50F8"/>
    <w:rsid w:val="00AD287F"/>
    <w:rsid w:val="00AD41CC"/>
    <w:rsid w:val="00AE51C5"/>
    <w:rsid w:val="00AF26D0"/>
    <w:rsid w:val="00B011B6"/>
    <w:rsid w:val="00B234B5"/>
    <w:rsid w:val="00B27E61"/>
    <w:rsid w:val="00B401FB"/>
    <w:rsid w:val="00B4537B"/>
    <w:rsid w:val="00B46253"/>
    <w:rsid w:val="00B55735"/>
    <w:rsid w:val="00B57EB0"/>
    <w:rsid w:val="00B608AC"/>
    <w:rsid w:val="00B64DB1"/>
    <w:rsid w:val="00B66115"/>
    <w:rsid w:val="00B740D4"/>
    <w:rsid w:val="00B749C1"/>
    <w:rsid w:val="00B75614"/>
    <w:rsid w:val="00B772BF"/>
    <w:rsid w:val="00B81E58"/>
    <w:rsid w:val="00B84964"/>
    <w:rsid w:val="00B85B7E"/>
    <w:rsid w:val="00B90BE8"/>
    <w:rsid w:val="00B96E35"/>
    <w:rsid w:val="00BB1427"/>
    <w:rsid w:val="00BB3935"/>
    <w:rsid w:val="00BC1559"/>
    <w:rsid w:val="00BC3EF4"/>
    <w:rsid w:val="00BE262B"/>
    <w:rsid w:val="00BE2DCA"/>
    <w:rsid w:val="00C0273B"/>
    <w:rsid w:val="00C05BF4"/>
    <w:rsid w:val="00C274A3"/>
    <w:rsid w:val="00C51751"/>
    <w:rsid w:val="00C573FA"/>
    <w:rsid w:val="00C63994"/>
    <w:rsid w:val="00C733B1"/>
    <w:rsid w:val="00C845E2"/>
    <w:rsid w:val="00C9419F"/>
    <w:rsid w:val="00CA23C8"/>
    <w:rsid w:val="00CA2B56"/>
    <w:rsid w:val="00CD66EE"/>
    <w:rsid w:val="00CF5954"/>
    <w:rsid w:val="00D022A6"/>
    <w:rsid w:val="00D04958"/>
    <w:rsid w:val="00D237AC"/>
    <w:rsid w:val="00D45EB7"/>
    <w:rsid w:val="00D77718"/>
    <w:rsid w:val="00D8492A"/>
    <w:rsid w:val="00D94CA2"/>
    <w:rsid w:val="00D97262"/>
    <w:rsid w:val="00DA164E"/>
    <w:rsid w:val="00DA621F"/>
    <w:rsid w:val="00DA7300"/>
    <w:rsid w:val="00DB1124"/>
    <w:rsid w:val="00DB15D1"/>
    <w:rsid w:val="00DB3AC6"/>
    <w:rsid w:val="00DB77E2"/>
    <w:rsid w:val="00DC2CD8"/>
    <w:rsid w:val="00DC31EF"/>
    <w:rsid w:val="00DC57CC"/>
    <w:rsid w:val="00DC6775"/>
    <w:rsid w:val="00DD0691"/>
    <w:rsid w:val="00DD5873"/>
    <w:rsid w:val="00DD67FF"/>
    <w:rsid w:val="00DE20D9"/>
    <w:rsid w:val="00DE3087"/>
    <w:rsid w:val="00DE5340"/>
    <w:rsid w:val="00DF0E32"/>
    <w:rsid w:val="00DF2AA3"/>
    <w:rsid w:val="00E04629"/>
    <w:rsid w:val="00E145E0"/>
    <w:rsid w:val="00E16F26"/>
    <w:rsid w:val="00E36B8E"/>
    <w:rsid w:val="00E4051A"/>
    <w:rsid w:val="00E420CB"/>
    <w:rsid w:val="00E43E41"/>
    <w:rsid w:val="00E53DD3"/>
    <w:rsid w:val="00E54147"/>
    <w:rsid w:val="00E55615"/>
    <w:rsid w:val="00E62337"/>
    <w:rsid w:val="00E6543B"/>
    <w:rsid w:val="00E70242"/>
    <w:rsid w:val="00EB54C7"/>
    <w:rsid w:val="00EC3793"/>
    <w:rsid w:val="00EC5F0F"/>
    <w:rsid w:val="00ED01F1"/>
    <w:rsid w:val="00ED26F0"/>
    <w:rsid w:val="00ED3242"/>
    <w:rsid w:val="00ED67BF"/>
    <w:rsid w:val="00EE1012"/>
    <w:rsid w:val="00EE2AF7"/>
    <w:rsid w:val="00EE65E8"/>
    <w:rsid w:val="00EE69C2"/>
    <w:rsid w:val="00F1323E"/>
    <w:rsid w:val="00F21FD6"/>
    <w:rsid w:val="00F315F1"/>
    <w:rsid w:val="00F52FC0"/>
    <w:rsid w:val="00F55D7F"/>
    <w:rsid w:val="00F83FB1"/>
    <w:rsid w:val="00F857DE"/>
    <w:rsid w:val="00FA190A"/>
    <w:rsid w:val="00FA4757"/>
    <w:rsid w:val="00FA6DA7"/>
    <w:rsid w:val="00FD5E1F"/>
    <w:rsid w:val="00FE0F9C"/>
    <w:rsid w:val="00FE43F1"/>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597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581452217">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bls.gov/oes/current/oes_nat.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 w:val="00E1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C3E94A-1B2D-484F-A28D-22EB4AC2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I-Catalyst Program -   Community-based Mosquito Surveillance Pregnant Women</vt:lpstr>
    </vt:vector>
  </TitlesOfParts>
  <Manager/>
  <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Community-based Mosquito Surveillance Maternal Child Health Providers (MHPs)</dc:title>
  <dc:subject>GenIC Submission under OMB #0920-1158</dc:subject>
  <dc:creator/>
  <cp:keywords/>
  <dc:description/>
  <cp:lastModifiedBy/>
  <cp:revision>1</cp:revision>
  <dcterms:created xsi:type="dcterms:W3CDTF">2017-11-30T23:19:00Z</dcterms:created>
  <dcterms:modified xsi:type="dcterms:W3CDTF">2017-11-30T23:19:00Z</dcterms:modified>
</cp:coreProperties>
</file>