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D2" w:rsidRDefault="008959D2" w:rsidP="008959D2">
      <w:pPr>
        <w:rPr>
          <w:rFonts w:ascii="Times New Roman" w:hAnsi="Times New Roman" w:cs="Times New Roman"/>
          <w:sz w:val="20"/>
          <w:szCs w:val="20"/>
        </w:rPr>
      </w:pPr>
      <w:r>
        <w:rPr>
          <w:rFonts w:ascii="Times New Roman" w:hAnsi="Times New Roman" w:cs="Times New Roman"/>
          <w:b/>
          <w:sz w:val="20"/>
          <w:szCs w:val="20"/>
        </w:rPr>
        <w:t>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September 27, 2016</w:t>
      </w:r>
    </w:p>
    <w:p w:rsidR="008959D2" w:rsidRDefault="008959D2" w:rsidP="008959D2">
      <w:pPr>
        <w:rPr>
          <w:rFonts w:ascii="Times New Roman" w:hAnsi="Times New Roman" w:cs="Times New Roman"/>
          <w:sz w:val="20"/>
          <w:szCs w:val="20"/>
        </w:rPr>
      </w:pPr>
      <w:r>
        <w:rPr>
          <w:rFonts w:ascii="Times New Roman" w:hAnsi="Times New Roman" w:cs="Times New Roman"/>
          <w:b/>
          <w:sz w:val="20"/>
          <w:szCs w:val="20"/>
        </w:rPr>
        <w:t>TO: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Patrick Wells, OMB Desk Officer</w:t>
      </w:r>
    </w:p>
    <w:p w:rsidR="008959D2" w:rsidRDefault="008959D2" w:rsidP="008959D2">
      <w:pPr>
        <w:ind w:left="1440" w:firstLine="720"/>
        <w:rPr>
          <w:rFonts w:ascii="Times New Roman" w:hAnsi="Times New Roman" w:cs="Times New Roman"/>
          <w:sz w:val="20"/>
          <w:szCs w:val="20"/>
        </w:rPr>
      </w:pPr>
      <w:r>
        <w:rPr>
          <w:rFonts w:ascii="Times New Roman" w:hAnsi="Times New Roman" w:cs="Times New Roman"/>
          <w:sz w:val="20"/>
          <w:szCs w:val="20"/>
        </w:rPr>
        <w:t>Stephanie Mok, OMB Desk Officer</w:t>
      </w:r>
    </w:p>
    <w:p w:rsidR="008959D2" w:rsidRDefault="008959D2" w:rsidP="008959D2">
      <w:pPr>
        <w:rPr>
          <w:rFonts w:ascii="Times New Roman" w:hAnsi="Times New Roman" w:cs="Times New Roman"/>
          <w:sz w:val="20"/>
          <w:szCs w:val="20"/>
        </w:rPr>
      </w:pPr>
      <w:r>
        <w:rPr>
          <w:rFonts w:ascii="Times New Roman" w:hAnsi="Times New Roman" w:cs="Times New Roman"/>
          <w:b/>
          <w:sz w:val="20"/>
          <w:szCs w:val="20"/>
        </w:rPr>
        <w:t>FROM: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Lisa Wright-Solomon, HRSA Information Collection Clearance Officer</w:t>
      </w:r>
    </w:p>
    <w:p w:rsidR="008959D2" w:rsidRDefault="008959D2" w:rsidP="008959D2">
      <w:pPr>
        <w:ind w:left="2160" w:hanging="2160"/>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_____________________________________________________________________________________________</w:t>
      </w:r>
    </w:p>
    <w:p w:rsidR="009B1FDC" w:rsidRPr="00254F0A" w:rsidRDefault="009271D9" w:rsidP="00501A20">
      <w:pPr>
        <w:ind w:left="2160" w:hanging="2160"/>
        <w:rPr>
          <w:rFonts w:ascii="Times New Roman" w:hAnsi="Times New Roman" w:cs="Times New Roman"/>
          <w:sz w:val="20"/>
          <w:szCs w:val="20"/>
        </w:rPr>
      </w:pPr>
      <w:r w:rsidRPr="00254F0A">
        <w:rPr>
          <w:rFonts w:ascii="Times New Roman" w:hAnsi="Times New Roman" w:cs="Times New Roman"/>
          <w:b/>
          <w:sz w:val="20"/>
          <w:szCs w:val="20"/>
        </w:rPr>
        <w:t>Request</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747E37" w:rsidRPr="00254F0A">
        <w:rPr>
          <w:rFonts w:ascii="Times New Roman" w:hAnsi="Times New Roman" w:cs="Times New Roman"/>
          <w:sz w:val="20"/>
          <w:szCs w:val="20"/>
        </w:rPr>
        <w:t>The Health Resources and Services Administration (HRSA)</w:t>
      </w:r>
      <w:r w:rsidR="0045005E">
        <w:rPr>
          <w:rFonts w:ascii="Times New Roman" w:hAnsi="Times New Roman" w:cs="Times New Roman"/>
          <w:sz w:val="20"/>
          <w:szCs w:val="20"/>
        </w:rPr>
        <w:t xml:space="preserve"> Maternal and Child Health Bureau</w:t>
      </w:r>
      <w:r w:rsidR="00747E37" w:rsidRPr="00254F0A">
        <w:rPr>
          <w:rFonts w:ascii="Times New Roman" w:hAnsi="Times New Roman" w:cs="Times New Roman"/>
          <w:sz w:val="20"/>
          <w:szCs w:val="20"/>
        </w:rPr>
        <w:t xml:space="preserve"> </w:t>
      </w:r>
      <w:r w:rsidR="000000AF" w:rsidRPr="00254F0A">
        <w:rPr>
          <w:rFonts w:ascii="Times New Roman" w:hAnsi="Times New Roman" w:cs="Times New Roman"/>
          <w:sz w:val="20"/>
          <w:szCs w:val="20"/>
        </w:rPr>
        <w:t>requests changes</w:t>
      </w:r>
      <w:r w:rsidR="00B14758" w:rsidRPr="00254F0A">
        <w:rPr>
          <w:rFonts w:ascii="Times New Roman" w:hAnsi="Times New Roman" w:cs="Times New Roman"/>
          <w:sz w:val="20"/>
          <w:szCs w:val="20"/>
        </w:rPr>
        <w:t xml:space="preserve"> to </w:t>
      </w:r>
      <w:r w:rsidR="00747E37" w:rsidRPr="00254F0A">
        <w:rPr>
          <w:rFonts w:ascii="Times New Roman" w:hAnsi="Times New Roman" w:cs="Times New Roman"/>
          <w:sz w:val="20"/>
          <w:szCs w:val="20"/>
        </w:rPr>
        <w:t xml:space="preserve">the </w:t>
      </w:r>
      <w:r w:rsidR="0045005E">
        <w:rPr>
          <w:rFonts w:ascii="Times New Roman" w:hAnsi="Times New Roman" w:cs="Times New Roman"/>
          <w:sz w:val="20"/>
          <w:szCs w:val="20"/>
        </w:rPr>
        <w:t>Discretionary Grant</w:t>
      </w:r>
      <w:r w:rsidR="00B14758" w:rsidRPr="00254F0A">
        <w:rPr>
          <w:rFonts w:ascii="Times New Roman" w:hAnsi="Times New Roman" w:cs="Times New Roman"/>
          <w:sz w:val="20"/>
          <w:szCs w:val="20"/>
        </w:rPr>
        <w:t xml:space="preserve"> Information</w:t>
      </w:r>
      <w:r w:rsidR="0045005E">
        <w:rPr>
          <w:rFonts w:ascii="Times New Roman" w:hAnsi="Times New Roman" w:cs="Times New Roman"/>
          <w:sz w:val="20"/>
          <w:szCs w:val="20"/>
        </w:rPr>
        <w:t xml:space="preserve"> System</w:t>
      </w:r>
      <w:r w:rsidR="00B14758" w:rsidRPr="00254F0A">
        <w:rPr>
          <w:rFonts w:ascii="Times New Roman" w:hAnsi="Times New Roman" w:cs="Times New Roman"/>
          <w:sz w:val="20"/>
          <w:szCs w:val="20"/>
        </w:rPr>
        <w:t xml:space="preserve"> Collection</w:t>
      </w:r>
      <w:r w:rsidR="00747E37" w:rsidRPr="00254F0A">
        <w:rPr>
          <w:rFonts w:ascii="Times New Roman" w:hAnsi="Times New Roman" w:cs="Times New Roman"/>
          <w:sz w:val="20"/>
          <w:szCs w:val="20"/>
        </w:rPr>
        <w:t xml:space="preserve"> (</w:t>
      </w:r>
      <w:r w:rsidR="00B14758" w:rsidRPr="00254F0A">
        <w:rPr>
          <w:rFonts w:ascii="Times New Roman" w:hAnsi="Times New Roman" w:cs="Times New Roman"/>
          <w:sz w:val="20"/>
          <w:szCs w:val="20"/>
        </w:rPr>
        <w:t>OMB #0915-0</w:t>
      </w:r>
      <w:r w:rsidR="00254F0A">
        <w:rPr>
          <w:rFonts w:ascii="Times New Roman" w:hAnsi="Times New Roman" w:cs="Times New Roman"/>
          <w:sz w:val="20"/>
          <w:szCs w:val="20"/>
        </w:rPr>
        <w:t>298</w:t>
      </w:r>
      <w:r w:rsidR="00B14758" w:rsidRPr="00254F0A">
        <w:rPr>
          <w:rFonts w:ascii="Times New Roman" w:hAnsi="Times New Roman" w:cs="Times New Roman"/>
          <w:sz w:val="20"/>
          <w:szCs w:val="20"/>
        </w:rPr>
        <w:t xml:space="preserve">, expires </w:t>
      </w:r>
      <w:r w:rsidR="00254F0A">
        <w:rPr>
          <w:rFonts w:ascii="Times New Roman" w:hAnsi="Times New Roman" w:cs="Times New Roman"/>
          <w:sz w:val="20"/>
          <w:szCs w:val="20"/>
        </w:rPr>
        <w:t>06/30/2019</w:t>
      </w:r>
      <w:r w:rsidR="00747E37" w:rsidRPr="00254F0A">
        <w:rPr>
          <w:rFonts w:ascii="Times New Roman" w:hAnsi="Times New Roman" w:cs="Times New Roman"/>
          <w:sz w:val="20"/>
          <w:szCs w:val="20"/>
        </w:rPr>
        <w:t>)</w:t>
      </w:r>
      <w:r w:rsidR="00B14758" w:rsidRPr="00254F0A">
        <w:rPr>
          <w:rFonts w:ascii="Times New Roman" w:hAnsi="Times New Roman" w:cs="Times New Roman"/>
          <w:sz w:val="20"/>
          <w:szCs w:val="20"/>
        </w:rPr>
        <w:t>.</w:t>
      </w:r>
      <w:r w:rsidR="003C1B32" w:rsidRPr="00254F0A">
        <w:rPr>
          <w:rFonts w:ascii="Times New Roman" w:hAnsi="Times New Roman" w:cs="Times New Roman"/>
          <w:sz w:val="20"/>
          <w:szCs w:val="20"/>
        </w:rPr>
        <w:t xml:space="preserve"> </w:t>
      </w:r>
    </w:p>
    <w:p w:rsidR="00B14758" w:rsidRPr="00254F0A" w:rsidRDefault="009271D9" w:rsidP="00501A20">
      <w:pPr>
        <w:ind w:left="2160" w:hanging="2160"/>
        <w:rPr>
          <w:rFonts w:ascii="Times New Roman" w:hAnsi="Times New Roman" w:cs="Times New Roman"/>
          <w:sz w:val="20"/>
          <w:szCs w:val="20"/>
        </w:rPr>
      </w:pPr>
      <w:r w:rsidRPr="00254F0A">
        <w:rPr>
          <w:rFonts w:ascii="Times New Roman" w:hAnsi="Times New Roman" w:cs="Times New Roman"/>
          <w:b/>
          <w:sz w:val="20"/>
          <w:szCs w:val="20"/>
        </w:rPr>
        <w:t>Purpose</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3C1B32" w:rsidRPr="00254F0A">
        <w:rPr>
          <w:rFonts w:ascii="Times New Roman" w:hAnsi="Times New Roman" w:cs="Times New Roman"/>
          <w:sz w:val="20"/>
          <w:szCs w:val="20"/>
        </w:rPr>
        <w:t>The</w:t>
      </w:r>
      <w:r w:rsidR="00320CCD" w:rsidRPr="00254F0A">
        <w:rPr>
          <w:rFonts w:ascii="Times New Roman" w:hAnsi="Times New Roman" w:cs="Times New Roman"/>
          <w:sz w:val="20"/>
          <w:szCs w:val="20"/>
        </w:rPr>
        <w:t>se</w:t>
      </w:r>
      <w:r w:rsidR="000A1228" w:rsidRPr="00254F0A">
        <w:rPr>
          <w:rFonts w:ascii="Times New Roman" w:hAnsi="Times New Roman" w:cs="Times New Roman"/>
          <w:sz w:val="20"/>
          <w:szCs w:val="20"/>
        </w:rPr>
        <w:t xml:space="preserve"> clarifications</w:t>
      </w:r>
      <w:r w:rsidR="00326FD1" w:rsidRPr="00254F0A">
        <w:rPr>
          <w:rFonts w:ascii="Times New Roman" w:hAnsi="Times New Roman" w:cs="Times New Roman"/>
          <w:sz w:val="20"/>
          <w:szCs w:val="20"/>
        </w:rPr>
        <w:t xml:space="preserve"> are critical to</w:t>
      </w:r>
      <w:r w:rsidR="0036777F" w:rsidRPr="00254F0A">
        <w:rPr>
          <w:rFonts w:ascii="Times New Roman" w:hAnsi="Times New Roman" w:cs="Times New Roman"/>
          <w:sz w:val="20"/>
          <w:szCs w:val="20"/>
        </w:rPr>
        <w:t xml:space="preserve"> align </w:t>
      </w:r>
      <w:r w:rsidR="00254F0A" w:rsidRPr="00254F0A">
        <w:rPr>
          <w:rFonts w:ascii="Times New Roman" w:hAnsi="Times New Roman" w:cs="Times New Roman"/>
          <w:sz w:val="20"/>
          <w:szCs w:val="20"/>
        </w:rPr>
        <w:t>DGIS performance measures with existing benchmarks and national data sources, as well as to ensure full understanding of requirements</w:t>
      </w:r>
      <w:r w:rsidR="0035460E">
        <w:rPr>
          <w:rFonts w:ascii="Times New Roman" w:hAnsi="Times New Roman" w:cs="Times New Roman"/>
          <w:sz w:val="20"/>
          <w:szCs w:val="20"/>
        </w:rPr>
        <w:t xml:space="preserve"> by those programs required to report these performance measures</w:t>
      </w:r>
      <w:r w:rsidR="00254F0A" w:rsidRPr="00254F0A">
        <w:rPr>
          <w:rFonts w:ascii="Times New Roman" w:hAnsi="Times New Roman" w:cs="Times New Roman"/>
          <w:sz w:val="20"/>
          <w:szCs w:val="20"/>
        </w:rPr>
        <w:t>.</w:t>
      </w:r>
    </w:p>
    <w:p w:rsidR="003C1B32" w:rsidRDefault="009271D9" w:rsidP="00501A20">
      <w:pPr>
        <w:ind w:left="2160" w:hanging="2160"/>
        <w:rPr>
          <w:rFonts w:ascii="Times New Roman" w:hAnsi="Times New Roman" w:cs="Times New Roman"/>
          <w:sz w:val="20"/>
          <w:szCs w:val="20"/>
        </w:rPr>
      </w:pPr>
      <w:r w:rsidRPr="00254F0A">
        <w:rPr>
          <w:rFonts w:ascii="Times New Roman" w:hAnsi="Times New Roman" w:cs="Times New Roman"/>
          <w:b/>
          <w:sz w:val="20"/>
          <w:szCs w:val="20"/>
        </w:rPr>
        <w:t>Tim</w:t>
      </w:r>
      <w:r w:rsidR="00747E37" w:rsidRPr="00254F0A">
        <w:rPr>
          <w:rFonts w:ascii="Times New Roman" w:hAnsi="Times New Roman" w:cs="Times New Roman"/>
          <w:b/>
          <w:sz w:val="20"/>
          <w:szCs w:val="20"/>
        </w:rPr>
        <w:t>e S</w:t>
      </w:r>
      <w:r w:rsidRPr="00254F0A">
        <w:rPr>
          <w:rFonts w:ascii="Times New Roman" w:hAnsi="Times New Roman" w:cs="Times New Roman"/>
          <w:b/>
          <w:sz w:val="20"/>
          <w:szCs w:val="20"/>
        </w:rPr>
        <w:t>ensitivity</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254F0A" w:rsidRPr="00254F0A">
        <w:rPr>
          <w:rFonts w:ascii="Times New Roman" w:hAnsi="Times New Roman" w:cs="Times New Roman"/>
          <w:sz w:val="20"/>
          <w:szCs w:val="20"/>
        </w:rPr>
        <w:t xml:space="preserve">DGIS data collection is annual, and </w:t>
      </w:r>
      <w:r w:rsidR="008959D2">
        <w:rPr>
          <w:rFonts w:ascii="Times New Roman" w:hAnsi="Times New Roman" w:cs="Times New Roman"/>
          <w:sz w:val="20"/>
          <w:szCs w:val="20"/>
        </w:rPr>
        <w:t xml:space="preserve">the </w:t>
      </w:r>
      <w:r w:rsidR="00254F0A">
        <w:rPr>
          <w:rFonts w:ascii="Times New Roman" w:hAnsi="Times New Roman" w:cs="Times New Roman"/>
          <w:sz w:val="20"/>
          <w:szCs w:val="20"/>
        </w:rPr>
        <w:t xml:space="preserve">development of </w:t>
      </w:r>
      <w:r w:rsidR="008959D2">
        <w:rPr>
          <w:rFonts w:ascii="Times New Roman" w:hAnsi="Times New Roman" w:cs="Times New Roman"/>
          <w:sz w:val="20"/>
          <w:szCs w:val="20"/>
        </w:rPr>
        <w:t xml:space="preserve">the </w:t>
      </w:r>
      <w:r w:rsidR="00254F0A">
        <w:rPr>
          <w:rFonts w:ascii="Times New Roman" w:hAnsi="Times New Roman" w:cs="Times New Roman"/>
          <w:sz w:val="20"/>
          <w:szCs w:val="20"/>
        </w:rPr>
        <w:t>reporting system must be completed in a t</w:t>
      </w:r>
      <w:r w:rsidR="008959D2">
        <w:rPr>
          <w:rFonts w:ascii="Times New Roman" w:hAnsi="Times New Roman" w:cs="Times New Roman"/>
          <w:sz w:val="20"/>
          <w:szCs w:val="20"/>
        </w:rPr>
        <w:t xml:space="preserve">imely manner in order to allow </w:t>
      </w:r>
      <w:r w:rsidR="00A074D5">
        <w:rPr>
          <w:rFonts w:ascii="Times New Roman" w:hAnsi="Times New Roman" w:cs="Times New Roman"/>
          <w:sz w:val="20"/>
          <w:szCs w:val="20"/>
        </w:rPr>
        <w:t xml:space="preserve">for </w:t>
      </w:r>
      <w:bookmarkStart w:id="0" w:name="_GoBack"/>
      <w:bookmarkEnd w:id="0"/>
      <w:r w:rsidR="008959D2">
        <w:rPr>
          <w:rFonts w:ascii="Times New Roman" w:hAnsi="Times New Roman" w:cs="Times New Roman"/>
          <w:sz w:val="20"/>
          <w:szCs w:val="20"/>
        </w:rPr>
        <w:t>up to date</w:t>
      </w:r>
      <w:r w:rsidR="00254F0A">
        <w:rPr>
          <w:rFonts w:ascii="Times New Roman" w:hAnsi="Times New Roman" w:cs="Times New Roman"/>
          <w:sz w:val="20"/>
          <w:szCs w:val="20"/>
        </w:rPr>
        <w:t xml:space="preserve"> reporting of 2017 performance measures</w:t>
      </w:r>
      <w:r w:rsidR="008959D2">
        <w:rPr>
          <w:rFonts w:ascii="Times New Roman" w:hAnsi="Times New Roman" w:cs="Times New Roman"/>
          <w:sz w:val="20"/>
          <w:szCs w:val="20"/>
        </w:rPr>
        <w:t>.</w:t>
      </w:r>
    </w:p>
    <w:p w:rsidR="00254F0A" w:rsidRPr="00254F0A" w:rsidRDefault="00254F0A" w:rsidP="00501A20">
      <w:pPr>
        <w:ind w:left="2160" w:hanging="2160"/>
        <w:rPr>
          <w:rFonts w:ascii="Times New Roman" w:hAnsi="Times New Roman" w:cs="Times New Roman"/>
          <w:sz w:val="20"/>
          <w:szCs w:val="20"/>
        </w:rPr>
      </w:pPr>
      <w:r>
        <w:rPr>
          <w:rFonts w:ascii="Times New Roman" w:hAnsi="Times New Roman" w:cs="Times New Roman"/>
          <w:b/>
          <w:sz w:val="20"/>
          <w:szCs w:val="20"/>
        </w:rPr>
        <w:t>Burden:</w:t>
      </w:r>
      <w:r>
        <w:rPr>
          <w:rFonts w:ascii="Times New Roman" w:hAnsi="Times New Roman" w:cs="Times New Roman"/>
          <w:sz w:val="20"/>
          <w:szCs w:val="20"/>
        </w:rPr>
        <w:tab/>
        <w:t>The revisions included herein do not change the estimated reporting burden.</w:t>
      </w:r>
      <w:r w:rsidR="0035460E">
        <w:rPr>
          <w:rFonts w:ascii="Times New Roman" w:hAnsi="Times New Roman" w:cs="Times New Roman"/>
          <w:sz w:val="20"/>
          <w:szCs w:val="20"/>
        </w:rPr>
        <w:t xml:space="preserve"> One measure has been added, while two others have been removed and efforts have been made to clarify reporting requirements and align with existing reporting to minimize reporting burden to the extent possible.</w:t>
      </w:r>
    </w:p>
    <w:p w:rsidR="0035460E" w:rsidRDefault="0035460E" w:rsidP="00B14758">
      <w:pPr>
        <w:rPr>
          <w:rFonts w:ascii="Times New Roman" w:hAnsi="Times New Roman" w:cs="Times New Roman"/>
          <w:b/>
          <w:sz w:val="20"/>
          <w:szCs w:val="20"/>
        </w:rPr>
      </w:pPr>
    </w:p>
    <w:p w:rsidR="00B14758" w:rsidRPr="00254F0A" w:rsidRDefault="00B14758" w:rsidP="00B14758">
      <w:pPr>
        <w:rPr>
          <w:rFonts w:ascii="Times New Roman" w:hAnsi="Times New Roman" w:cs="Times New Roman"/>
          <w:b/>
          <w:sz w:val="20"/>
          <w:szCs w:val="20"/>
        </w:rPr>
      </w:pPr>
      <w:r w:rsidRPr="00254F0A">
        <w:rPr>
          <w:rFonts w:ascii="Times New Roman" w:hAnsi="Times New Roman" w:cs="Times New Roman"/>
          <w:b/>
          <w:sz w:val="20"/>
          <w:szCs w:val="20"/>
        </w:rPr>
        <w:t xml:space="preserve">PROPOSED </w:t>
      </w:r>
      <w:r w:rsidR="00D00C19">
        <w:rPr>
          <w:rFonts w:ascii="Times New Roman" w:hAnsi="Times New Roman" w:cs="Times New Roman"/>
          <w:b/>
          <w:sz w:val="20"/>
          <w:szCs w:val="20"/>
        </w:rPr>
        <w:t xml:space="preserve">EDITS </w:t>
      </w:r>
      <w:r w:rsidRPr="00254F0A">
        <w:rPr>
          <w:rFonts w:ascii="Times New Roman" w:hAnsi="Times New Roman" w:cs="Times New Roman"/>
          <w:b/>
          <w:sz w:val="20"/>
          <w:szCs w:val="20"/>
        </w:rPr>
        <w:t xml:space="preserve">FOR </w:t>
      </w:r>
      <w:r w:rsidR="00254F0A">
        <w:rPr>
          <w:rFonts w:ascii="Times New Roman" w:hAnsi="Times New Roman" w:cs="Times New Roman"/>
          <w:b/>
          <w:sz w:val="20"/>
          <w:szCs w:val="20"/>
        </w:rPr>
        <w:t>DISCRETIONARY GRANT PERFORMANCE MEASURES</w:t>
      </w:r>
      <w:r w:rsidR="00A27168">
        <w:rPr>
          <w:rFonts w:ascii="Times New Roman" w:hAnsi="Times New Roman" w:cs="Times New Roman"/>
          <w:b/>
          <w:sz w:val="20"/>
          <w:szCs w:val="20"/>
        </w:rPr>
        <w:t>:</w:t>
      </w:r>
    </w:p>
    <w:p w:rsidR="002C14D6" w:rsidRDefault="002C14D6" w:rsidP="002C14D6">
      <w:pPr>
        <w:pStyle w:val="ListParagraph"/>
        <w:numPr>
          <w:ilvl w:val="0"/>
          <w:numId w:val="1"/>
        </w:numPr>
        <w:spacing w:after="0" w:line="240" w:lineRule="auto"/>
        <w:outlineLvl w:val="0"/>
        <w:rPr>
          <w:rFonts w:ascii="Times New Roman" w:eastAsia="Times New Roman" w:hAnsi="Times New Roman"/>
          <w:b/>
          <w:sz w:val="20"/>
          <w:szCs w:val="20"/>
        </w:rPr>
      </w:pPr>
      <w:r w:rsidRPr="002C14D6">
        <w:rPr>
          <w:rFonts w:ascii="Times New Roman" w:eastAsia="Times New Roman" w:hAnsi="Times New Roman"/>
          <w:b/>
          <w:sz w:val="20"/>
          <w:szCs w:val="20"/>
        </w:rPr>
        <w:t>Table 1: Activity Data Collection Form for Selected Measures</w:t>
      </w:r>
      <w:r>
        <w:rPr>
          <w:rFonts w:ascii="Times New Roman" w:eastAsia="Times New Roman" w:hAnsi="Times New Roman"/>
          <w:b/>
          <w:sz w:val="20"/>
          <w:szCs w:val="20"/>
        </w:rPr>
        <w:t xml:space="preserve"> – Correction</w:t>
      </w:r>
    </w:p>
    <w:p w:rsidR="002C14D6" w:rsidRPr="002C14D6" w:rsidRDefault="002C14D6" w:rsidP="002C14D6">
      <w:pPr>
        <w:spacing w:after="0" w:line="240" w:lineRule="auto"/>
        <w:ind w:left="990"/>
        <w:outlineLvl w:val="0"/>
        <w:rPr>
          <w:rFonts w:ascii="Times New Roman" w:eastAsia="Times New Roman" w:hAnsi="Times New Roman"/>
          <w:sz w:val="20"/>
          <w:szCs w:val="20"/>
        </w:rPr>
      </w:pPr>
      <w:r w:rsidRPr="002C14D6">
        <w:rPr>
          <w:rFonts w:ascii="Times New Roman" w:eastAsia="Times New Roman" w:hAnsi="Times New Roman"/>
          <w:sz w:val="20"/>
          <w:szCs w:val="20"/>
        </w:rPr>
        <w:t xml:space="preserve">The description above the table has been corrected to reflect accurate field names. </w:t>
      </w:r>
    </w:p>
    <w:p w:rsidR="002C14D6" w:rsidRPr="002C14D6" w:rsidRDefault="002C14D6" w:rsidP="002C14D6">
      <w:pPr>
        <w:spacing w:after="0" w:line="240" w:lineRule="auto"/>
        <w:ind w:left="990"/>
        <w:outlineLvl w:val="0"/>
        <w:rPr>
          <w:rFonts w:ascii="Times New Roman" w:eastAsia="Times New Roman" w:hAnsi="Times New Roman"/>
          <w:sz w:val="20"/>
          <w:szCs w:val="20"/>
        </w:rPr>
      </w:pPr>
      <w:r w:rsidRPr="002C14D6">
        <w:rPr>
          <w:rFonts w:ascii="Times New Roman" w:eastAsia="Times New Roman" w:hAnsi="Times New Roman"/>
          <w:sz w:val="20"/>
          <w:szCs w:val="20"/>
          <w:u w:val="single"/>
        </w:rPr>
        <w:t>Rationale:</w:t>
      </w:r>
      <w:r w:rsidRPr="002C14D6">
        <w:rPr>
          <w:rFonts w:ascii="Times New Roman" w:eastAsia="Times New Roman" w:hAnsi="Times New Roman"/>
          <w:sz w:val="20"/>
          <w:szCs w:val="20"/>
        </w:rPr>
        <w:t xml:space="preserve"> Previously, description and instructions </w:t>
      </w:r>
      <w:r w:rsidR="00A130D6">
        <w:rPr>
          <w:rFonts w:ascii="Times New Roman" w:eastAsia="Times New Roman" w:hAnsi="Times New Roman"/>
          <w:sz w:val="20"/>
          <w:szCs w:val="20"/>
        </w:rPr>
        <w:t xml:space="preserve">were not consistent with column names. </w:t>
      </w:r>
    </w:p>
    <w:p w:rsidR="002C14D6" w:rsidRPr="002C14D6" w:rsidRDefault="002C14D6" w:rsidP="002C14D6">
      <w:pPr>
        <w:spacing w:after="0" w:line="240" w:lineRule="auto"/>
        <w:ind w:left="630"/>
        <w:outlineLvl w:val="0"/>
        <w:rPr>
          <w:rFonts w:ascii="Times New Roman" w:eastAsia="Times New Roman" w:hAnsi="Times New Roman"/>
          <w:b/>
          <w:color w:val="FF0000"/>
          <w:sz w:val="20"/>
          <w:szCs w:val="20"/>
        </w:rPr>
      </w:pPr>
    </w:p>
    <w:p w:rsidR="00B2176E" w:rsidRDefault="00B2176E" w:rsidP="00B2176E">
      <w:pPr>
        <w:pStyle w:val="ListParagraph"/>
        <w:numPr>
          <w:ilvl w:val="0"/>
          <w:numId w:val="1"/>
        </w:numPr>
        <w:rPr>
          <w:rFonts w:ascii="Times New Roman" w:hAnsi="Times New Roman" w:cs="Times New Roman"/>
          <w:sz w:val="20"/>
          <w:szCs w:val="20"/>
        </w:rPr>
      </w:pPr>
      <w:r w:rsidRPr="00B1188E">
        <w:rPr>
          <w:rFonts w:ascii="Times New Roman" w:hAnsi="Times New Roman" w:cs="Times New Roman"/>
          <w:b/>
          <w:sz w:val="20"/>
          <w:szCs w:val="20"/>
        </w:rPr>
        <w:t xml:space="preserve">Performance Measure </w:t>
      </w:r>
      <w:r>
        <w:rPr>
          <w:rFonts w:ascii="Times New Roman" w:hAnsi="Times New Roman" w:cs="Times New Roman"/>
          <w:b/>
          <w:sz w:val="20"/>
          <w:szCs w:val="20"/>
        </w:rPr>
        <w:t>CB 2</w:t>
      </w:r>
      <w:r w:rsidRPr="00B1188E">
        <w:rPr>
          <w:rFonts w:ascii="Times New Roman" w:hAnsi="Times New Roman" w:cs="Times New Roman"/>
          <w:b/>
          <w:sz w:val="20"/>
          <w:szCs w:val="20"/>
        </w:rPr>
        <w:t xml:space="preserve"> -- Correction</w:t>
      </w:r>
      <w:r>
        <w:rPr>
          <w:rFonts w:ascii="Times New Roman" w:hAnsi="Times New Roman" w:cs="Times New Roman"/>
          <w:sz w:val="20"/>
          <w:szCs w:val="20"/>
        </w:rPr>
        <w:br/>
        <w:t xml:space="preserve">A field has been added for </w:t>
      </w:r>
      <w:r w:rsidR="00A130D6">
        <w:rPr>
          <w:rFonts w:ascii="Times New Roman" w:hAnsi="Times New Roman" w:cs="Times New Roman"/>
          <w:sz w:val="20"/>
          <w:szCs w:val="20"/>
        </w:rPr>
        <w:t>‘</w:t>
      </w:r>
      <w:r>
        <w:rPr>
          <w:rFonts w:ascii="Times New Roman" w:hAnsi="Times New Roman" w:cs="Times New Roman"/>
          <w:sz w:val="20"/>
          <w:szCs w:val="20"/>
        </w:rPr>
        <w:t>developmental screening</w:t>
      </w:r>
      <w:r w:rsidR="00A130D6">
        <w:rPr>
          <w:rFonts w:ascii="Times New Roman" w:hAnsi="Times New Roman" w:cs="Times New Roman"/>
          <w:sz w:val="20"/>
          <w:szCs w:val="20"/>
        </w:rPr>
        <w:t>’</w:t>
      </w:r>
      <w:r>
        <w:rPr>
          <w:rFonts w:ascii="Times New Roman" w:hAnsi="Times New Roman" w:cs="Times New Roman"/>
          <w:sz w:val="20"/>
          <w:szCs w:val="20"/>
        </w:rPr>
        <w:t xml:space="preserve">. </w:t>
      </w:r>
    </w:p>
    <w:p w:rsidR="00B2176E" w:rsidRPr="00B2176E" w:rsidRDefault="00B2176E" w:rsidP="00B2176E">
      <w:pPr>
        <w:pStyle w:val="ListParagraph"/>
        <w:ind w:left="990"/>
        <w:rPr>
          <w:rFonts w:ascii="Times New Roman" w:hAnsi="Times New Roman" w:cs="Times New Roman"/>
          <w:sz w:val="20"/>
          <w:szCs w:val="20"/>
        </w:rPr>
      </w:pPr>
      <w:r w:rsidRPr="00B1188E">
        <w:rPr>
          <w:rFonts w:ascii="Times New Roman" w:hAnsi="Times New Roman" w:cs="Times New Roman"/>
          <w:sz w:val="20"/>
          <w:szCs w:val="20"/>
          <w:u w:val="single"/>
        </w:rPr>
        <w:t>Rationale:</w:t>
      </w:r>
      <w:r>
        <w:rPr>
          <w:rFonts w:ascii="Times New Roman" w:hAnsi="Times New Roman" w:cs="Times New Roman"/>
          <w:sz w:val="20"/>
          <w:szCs w:val="20"/>
        </w:rPr>
        <w:t xml:space="preserve"> This was erroneously left off in the original package approved by OMB on 6/10/2016. The Technical Assistance form has fields that are consistent with all performance measures, and the developmental screening measure should be reflected in the table.</w:t>
      </w:r>
      <w:r w:rsidR="00A130D6">
        <w:rPr>
          <w:rFonts w:ascii="Times New Roman" w:hAnsi="Times New Roman" w:cs="Times New Roman"/>
          <w:sz w:val="20"/>
          <w:szCs w:val="20"/>
        </w:rPr>
        <w:t xml:space="preserve"> </w:t>
      </w:r>
      <w:r>
        <w:rPr>
          <w:rFonts w:ascii="Times New Roman" w:hAnsi="Times New Roman" w:cs="Times New Roman"/>
          <w:sz w:val="20"/>
          <w:szCs w:val="20"/>
        </w:rPr>
        <w:br/>
      </w:r>
    </w:p>
    <w:p w:rsidR="00254F0A" w:rsidRDefault="00254F0A" w:rsidP="00254F0A">
      <w:pPr>
        <w:pStyle w:val="ListParagraph"/>
        <w:numPr>
          <w:ilvl w:val="0"/>
          <w:numId w:val="1"/>
        </w:numPr>
        <w:rPr>
          <w:rFonts w:ascii="Times New Roman" w:hAnsi="Times New Roman" w:cs="Times New Roman"/>
          <w:sz w:val="20"/>
          <w:szCs w:val="20"/>
        </w:rPr>
      </w:pPr>
      <w:r w:rsidRPr="00B1188E">
        <w:rPr>
          <w:rFonts w:ascii="Times New Roman" w:hAnsi="Times New Roman" w:cs="Times New Roman"/>
          <w:b/>
          <w:sz w:val="20"/>
          <w:szCs w:val="20"/>
        </w:rPr>
        <w:t>Performance Measure CB 3</w:t>
      </w:r>
      <w:r w:rsidR="00F85979" w:rsidRPr="00B1188E">
        <w:rPr>
          <w:rFonts w:ascii="Times New Roman" w:hAnsi="Times New Roman" w:cs="Times New Roman"/>
          <w:b/>
          <w:sz w:val="20"/>
          <w:szCs w:val="20"/>
        </w:rPr>
        <w:t xml:space="preserve"> -- Correction</w:t>
      </w:r>
      <w:r>
        <w:rPr>
          <w:rFonts w:ascii="Times New Roman" w:hAnsi="Times New Roman" w:cs="Times New Roman"/>
          <w:sz w:val="20"/>
          <w:szCs w:val="20"/>
        </w:rPr>
        <w:br/>
        <w:t>A field has been added for reporting the list of tools used to analyze data for grant impact.</w:t>
      </w:r>
    </w:p>
    <w:p w:rsidR="00254F0A" w:rsidRPr="00254F0A" w:rsidRDefault="00254F0A" w:rsidP="00254F0A">
      <w:pPr>
        <w:pStyle w:val="ListParagraph"/>
        <w:ind w:left="990"/>
        <w:rPr>
          <w:rFonts w:ascii="Times New Roman" w:hAnsi="Times New Roman" w:cs="Times New Roman"/>
          <w:sz w:val="20"/>
          <w:szCs w:val="20"/>
        </w:rPr>
      </w:pPr>
      <w:r w:rsidRPr="00B1188E">
        <w:rPr>
          <w:rFonts w:ascii="Times New Roman" w:hAnsi="Times New Roman" w:cs="Times New Roman"/>
          <w:sz w:val="20"/>
          <w:szCs w:val="20"/>
          <w:u w:val="single"/>
        </w:rPr>
        <w:t>Rationale:</w:t>
      </w:r>
      <w:r>
        <w:rPr>
          <w:rFonts w:ascii="Times New Roman" w:hAnsi="Times New Roman" w:cs="Times New Roman"/>
          <w:sz w:val="20"/>
          <w:szCs w:val="20"/>
        </w:rPr>
        <w:t xml:space="preserve"> This was erroneously left off in the original pack</w:t>
      </w:r>
      <w:r w:rsidR="0045005E">
        <w:rPr>
          <w:rFonts w:ascii="Times New Roman" w:hAnsi="Times New Roman" w:cs="Times New Roman"/>
          <w:sz w:val="20"/>
          <w:szCs w:val="20"/>
        </w:rPr>
        <w:t>age</w:t>
      </w:r>
      <w:r w:rsidR="00A27168">
        <w:rPr>
          <w:rFonts w:ascii="Times New Roman" w:hAnsi="Times New Roman" w:cs="Times New Roman"/>
          <w:sz w:val="20"/>
          <w:szCs w:val="20"/>
        </w:rPr>
        <w:t xml:space="preserve"> approved by OMB on 6/10/2016</w:t>
      </w:r>
      <w:r w:rsidR="0045005E">
        <w:rPr>
          <w:rFonts w:ascii="Times New Roman" w:hAnsi="Times New Roman" w:cs="Times New Roman"/>
          <w:sz w:val="20"/>
          <w:szCs w:val="20"/>
        </w:rPr>
        <w:t>.</w:t>
      </w:r>
      <w:r>
        <w:rPr>
          <w:rFonts w:ascii="Times New Roman" w:hAnsi="Times New Roman" w:cs="Times New Roman"/>
          <w:sz w:val="20"/>
          <w:szCs w:val="20"/>
        </w:rPr>
        <w:br/>
      </w:r>
    </w:p>
    <w:p w:rsidR="00F85979" w:rsidRPr="00B1188E" w:rsidRDefault="00B1188E" w:rsidP="00F85979">
      <w:pPr>
        <w:pStyle w:val="ListParagraph"/>
        <w:numPr>
          <w:ilvl w:val="0"/>
          <w:numId w:val="1"/>
        </w:numPr>
        <w:rPr>
          <w:rFonts w:ascii="Times New Roman" w:hAnsi="Times New Roman" w:cs="Times New Roman"/>
          <w:b/>
          <w:sz w:val="20"/>
          <w:szCs w:val="20"/>
        </w:rPr>
      </w:pPr>
      <w:r>
        <w:rPr>
          <w:rFonts w:ascii="Times New Roman" w:hAnsi="Times New Roman" w:cs="Times New Roman"/>
          <w:b/>
          <w:sz w:val="20"/>
          <w:szCs w:val="20"/>
        </w:rPr>
        <w:t>Performance Measure CB 4</w:t>
      </w:r>
      <w:r w:rsidR="00F85979" w:rsidRPr="00B1188E">
        <w:rPr>
          <w:rFonts w:ascii="Times New Roman" w:hAnsi="Times New Roman" w:cs="Times New Roman"/>
          <w:b/>
          <w:sz w:val="20"/>
          <w:szCs w:val="20"/>
        </w:rPr>
        <w:t xml:space="preserve"> – Revision</w:t>
      </w:r>
    </w:p>
    <w:p w:rsidR="00B1188E" w:rsidRPr="00B1188E" w:rsidRDefault="00A27168" w:rsidP="00F85979">
      <w:pPr>
        <w:pStyle w:val="ListParagraph"/>
        <w:ind w:left="990"/>
        <w:rPr>
          <w:rFonts w:ascii="Times New Roman" w:hAnsi="Times New Roman" w:cs="Times New Roman"/>
          <w:sz w:val="20"/>
          <w:szCs w:val="20"/>
        </w:rPr>
      </w:pPr>
      <w:r w:rsidRPr="00B1188E">
        <w:rPr>
          <w:rFonts w:ascii="Times New Roman" w:hAnsi="Times New Roman" w:cs="Times New Roman"/>
          <w:sz w:val="20"/>
          <w:szCs w:val="20"/>
        </w:rPr>
        <w:t>Tiers 3 and 4 have</w:t>
      </w:r>
      <w:r w:rsidR="00B1188E" w:rsidRPr="00B1188E">
        <w:rPr>
          <w:rFonts w:ascii="Times New Roman" w:hAnsi="Times New Roman" w:cs="Times New Roman"/>
          <w:sz w:val="20"/>
          <w:szCs w:val="20"/>
        </w:rPr>
        <w:t xml:space="preserve"> been removed.</w:t>
      </w:r>
    </w:p>
    <w:p w:rsidR="00F85979" w:rsidRDefault="009B40B2" w:rsidP="00F85979">
      <w:pPr>
        <w:pStyle w:val="ListParagraph"/>
        <w:ind w:left="990"/>
        <w:rPr>
          <w:rFonts w:ascii="Times New Roman" w:hAnsi="Times New Roman" w:cs="Times New Roman"/>
          <w:sz w:val="20"/>
          <w:szCs w:val="20"/>
        </w:rPr>
      </w:pPr>
      <w:r w:rsidRPr="00B1188E">
        <w:rPr>
          <w:rFonts w:ascii="Times New Roman" w:hAnsi="Times New Roman" w:cs="Times New Roman"/>
          <w:sz w:val="20"/>
          <w:szCs w:val="20"/>
          <w:u w:val="single"/>
        </w:rPr>
        <w:t>Rationale:</w:t>
      </w:r>
      <w:r>
        <w:rPr>
          <w:rFonts w:ascii="Times New Roman" w:hAnsi="Times New Roman" w:cs="Times New Roman"/>
          <w:sz w:val="20"/>
          <w:szCs w:val="20"/>
        </w:rPr>
        <w:t xml:space="preserve"> </w:t>
      </w:r>
      <w:r w:rsidR="00F85979">
        <w:rPr>
          <w:rFonts w:ascii="Times New Roman" w:hAnsi="Times New Roman" w:cs="Times New Roman"/>
          <w:sz w:val="20"/>
          <w:szCs w:val="20"/>
        </w:rPr>
        <w:t>Tier 3 and 4 were determined to not be necessary for reporting purposes for this measure, and therefore have been removed.</w:t>
      </w:r>
    </w:p>
    <w:p w:rsidR="00F85979" w:rsidRPr="00F85979" w:rsidRDefault="00F85979" w:rsidP="00F85979">
      <w:pPr>
        <w:pStyle w:val="ListParagraph"/>
        <w:ind w:left="990"/>
        <w:rPr>
          <w:rFonts w:ascii="Times New Roman" w:hAnsi="Times New Roman" w:cs="Times New Roman"/>
          <w:sz w:val="20"/>
          <w:szCs w:val="20"/>
        </w:rPr>
      </w:pPr>
    </w:p>
    <w:p w:rsidR="00F06C6D" w:rsidRPr="00B1188E" w:rsidRDefault="00F85979" w:rsidP="00F85979">
      <w:pPr>
        <w:pStyle w:val="ListParagraph"/>
        <w:numPr>
          <w:ilvl w:val="0"/>
          <w:numId w:val="1"/>
        </w:numPr>
        <w:rPr>
          <w:rFonts w:ascii="Times New Roman" w:hAnsi="Times New Roman" w:cs="Times New Roman"/>
          <w:b/>
          <w:sz w:val="20"/>
          <w:szCs w:val="20"/>
        </w:rPr>
      </w:pPr>
      <w:r w:rsidRPr="00B1188E">
        <w:rPr>
          <w:rFonts w:ascii="Times New Roman" w:hAnsi="Times New Roman" w:cs="Times New Roman"/>
          <w:b/>
          <w:sz w:val="20"/>
          <w:szCs w:val="20"/>
        </w:rPr>
        <w:t>Performance Measure CB 7 – Addition</w:t>
      </w:r>
    </w:p>
    <w:p w:rsidR="00F85979" w:rsidRDefault="00F85979" w:rsidP="00F85979">
      <w:pPr>
        <w:pStyle w:val="ListParagraph"/>
        <w:ind w:left="990"/>
        <w:rPr>
          <w:rFonts w:ascii="Times New Roman" w:hAnsi="Times New Roman" w:cs="Times New Roman"/>
          <w:sz w:val="20"/>
          <w:szCs w:val="20"/>
        </w:rPr>
      </w:pPr>
      <w:r>
        <w:rPr>
          <w:rFonts w:ascii="Times New Roman" w:hAnsi="Times New Roman" w:cs="Times New Roman"/>
          <w:sz w:val="20"/>
          <w:szCs w:val="20"/>
        </w:rPr>
        <w:lastRenderedPageBreak/>
        <w:t>The goal of this additional measure is to ensure state capacity for accessing electronic health data on a timely basis for programming and/ or reporting.</w:t>
      </w:r>
    </w:p>
    <w:p w:rsidR="00F85979" w:rsidRPr="00254F0A" w:rsidRDefault="009B40B2" w:rsidP="00F85979">
      <w:pPr>
        <w:pStyle w:val="ListParagraph"/>
        <w:ind w:left="990"/>
        <w:rPr>
          <w:rFonts w:ascii="Times New Roman" w:hAnsi="Times New Roman" w:cs="Times New Roman"/>
          <w:sz w:val="20"/>
          <w:szCs w:val="20"/>
        </w:rPr>
      </w:pPr>
      <w:r w:rsidRPr="00B1188E">
        <w:rPr>
          <w:rFonts w:ascii="Times New Roman" w:hAnsi="Times New Roman" w:cs="Times New Roman"/>
          <w:sz w:val="20"/>
          <w:szCs w:val="20"/>
          <w:u w:val="single"/>
        </w:rPr>
        <w:t>Rationale:</w:t>
      </w:r>
      <w:r>
        <w:rPr>
          <w:rFonts w:ascii="Times New Roman" w:hAnsi="Times New Roman" w:cs="Times New Roman"/>
          <w:sz w:val="20"/>
          <w:szCs w:val="20"/>
        </w:rPr>
        <w:t xml:space="preserve"> </w:t>
      </w:r>
      <w:r w:rsidR="00F85979">
        <w:rPr>
          <w:rFonts w:ascii="Times New Roman" w:hAnsi="Times New Roman" w:cs="Times New Roman"/>
          <w:sz w:val="20"/>
          <w:szCs w:val="20"/>
        </w:rPr>
        <w:t>The State Systems Development Initiative (SSDI) did not have any existing measures, and their work in supporting Title V MCH programs. The addition of this form captures important information</w:t>
      </w:r>
      <w:r w:rsidR="00000625">
        <w:rPr>
          <w:rFonts w:ascii="Times New Roman" w:hAnsi="Times New Roman" w:cs="Times New Roman"/>
          <w:sz w:val="20"/>
          <w:szCs w:val="20"/>
        </w:rPr>
        <w:t xml:space="preserve"> about the timeliness and availability of data.</w:t>
      </w:r>
      <w:r w:rsidR="00F85979">
        <w:rPr>
          <w:rFonts w:ascii="Times New Roman" w:hAnsi="Times New Roman" w:cs="Times New Roman"/>
          <w:sz w:val="20"/>
          <w:szCs w:val="20"/>
        </w:rPr>
        <w:t xml:space="preserve"> </w:t>
      </w:r>
    </w:p>
    <w:p w:rsidR="00F06C6D" w:rsidRPr="00254F0A" w:rsidRDefault="00F06C6D" w:rsidP="00F06C6D">
      <w:pPr>
        <w:pStyle w:val="ListParagraph"/>
        <w:rPr>
          <w:rFonts w:ascii="Times New Roman" w:hAnsi="Times New Roman" w:cs="Times New Roman"/>
          <w:sz w:val="20"/>
          <w:szCs w:val="20"/>
        </w:rPr>
      </w:pPr>
    </w:p>
    <w:p w:rsidR="00B16396" w:rsidRPr="00B16396" w:rsidRDefault="00B16396" w:rsidP="00B1188E">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Performance Measure WMH 2 – Clarification</w:t>
      </w:r>
    </w:p>
    <w:p w:rsidR="00B16396" w:rsidRDefault="00B16396" w:rsidP="00B16396">
      <w:pPr>
        <w:pStyle w:val="ListParagraph"/>
        <w:ind w:left="990"/>
        <w:rPr>
          <w:rFonts w:ascii="Times New Roman" w:hAnsi="Times New Roman" w:cs="Times New Roman"/>
          <w:sz w:val="20"/>
          <w:szCs w:val="20"/>
        </w:rPr>
      </w:pPr>
      <w:r>
        <w:rPr>
          <w:rFonts w:ascii="Times New Roman" w:hAnsi="Times New Roman" w:cs="Times New Roman"/>
          <w:sz w:val="20"/>
          <w:szCs w:val="20"/>
        </w:rPr>
        <w:t>Tier 4 was edited to ‘% of pregnant women who receive prenatal care beginning in the first trimester’ with additional detail related to reporting of numerator and denominator added.</w:t>
      </w:r>
    </w:p>
    <w:p w:rsidR="00B16396" w:rsidRDefault="00B16396" w:rsidP="00B16396">
      <w:pPr>
        <w:pStyle w:val="ListParagraph"/>
        <w:ind w:left="990"/>
        <w:rPr>
          <w:rFonts w:ascii="Times New Roman" w:hAnsi="Times New Roman" w:cs="Times New Roman"/>
          <w:sz w:val="20"/>
          <w:szCs w:val="20"/>
        </w:rPr>
      </w:pPr>
      <w:r w:rsidRPr="00B16396">
        <w:rPr>
          <w:rFonts w:ascii="Times New Roman" w:hAnsi="Times New Roman" w:cs="Times New Roman"/>
          <w:sz w:val="20"/>
          <w:szCs w:val="20"/>
          <w:u w:val="single"/>
        </w:rPr>
        <w:t>Rationale:</w:t>
      </w:r>
      <w:r>
        <w:rPr>
          <w:rFonts w:ascii="Times New Roman" w:hAnsi="Times New Roman" w:cs="Times New Roman"/>
          <w:sz w:val="20"/>
          <w:szCs w:val="20"/>
        </w:rPr>
        <w:t xml:space="preserve"> Tier 4 has been </w:t>
      </w:r>
      <w:r w:rsidR="0087486A">
        <w:rPr>
          <w:rFonts w:ascii="Times New Roman" w:hAnsi="Times New Roman" w:cs="Times New Roman"/>
          <w:sz w:val="20"/>
          <w:szCs w:val="20"/>
        </w:rPr>
        <w:t>edited</w:t>
      </w:r>
      <w:r>
        <w:rPr>
          <w:rFonts w:ascii="Times New Roman" w:hAnsi="Times New Roman" w:cs="Times New Roman"/>
          <w:sz w:val="20"/>
          <w:szCs w:val="20"/>
        </w:rPr>
        <w:t xml:space="preserve"> to more directly measure program impact by measuring the portion of women who received timely prenatal care out of the total number of women enrolled prenatally, prior to their second trimester of pregnancy, rather than out of all women who were pregnant in the reporting year. This level of specificity is important to ensuring that data tells an accurate story, measures program impact, and can be meaningfully aggregated.</w:t>
      </w:r>
    </w:p>
    <w:p w:rsidR="00B16396" w:rsidRPr="00B16396" w:rsidRDefault="00B16396" w:rsidP="00B16396">
      <w:pPr>
        <w:pStyle w:val="ListParagraph"/>
        <w:ind w:left="990"/>
        <w:rPr>
          <w:rFonts w:ascii="Times New Roman" w:hAnsi="Times New Roman" w:cs="Times New Roman"/>
          <w:sz w:val="20"/>
          <w:szCs w:val="20"/>
        </w:rPr>
      </w:pPr>
    </w:p>
    <w:p w:rsidR="00B1188E" w:rsidRPr="00DB2059" w:rsidRDefault="00B1188E" w:rsidP="00B1188E">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 xml:space="preserve">Performance Measure </w:t>
      </w:r>
      <w:r w:rsidR="00E85DE1">
        <w:rPr>
          <w:rFonts w:ascii="Times New Roman" w:hAnsi="Times New Roman" w:cs="Times New Roman"/>
          <w:b/>
          <w:sz w:val="20"/>
          <w:szCs w:val="20"/>
        </w:rPr>
        <w:t>WM</w:t>
      </w:r>
      <w:r>
        <w:rPr>
          <w:rFonts w:ascii="Times New Roman" w:hAnsi="Times New Roman" w:cs="Times New Roman"/>
          <w:b/>
          <w:sz w:val="20"/>
          <w:szCs w:val="20"/>
        </w:rPr>
        <w:t>H 2 – Clarification</w:t>
      </w:r>
      <w:r>
        <w:rPr>
          <w:rFonts w:ascii="Times New Roman" w:hAnsi="Times New Roman" w:cs="Times New Roman"/>
          <w:b/>
          <w:sz w:val="20"/>
          <w:szCs w:val="20"/>
        </w:rPr>
        <w:br/>
      </w:r>
      <w:r w:rsidR="009B40B2" w:rsidRPr="00B1188E">
        <w:rPr>
          <w:rFonts w:ascii="Times New Roman" w:hAnsi="Times New Roman" w:cs="Times New Roman"/>
          <w:sz w:val="20"/>
          <w:szCs w:val="20"/>
        </w:rPr>
        <w:t xml:space="preserve">Tier 4 was edited to </w:t>
      </w:r>
      <w:r w:rsidR="00DB2059">
        <w:rPr>
          <w:rFonts w:ascii="Times New Roman" w:hAnsi="Times New Roman" w:cs="Times New Roman"/>
          <w:sz w:val="20"/>
          <w:szCs w:val="20"/>
        </w:rPr>
        <w:t>‘</w:t>
      </w:r>
      <w:r w:rsidR="009B40B2" w:rsidRPr="00B1188E">
        <w:rPr>
          <w:rFonts w:ascii="Times New Roman" w:hAnsi="Times New Roman" w:cs="Times New Roman"/>
          <w:sz w:val="20"/>
          <w:szCs w:val="20"/>
        </w:rPr>
        <w:t>% of women with a postpartum visit between 4 to 6 weeks after delivery</w:t>
      </w:r>
      <w:r w:rsidR="00DB2059">
        <w:rPr>
          <w:rFonts w:ascii="Times New Roman" w:hAnsi="Times New Roman" w:cs="Times New Roman"/>
          <w:sz w:val="20"/>
          <w:szCs w:val="20"/>
        </w:rPr>
        <w:t>’</w:t>
      </w:r>
      <w:r w:rsidR="009B40B2" w:rsidRPr="00B1188E">
        <w:rPr>
          <w:rFonts w:ascii="Times New Roman" w:hAnsi="Times New Roman" w:cs="Times New Roman"/>
          <w:sz w:val="20"/>
          <w:szCs w:val="20"/>
        </w:rPr>
        <w:t xml:space="preserve"> with additional detail related to reporting of numerator and denominator added.</w:t>
      </w:r>
      <w:r>
        <w:rPr>
          <w:rFonts w:ascii="Times New Roman" w:hAnsi="Times New Roman" w:cs="Times New Roman"/>
          <w:sz w:val="20"/>
          <w:szCs w:val="20"/>
        </w:rPr>
        <w:br/>
      </w:r>
      <w:r w:rsidR="009B40B2" w:rsidRPr="00B1188E">
        <w:rPr>
          <w:rFonts w:ascii="Times New Roman" w:hAnsi="Times New Roman" w:cs="Times New Roman"/>
          <w:sz w:val="20"/>
          <w:szCs w:val="20"/>
          <w:u w:val="single"/>
        </w:rPr>
        <w:t>Rationale:</w:t>
      </w:r>
      <w:r w:rsidR="009B40B2" w:rsidRPr="00B1188E">
        <w:rPr>
          <w:rFonts w:ascii="Times New Roman" w:hAnsi="Times New Roman" w:cs="Times New Roman"/>
          <w:sz w:val="20"/>
          <w:szCs w:val="20"/>
        </w:rPr>
        <w:t xml:space="preserve"> </w:t>
      </w:r>
      <w:r w:rsidR="0087486A">
        <w:rPr>
          <w:rFonts w:ascii="Times New Roman" w:hAnsi="Times New Roman" w:cs="Times New Roman"/>
          <w:sz w:val="20"/>
          <w:szCs w:val="20"/>
        </w:rPr>
        <w:t>Tier 4 has been edited</w:t>
      </w:r>
      <w:r w:rsidRPr="00B1188E">
        <w:rPr>
          <w:rFonts w:ascii="Times New Roman" w:hAnsi="Times New Roman" w:cs="Times New Roman"/>
          <w:sz w:val="20"/>
          <w:szCs w:val="20"/>
        </w:rPr>
        <w:t xml:space="preserve"> to be consistent</w:t>
      </w:r>
      <w:r w:rsidR="00DB2059">
        <w:rPr>
          <w:rFonts w:ascii="Times New Roman" w:hAnsi="Times New Roman" w:cs="Times New Roman"/>
          <w:sz w:val="20"/>
          <w:szCs w:val="20"/>
        </w:rPr>
        <w:t xml:space="preserve"> with Healthy Start B</w:t>
      </w:r>
      <w:r w:rsidRPr="00B1188E">
        <w:rPr>
          <w:rFonts w:ascii="Times New Roman" w:hAnsi="Times New Roman" w:cs="Times New Roman"/>
          <w:sz w:val="20"/>
          <w:szCs w:val="20"/>
        </w:rPr>
        <w:t xml:space="preserve">enchmarks and other national data sources, as well as to reflect the recommendations of the American College of Obstetricians and Gynecologists (ACOG), as </w:t>
      </w:r>
      <w:r w:rsidRPr="00B1188E">
        <w:rPr>
          <w:rFonts w:ascii="Times New Roman" w:eastAsia="Times New Roman" w:hAnsi="Times New Roman"/>
          <w:sz w:val="20"/>
          <w:szCs w:val="20"/>
        </w:rPr>
        <w:t>ACOG Committee on Obstetric Practice. Guidelines for Perinatal Care (7th Edition, p. 207) state that 4 to 6 weeks after delivery, women should have a postpartum visit with her doctor.</w:t>
      </w:r>
      <w:r w:rsidR="00DB2059">
        <w:rPr>
          <w:rFonts w:ascii="Times New Roman" w:eastAsia="Times New Roman" w:hAnsi="Times New Roman"/>
          <w:sz w:val="20"/>
          <w:szCs w:val="20"/>
        </w:rPr>
        <w:t xml:space="preserve"> Consistency with Healthy Start Benchmarks minimizes the burden on grantees while maximizing consistent data collection opportunities, while consistency with national data sources ensure that the information collected can be used for evaluation and benchmarking purposes.</w:t>
      </w:r>
    </w:p>
    <w:p w:rsidR="00DB2059" w:rsidRPr="00B1188E" w:rsidRDefault="00DB2059" w:rsidP="00DB2059">
      <w:pPr>
        <w:pStyle w:val="ListParagraph"/>
        <w:ind w:left="990"/>
        <w:rPr>
          <w:rFonts w:ascii="Times New Roman" w:hAnsi="Times New Roman" w:cs="Times New Roman"/>
          <w:sz w:val="20"/>
          <w:szCs w:val="20"/>
        </w:rPr>
      </w:pPr>
    </w:p>
    <w:p w:rsidR="00DB2059" w:rsidRDefault="00B1188E" w:rsidP="00DB2059">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 xml:space="preserve">Performance Measure </w:t>
      </w:r>
      <w:r w:rsidR="00E85DE1">
        <w:rPr>
          <w:rFonts w:ascii="Times New Roman" w:hAnsi="Times New Roman" w:cs="Times New Roman"/>
          <w:b/>
          <w:sz w:val="20"/>
          <w:szCs w:val="20"/>
        </w:rPr>
        <w:t>WM</w:t>
      </w:r>
      <w:r>
        <w:rPr>
          <w:rFonts w:ascii="Times New Roman" w:hAnsi="Times New Roman" w:cs="Times New Roman"/>
          <w:b/>
          <w:sz w:val="20"/>
          <w:szCs w:val="20"/>
        </w:rPr>
        <w:t>H 3 – Clarification</w:t>
      </w:r>
      <w:r w:rsidR="00DB2059">
        <w:rPr>
          <w:rFonts w:ascii="Times New Roman" w:hAnsi="Times New Roman" w:cs="Times New Roman"/>
          <w:b/>
          <w:sz w:val="20"/>
          <w:szCs w:val="20"/>
        </w:rPr>
        <w:br/>
      </w:r>
      <w:r w:rsidR="00DB2059" w:rsidRPr="00B1188E">
        <w:rPr>
          <w:rFonts w:ascii="Times New Roman" w:hAnsi="Times New Roman" w:cs="Times New Roman"/>
          <w:sz w:val="20"/>
          <w:szCs w:val="20"/>
        </w:rPr>
        <w:t xml:space="preserve">Tier 4 was edited to </w:t>
      </w:r>
      <w:r w:rsidR="00DB2059">
        <w:rPr>
          <w:rFonts w:ascii="Times New Roman" w:hAnsi="Times New Roman" w:cs="Times New Roman"/>
          <w:sz w:val="20"/>
          <w:szCs w:val="20"/>
        </w:rPr>
        <w:t>‘</w:t>
      </w:r>
      <w:r w:rsidR="00DB2059" w:rsidRPr="00DB2059">
        <w:rPr>
          <w:rFonts w:ascii="Times New Roman" w:hAnsi="Times New Roman" w:cs="Times New Roman"/>
          <w:sz w:val="20"/>
          <w:szCs w:val="20"/>
        </w:rPr>
        <w:t>% of women with a well woman/ preventative visit in the past year</w:t>
      </w:r>
      <w:r w:rsidR="00DB2059">
        <w:rPr>
          <w:rFonts w:ascii="Times New Roman" w:hAnsi="Times New Roman" w:cs="Times New Roman"/>
          <w:sz w:val="20"/>
          <w:szCs w:val="20"/>
        </w:rPr>
        <w:t xml:space="preserve">’ </w:t>
      </w:r>
      <w:r w:rsidR="00DB2059" w:rsidRPr="00B1188E">
        <w:rPr>
          <w:rFonts w:ascii="Times New Roman" w:hAnsi="Times New Roman" w:cs="Times New Roman"/>
          <w:sz w:val="20"/>
          <w:szCs w:val="20"/>
        </w:rPr>
        <w:t>with additional detail relat</w:t>
      </w:r>
      <w:r w:rsidR="00DB2059">
        <w:rPr>
          <w:rFonts w:ascii="Times New Roman" w:hAnsi="Times New Roman" w:cs="Times New Roman"/>
          <w:sz w:val="20"/>
          <w:szCs w:val="20"/>
        </w:rPr>
        <w:t>ed to reporting of numerator,</w:t>
      </w:r>
      <w:r w:rsidR="00DB2059" w:rsidRPr="00B1188E">
        <w:rPr>
          <w:rFonts w:ascii="Times New Roman" w:hAnsi="Times New Roman" w:cs="Times New Roman"/>
          <w:sz w:val="20"/>
          <w:szCs w:val="20"/>
        </w:rPr>
        <w:t xml:space="preserve"> denominator</w:t>
      </w:r>
      <w:r w:rsidR="00DB2059">
        <w:rPr>
          <w:rFonts w:ascii="Times New Roman" w:hAnsi="Times New Roman" w:cs="Times New Roman"/>
          <w:sz w:val="20"/>
          <w:szCs w:val="20"/>
        </w:rPr>
        <w:t>, and definition of each</w:t>
      </w:r>
      <w:r w:rsidR="00DB2059" w:rsidRPr="00B1188E">
        <w:rPr>
          <w:rFonts w:ascii="Times New Roman" w:hAnsi="Times New Roman" w:cs="Times New Roman"/>
          <w:sz w:val="20"/>
          <w:szCs w:val="20"/>
        </w:rPr>
        <w:t xml:space="preserve"> added.</w:t>
      </w:r>
      <w:r w:rsidR="00DB2059">
        <w:rPr>
          <w:rFonts w:ascii="Times New Roman" w:hAnsi="Times New Roman" w:cs="Times New Roman"/>
          <w:sz w:val="20"/>
          <w:szCs w:val="20"/>
        </w:rPr>
        <w:br/>
      </w:r>
      <w:r w:rsidR="00DB2059" w:rsidRPr="00DB2059">
        <w:rPr>
          <w:rFonts w:ascii="Times New Roman" w:hAnsi="Times New Roman" w:cs="Times New Roman"/>
          <w:sz w:val="20"/>
          <w:szCs w:val="20"/>
          <w:u w:val="single"/>
        </w:rPr>
        <w:t>Rationale:</w:t>
      </w:r>
      <w:r w:rsidR="0087486A">
        <w:rPr>
          <w:rFonts w:ascii="Times New Roman" w:hAnsi="Times New Roman" w:cs="Times New Roman"/>
          <w:sz w:val="20"/>
          <w:szCs w:val="20"/>
        </w:rPr>
        <w:t xml:space="preserve"> Tier 4 has been edited</w:t>
      </w:r>
      <w:r w:rsidR="00DB2059" w:rsidRPr="00DB2059">
        <w:rPr>
          <w:rFonts w:ascii="Times New Roman" w:hAnsi="Times New Roman" w:cs="Times New Roman"/>
          <w:sz w:val="20"/>
          <w:szCs w:val="20"/>
        </w:rPr>
        <w:t xml:space="preserve"> to be consistent with Healthy Start Benchmarks and other national data sources, as well as to reflect </w:t>
      </w:r>
      <w:r w:rsidR="00DB2059">
        <w:rPr>
          <w:rFonts w:ascii="Times New Roman" w:hAnsi="Times New Roman" w:cs="Times New Roman"/>
          <w:sz w:val="20"/>
          <w:szCs w:val="20"/>
        </w:rPr>
        <w:t>best practices</w:t>
      </w:r>
      <w:r w:rsidR="00DB2059" w:rsidRPr="00DB2059">
        <w:rPr>
          <w:rFonts w:ascii="Times New Roman" w:eastAsia="Times New Roman" w:hAnsi="Times New Roman"/>
          <w:sz w:val="20"/>
          <w:szCs w:val="20"/>
        </w:rPr>
        <w:t>. Consistency with Healthy Start Benchmarks minimizes the burden on grantees while maximizing consistent data collection opportunities, while consistency with national data sources ensure</w:t>
      </w:r>
      <w:r w:rsidR="00DB2059">
        <w:rPr>
          <w:rFonts w:ascii="Times New Roman" w:eastAsia="Times New Roman" w:hAnsi="Times New Roman"/>
          <w:sz w:val="20"/>
          <w:szCs w:val="20"/>
        </w:rPr>
        <w:t>s that the activity being measured is consistent with known best practices, therefore contributes to health and wellness, and</w:t>
      </w:r>
      <w:r w:rsidR="00DB2059" w:rsidRPr="00DB2059">
        <w:rPr>
          <w:rFonts w:ascii="Times New Roman" w:eastAsia="Times New Roman" w:hAnsi="Times New Roman"/>
          <w:sz w:val="20"/>
          <w:szCs w:val="20"/>
        </w:rPr>
        <w:t xml:space="preserve"> that the information collected can be used for evaluation and benchmarking purposes.</w:t>
      </w:r>
    </w:p>
    <w:p w:rsidR="00DB2059" w:rsidRPr="00DB2059" w:rsidRDefault="00DB2059" w:rsidP="00DB2059">
      <w:pPr>
        <w:pStyle w:val="ListParagraph"/>
        <w:rPr>
          <w:rFonts w:ascii="Times New Roman" w:hAnsi="Times New Roman" w:cs="Times New Roman"/>
          <w:sz w:val="20"/>
          <w:szCs w:val="20"/>
        </w:rPr>
      </w:pPr>
    </w:p>
    <w:p w:rsidR="00B1188E" w:rsidRPr="00F87E00" w:rsidRDefault="00DB2059" w:rsidP="00DB2059">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 xml:space="preserve">Performance Measure </w:t>
      </w:r>
      <w:r w:rsidR="00E85DE1">
        <w:rPr>
          <w:rFonts w:ascii="Times New Roman" w:hAnsi="Times New Roman" w:cs="Times New Roman"/>
          <w:b/>
          <w:sz w:val="20"/>
          <w:szCs w:val="20"/>
        </w:rPr>
        <w:t>WMH 4</w:t>
      </w:r>
      <w:r>
        <w:rPr>
          <w:rFonts w:ascii="Times New Roman" w:hAnsi="Times New Roman" w:cs="Times New Roman"/>
          <w:b/>
          <w:sz w:val="20"/>
          <w:szCs w:val="20"/>
        </w:rPr>
        <w:t xml:space="preserve"> – Clarification and Revision</w:t>
      </w:r>
      <w:r>
        <w:rPr>
          <w:rFonts w:ascii="Times New Roman" w:hAnsi="Times New Roman" w:cs="Times New Roman"/>
          <w:sz w:val="20"/>
          <w:szCs w:val="20"/>
        </w:rPr>
        <w:br/>
      </w:r>
      <w:r w:rsidRPr="00B1188E">
        <w:rPr>
          <w:rFonts w:ascii="Times New Roman" w:hAnsi="Times New Roman" w:cs="Times New Roman"/>
          <w:sz w:val="20"/>
          <w:szCs w:val="20"/>
        </w:rPr>
        <w:t xml:space="preserve">Tier 4 was </w:t>
      </w:r>
      <w:r>
        <w:rPr>
          <w:rFonts w:ascii="Times New Roman" w:hAnsi="Times New Roman" w:cs="Times New Roman"/>
          <w:sz w:val="20"/>
          <w:szCs w:val="20"/>
        </w:rPr>
        <w:t xml:space="preserve">previously three parts, 1. % of women screened for depression using a validated tool, 2. % of women who screened positive for depression who </w:t>
      </w:r>
      <w:r w:rsidR="00F87E00">
        <w:rPr>
          <w:rFonts w:ascii="Times New Roman" w:hAnsi="Times New Roman" w:cs="Times New Roman"/>
          <w:sz w:val="20"/>
          <w:szCs w:val="20"/>
        </w:rPr>
        <w:t xml:space="preserve">received a referral for services, and 3. % of women who received services. Tier 4 has been revised to remove the third part. Further, Tier 4 has been </w:t>
      </w:r>
      <w:r w:rsidRPr="00B1188E">
        <w:rPr>
          <w:rFonts w:ascii="Times New Roman" w:hAnsi="Times New Roman" w:cs="Times New Roman"/>
          <w:sz w:val="20"/>
          <w:szCs w:val="20"/>
        </w:rPr>
        <w:t xml:space="preserve">edited to </w:t>
      </w:r>
      <w:r w:rsidR="00F87E00">
        <w:rPr>
          <w:rFonts w:ascii="Times New Roman" w:hAnsi="Times New Roman" w:cs="Times New Roman"/>
          <w:sz w:val="20"/>
          <w:szCs w:val="20"/>
        </w:rPr>
        <w:t>include</w:t>
      </w:r>
      <w:r w:rsidRPr="00B1188E">
        <w:rPr>
          <w:rFonts w:ascii="Times New Roman" w:hAnsi="Times New Roman" w:cs="Times New Roman"/>
          <w:sz w:val="20"/>
          <w:szCs w:val="20"/>
        </w:rPr>
        <w:t xml:space="preserve"> additional detail relat</w:t>
      </w:r>
      <w:r>
        <w:rPr>
          <w:rFonts w:ascii="Times New Roman" w:hAnsi="Times New Roman" w:cs="Times New Roman"/>
          <w:sz w:val="20"/>
          <w:szCs w:val="20"/>
        </w:rPr>
        <w:t>ed to reporting of numerator,</w:t>
      </w:r>
      <w:r w:rsidRPr="00B1188E">
        <w:rPr>
          <w:rFonts w:ascii="Times New Roman" w:hAnsi="Times New Roman" w:cs="Times New Roman"/>
          <w:sz w:val="20"/>
          <w:szCs w:val="20"/>
        </w:rPr>
        <w:t xml:space="preserve"> denominator</w:t>
      </w:r>
      <w:r>
        <w:rPr>
          <w:rFonts w:ascii="Times New Roman" w:hAnsi="Times New Roman" w:cs="Times New Roman"/>
          <w:sz w:val="20"/>
          <w:szCs w:val="20"/>
        </w:rPr>
        <w:t>, and definition of each</w:t>
      </w:r>
      <w:r w:rsidR="00F87E00">
        <w:rPr>
          <w:rFonts w:ascii="Times New Roman" w:hAnsi="Times New Roman" w:cs="Times New Roman"/>
          <w:sz w:val="20"/>
          <w:szCs w:val="20"/>
        </w:rPr>
        <w:t>, all of which is consistent with related Healthy Start Benchmark</w:t>
      </w:r>
      <w:r w:rsidRPr="00B1188E">
        <w:rPr>
          <w:rFonts w:ascii="Times New Roman" w:hAnsi="Times New Roman" w:cs="Times New Roman"/>
          <w:sz w:val="20"/>
          <w:szCs w:val="20"/>
        </w:rPr>
        <w:t>.</w:t>
      </w:r>
      <w:r w:rsidR="00F87E00">
        <w:rPr>
          <w:rFonts w:ascii="Times New Roman" w:hAnsi="Times New Roman" w:cs="Times New Roman"/>
          <w:sz w:val="20"/>
          <w:szCs w:val="20"/>
        </w:rPr>
        <w:br/>
      </w:r>
      <w:r w:rsidR="00F87E00" w:rsidRPr="00F87E00">
        <w:rPr>
          <w:rFonts w:ascii="Times New Roman" w:hAnsi="Times New Roman" w:cs="Times New Roman"/>
          <w:sz w:val="20"/>
          <w:szCs w:val="20"/>
          <w:u w:val="single"/>
        </w:rPr>
        <w:t>Rationale:</w:t>
      </w:r>
      <w:r w:rsidR="00F87E00">
        <w:rPr>
          <w:rFonts w:ascii="Times New Roman" w:hAnsi="Times New Roman" w:cs="Times New Roman"/>
          <w:sz w:val="20"/>
          <w:szCs w:val="20"/>
        </w:rPr>
        <w:t xml:space="preserve"> Part 3 of </w:t>
      </w:r>
      <w:r w:rsidR="00A27168">
        <w:rPr>
          <w:rFonts w:ascii="Times New Roman" w:hAnsi="Times New Roman" w:cs="Times New Roman"/>
          <w:sz w:val="20"/>
          <w:szCs w:val="20"/>
        </w:rPr>
        <w:t>Tier 4 was removed because these items were</w:t>
      </w:r>
      <w:r w:rsidR="00F87E00">
        <w:rPr>
          <w:rFonts w:ascii="Times New Roman" w:hAnsi="Times New Roman" w:cs="Times New Roman"/>
          <w:sz w:val="20"/>
          <w:szCs w:val="20"/>
        </w:rPr>
        <w:t xml:space="preserve"> determined to be beyond the control of most reporting grantees with many complicating factors existing</w:t>
      </w:r>
      <w:r w:rsidR="00A27168">
        <w:rPr>
          <w:rFonts w:ascii="Times New Roman" w:hAnsi="Times New Roman" w:cs="Times New Roman"/>
          <w:sz w:val="20"/>
          <w:szCs w:val="20"/>
        </w:rPr>
        <w:t xml:space="preserve"> in many communities</w:t>
      </w:r>
      <w:r w:rsidR="00F87E00">
        <w:rPr>
          <w:rFonts w:ascii="Times New Roman" w:hAnsi="Times New Roman" w:cs="Times New Roman"/>
          <w:sz w:val="20"/>
          <w:szCs w:val="20"/>
        </w:rPr>
        <w:t xml:space="preserve"> (i.e. lack of mental health professionals that accept certain insurances). </w:t>
      </w:r>
      <w:r w:rsidR="00F87E00" w:rsidRPr="00DB2059">
        <w:rPr>
          <w:rFonts w:ascii="Times New Roman" w:eastAsia="Times New Roman" w:hAnsi="Times New Roman"/>
          <w:sz w:val="20"/>
          <w:szCs w:val="20"/>
        </w:rPr>
        <w:t>Consistency with Healthy Start Benchmarks minimizes the burden on grantees while maximizing consistent data collection opportunities</w:t>
      </w:r>
      <w:r w:rsidR="00F87E00">
        <w:rPr>
          <w:rFonts w:ascii="Times New Roman" w:eastAsia="Times New Roman" w:hAnsi="Times New Roman"/>
          <w:sz w:val="20"/>
          <w:szCs w:val="20"/>
        </w:rPr>
        <w:t>. Revisions to the numerator and denominator reflect best practices recommended by ACOG.</w:t>
      </w:r>
    </w:p>
    <w:p w:rsidR="00F87E00" w:rsidRPr="00F87E00" w:rsidRDefault="00F87E00" w:rsidP="00F87E00">
      <w:pPr>
        <w:pStyle w:val="ListParagraph"/>
        <w:rPr>
          <w:rFonts w:ascii="Times New Roman" w:hAnsi="Times New Roman" w:cs="Times New Roman"/>
          <w:sz w:val="20"/>
          <w:szCs w:val="20"/>
        </w:rPr>
      </w:pPr>
    </w:p>
    <w:p w:rsidR="00ED398F" w:rsidRPr="00ED398F" w:rsidRDefault="00F87E00" w:rsidP="00ED398F">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lastRenderedPageBreak/>
        <w:t>Performance Measure PIH 1 – Clarification</w:t>
      </w:r>
      <w:r w:rsidR="00ED398F">
        <w:rPr>
          <w:rFonts w:ascii="Times New Roman" w:hAnsi="Times New Roman" w:cs="Times New Roman"/>
          <w:b/>
          <w:sz w:val="20"/>
          <w:szCs w:val="20"/>
        </w:rPr>
        <w:br/>
      </w:r>
      <w:r w:rsidRPr="00ED398F">
        <w:rPr>
          <w:rFonts w:ascii="Times New Roman" w:eastAsia="Times New Roman" w:hAnsi="Times New Roman"/>
          <w:sz w:val="20"/>
          <w:szCs w:val="20"/>
        </w:rPr>
        <w:t xml:space="preserve">The numerator, denominator, and definition in Tier 4 </w:t>
      </w:r>
      <w:r w:rsidR="00ED398F">
        <w:rPr>
          <w:rFonts w:ascii="Times New Roman" w:eastAsia="Times New Roman" w:hAnsi="Times New Roman"/>
          <w:sz w:val="20"/>
          <w:szCs w:val="20"/>
        </w:rPr>
        <w:t>have been clarified and benchmark data sources have been updated</w:t>
      </w:r>
      <w:r w:rsidR="00EC7263">
        <w:rPr>
          <w:rFonts w:ascii="Times New Roman" w:eastAsia="Times New Roman" w:hAnsi="Times New Roman"/>
          <w:sz w:val="20"/>
          <w:szCs w:val="20"/>
        </w:rPr>
        <w:t xml:space="preserve"> with additional detail</w:t>
      </w:r>
      <w:r w:rsidR="00ED398F" w:rsidRPr="00ED398F">
        <w:rPr>
          <w:rFonts w:ascii="Times New Roman" w:eastAsia="Times New Roman" w:hAnsi="Times New Roman"/>
          <w:sz w:val="20"/>
          <w:szCs w:val="20"/>
        </w:rPr>
        <w:t>.</w:t>
      </w:r>
      <w:r w:rsidR="00ED398F">
        <w:rPr>
          <w:rFonts w:ascii="Times New Roman" w:eastAsia="Times New Roman" w:hAnsi="Times New Roman"/>
          <w:sz w:val="20"/>
          <w:szCs w:val="20"/>
        </w:rPr>
        <w:br/>
      </w:r>
      <w:r w:rsidR="00ED398F" w:rsidRPr="00ED398F">
        <w:rPr>
          <w:rFonts w:ascii="Times New Roman" w:eastAsia="Times New Roman" w:hAnsi="Times New Roman"/>
          <w:sz w:val="20"/>
          <w:szCs w:val="20"/>
          <w:u w:val="single"/>
        </w:rPr>
        <w:t>Rationale:</w:t>
      </w:r>
      <w:r w:rsidR="00ED398F" w:rsidRPr="00ED398F">
        <w:rPr>
          <w:rFonts w:ascii="Times New Roman" w:eastAsia="Times New Roman" w:hAnsi="Times New Roman"/>
          <w:sz w:val="20"/>
          <w:szCs w:val="20"/>
        </w:rPr>
        <w:t xml:space="preserve"> The numerator, denominator and definition have been edited to be consistent with Healthy Start Benchmark and national data sources</w:t>
      </w:r>
      <w:r w:rsidR="00EC7263">
        <w:rPr>
          <w:rFonts w:ascii="Times New Roman" w:eastAsia="Times New Roman" w:hAnsi="Times New Roman"/>
          <w:sz w:val="20"/>
          <w:szCs w:val="20"/>
        </w:rPr>
        <w:t>, as well as to reflect safe sleep recommendations of the American Association of Pediatrics (AAP)</w:t>
      </w:r>
      <w:r w:rsidR="00ED398F">
        <w:rPr>
          <w:rFonts w:ascii="Times New Roman" w:eastAsia="Times New Roman" w:hAnsi="Times New Roman"/>
          <w:sz w:val="20"/>
          <w:szCs w:val="20"/>
        </w:rPr>
        <w:t xml:space="preserve">. </w:t>
      </w:r>
      <w:r w:rsidR="00ED398F" w:rsidRPr="00ED398F">
        <w:rPr>
          <w:rFonts w:ascii="Times New Roman" w:eastAsia="Times New Roman" w:hAnsi="Times New Roman"/>
          <w:sz w:val="20"/>
          <w:szCs w:val="20"/>
        </w:rPr>
        <w:t xml:space="preserve">Consistency with Healthy Start Benchmarks minimizes the burden on grantees </w:t>
      </w:r>
      <w:r w:rsidR="002845DE" w:rsidRPr="00ED398F">
        <w:rPr>
          <w:rFonts w:ascii="Times New Roman" w:eastAsia="Times New Roman" w:hAnsi="Times New Roman"/>
          <w:sz w:val="20"/>
          <w:szCs w:val="20"/>
        </w:rPr>
        <w:t>while maximizing consistent data collection opportunities</w:t>
      </w:r>
      <w:r w:rsidR="002845DE">
        <w:rPr>
          <w:rFonts w:ascii="Times New Roman" w:eastAsia="Times New Roman" w:hAnsi="Times New Roman"/>
          <w:sz w:val="20"/>
          <w:szCs w:val="20"/>
        </w:rPr>
        <w:t xml:space="preserve"> across programs</w:t>
      </w:r>
      <w:r w:rsidR="002845DE" w:rsidRPr="00ED398F">
        <w:rPr>
          <w:rFonts w:ascii="Times New Roman" w:eastAsia="Times New Roman" w:hAnsi="Times New Roman"/>
          <w:sz w:val="20"/>
          <w:szCs w:val="20"/>
        </w:rPr>
        <w:t xml:space="preserve">, </w:t>
      </w:r>
      <w:r w:rsidR="002845DE">
        <w:rPr>
          <w:rFonts w:ascii="Times New Roman" w:eastAsia="Times New Roman" w:hAnsi="Times New Roman"/>
          <w:sz w:val="20"/>
          <w:szCs w:val="20"/>
        </w:rPr>
        <w:t>further</w:t>
      </w:r>
      <w:r w:rsidR="002845DE" w:rsidRPr="00ED398F">
        <w:rPr>
          <w:rFonts w:ascii="Times New Roman" w:eastAsia="Times New Roman" w:hAnsi="Times New Roman"/>
          <w:sz w:val="20"/>
          <w:szCs w:val="20"/>
        </w:rPr>
        <w:t xml:space="preserve"> </w:t>
      </w:r>
      <w:r w:rsidR="00ED398F" w:rsidRPr="00ED398F">
        <w:rPr>
          <w:rFonts w:ascii="Times New Roman" w:eastAsia="Times New Roman" w:hAnsi="Times New Roman"/>
          <w:sz w:val="20"/>
          <w:szCs w:val="20"/>
        </w:rPr>
        <w:t>consistency with national data sources ensures that the information</w:t>
      </w:r>
      <w:r w:rsidR="00EC7263">
        <w:rPr>
          <w:rFonts w:ascii="Times New Roman" w:eastAsia="Times New Roman" w:hAnsi="Times New Roman"/>
          <w:sz w:val="20"/>
          <w:szCs w:val="20"/>
        </w:rPr>
        <w:t xml:space="preserve"> reflects known best practices for safe sleep to minimize risk of sudden unexpected infant death syndrome according to the AAP, and that data</w:t>
      </w:r>
      <w:r w:rsidR="00ED398F" w:rsidRPr="00ED398F">
        <w:rPr>
          <w:rFonts w:ascii="Times New Roman" w:eastAsia="Times New Roman" w:hAnsi="Times New Roman"/>
          <w:sz w:val="20"/>
          <w:szCs w:val="20"/>
        </w:rPr>
        <w:t xml:space="preserve"> collected can be used for evaluation and benchmarking purposes.</w:t>
      </w:r>
      <w:r w:rsidR="00EC7263">
        <w:rPr>
          <w:rFonts w:ascii="Times New Roman" w:eastAsia="Times New Roman" w:hAnsi="Times New Roman"/>
          <w:sz w:val="20"/>
          <w:szCs w:val="20"/>
        </w:rPr>
        <w:t xml:space="preserve"> Updated benchmark data sources further inform the data collection process and provide reporting grantees valuable benchmarking information.</w:t>
      </w:r>
    </w:p>
    <w:p w:rsidR="00ED398F" w:rsidRPr="00ED398F" w:rsidRDefault="00ED398F" w:rsidP="00ED398F">
      <w:pPr>
        <w:pStyle w:val="ListParagraph"/>
        <w:rPr>
          <w:rFonts w:ascii="Times New Roman" w:hAnsi="Times New Roman" w:cs="Times New Roman"/>
          <w:sz w:val="20"/>
          <w:szCs w:val="20"/>
        </w:rPr>
      </w:pPr>
    </w:p>
    <w:p w:rsidR="00EC7263" w:rsidRPr="00A27168" w:rsidRDefault="00EC7263" w:rsidP="00A27168">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Performance Measure PIH 2 – Clarification</w:t>
      </w:r>
      <w:r>
        <w:rPr>
          <w:rFonts w:ascii="Times New Roman" w:hAnsi="Times New Roman" w:cs="Times New Roman"/>
          <w:b/>
          <w:sz w:val="20"/>
          <w:szCs w:val="20"/>
        </w:rPr>
        <w:br/>
      </w:r>
      <w:r w:rsidRPr="00ED398F">
        <w:rPr>
          <w:rFonts w:ascii="Times New Roman" w:eastAsia="Times New Roman" w:hAnsi="Times New Roman"/>
          <w:sz w:val="20"/>
          <w:szCs w:val="20"/>
        </w:rPr>
        <w:t xml:space="preserve">The numerator, denominator, and definition in Tier 4 </w:t>
      </w:r>
      <w:r>
        <w:rPr>
          <w:rFonts w:ascii="Times New Roman" w:eastAsia="Times New Roman" w:hAnsi="Times New Roman"/>
          <w:sz w:val="20"/>
          <w:szCs w:val="20"/>
        </w:rPr>
        <w:t>have been clarified and benchmark data sources have been updated with additional detail</w:t>
      </w:r>
      <w:r w:rsidRPr="00ED398F">
        <w:rPr>
          <w:rFonts w:ascii="Times New Roman" w:eastAsia="Times New Roman" w:hAnsi="Times New Roman"/>
          <w:sz w:val="20"/>
          <w:szCs w:val="20"/>
        </w:rPr>
        <w:t>.</w:t>
      </w:r>
      <w:r>
        <w:rPr>
          <w:rFonts w:ascii="Times New Roman" w:eastAsia="Times New Roman" w:hAnsi="Times New Roman"/>
          <w:sz w:val="20"/>
          <w:szCs w:val="20"/>
        </w:rPr>
        <w:br/>
      </w:r>
      <w:r w:rsidRPr="00ED398F">
        <w:rPr>
          <w:rFonts w:ascii="Times New Roman" w:eastAsia="Times New Roman" w:hAnsi="Times New Roman"/>
          <w:sz w:val="20"/>
          <w:szCs w:val="20"/>
          <w:u w:val="single"/>
        </w:rPr>
        <w:t>Rationale:</w:t>
      </w:r>
      <w:r w:rsidRPr="00ED398F">
        <w:rPr>
          <w:rFonts w:ascii="Times New Roman" w:eastAsia="Times New Roman" w:hAnsi="Times New Roman"/>
          <w:sz w:val="20"/>
          <w:szCs w:val="20"/>
        </w:rPr>
        <w:t xml:space="preserve"> The numerator, denominator and definition have been edited to be consistent with Healthy Start Benchmark and national data sources</w:t>
      </w:r>
      <w:r>
        <w:rPr>
          <w:rFonts w:ascii="Times New Roman" w:eastAsia="Times New Roman" w:hAnsi="Times New Roman"/>
          <w:sz w:val="20"/>
          <w:szCs w:val="20"/>
        </w:rPr>
        <w:t xml:space="preserve">. </w:t>
      </w:r>
      <w:r w:rsidRPr="00ED398F">
        <w:rPr>
          <w:rFonts w:ascii="Times New Roman" w:eastAsia="Times New Roman" w:hAnsi="Times New Roman"/>
          <w:sz w:val="20"/>
          <w:szCs w:val="20"/>
        </w:rPr>
        <w:t xml:space="preserve">Consistency with Healthy Start Benchmarks minimizes the burden on </w:t>
      </w:r>
      <w:r w:rsidR="00E85DE1">
        <w:rPr>
          <w:rFonts w:ascii="Times New Roman" w:eastAsia="Times New Roman" w:hAnsi="Times New Roman"/>
          <w:sz w:val="20"/>
          <w:szCs w:val="20"/>
        </w:rPr>
        <w:t xml:space="preserve">those </w:t>
      </w:r>
      <w:r w:rsidRPr="00ED398F">
        <w:rPr>
          <w:rFonts w:ascii="Times New Roman" w:eastAsia="Times New Roman" w:hAnsi="Times New Roman"/>
          <w:sz w:val="20"/>
          <w:szCs w:val="20"/>
        </w:rPr>
        <w:t>grantees while maximizing consistent data collection opportunities</w:t>
      </w:r>
      <w:r w:rsidR="00E85DE1">
        <w:rPr>
          <w:rFonts w:ascii="Times New Roman" w:eastAsia="Times New Roman" w:hAnsi="Times New Roman"/>
          <w:sz w:val="20"/>
          <w:szCs w:val="20"/>
        </w:rPr>
        <w:t xml:space="preserve"> across programs</w:t>
      </w:r>
      <w:r w:rsidRPr="00ED398F">
        <w:rPr>
          <w:rFonts w:ascii="Times New Roman" w:eastAsia="Times New Roman" w:hAnsi="Times New Roman"/>
          <w:sz w:val="20"/>
          <w:szCs w:val="20"/>
        </w:rPr>
        <w:t xml:space="preserve">, </w:t>
      </w:r>
      <w:r w:rsidR="002845DE">
        <w:rPr>
          <w:rFonts w:ascii="Times New Roman" w:eastAsia="Times New Roman" w:hAnsi="Times New Roman"/>
          <w:sz w:val="20"/>
          <w:szCs w:val="20"/>
        </w:rPr>
        <w:t>further</w:t>
      </w:r>
      <w:r w:rsidRPr="00ED398F">
        <w:rPr>
          <w:rFonts w:ascii="Times New Roman" w:eastAsia="Times New Roman" w:hAnsi="Times New Roman"/>
          <w:sz w:val="20"/>
          <w:szCs w:val="20"/>
        </w:rPr>
        <w:t xml:space="preserve"> consistency with national data sources ensures that the information collected can be used for evaluation and benchmarking purposes.</w:t>
      </w:r>
      <w:r>
        <w:rPr>
          <w:rFonts w:ascii="Times New Roman" w:eastAsia="Times New Roman" w:hAnsi="Times New Roman"/>
          <w:sz w:val="20"/>
          <w:szCs w:val="20"/>
        </w:rPr>
        <w:t xml:space="preserve"> Updated benchmark data sources further inform the data collection process and provide reporting grantees valuable benchmarking information.</w:t>
      </w:r>
    </w:p>
    <w:p w:rsidR="00DA0E88" w:rsidRPr="00DA0E88" w:rsidRDefault="00DA0E88" w:rsidP="00DA0E88">
      <w:pPr>
        <w:pStyle w:val="ListParagraph"/>
        <w:rPr>
          <w:rFonts w:ascii="Times New Roman" w:hAnsi="Times New Roman" w:cs="Times New Roman"/>
          <w:sz w:val="20"/>
          <w:szCs w:val="20"/>
        </w:rPr>
      </w:pPr>
    </w:p>
    <w:p w:rsidR="006B0038" w:rsidRPr="006B0038" w:rsidRDefault="006B0038" w:rsidP="00901714">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w:t>
      </w:r>
      <w:r w:rsidR="00E85DE1">
        <w:rPr>
          <w:rFonts w:ascii="Times New Roman" w:hAnsi="Times New Roman" w:cs="Times New Roman"/>
          <w:b/>
          <w:sz w:val="20"/>
          <w:szCs w:val="20"/>
        </w:rPr>
        <w:t>rmance Measure CH 1</w:t>
      </w:r>
      <w:r>
        <w:rPr>
          <w:rFonts w:ascii="Times New Roman" w:hAnsi="Times New Roman" w:cs="Times New Roman"/>
          <w:b/>
          <w:sz w:val="20"/>
          <w:szCs w:val="20"/>
        </w:rPr>
        <w:t xml:space="preserve"> – Clarification</w:t>
      </w:r>
    </w:p>
    <w:p w:rsidR="006B0038" w:rsidRDefault="00E85DE1" w:rsidP="00E85DE1">
      <w:pPr>
        <w:pStyle w:val="ListParagraph"/>
        <w:ind w:left="990"/>
        <w:rPr>
          <w:rFonts w:ascii="Times New Roman" w:eastAsia="Times New Roman" w:hAnsi="Times New Roman"/>
          <w:sz w:val="20"/>
          <w:szCs w:val="20"/>
        </w:rPr>
      </w:pPr>
      <w:r w:rsidRPr="00ED398F">
        <w:rPr>
          <w:rFonts w:ascii="Times New Roman" w:eastAsia="Times New Roman" w:hAnsi="Times New Roman"/>
          <w:sz w:val="20"/>
          <w:szCs w:val="20"/>
        </w:rPr>
        <w:t xml:space="preserve">The numerator, denominator, and definition in Tier 4 </w:t>
      </w:r>
      <w:r>
        <w:rPr>
          <w:rFonts w:ascii="Times New Roman" w:eastAsia="Times New Roman" w:hAnsi="Times New Roman"/>
          <w:sz w:val="20"/>
          <w:szCs w:val="20"/>
        </w:rPr>
        <w:t>have been clarified updated with additional detail</w:t>
      </w:r>
      <w:r w:rsidRPr="00ED398F">
        <w:rPr>
          <w:rFonts w:ascii="Times New Roman" w:eastAsia="Times New Roman" w:hAnsi="Times New Roman"/>
          <w:sz w:val="20"/>
          <w:szCs w:val="20"/>
        </w:rPr>
        <w:t>.</w:t>
      </w:r>
    </w:p>
    <w:p w:rsidR="00A66251" w:rsidRPr="00A66251" w:rsidRDefault="00E85DE1" w:rsidP="00A66251">
      <w:pPr>
        <w:pStyle w:val="ListParagraph"/>
        <w:ind w:left="990"/>
        <w:rPr>
          <w:rFonts w:ascii="Times New Roman" w:eastAsia="Times New Roman" w:hAnsi="Times New Roman"/>
          <w:sz w:val="20"/>
          <w:szCs w:val="20"/>
        </w:rPr>
      </w:pPr>
      <w:r w:rsidRPr="00ED398F">
        <w:rPr>
          <w:rFonts w:ascii="Times New Roman" w:eastAsia="Times New Roman" w:hAnsi="Times New Roman"/>
          <w:sz w:val="20"/>
          <w:szCs w:val="20"/>
          <w:u w:val="single"/>
        </w:rPr>
        <w:t>Rationale:</w:t>
      </w:r>
      <w:r w:rsidRPr="00ED398F">
        <w:rPr>
          <w:rFonts w:ascii="Times New Roman" w:eastAsia="Times New Roman" w:hAnsi="Times New Roman"/>
          <w:sz w:val="20"/>
          <w:szCs w:val="20"/>
        </w:rPr>
        <w:t xml:space="preserve"> The numerator, denominator and definition have been edited to be consistent with Healthy Start Benchmark and national data sources</w:t>
      </w:r>
      <w:r>
        <w:rPr>
          <w:rFonts w:ascii="Times New Roman" w:eastAsia="Times New Roman" w:hAnsi="Times New Roman"/>
          <w:sz w:val="20"/>
          <w:szCs w:val="20"/>
        </w:rPr>
        <w:t xml:space="preserve">. </w:t>
      </w:r>
      <w:r w:rsidRPr="00ED398F">
        <w:rPr>
          <w:rFonts w:ascii="Times New Roman" w:eastAsia="Times New Roman" w:hAnsi="Times New Roman"/>
          <w:sz w:val="20"/>
          <w:szCs w:val="20"/>
        </w:rPr>
        <w:t xml:space="preserve">Consistency with Healthy Start Benchmarks minimizes the burden on </w:t>
      </w:r>
      <w:r>
        <w:rPr>
          <w:rFonts w:ascii="Times New Roman" w:eastAsia="Times New Roman" w:hAnsi="Times New Roman"/>
          <w:sz w:val="20"/>
          <w:szCs w:val="20"/>
        </w:rPr>
        <w:t xml:space="preserve">those </w:t>
      </w:r>
      <w:r w:rsidRPr="00ED398F">
        <w:rPr>
          <w:rFonts w:ascii="Times New Roman" w:eastAsia="Times New Roman" w:hAnsi="Times New Roman"/>
          <w:sz w:val="20"/>
          <w:szCs w:val="20"/>
        </w:rPr>
        <w:t xml:space="preserve">grantees </w:t>
      </w:r>
      <w:r w:rsidR="002845DE" w:rsidRPr="00ED398F">
        <w:rPr>
          <w:rFonts w:ascii="Times New Roman" w:eastAsia="Times New Roman" w:hAnsi="Times New Roman"/>
          <w:sz w:val="20"/>
          <w:szCs w:val="20"/>
        </w:rPr>
        <w:t>while maximizing consistent data collection opportunities</w:t>
      </w:r>
      <w:r w:rsidR="002845DE">
        <w:rPr>
          <w:rFonts w:ascii="Times New Roman" w:eastAsia="Times New Roman" w:hAnsi="Times New Roman"/>
          <w:sz w:val="20"/>
          <w:szCs w:val="20"/>
        </w:rPr>
        <w:t xml:space="preserve"> across programs</w:t>
      </w:r>
      <w:r w:rsidR="002845DE" w:rsidRPr="00ED398F">
        <w:rPr>
          <w:rFonts w:ascii="Times New Roman" w:eastAsia="Times New Roman" w:hAnsi="Times New Roman"/>
          <w:sz w:val="20"/>
          <w:szCs w:val="20"/>
        </w:rPr>
        <w:t xml:space="preserve">, </w:t>
      </w:r>
      <w:r w:rsidR="002845DE">
        <w:rPr>
          <w:rFonts w:ascii="Times New Roman" w:eastAsia="Times New Roman" w:hAnsi="Times New Roman"/>
          <w:sz w:val="20"/>
          <w:szCs w:val="20"/>
        </w:rPr>
        <w:t>further,</w:t>
      </w:r>
      <w:r w:rsidR="002845DE" w:rsidRPr="00ED398F">
        <w:rPr>
          <w:rFonts w:ascii="Times New Roman" w:eastAsia="Times New Roman" w:hAnsi="Times New Roman"/>
          <w:sz w:val="20"/>
          <w:szCs w:val="20"/>
        </w:rPr>
        <w:t xml:space="preserve"> </w:t>
      </w:r>
      <w:r w:rsidRPr="00ED398F">
        <w:rPr>
          <w:rFonts w:ascii="Times New Roman" w:eastAsia="Times New Roman" w:hAnsi="Times New Roman"/>
          <w:sz w:val="20"/>
          <w:szCs w:val="20"/>
        </w:rPr>
        <w:t xml:space="preserve"> consistency with national data sources ensures that the information collected can be used for evaluation and benchmarking purposes.</w:t>
      </w:r>
    </w:p>
    <w:p w:rsidR="00E85DE1" w:rsidRPr="00E85DE1" w:rsidRDefault="00E85DE1" w:rsidP="00E85DE1">
      <w:pPr>
        <w:pStyle w:val="ListParagraph"/>
        <w:ind w:left="990"/>
        <w:rPr>
          <w:rFonts w:ascii="Times New Roman" w:hAnsi="Times New Roman" w:cs="Times New Roman"/>
          <w:sz w:val="20"/>
          <w:szCs w:val="20"/>
        </w:rPr>
      </w:pPr>
    </w:p>
    <w:p w:rsidR="00A66251" w:rsidRPr="006B0038" w:rsidRDefault="00A66251" w:rsidP="00A66251">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Performance Measure CH 1 – Data Collection Form</w:t>
      </w:r>
    </w:p>
    <w:p w:rsidR="00A66251" w:rsidRPr="00A66251" w:rsidRDefault="00A66251" w:rsidP="00A66251">
      <w:pPr>
        <w:pStyle w:val="ListParagraph"/>
        <w:ind w:left="990"/>
        <w:rPr>
          <w:rFonts w:ascii="Times New Roman" w:hAnsi="Times New Roman" w:cs="Times New Roman"/>
          <w:sz w:val="20"/>
          <w:szCs w:val="20"/>
        </w:rPr>
      </w:pPr>
      <w:r>
        <w:rPr>
          <w:rFonts w:ascii="Times New Roman" w:hAnsi="Times New Roman" w:cs="Times New Roman"/>
          <w:sz w:val="20"/>
          <w:szCs w:val="20"/>
        </w:rPr>
        <w:t xml:space="preserve">A data collection form, reflecting the data to be collected in Tiers 3 and 4 has been added. </w:t>
      </w:r>
      <w:r>
        <w:rPr>
          <w:rFonts w:ascii="Times New Roman" w:hAnsi="Times New Roman" w:cs="Times New Roman"/>
          <w:sz w:val="20"/>
          <w:szCs w:val="20"/>
        </w:rPr>
        <w:br/>
      </w:r>
      <w:r w:rsidRPr="00A66251">
        <w:rPr>
          <w:rFonts w:ascii="Times New Roman" w:hAnsi="Times New Roman" w:cs="Times New Roman"/>
          <w:sz w:val="20"/>
          <w:szCs w:val="20"/>
          <w:u w:val="single"/>
        </w:rPr>
        <w:t>Rationale:</w:t>
      </w:r>
      <w:r>
        <w:rPr>
          <w:rFonts w:ascii="Times New Roman" w:hAnsi="Times New Roman" w:cs="Times New Roman"/>
          <w:sz w:val="20"/>
          <w:szCs w:val="20"/>
        </w:rPr>
        <w:t xml:space="preserve"> No appropriate data collection form for t</w:t>
      </w:r>
      <w:r w:rsidR="0087486A">
        <w:rPr>
          <w:rFonts w:ascii="Times New Roman" w:hAnsi="Times New Roman" w:cs="Times New Roman"/>
          <w:sz w:val="20"/>
          <w:szCs w:val="20"/>
        </w:rPr>
        <w:t>his Performance Measure was</w:t>
      </w:r>
      <w:r>
        <w:rPr>
          <w:rFonts w:ascii="Times New Roman" w:hAnsi="Times New Roman" w:cs="Times New Roman"/>
          <w:sz w:val="20"/>
          <w:szCs w:val="20"/>
        </w:rPr>
        <w:t xml:space="preserve"> included in the initial submission, so one has now been added which includes the relevant categories from Tier 3 and 4 of the measure. No change in information to be collected has been made.</w:t>
      </w:r>
      <w:r>
        <w:rPr>
          <w:rFonts w:ascii="Times New Roman" w:hAnsi="Times New Roman" w:cs="Times New Roman"/>
          <w:sz w:val="20"/>
          <w:szCs w:val="20"/>
        </w:rPr>
        <w:br/>
      </w:r>
    </w:p>
    <w:p w:rsidR="00901714" w:rsidRPr="00901714" w:rsidRDefault="00DA0E88" w:rsidP="00901714">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Performance Measure AH 3 – Correction</w:t>
      </w:r>
      <w:r>
        <w:rPr>
          <w:rFonts w:ascii="Times New Roman" w:hAnsi="Times New Roman" w:cs="Times New Roman"/>
          <w:b/>
          <w:sz w:val="20"/>
          <w:szCs w:val="20"/>
        </w:rPr>
        <w:br/>
      </w:r>
      <w:r w:rsidRPr="00DA0E88">
        <w:rPr>
          <w:rFonts w:ascii="Times New Roman" w:hAnsi="Times New Roman" w:cs="Times New Roman"/>
          <w:sz w:val="20"/>
          <w:szCs w:val="20"/>
        </w:rPr>
        <w:t xml:space="preserve">Tier 2 has been edited to state the following: </w:t>
      </w:r>
      <w:r w:rsidR="0045005E">
        <w:rPr>
          <w:rFonts w:ascii="Times New Roman" w:hAnsi="Times New Roman" w:cs="Times New Roman"/>
          <w:sz w:val="20"/>
          <w:szCs w:val="20"/>
        </w:rPr>
        <w:t>‘</w:t>
      </w:r>
      <w:r w:rsidRPr="00DA0E88">
        <w:rPr>
          <w:rFonts w:ascii="Times New Roman" w:eastAsia="Times New Roman" w:hAnsi="Times New Roman"/>
          <w:sz w:val="20"/>
          <w:szCs w:val="20"/>
        </w:rPr>
        <w:t>Through</w:t>
      </w:r>
      <w:r w:rsidRPr="005815F7">
        <w:rPr>
          <w:rFonts w:ascii="Times New Roman" w:eastAsia="Times New Roman" w:hAnsi="Times New Roman"/>
          <w:sz w:val="20"/>
          <w:szCs w:val="20"/>
        </w:rPr>
        <w:t xml:space="preserve"> what processes/ mechanisms are you addressing </w:t>
      </w:r>
      <w:r w:rsidRPr="00DA0E88">
        <w:rPr>
          <w:rFonts w:ascii="Times New Roman" w:eastAsia="Times New Roman" w:hAnsi="Times New Roman"/>
          <w:sz w:val="20"/>
          <w:szCs w:val="20"/>
        </w:rPr>
        <w:t>major depressive disorder?</w:t>
      </w:r>
      <w:r w:rsidR="0045005E">
        <w:rPr>
          <w:rFonts w:ascii="Times New Roman" w:eastAsia="Times New Roman" w:hAnsi="Times New Roman"/>
          <w:sz w:val="20"/>
          <w:szCs w:val="20"/>
        </w:rPr>
        <w:t>’</w:t>
      </w:r>
      <w:r w:rsidR="00491E90">
        <w:rPr>
          <w:rFonts w:ascii="Times New Roman" w:eastAsia="Times New Roman" w:hAnsi="Times New Roman"/>
          <w:sz w:val="20"/>
          <w:szCs w:val="20"/>
        </w:rPr>
        <w:t xml:space="preserve"> Tier 3 has been corrected to reflect that data will be collected using Activity Collection form 1. </w:t>
      </w:r>
      <w:r>
        <w:rPr>
          <w:rFonts w:ascii="Times New Roman" w:eastAsia="Times New Roman" w:hAnsi="Times New Roman"/>
          <w:sz w:val="20"/>
          <w:szCs w:val="20"/>
        </w:rPr>
        <w:br/>
      </w:r>
      <w:r w:rsidRPr="00DA0E88">
        <w:rPr>
          <w:rFonts w:ascii="Times New Roman" w:eastAsia="Times New Roman" w:hAnsi="Times New Roman"/>
          <w:sz w:val="20"/>
          <w:szCs w:val="20"/>
          <w:u w:val="single"/>
        </w:rPr>
        <w:t>Rationale:</w:t>
      </w:r>
      <w:r>
        <w:rPr>
          <w:rFonts w:ascii="Times New Roman" w:eastAsia="Times New Roman" w:hAnsi="Times New Roman"/>
          <w:sz w:val="20"/>
          <w:szCs w:val="20"/>
        </w:rPr>
        <w:t xml:space="preserve"> Previously Tier 2 erroneously referenced injury prevention, rather than major depressive disorder. This correction reflects the original intent. </w:t>
      </w:r>
      <w:r w:rsidR="00491E90">
        <w:rPr>
          <w:rFonts w:ascii="Times New Roman" w:eastAsia="Times New Roman" w:hAnsi="Times New Roman"/>
          <w:sz w:val="20"/>
          <w:szCs w:val="20"/>
        </w:rPr>
        <w:t xml:space="preserve"> Previously, Tier 3 did not reflect where the data was being collected, thereby not specifying the form that reported data should take. Collecting data using Activity Collection Form 1 is consi</w:t>
      </w:r>
      <w:r w:rsidR="0087486A">
        <w:rPr>
          <w:rFonts w:ascii="Times New Roman" w:eastAsia="Times New Roman" w:hAnsi="Times New Roman"/>
          <w:sz w:val="20"/>
          <w:szCs w:val="20"/>
        </w:rPr>
        <w:t>stent with collection of other P</w:t>
      </w:r>
      <w:r w:rsidR="00491E90">
        <w:rPr>
          <w:rFonts w:ascii="Times New Roman" w:eastAsia="Times New Roman" w:hAnsi="Times New Roman"/>
          <w:sz w:val="20"/>
          <w:szCs w:val="20"/>
        </w:rPr>
        <w:t>erf</w:t>
      </w:r>
      <w:r w:rsidR="0087486A">
        <w:rPr>
          <w:rFonts w:ascii="Times New Roman" w:eastAsia="Times New Roman" w:hAnsi="Times New Roman"/>
          <w:sz w:val="20"/>
          <w:szCs w:val="20"/>
        </w:rPr>
        <w:t>ormance M</w:t>
      </w:r>
      <w:r w:rsidR="00491E90">
        <w:rPr>
          <w:rFonts w:ascii="Times New Roman" w:eastAsia="Times New Roman" w:hAnsi="Times New Roman"/>
          <w:sz w:val="20"/>
          <w:szCs w:val="20"/>
        </w:rPr>
        <w:t>easures.</w:t>
      </w:r>
    </w:p>
    <w:p w:rsidR="00901714" w:rsidRPr="00901714" w:rsidRDefault="00901714" w:rsidP="00901714">
      <w:pPr>
        <w:pStyle w:val="ListParagraph"/>
        <w:ind w:left="990"/>
        <w:rPr>
          <w:rFonts w:ascii="Times New Roman" w:hAnsi="Times New Roman" w:cs="Times New Roman"/>
          <w:sz w:val="20"/>
          <w:szCs w:val="20"/>
        </w:rPr>
      </w:pPr>
    </w:p>
    <w:p w:rsidR="00190F65" w:rsidRPr="00190F65" w:rsidRDefault="00190F65" w:rsidP="00190F65">
      <w:pPr>
        <w:pStyle w:val="ListParagraph"/>
        <w:numPr>
          <w:ilvl w:val="0"/>
          <w:numId w:val="1"/>
        </w:numPr>
        <w:rPr>
          <w:rFonts w:ascii="Times New Roman" w:hAnsi="Times New Roman" w:cs="Times New Roman"/>
          <w:sz w:val="20"/>
          <w:szCs w:val="20"/>
        </w:rPr>
      </w:pPr>
      <w:r w:rsidRPr="00190F65">
        <w:rPr>
          <w:rFonts w:ascii="Times New Roman" w:hAnsi="Times New Roman" w:cs="Times New Roman"/>
          <w:b/>
          <w:sz w:val="20"/>
          <w:szCs w:val="20"/>
        </w:rPr>
        <w:t>Performance Measures LC 1, LC 2, LC 3 – Data Form Correction</w:t>
      </w:r>
      <w:r>
        <w:rPr>
          <w:rFonts w:ascii="Times New Roman" w:hAnsi="Times New Roman" w:cs="Times New Roman"/>
          <w:sz w:val="20"/>
          <w:szCs w:val="20"/>
        </w:rPr>
        <w:br/>
        <w:t>Column headings in data collection form for three Life Course measures (LC 1, LC 2, LC 3).</w:t>
      </w:r>
      <w:r>
        <w:rPr>
          <w:rFonts w:ascii="Times New Roman" w:hAnsi="Times New Roman" w:cs="Times New Roman"/>
          <w:sz w:val="20"/>
          <w:szCs w:val="20"/>
        </w:rPr>
        <w:br/>
      </w:r>
      <w:r w:rsidRPr="00190F65">
        <w:rPr>
          <w:rFonts w:ascii="Times New Roman" w:hAnsi="Times New Roman" w:cs="Times New Roman"/>
          <w:sz w:val="20"/>
          <w:szCs w:val="20"/>
          <w:u w:val="single"/>
        </w:rPr>
        <w:t>Rationale:</w:t>
      </w:r>
      <w:r>
        <w:rPr>
          <w:rFonts w:ascii="Times New Roman" w:hAnsi="Times New Roman" w:cs="Times New Roman"/>
          <w:sz w:val="20"/>
          <w:szCs w:val="20"/>
        </w:rPr>
        <w:t xml:space="preserve"> C</w:t>
      </w:r>
      <w:r w:rsidR="0087486A">
        <w:rPr>
          <w:rFonts w:ascii="Times New Roman" w:hAnsi="Times New Roman" w:cs="Times New Roman"/>
          <w:sz w:val="20"/>
          <w:szCs w:val="20"/>
        </w:rPr>
        <w:t>olumn headings have been edited</w:t>
      </w:r>
      <w:r>
        <w:rPr>
          <w:rFonts w:ascii="Times New Roman" w:hAnsi="Times New Roman" w:cs="Times New Roman"/>
          <w:sz w:val="20"/>
          <w:szCs w:val="20"/>
        </w:rPr>
        <w:t xml:space="preserve"> to be consistent with </w:t>
      </w:r>
      <w:r w:rsidR="008D7843">
        <w:rPr>
          <w:rFonts w:ascii="Times New Roman" w:hAnsi="Times New Roman" w:cs="Times New Roman"/>
          <w:sz w:val="20"/>
          <w:szCs w:val="20"/>
        </w:rPr>
        <w:t xml:space="preserve">the Activity Data Collection form </w:t>
      </w:r>
      <w:r w:rsidR="008D7843">
        <w:rPr>
          <w:rFonts w:ascii="Times New Roman" w:hAnsi="Times New Roman" w:cs="Times New Roman"/>
          <w:sz w:val="20"/>
          <w:szCs w:val="20"/>
        </w:rPr>
        <w:lastRenderedPageBreak/>
        <w:t>used by the majority of other performance measures and the Technical Assistance data collection form in Performance Measure CB 2. This consistency allows information to be linked directly and aggregated and minimizes the burden of reporting the same or similar information in different ways across forms.</w:t>
      </w:r>
      <w:r>
        <w:rPr>
          <w:rFonts w:ascii="Times New Roman" w:hAnsi="Times New Roman" w:cs="Times New Roman"/>
          <w:sz w:val="20"/>
          <w:szCs w:val="20"/>
        </w:rPr>
        <w:br/>
      </w:r>
    </w:p>
    <w:p w:rsidR="000F41AB" w:rsidRPr="00901714" w:rsidRDefault="000F41AB" w:rsidP="00901714">
      <w:pPr>
        <w:pStyle w:val="ListParagraph"/>
        <w:numPr>
          <w:ilvl w:val="0"/>
          <w:numId w:val="1"/>
        </w:numPr>
        <w:rPr>
          <w:rFonts w:ascii="Times New Roman" w:hAnsi="Times New Roman" w:cs="Times New Roman"/>
          <w:sz w:val="20"/>
          <w:szCs w:val="20"/>
        </w:rPr>
      </w:pPr>
      <w:r>
        <w:rPr>
          <w:rFonts w:ascii="Times New Roman" w:hAnsi="Times New Roman" w:cs="Times New Roman"/>
          <w:b/>
          <w:sz w:val="20"/>
          <w:szCs w:val="20"/>
        </w:rPr>
        <w:t>Performance Me</w:t>
      </w:r>
      <w:r w:rsidR="00901714">
        <w:rPr>
          <w:rFonts w:ascii="Times New Roman" w:hAnsi="Times New Roman" w:cs="Times New Roman"/>
          <w:b/>
          <w:sz w:val="20"/>
          <w:szCs w:val="20"/>
        </w:rPr>
        <w:t>asure LC 1</w:t>
      </w:r>
      <w:r>
        <w:rPr>
          <w:rFonts w:ascii="Times New Roman" w:hAnsi="Times New Roman" w:cs="Times New Roman"/>
          <w:b/>
          <w:sz w:val="20"/>
          <w:szCs w:val="20"/>
        </w:rPr>
        <w:t xml:space="preserve"> – Clarification</w:t>
      </w:r>
      <w:r>
        <w:rPr>
          <w:rFonts w:ascii="Times New Roman" w:hAnsi="Times New Roman" w:cs="Times New Roman"/>
          <w:b/>
          <w:sz w:val="20"/>
          <w:szCs w:val="20"/>
        </w:rPr>
        <w:br/>
      </w:r>
      <w:r w:rsidRPr="00901714">
        <w:rPr>
          <w:rFonts w:ascii="Times New Roman" w:hAnsi="Times New Roman" w:cs="Times New Roman"/>
          <w:sz w:val="20"/>
          <w:szCs w:val="20"/>
        </w:rPr>
        <w:t>Additional detail was added in Tier 4 regarding timeframe for health insurance assessment (as of the last assessment</w:t>
      </w:r>
      <w:r w:rsidR="00901714" w:rsidRPr="00901714">
        <w:rPr>
          <w:rFonts w:ascii="Times New Roman" w:hAnsi="Times New Roman" w:cs="Times New Roman"/>
          <w:sz w:val="20"/>
          <w:szCs w:val="20"/>
        </w:rPr>
        <w:t xml:space="preserve">) and what is defined as </w:t>
      </w:r>
      <w:r w:rsidR="00754A8E">
        <w:rPr>
          <w:rFonts w:ascii="Times New Roman" w:hAnsi="Times New Roman" w:cs="Times New Roman"/>
          <w:sz w:val="20"/>
          <w:szCs w:val="20"/>
        </w:rPr>
        <w:t>‘</w:t>
      </w:r>
      <w:r w:rsidR="00901714" w:rsidRPr="00901714">
        <w:rPr>
          <w:rFonts w:ascii="Times New Roman" w:hAnsi="Times New Roman" w:cs="Times New Roman"/>
          <w:sz w:val="20"/>
          <w:szCs w:val="20"/>
        </w:rPr>
        <w:t>insurance</w:t>
      </w:r>
      <w:r w:rsidR="00754A8E">
        <w:rPr>
          <w:rFonts w:ascii="Times New Roman" w:hAnsi="Times New Roman" w:cs="Times New Roman"/>
          <w:sz w:val="20"/>
          <w:szCs w:val="20"/>
        </w:rPr>
        <w:t>’ for the purposes of reporting this performance measure</w:t>
      </w:r>
      <w:r w:rsidR="00901714" w:rsidRPr="00901714">
        <w:rPr>
          <w:rFonts w:ascii="Times New Roman" w:hAnsi="Times New Roman" w:cs="Times New Roman"/>
          <w:sz w:val="20"/>
          <w:szCs w:val="20"/>
        </w:rPr>
        <w:t>.</w:t>
      </w:r>
      <w:r w:rsidR="00901714" w:rsidRPr="00901714">
        <w:rPr>
          <w:rFonts w:ascii="Times New Roman" w:hAnsi="Times New Roman" w:cs="Times New Roman"/>
          <w:sz w:val="20"/>
          <w:szCs w:val="20"/>
        </w:rPr>
        <w:br/>
      </w:r>
      <w:r w:rsidR="00901714" w:rsidRPr="00901714">
        <w:rPr>
          <w:rFonts w:ascii="Times New Roman" w:hAnsi="Times New Roman" w:cs="Times New Roman"/>
          <w:sz w:val="20"/>
          <w:szCs w:val="20"/>
          <w:u w:val="single"/>
        </w:rPr>
        <w:t>Rationale:</w:t>
      </w:r>
      <w:r w:rsidR="00901714" w:rsidRPr="00901714">
        <w:rPr>
          <w:rFonts w:ascii="Times New Roman" w:hAnsi="Times New Roman" w:cs="Times New Roman"/>
          <w:sz w:val="20"/>
          <w:szCs w:val="20"/>
        </w:rPr>
        <w:t xml:space="preserve"> Numerator, denominator, </w:t>
      </w:r>
      <w:r w:rsidR="0087486A">
        <w:rPr>
          <w:rFonts w:ascii="Times New Roman" w:hAnsi="Times New Roman" w:cs="Times New Roman"/>
          <w:sz w:val="20"/>
          <w:szCs w:val="20"/>
        </w:rPr>
        <w:t>and definition have been edited</w:t>
      </w:r>
      <w:r w:rsidR="00901714" w:rsidRPr="00901714">
        <w:rPr>
          <w:rFonts w:ascii="Times New Roman" w:hAnsi="Times New Roman" w:cs="Times New Roman"/>
          <w:sz w:val="20"/>
          <w:szCs w:val="20"/>
        </w:rPr>
        <w:t xml:space="preserve"> to be consistent with Healthy Start benchmark as well as national data sources.</w:t>
      </w:r>
      <w:r w:rsidRPr="00901714">
        <w:rPr>
          <w:rFonts w:ascii="Times New Roman" w:hAnsi="Times New Roman" w:cs="Times New Roman"/>
          <w:sz w:val="20"/>
          <w:szCs w:val="20"/>
        </w:rPr>
        <w:t xml:space="preserve"> </w:t>
      </w:r>
      <w:r w:rsidR="00901714" w:rsidRPr="00901714">
        <w:rPr>
          <w:rFonts w:ascii="Times New Roman" w:eastAsia="Times New Roman" w:hAnsi="Times New Roman"/>
          <w:sz w:val="20"/>
          <w:szCs w:val="20"/>
        </w:rPr>
        <w:t xml:space="preserve">Consistency with Healthy Start Benchmarks minimizes the burden on grantees </w:t>
      </w:r>
      <w:r w:rsidR="002845DE" w:rsidRPr="00ED398F">
        <w:rPr>
          <w:rFonts w:ascii="Times New Roman" w:eastAsia="Times New Roman" w:hAnsi="Times New Roman"/>
          <w:sz w:val="20"/>
          <w:szCs w:val="20"/>
        </w:rPr>
        <w:t>while maximizing consistent data collection opportunities</w:t>
      </w:r>
      <w:r w:rsidR="002845DE">
        <w:rPr>
          <w:rFonts w:ascii="Times New Roman" w:eastAsia="Times New Roman" w:hAnsi="Times New Roman"/>
          <w:sz w:val="20"/>
          <w:szCs w:val="20"/>
        </w:rPr>
        <w:t xml:space="preserve"> across programs</w:t>
      </w:r>
      <w:r w:rsidR="002845DE" w:rsidRPr="00ED398F">
        <w:rPr>
          <w:rFonts w:ascii="Times New Roman" w:eastAsia="Times New Roman" w:hAnsi="Times New Roman"/>
          <w:sz w:val="20"/>
          <w:szCs w:val="20"/>
        </w:rPr>
        <w:t xml:space="preserve">, </w:t>
      </w:r>
      <w:r w:rsidR="002845DE">
        <w:rPr>
          <w:rFonts w:ascii="Times New Roman" w:eastAsia="Times New Roman" w:hAnsi="Times New Roman"/>
          <w:sz w:val="20"/>
          <w:szCs w:val="20"/>
        </w:rPr>
        <w:t>further,</w:t>
      </w:r>
      <w:r w:rsidR="002845DE" w:rsidRPr="00ED398F">
        <w:rPr>
          <w:rFonts w:ascii="Times New Roman" w:eastAsia="Times New Roman" w:hAnsi="Times New Roman"/>
          <w:sz w:val="20"/>
          <w:szCs w:val="20"/>
        </w:rPr>
        <w:t xml:space="preserve"> </w:t>
      </w:r>
      <w:r w:rsidR="00901714" w:rsidRPr="00ED398F">
        <w:rPr>
          <w:rFonts w:ascii="Times New Roman" w:eastAsia="Times New Roman" w:hAnsi="Times New Roman"/>
          <w:sz w:val="20"/>
          <w:szCs w:val="20"/>
        </w:rPr>
        <w:t>consistency with national data sources ensures that the information collected can be used for evaluation and benchmarking purposes.</w:t>
      </w:r>
      <w:r w:rsidR="00901714">
        <w:rPr>
          <w:rFonts w:ascii="Times New Roman" w:eastAsia="Times New Roman" w:hAnsi="Times New Roman"/>
          <w:sz w:val="20"/>
          <w:szCs w:val="20"/>
        </w:rPr>
        <w:t xml:space="preserve"> Updated benchmark data sources further inform the data collection process and provide reporting grantees valuable benchmarking information.</w:t>
      </w:r>
      <w:r w:rsidR="00901714">
        <w:rPr>
          <w:rFonts w:ascii="Times New Roman" w:hAnsi="Times New Roman" w:cs="Times New Roman"/>
          <w:b/>
          <w:sz w:val="20"/>
          <w:szCs w:val="20"/>
        </w:rPr>
        <w:t xml:space="preserve"> </w:t>
      </w:r>
    </w:p>
    <w:p w:rsidR="00901714" w:rsidRDefault="00901714" w:rsidP="00901714">
      <w:pPr>
        <w:pStyle w:val="ListParagraph"/>
        <w:ind w:left="990"/>
        <w:rPr>
          <w:rFonts w:ascii="Times New Roman" w:hAnsi="Times New Roman" w:cs="Times New Roman"/>
          <w:b/>
          <w:sz w:val="20"/>
          <w:szCs w:val="20"/>
        </w:rPr>
      </w:pPr>
    </w:p>
    <w:p w:rsidR="00EB0077" w:rsidRPr="00EB0077" w:rsidRDefault="00901714" w:rsidP="00EB0077">
      <w:pPr>
        <w:pStyle w:val="ListParagraph"/>
        <w:numPr>
          <w:ilvl w:val="0"/>
          <w:numId w:val="1"/>
        </w:numPr>
        <w:rPr>
          <w:rFonts w:ascii="Times New Roman" w:hAnsi="Times New Roman" w:cs="Times New Roman"/>
          <w:b/>
          <w:sz w:val="20"/>
          <w:szCs w:val="20"/>
        </w:rPr>
      </w:pPr>
      <w:r>
        <w:rPr>
          <w:rFonts w:ascii="Times New Roman" w:hAnsi="Times New Roman" w:cs="Times New Roman"/>
          <w:b/>
          <w:sz w:val="20"/>
          <w:szCs w:val="20"/>
        </w:rPr>
        <w:t>Performance Measure LC 2 – Correction</w:t>
      </w:r>
      <w:r>
        <w:rPr>
          <w:rFonts w:ascii="Times New Roman" w:hAnsi="Times New Roman" w:cs="Times New Roman"/>
          <w:b/>
          <w:sz w:val="20"/>
          <w:szCs w:val="20"/>
        </w:rPr>
        <w:br/>
      </w:r>
      <w:r w:rsidRPr="00DA0E88">
        <w:rPr>
          <w:rFonts w:ascii="Times New Roman" w:hAnsi="Times New Roman" w:cs="Times New Roman"/>
          <w:sz w:val="20"/>
          <w:szCs w:val="20"/>
        </w:rPr>
        <w:t xml:space="preserve">Tier 2 has been edited to reflect the following list of </w:t>
      </w:r>
      <w:r>
        <w:rPr>
          <w:rFonts w:ascii="Times New Roman" w:hAnsi="Times New Roman" w:cs="Times New Roman"/>
          <w:sz w:val="20"/>
          <w:szCs w:val="20"/>
        </w:rPr>
        <w:t xml:space="preserve">checkbox </w:t>
      </w:r>
      <w:r w:rsidRPr="00DA0E88">
        <w:rPr>
          <w:rFonts w:ascii="Times New Roman" w:hAnsi="Times New Roman" w:cs="Times New Roman"/>
          <w:sz w:val="20"/>
          <w:szCs w:val="20"/>
        </w:rPr>
        <w:t>options: Technical Assistance, Training, Product Development, Research/ Peer-reviewed publications, Outreach/ Information Dissemination/ Education, Tracking/ Surveillance, Screening/ Assessment, Referral/ care coordination, Direct Service, Quality improvement initiatives</w:t>
      </w:r>
      <w:r>
        <w:rPr>
          <w:rFonts w:ascii="Times New Roman" w:hAnsi="Times New Roman" w:cs="Times New Roman"/>
          <w:sz w:val="20"/>
          <w:szCs w:val="20"/>
        </w:rPr>
        <w:t>.</w:t>
      </w:r>
      <w:r>
        <w:rPr>
          <w:rFonts w:ascii="Times New Roman" w:hAnsi="Times New Roman" w:cs="Times New Roman"/>
          <w:sz w:val="20"/>
          <w:szCs w:val="20"/>
        </w:rPr>
        <w:br/>
      </w:r>
      <w:r w:rsidRPr="00DA0E88">
        <w:rPr>
          <w:rFonts w:ascii="Times New Roman" w:hAnsi="Times New Roman" w:cs="Times New Roman"/>
          <w:sz w:val="20"/>
          <w:szCs w:val="20"/>
          <w:u w:val="single"/>
        </w:rPr>
        <w:t>Rationale:</w:t>
      </w:r>
      <w:r>
        <w:rPr>
          <w:rFonts w:ascii="Times New Roman" w:hAnsi="Times New Roman" w:cs="Times New Roman"/>
          <w:sz w:val="20"/>
          <w:szCs w:val="20"/>
        </w:rPr>
        <w:t xml:space="preserve"> Previously, the list of check box options shown in Tier 2 erroneously did not match the corresponding data collection form (LC 2 Data Collection Form). This revision aligns Tier 2 and the data collection form. This correct</w:t>
      </w:r>
      <w:r w:rsidR="00754A8E">
        <w:rPr>
          <w:rFonts w:ascii="Times New Roman" w:hAnsi="Times New Roman" w:cs="Times New Roman"/>
          <w:sz w:val="20"/>
          <w:szCs w:val="20"/>
        </w:rPr>
        <w:t>ion</w:t>
      </w:r>
      <w:r>
        <w:rPr>
          <w:rFonts w:ascii="Times New Roman" w:hAnsi="Times New Roman" w:cs="Times New Roman"/>
          <w:sz w:val="20"/>
          <w:szCs w:val="20"/>
        </w:rPr>
        <w:t xml:space="preserve"> reflects the original intent</w:t>
      </w:r>
      <w:r w:rsidR="00754A8E">
        <w:rPr>
          <w:rFonts w:ascii="Times New Roman" w:hAnsi="Times New Roman" w:cs="Times New Roman"/>
          <w:sz w:val="20"/>
          <w:szCs w:val="20"/>
        </w:rPr>
        <w:t xml:space="preserve"> of the performance measure</w:t>
      </w:r>
      <w:r>
        <w:rPr>
          <w:rFonts w:ascii="Times New Roman" w:hAnsi="Times New Roman" w:cs="Times New Roman"/>
          <w:sz w:val="20"/>
          <w:szCs w:val="20"/>
        </w:rPr>
        <w:t>.</w:t>
      </w:r>
    </w:p>
    <w:p w:rsidR="00EB0077" w:rsidRPr="00EB0077" w:rsidRDefault="00EB0077" w:rsidP="00EB0077">
      <w:pPr>
        <w:pStyle w:val="ListParagraph"/>
        <w:ind w:left="990"/>
        <w:rPr>
          <w:rFonts w:ascii="Times New Roman" w:hAnsi="Times New Roman" w:cs="Times New Roman"/>
          <w:sz w:val="20"/>
          <w:szCs w:val="20"/>
        </w:rPr>
      </w:pPr>
    </w:p>
    <w:p w:rsidR="00EB0077" w:rsidRDefault="00901714" w:rsidP="00EB0077">
      <w:pPr>
        <w:pStyle w:val="ListParagraph"/>
        <w:numPr>
          <w:ilvl w:val="0"/>
          <w:numId w:val="1"/>
        </w:numPr>
        <w:rPr>
          <w:rFonts w:ascii="Times New Roman" w:hAnsi="Times New Roman" w:cs="Times New Roman"/>
          <w:sz w:val="20"/>
          <w:szCs w:val="20"/>
        </w:rPr>
      </w:pPr>
      <w:r w:rsidRPr="00EB0077">
        <w:rPr>
          <w:rFonts w:ascii="Times New Roman" w:hAnsi="Times New Roman" w:cs="Times New Roman"/>
          <w:b/>
          <w:sz w:val="20"/>
          <w:szCs w:val="20"/>
        </w:rPr>
        <w:t>Performance Measures EM</w:t>
      </w:r>
      <w:r w:rsidR="00EB0077">
        <w:rPr>
          <w:rFonts w:ascii="Times New Roman" w:hAnsi="Times New Roman" w:cs="Times New Roman"/>
          <w:b/>
          <w:sz w:val="20"/>
          <w:szCs w:val="20"/>
        </w:rPr>
        <w:t>SC 01</w:t>
      </w:r>
      <w:r w:rsidRPr="00EB0077">
        <w:rPr>
          <w:rFonts w:ascii="Times New Roman" w:hAnsi="Times New Roman" w:cs="Times New Roman"/>
          <w:b/>
          <w:sz w:val="20"/>
          <w:szCs w:val="20"/>
        </w:rPr>
        <w:t xml:space="preserve"> – Clarification</w:t>
      </w:r>
      <w:r w:rsidR="00EB0077" w:rsidRPr="00EB0077">
        <w:rPr>
          <w:rFonts w:ascii="Times New Roman" w:hAnsi="Times New Roman" w:cs="Times New Roman"/>
          <w:b/>
          <w:sz w:val="20"/>
          <w:szCs w:val="20"/>
        </w:rPr>
        <w:br/>
      </w:r>
      <w:r w:rsidR="003F71DF">
        <w:rPr>
          <w:rFonts w:ascii="Times New Roman" w:hAnsi="Times New Roman" w:cs="Times New Roman"/>
          <w:sz w:val="20"/>
          <w:szCs w:val="20"/>
        </w:rPr>
        <w:t>This measure was</w:t>
      </w:r>
      <w:r w:rsidRPr="00EB0077">
        <w:rPr>
          <w:rFonts w:ascii="Times New Roman" w:hAnsi="Times New Roman" w:cs="Times New Roman"/>
          <w:sz w:val="20"/>
          <w:szCs w:val="20"/>
        </w:rPr>
        <w:t xml:space="preserve"> revised to reflect </w:t>
      </w:r>
      <w:r w:rsidR="00EB0077" w:rsidRPr="00EB0077">
        <w:rPr>
          <w:rFonts w:ascii="Times New Roman" w:hAnsi="Times New Roman" w:cs="Times New Roman"/>
          <w:sz w:val="20"/>
          <w:szCs w:val="20"/>
        </w:rPr>
        <w:t>NEMSIS compliant version 3.x or higher data, updated from NEMSIS compliant version 3.x data.</w:t>
      </w:r>
      <w:r w:rsidR="00EB0077">
        <w:rPr>
          <w:rFonts w:ascii="Times New Roman" w:hAnsi="Times New Roman" w:cs="Times New Roman"/>
          <w:sz w:val="20"/>
          <w:szCs w:val="20"/>
        </w:rPr>
        <w:br/>
      </w:r>
      <w:r w:rsidR="00EB0077" w:rsidRPr="00EB0077">
        <w:rPr>
          <w:rFonts w:ascii="Times New Roman" w:hAnsi="Times New Roman" w:cs="Times New Roman"/>
          <w:sz w:val="20"/>
          <w:szCs w:val="20"/>
          <w:u w:val="single"/>
        </w:rPr>
        <w:t>Rationale:</w:t>
      </w:r>
      <w:r w:rsidR="00EB0077">
        <w:rPr>
          <w:rFonts w:ascii="Times New Roman" w:hAnsi="Times New Roman" w:cs="Times New Roman"/>
          <w:sz w:val="20"/>
          <w:szCs w:val="20"/>
        </w:rPr>
        <w:t xml:space="preserve"> This change allows the performance measure to remain relevant in the event that higher versions</w:t>
      </w:r>
      <w:r w:rsidR="00A27168">
        <w:rPr>
          <w:rFonts w:ascii="Times New Roman" w:hAnsi="Times New Roman" w:cs="Times New Roman"/>
          <w:sz w:val="20"/>
          <w:szCs w:val="20"/>
        </w:rPr>
        <w:t xml:space="preserve"> of NEMSIS</w:t>
      </w:r>
      <w:r w:rsidR="00EB0077">
        <w:rPr>
          <w:rFonts w:ascii="Times New Roman" w:hAnsi="Times New Roman" w:cs="Times New Roman"/>
          <w:sz w:val="20"/>
          <w:szCs w:val="20"/>
        </w:rPr>
        <w:t xml:space="preserve"> are used, ensuring that information</w:t>
      </w:r>
      <w:r w:rsidR="00A27168">
        <w:rPr>
          <w:rFonts w:ascii="Times New Roman" w:hAnsi="Times New Roman" w:cs="Times New Roman"/>
          <w:sz w:val="20"/>
          <w:szCs w:val="20"/>
        </w:rPr>
        <w:t xml:space="preserve"> and data collection</w:t>
      </w:r>
      <w:r w:rsidR="00EB0077">
        <w:rPr>
          <w:rFonts w:ascii="Times New Roman" w:hAnsi="Times New Roman" w:cs="Times New Roman"/>
          <w:sz w:val="20"/>
          <w:szCs w:val="20"/>
        </w:rPr>
        <w:t xml:space="preserve"> remains relevant in coming years.</w:t>
      </w:r>
    </w:p>
    <w:p w:rsidR="00EB0077" w:rsidRPr="00EB0077" w:rsidRDefault="00EB0077" w:rsidP="00EB0077">
      <w:pPr>
        <w:pStyle w:val="ListParagraph"/>
        <w:ind w:left="990"/>
        <w:rPr>
          <w:rFonts w:ascii="Times New Roman" w:hAnsi="Times New Roman" w:cs="Times New Roman"/>
          <w:sz w:val="20"/>
          <w:szCs w:val="20"/>
        </w:rPr>
      </w:pPr>
    </w:p>
    <w:p w:rsidR="003F71DF" w:rsidRDefault="00EB0077" w:rsidP="003F71DF">
      <w:pPr>
        <w:pStyle w:val="ListParagraph"/>
        <w:numPr>
          <w:ilvl w:val="0"/>
          <w:numId w:val="1"/>
        </w:numPr>
        <w:rPr>
          <w:rFonts w:ascii="Times New Roman" w:hAnsi="Times New Roman" w:cs="Times New Roman"/>
          <w:sz w:val="20"/>
          <w:szCs w:val="20"/>
        </w:rPr>
      </w:pPr>
      <w:r w:rsidRPr="00EB0077">
        <w:rPr>
          <w:rFonts w:ascii="Times New Roman" w:hAnsi="Times New Roman" w:cs="Times New Roman"/>
          <w:b/>
          <w:sz w:val="20"/>
          <w:szCs w:val="20"/>
        </w:rPr>
        <w:t>Performance Measures EM</w:t>
      </w:r>
      <w:r>
        <w:rPr>
          <w:rFonts w:ascii="Times New Roman" w:hAnsi="Times New Roman" w:cs="Times New Roman"/>
          <w:b/>
          <w:sz w:val="20"/>
          <w:szCs w:val="20"/>
        </w:rPr>
        <w:t>SC 02</w:t>
      </w:r>
      <w:r w:rsidRPr="00EB0077">
        <w:rPr>
          <w:rFonts w:ascii="Times New Roman" w:hAnsi="Times New Roman" w:cs="Times New Roman"/>
          <w:b/>
          <w:sz w:val="20"/>
          <w:szCs w:val="20"/>
        </w:rPr>
        <w:t xml:space="preserve"> – Clarification</w:t>
      </w:r>
      <w:r w:rsidR="003F71DF">
        <w:rPr>
          <w:rFonts w:ascii="Times New Roman" w:hAnsi="Times New Roman" w:cs="Times New Roman"/>
          <w:b/>
          <w:sz w:val="20"/>
          <w:szCs w:val="20"/>
        </w:rPr>
        <w:br/>
      </w:r>
      <w:r w:rsidR="003F71DF" w:rsidRPr="003F71DF">
        <w:rPr>
          <w:rFonts w:ascii="Times New Roman" w:hAnsi="Times New Roman" w:cs="Times New Roman"/>
          <w:sz w:val="20"/>
          <w:szCs w:val="20"/>
        </w:rPr>
        <w:t>This measure was revised to reflect that Pediatric Emergency Care Coordinator (PECC) may be part of the agency or serve multiple agencies.</w:t>
      </w:r>
      <w:r w:rsidR="003F71DF" w:rsidRPr="003F71DF">
        <w:rPr>
          <w:rFonts w:ascii="Times New Roman" w:hAnsi="Times New Roman" w:cs="Times New Roman"/>
          <w:sz w:val="20"/>
          <w:szCs w:val="20"/>
        </w:rPr>
        <w:br/>
      </w:r>
      <w:r w:rsidR="003F71DF" w:rsidRPr="003F71DF">
        <w:rPr>
          <w:rFonts w:ascii="Times New Roman" w:hAnsi="Times New Roman" w:cs="Times New Roman"/>
          <w:sz w:val="20"/>
          <w:szCs w:val="20"/>
          <w:u w:val="single"/>
        </w:rPr>
        <w:t>Rationale:</w:t>
      </w:r>
      <w:r w:rsidR="003F71DF" w:rsidRPr="003F71DF">
        <w:rPr>
          <w:rFonts w:ascii="Times New Roman" w:hAnsi="Times New Roman" w:cs="Times New Roman"/>
          <w:sz w:val="20"/>
          <w:szCs w:val="20"/>
        </w:rPr>
        <w:t xml:space="preserve"> Continued feedback from the field reflected that this more accurately captures the PECC position and capturing this information provides better program data.</w:t>
      </w:r>
    </w:p>
    <w:p w:rsidR="003F71DF" w:rsidRPr="003F71DF" w:rsidRDefault="003F71DF" w:rsidP="003F71DF">
      <w:pPr>
        <w:pStyle w:val="ListParagraph"/>
        <w:rPr>
          <w:rFonts w:ascii="Times New Roman" w:hAnsi="Times New Roman" w:cs="Times New Roman"/>
          <w:sz w:val="20"/>
          <w:szCs w:val="20"/>
        </w:rPr>
      </w:pPr>
    </w:p>
    <w:p w:rsidR="003F71DF" w:rsidRDefault="003F71DF" w:rsidP="003F71DF">
      <w:pPr>
        <w:pStyle w:val="ListParagraph"/>
        <w:numPr>
          <w:ilvl w:val="0"/>
          <w:numId w:val="1"/>
        </w:numPr>
        <w:rPr>
          <w:rFonts w:ascii="Times New Roman" w:hAnsi="Times New Roman" w:cs="Times New Roman"/>
          <w:sz w:val="20"/>
          <w:szCs w:val="20"/>
        </w:rPr>
      </w:pPr>
      <w:r w:rsidRPr="00EB0077">
        <w:rPr>
          <w:rFonts w:ascii="Times New Roman" w:hAnsi="Times New Roman" w:cs="Times New Roman"/>
          <w:b/>
          <w:sz w:val="20"/>
          <w:szCs w:val="20"/>
        </w:rPr>
        <w:t>Performance Measures EM</w:t>
      </w:r>
      <w:r>
        <w:rPr>
          <w:rFonts w:ascii="Times New Roman" w:hAnsi="Times New Roman" w:cs="Times New Roman"/>
          <w:b/>
          <w:sz w:val="20"/>
          <w:szCs w:val="20"/>
        </w:rPr>
        <w:t>SC 03</w:t>
      </w:r>
      <w:r w:rsidRPr="00EB0077">
        <w:rPr>
          <w:rFonts w:ascii="Times New Roman" w:hAnsi="Times New Roman" w:cs="Times New Roman"/>
          <w:b/>
          <w:sz w:val="20"/>
          <w:szCs w:val="20"/>
        </w:rPr>
        <w:t xml:space="preserve"> – Clarification</w:t>
      </w:r>
      <w:r>
        <w:rPr>
          <w:rFonts w:ascii="Times New Roman" w:hAnsi="Times New Roman" w:cs="Times New Roman"/>
          <w:b/>
          <w:sz w:val="20"/>
          <w:szCs w:val="20"/>
        </w:rPr>
        <w:br/>
      </w:r>
      <w:r w:rsidRPr="003F71DF">
        <w:rPr>
          <w:rFonts w:ascii="Times New Roman" w:hAnsi="Times New Roman" w:cs="Times New Roman"/>
          <w:sz w:val="20"/>
          <w:szCs w:val="20"/>
        </w:rPr>
        <w:t>This measure was revised to reflect that a process or plan for EMS providers to physically demonstrate the correct use of pediatric specific equipment is appropriate.</w:t>
      </w:r>
      <w:r>
        <w:rPr>
          <w:rFonts w:ascii="Times New Roman" w:hAnsi="Times New Roman" w:cs="Times New Roman"/>
          <w:b/>
          <w:sz w:val="20"/>
          <w:szCs w:val="20"/>
        </w:rPr>
        <w:t xml:space="preserve"> </w:t>
      </w:r>
      <w:r>
        <w:rPr>
          <w:rFonts w:ascii="Times New Roman" w:hAnsi="Times New Roman" w:cs="Times New Roman"/>
          <w:b/>
          <w:sz w:val="20"/>
          <w:szCs w:val="20"/>
        </w:rPr>
        <w:br/>
      </w:r>
      <w:r w:rsidRPr="004F3515">
        <w:rPr>
          <w:rFonts w:ascii="Times New Roman" w:hAnsi="Times New Roman" w:cs="Times New Roman"/>
          <w:sz w:val="20"/>
          <w:szCs w:val="20"/>
          <w:u w:val="single"/>
        </w:rPr>
        <w:t>Rationale:</w:t>
      </w:r>
      <w:r w:rsidRPr="003F71DF">
        <w:rPr>
          <w:rFonts w:ascii="Times New Roman" w:hAnsi="Times New Roman" w:cs="Times New Roman"/>
          <w:sz w:val="20"/>
          <w:szCs w:val="20"/>
        </w:rPr>
        <w:t xml:space="preserve"> In the event that the process has not been implemented, a plan is appropriate as well. Measure revised to reflec</w:t>
      </w:r>
      <w:r w:rsidR="00A27168">
        <w:rPr>
          <w:rFonts w:ascii="Times New Roman" w:hAnsi="Times New Roman" w:cs="Times New Roman"/>
          <w:sz w:val="20"/>
          <w:szCs w:val="20"/>
        </w:rPr>
        <w:t>t the reality of implementation for EMSC programs.</w:t>
      </w:r>
    </w:p>
    <w:p w:rsidR="004F3515" w:rsidRPr="004F3515" w:rsidRDefault="004F3515" w:rsidP="004F3515">
      <w:pPr>
        <w:pStyle w:val="ListParagraph"/>
        <w:rPr>
          <w:rFonts w:ascii="Times New Roman" w:hAnsi="Times New Roman" w:cs="Times New Roman"/>
          <w:sz w:val="20"/>
          <w:szCs w:val="20"/>
        </w:rPr>
      </w:pPr>
    </w:p>
    <w:p w:rsidR="004F3515" w:rsidRDefault="004F3515" w:rsidP="004F3515">
      <w:pPr>
        <w:pStyle w:val="ListParagraph"/>
        <w:numPr>
          <w:ilvl w:val="0"/>
          <w:numId w:val="1"/>
        </w:numPr>
        <w:rPr>
          <w:rFonts w:ascii="Times New Roman" w:hAnsi="Times New Roman" w:cs="Times New Roman"/>
          <w:sz w:val="20"/>
          <w:szCs w:val="20"/>
        </w:rPr>
      </w:pPr>
      <w:r w:rsidRPr="004F3515">
        <w:rPr>
          <w:rFonts w:ascii="Times New Roman" w:hAnsi="Times New Roman" w:cs="Times New Roman"/>
          <w:b/>
          <w:sz w:val="20"/>
          <w:szCs w:val="20"/>
        </w:rPr>
        <w:t>Performance Measure HS 04 – Deletion</w:t>
      </w:r>
      <w:r>
        <w:rPr>
          <w:rFonts w:ascii="Times New Roman" w:hAnsi="Times New Roman" w:cs="Times New Roman"/>
          <w:sz w:val="20"/>
          <w:szCs w:val="20"/>
        </w:rPr>
        <w:br/>
        <w:t>Performance Measure Healthy Start 04, regarding early elective delivery, has been deleted.</w:t>
      </w:r>
      <w:r>
        <w:rPr>
          <w:rFonts w:ascii="Times New Roman" w:hAnsi="Times New Roman" w:cs="Times New Roman"/>
          <w:sz w:val="20"/>
          <w:szCs w:val="20"/>
        </w:rPr>
        <w:br/>
      </w:r>
      <w:r w:rsidRPr="004F3515">
        <w:rPr>
          <w:rFonts w:ascii="Times New Roman" w:hAnsi="Times New Roman" w:cs="Times New Roman"/>
          <w:sz w:val="20"/>
          <w:szCs w:val="20"/>
          <w:u w:val="single"/>
        </w:rPr>
        <w:t>Rationale:</w:t>
      </w:r>
      <w:r>
        <w:rPr>
          <w:rFonts w:ascii="Times New Roman" w:hAnsi="Times New Roman" w:cs="Times New Roman"/>
          <w:sz w:val="20"/>
          <w:szCs w:val="20"/>
        </w:rPr>
        <w:t xml:space="preserve"> This was removed as a Healthy Start benchmark because it was determined that while Healthy Start programs could provide education about potential risks of early elective delivery, the program is not generally able to impact these choices and is not well positioned to make medical determinations of this sort. For the same reasons, it has been removed as a performance measure.</w:t>
      </w:r>
    </w:p>
    <w:p w:rsidR="004F3515" w:rsidRPr="004F3515" w:rsidRDefault="004F3515" w:rsidP="004F3515">
      <w:pPr>
        <w:pStyle w:val="ListParagraph"/>
        <w:rPr>
          <w:rFonts w:ascii="Times New Roman" w:hAnsi="Times New Roman" w:cs="Times New Roman"/>
          <w:sz w:val="20"/>
          <w:szCs w:val="20"/>
        </w:rPr>
      </w:pPr>
    </w:p>
    <w:p w:rsidR="004F3515" w:rsidRPr="00272C25" w:rsidRDefault="004F3515" w:rsidP="004F3515">
      <w:pPr>
        <w:pStyle w:val="ListParagraph"/>
        <w:numPr>
          <w:ilvl w:val="0"/>
          <w:numId w:val="1"/>
        </w:numPr>
        <w:rPr>
          <w:rFonts w:ascii="Times New Roman" w:hAnsi="Times New Roman" w:cs="Times New Roman"/>
          <w:sz w:val="20"/>
          <w:szCs w:val="20"/>
        </w:rPr>
      </w:pPr>
      <w:r w:rsidRPr="004F3515">
        <w:rPr>
          <w:rFonts w:ascii="Times New Roman" w:hAnsi="Times New Roman" w:cs="Times New Roman"/>
          <w:b/>
          <w:sz w:val="20"/>
          <w:szCs w:val="20"/>
        </w:rPr>
        <w:lastRenderedPageBreak/>
        <w:t>Performance Measures HS 01 through HS 09 – Clarification/ Alignment</w:t>
      </w:r>
      <w:r w:rsidRPr="004F3515">
        <w:rPr>
          <w:rFonts w:ascii="Times New Roman" w:hAnsi="Times New Roman" w:cs="Times New Roman"/>
          <w:sz w:val="20"/>
          <w:szCs w:val="20"/>
        </w:rPr>
        <w:br/>
      </w:r>
      <w:r>
        <w:rPr>
          <w:rFonts w:ascii="Times New Roman" w:hAnsi="Times New Roman" w:cs="Times New Roman"/>
          <w:sz w:val="20"/>
          <w:szCs w:val="20"/>
        </w:rPr>
        <w:t xml:space="preserve">Each Healthy Start specific measure’s numerator, denominator, definition and benchmark has been </w:t>
      </w:r>
      <w:r w:rsidR="0087486A">
        <w:rPr>
          <w:rFonts w:ascii="Times New Roman" w:hAnsi="Times New Roman" w:cs="Times New Roman"/>
          <w:sz w:val="20"/>
          <w:szCs w:val="20"/>
        </w:rPr>
        <w:t>edited</w:t>
      </w:r>
      <w:r>
        <w:rPr>
          <w:rFonts w:ascii="Times New Roman" w:hAnsi="Times New Roman" w:cs="Times New Roman"/>
          <w:sz w:val="20"/>
          <w:szCs w:val="20"/>
        </w:rPr>
        <w:t xml:space="preserve"> to provide additional detail on reporting, and to align with Healthy Start benchmarks. Benchmark data sources have been updated where appropriate as well.</w:t>
      </w:r>
      <w:r w:rsidR="002845DE">
        <w:rPr>
          <w:rFonts w:ascii="Times New Roman" w:hAnsi="Times New Roman" w:cs="Times New Roman"/>
          <w:sz w:val="20"/>
          <w:szCs w:val="20"/>
        </w:rPr>
        <w:t xml:space="preserve"> </w:t>
      </w:r>
      <w:r w:rsidR="00754A8E">
        <w:rPr>
          <w:rFonts w:ascii="Times New Roman" w:hAnsi="Times New Roman" w:cs="Times New Roman"/>
          <w:sz w:val="20"/>
          <w:szCs w:val="20"/>
        </w:rPr>
        <w:t>The numbering of measures (HS1, HS2, etc.) has</w:t>
      </w:r>
      <w:r w:rsidR="002845DE">
        <w:rPr>
          <w:rFonts w:ascii="Times New Roman" w:hAnsi="Times New Roman" w:cs="Times New Roman"/>
          <w:sz w:val="20"/>
          <w:szCs w:val="20"/>
        </w:rPr>
        <w:t xml:space="preserve"> also been updated, because of the removal of one Performance Measure.</w:t>
      </w:r>
      <w:r>
        <w:rPr>
          <w:rFonts w:ascii="Times New Roman" w:hAnsi="Times New Roman" w:cs="Times New Roman"/>
          <w:sz w:val="20"/>
          <w:szCs w:val="20"/>
        </w:rPr>
        <w:br/>
        <w:t xml:space="preserve">Rationale: </w:t>
      </w:r>
      <w:r w:rsidRPr="00ED398F">
        <w:rPr>
          <w:rFonts w:ascii="Times New Roman" w:eastAsia="Times New Roman" w:hAnsi="Times New Roman"/>
          <w:sz w:val="20"/>
          <w:szCs w:val="20"/>
        </w:rPr>
        <w:t>Consistency with Healthy Start Benchmarks minimi</w:t>
      </w:r>
      <w:r w:rsidR="002845DE">
        <w:rPr>
          <w:rFonts w:ascii="Times New Roman" w:eastAsia="Times New Roman" w:hAnsi="Times New Roman"/>
          <w:sz w:val="20"/>
          <w:szCs w:val="20"/>
        </w:rPr>
        <w:t>zes the burden on grantees and at the same time</w:t>
      </w:r>
      <w:r w:rsidRPr="00ED398F">
        <w:rPr>
          <w:rFonts w:ascii="Times New Roman" w:eastAsia="Times New Roman" w:hAnsi="Times New Roman"/>
          <w:sz w:val="20"/>
          <w:szCs w:val="20"/>
        </w:rPr>
        <w:t xml:space="preserve"> maximizing consistent data collection opportunities, while consistency with national data sources ensures that the information collected can be used for evaluation and benchmarking purposes.</w:t>
      </w:r>
      <w:r>
        <w:rPr>
          <w:rFonts w:ascii="Times New Roman" w:eastAsia="Times New Roman" w:hAnsi="Times New Roman"/>
          <w:sz w:val="20"/>
          <w:szCs w:val="20"/>
        </w:rPr>
        <w:t xml:space="preserve"> Updated benchmark data sources further inform the data collection process and provide reporting grantees valuable benchmarking information.</w:t>
      </w:r>
    </w:p>
    <w:p w:rsidR="00272C25" w:rsidRPr="00272C25" w:rsidRDefault="00272C25" w:rsidP="00272C25">
      <w:pPr>
        <w:pStyle w:val="ListParagraph"/>
        <w:rPr>
          <w:rFonts w:ascii="Times New Roman" w:hAnsi="Times New Roman" w:cs="Times New Roman"/>
          <w:sz w:val="20"/>
          <w:szCs w:val="20"/>
        </w:rPr>
      </w:pPr>
    </w:p>
    <w:p w:rsidR="00FE7F7C" w:rsidRPr="00FE7F7C" w:rsidRDefault="007F439D" w:rsidP="00FE7F7C">
      <w:pPr>
        <w:pStyle w:val="ListParagraph"/>
        <w:numPr>
          <w:ilvl w:val="0"/>
          <w:numId w:val="1"/>
        </w:numPr>
        <w:rPr>
          <w:rFonts w:ascii="Times New Roman" w:hAnsi="Times New Roman" w:cs="Times New Roman"/>
          <w:b/>
          <w:sz w:val="20"/>
          <w:szCs w:val="20"/>
        </w:rPr>
      </w:pPr>
      <w:r w:rsidRPr="007F439D">
        <w:rPr>
          <w:rFonts w:ascii="Times New Roman" w:hAnsi="Times New Roman" w:cs="Times New Roman"/>
          <w:b/>
          <w:sz w:val="20"/>
          <w:szCs w:val="20"/>
        </w:rPr>
        <w:t>Additional Data Element: Healthy Start Site Form</w:t>
      </w:r>
      <w:r w:rsidR="00A27168">
        <w:rPr>
          <w:rFonts w:ascii="Times New Roman" w:hAnsi="Times New Roman" w:cs="Times New Roman"/>
          <w:b/>
          <w:sz w:val="20"/>
          <w:szCs w:val="20"/>
        </w:rPr>
        <w:t xml:space="preserve"> -- Correction</w:t>
      </w:r>
      <w:r>
        <w:rPr>
          <w:rFonts w:ascii="Times New Roman" w:hAnsi="Times New Roman" w:cs="Times New Roman"/>
          <w:b/>
          <w:sz w:val="20"/>
          <w:szCs w:val="20"/>
        </w:rPr>
        <w:br/>
      </w:r>
      <w:r>
        <w:rPr>
          <w:rFonts w:ascii="Times New Roman" w:hAnsi="Times New Roman" w:cs="Times New Roman"/>
          <w:sz w:val="20"/>
          <w:szCs w:val="20"/>
        </w:rPr>
        <w:t>A form capturing the Healthy Start sites ha</w:t>
      </w:r>
      <w:r w:rsidR="00FE7F7C">
        <w:rPr>
          <w:rFonts w:ascii="Times New Roman" w:hAnsi="Times New Roman" w:cs="Times New Roman"/>
          <w:sz w:val="20"/>
          <w:szCs w:val="20"/>
        </w:rPr>
        <w:t xml:space="preserve">s been added. </w:t>
      </w:r>
      <w:r w:rsidR="00FE7F7C">
        <w:rPr>
          <w:rFonts w:ascii="Times New Roman" w:hAnsi="Times New Roman" w:cs="Times New Roman"/>
          <w:sz w:val="20"/>
          <w:szCs w:val="20"/>
        </w:rPr>
        <w:br/>
      </w:r>
      <w:r w:rsidR="00FE7F7C" w:rsidRPr="00FE7F7C">
        <w:rPr>
          <w:rFonts w:ascii="Times New Roman" w:hAnsi="Times New Roman" w:cs="Times New Roman"/>
          <w:sz w:val="20"/>
          <w:szCs w:val="20"/>
          <w:u w:val="single"/>
        </w:rPr>
        <w:t>Rationale:</w:t>
      </w:r>
      <w:r w:rsidR="00FE7F7C">
        <w:rPr>
          <w:rFonts w:ascii="Times New Roman" w:hAnsi="Times New Roman" w:cs="Times New Roman"/>
          <w:sz w:val="20"/>
          <w:szCs w:val="20"/>
        </w:rPr>
        <w:t xml:space="preserve"> </w:t>
      </w:r>
      <w:r w:rsidR="00A27168">
        <w:rPr>
          <w:rFonts w:ascii="Times New Roman" w:hAnsi="Times New Roman" w:cs="Times New Roman"/>
          <w:sz w:val="20"/>
          <w:szCs w:val="20"/>
        </w:rPr>
        <w:t>This was erroneously left off in the original package approved by OMB on 6/10/2016; this form existed in the previously approved package, and continues to be valuable for Healthy Start.</w:t>
      </w:r>
    </w:p>
    <w:p w:rsidR="00ED398F" w:rsidRPr="00ED398F" w:rsidRDefault="00ED398F" w:rsidP="00ED398F">
      <w:pPr>
        <w:pStyle w:val="ListParagraph"/>
        <w:ind w:left="990"/>
        <w:rPr>
          <w:rFonts w:ascii="Times New Roman" w:eastAsia="Times New Roman" w:hAnsi="Times New Roman"/>
          <w:sz w:val="20"/>
          <w:szCs w:val="20"/>
        </w:rPr>
      </w:pPr>
    </w:p>
    <w:p w:rsidR="009B40B2" w:rsidRDefault="009B40B2" w:rsidP="00F6710C">
      <w:pPr>
        <w:pStyle w:val="ListParagraph"/>
        <w:ind w:left="990"/>
        <w:rPr>
          <w:rFonts w:ascii="Times New Roman" w:hAnsi="Times New Roman" w:cs="Times New Roman"/>
          <w:sz w:val="20"/>
          <w:szCs w:val="20"/>
        </w:rPr>
      </w:pPr>
    </w:p>
    <w:p w:rsidR="009A6A10" w:rsidRPr="0035460E" w:rsidRDefault="009A6A10" w:rsidP="00B14758">
      <w:pPr>
        <w:rPr>
          <w:rFonts w:ascii="Times New Roman" w:hAnsi="Times New Roman" w:cs="Times New Roman"/>
          <w:b/>
          <w:sz w:val="20"/>
          <w:szCs w:val="20"/>
        </w:rPr>
      </w:pPr>
    </w:p>
    <w:p w:rsidR="009A6A10" w:rsidRDefault="009A6A10" w:rsidP="009A6A10">
      <w:pPr>
        <w:rPr>
          <w:rFonts w:ascii="Times New Roman" w:hAnsi="Times New Roman" w:cs="Times New Roman"/>
          <w:b/>
          <w:sz w:val="20"/>
          <w:szCs w:val="20"/>
        </w:rPr>
      </w:pPr>
      <w:r w:rsidRPr="0035460E">
        <w:rPr>
          <w:rFonts w:ascii="Times New Roman" w:hAnsi="Times New Roman" w:cs="Times New Roman"/>
          <w:b/>
          <w:sz w:val="20"/>
          <w:szCs w:val="20"/>
        </w:rPr>
        <w:t>Attachments:</w:t>
      </w:r>
    </w:p>
    <w:p w:rsidR="00932A1E" w:rsidRPr="0035460E" w:rsidRDefault="00932A1E" w:rsidP="009A6A10">
      <w:pPr>
        <w:rPr>
          <w:rFonts w:ascii="Times New Roman" w:hAnsi="Times New Roman" w:cs="Times New Roman"/>
          <w:b/>
          <w:sz w:val="20"/>
          <w:szCs w:val="20"/>
        </w:rPr>
      </w:pPr>
      <w:r>
        <w:rPr>
          <w:rFonts w:ascii="Times New Roman" w:hAnsi="Times New Roman" w:cs="Times New Roman"/>
          <w:b/>
          <w:sz w:val="20"/>
          <w:szCs w:val="20"/>
        </w:rPr>
        <w:t xml:space="preserve">All </w:t>
      </w:r>
      <w:r w:rsidR="00332DC3">
        <w:rPr>
          <w:rFonts w:ascii="Times New Roman" w:hAnsi="Times New Roman" w:cs="Times New Roman"/>
          <w:b/>
          <w:sz w:val="20"/>
          <w:szCs w:val="20"/>
        </w:rPr>
        <w:t>edits</w:t>
      </w:r>
      <w:r>
        <w:rPr>
          <w:rFonts w:ascii="Times New Roman" w:hAnsi="Times New Roman" w:cs="Times New Roman"/>
          <w:b/>
          <w:sz w:val="20"/>
          <w:szCs w:val="20"/>
        </w:rPr>
        <w:t xml:space="preserve"> are reflected in </w:t>
      </w:r>
      <w:r w:rsidRPr="00932A1E">
        <w:rPr>
          <w:rFonts w:ascii="Times New Roman" w:hAnsi="Times New Roman" w:cs="Times New Roman"/>
          <w:b/>
          <w:color w:val="FF0000"/>
          <w:sz w:val="20"/>
          <w:szCs w:val="20"/>
        </w:rPr>
        <w:t>RED</w:t>
      </w:r>
      <w:r>
        <w:rPr>
          <w:rFonts w:ascii="Times New Roman" w:hAnsi="Times New Roman" w:cs="Times New Roman"/>
          <w:b/>
          <w:sz w:val="20"/>
          <w:szCs w:val="20"/>
        </w:rPr>
        <w:t xml:space="preserve"> in the attached documents</w:t>
      </w:r>
      <w:r w:rsidR="00332DC3">
        <w:rPr>
          <w:rFonts w:ascii="Times New Roman" w:hAnsi="Times New Roman" w:cs="Times New Roman"/>
          <w:b/>
          <w:sz w:val="20"/>
          <w:szCs w:val="20"/>
        </w:rPr>
        <w:t>:</w:t>
      </w:r>
    </w:p>
    <w:p w:rsidR="0030646E" w:rsidRDefault="00332DC3"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Final_</w:t>
      </w:r>
      <w:r w:rsidR="00742695" w:rsidRPr="00742695">
        <w:rPr>
          <w:rFonts w:ascii="Times New Roman" w:hAnsi="Times New Roman" w:cs="Times New Roman"/>
          <w:sz w:val="20"/>
          <w:szCs w:val="20"/>
        </w:rPr>
        <w:t>Change Memo</w:t>
      </w:r>
      <w:r w:rsidR="0035460E">
        <w:rPr>
          <w:rFonts w:ascii="Times New Roman" w:hAnsi="Times New Roman" w:cs="Times New Roman"/>
          <w:sz w:val="20"/>
          <w:szCs w:val="20"/>
        </w:rPr>
        <w:t>_</w:t>
      </w:r>
      <w:r w:rsidR="00254F0A" w:rsidRPr="00742695">
        <w:rPr>
          <w:rFonts w:ascii="Times New Roman" w:hAnsi="Times New Roman" w:cs="Times New Roman"/>
          <w:sz w:val="20"/>
          <w:szCs w:val="20"/>
        </w:rPr>
        <w:t>Attachment B: Detail Sheets</w:t>
      </w:r>
    </w:p>
    <w:p w:rsidR="00296BED" w:rsidRPr="0035460E" w:rsidRDefault="00332DC3"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Final_</w:t>
      </w:r>
      <w:r w:rsidR="003C00EA">
        <w:rPr>
          <w:rFonts w:ascii="Times New Roman" w:hAnsi="Times New Roman" w:cs="Times New Roman"/>
          <w:sz w:val="20"/>
          <w:szCs w:val="20"/>
        </w:rPr>
        <w:t>Change Memo_Attachment D: Additional Data Elements</w:t>
      </w:r>
    </w:p>
    <w:sectPr w:rsidR="00296BED" w:rsidRPr="003546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3C9" w:rsidRDefault="006143C9" w:rsidP="009A6A10">
      <w:pPr>
        <w:spacing w:after="0" w:line="240" w:lineRule="auto"/>
      </w:pPr>
      <w:r>
        <w:separator/>
      </w:r>
    </w:p>
  </w:endnote>
  <w:endnote w:type="continuationSeparator" w:id="0">
    <w:p w:rsidR="006143C9" w:rsidRDefault="006143C9"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33" w:rsidRPr="00531733" w:rsidRDefault="00531733" w:rsidP="00531733">
    <w:pPr>
      <w:pStyle w:val="Footer"/>
      <w:jc w:val="right"/>
      <w:rPr>
        <w:color w:val="A6A6A6" w:themeColor="background1" w:themeShade="A6"/>
        <w:sz w:val="20"/>
      </w:rPr>
    </w:pPr>
    <w:r w:rsidRPr="00531733">
      <w:rPr>
        <w:rFonts w:ascii="Times New Roman" w:hAnsi="Times New Roman" w:cs="Times New Roman"/>
        <w:color w:val="A6A6A6" w:themeColor="background1" w:themeShade="A6"/>
        <w:sz w:val="18"/>
        <w:szCs w:val="20"/>
      </w:rPr>
      <w:t xml:space="preserve"> Requested Changes to Discretionary Grant Information System Collection (OMB #0915-0298, expires 06/30/2019), Page </w:t>
    </w:r>
    <w:r w:rsidRPr="00531733">
      <w:rPr>
        <w:rFonts w:ascii="Times New Roman" w:hAnsi="Times New Roman" w:cs="Times New Roman"/>
        <w:color w:val="A6A6A6" w:themeColor="background1" w:themeShade="A6"/>
        <w:sz w:val="18"/>
        <w:szCs w:val="20"/>
      </w:rPr>
      <w:fldChar w:fldCharType="begin"/>
    </w:r>
    <w:r w:rsidRPr="00531733">
      <w:rPr>
        <w:rFonts w:ascii="Times New Roman" w:hAnsi="Times New Roman" w:cs="Times New Roman"/>
        <w:color w:val="A6A6A6" w:themeColor="background1" w:themeShade="A6"/>
        <w:sz w:val="18"/>
        <w:szCs w:val="20"/>
      </w:rPr>
      <w:instrText xml:space="preserve"> PAGE   \* MERGEFORMAT </w:instrText>
    </w:r>
    <w:r w:rsidRPr="00531733">
      <w:rPr>
        <w:rFonts w:ascii="Times New Roman" w:hAnsi="Times New Roman" w:cs="Times New Roman"/>
        <w:color w:val="A6A6A6" w:themeColor="background1" w:themeShade="A6"/>
        <w:sz w:val="18"/>
        <w:szCs w:val="20"/>
      </w:rPr>
      <w:fldChar w:fldCharType="separate"/>
    </w:r>
    <w:r w:rsidR="00E007D6">
      <w:rPr>
        <w:rFonts w:ascii="Times New Roman" w:hAnsi="Times New Roman" w:cs="Times New Roman"/>
        <w:noProof/>
        <w:color w:val="A6A6A6" w:themeColor="background1" w:themeShade="A6"/>
        <w:sz w:val="18"/>
        <w:szCs w:val="20"/>
      </w:rPr>
      <w:t>1</w:t>
    </w:r>
    <w:r w:rsidRPr="005317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3C9" w:rsidRDefault="006143C9" w:rsidP="009A6A10">
      <w:pPr>
        <w:spacing w:after="0" w:line="240" w:lineRule="auto"/>
      </w:pPr>
      <w:r>
        <w:separator/>
      </w:r>
    </w:p>
  </w:footnote>
  <w:footnote w:type="continuationSeparator" w:id="0">
    <w:p w:rsidR="006143C9" w:rsidRDefault="006143C9"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8EA2B5D"/>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4">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7">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59"/>
  </w:num>
  <w:num w:numId="3">
    <w:abstractNumId w:val="116"/>
  </w:num>
  <w:num w:numId="4">
    <w:abstractNumId w:val="82"/>
  </w:num>
  <w:num w:numId="5">
    <w:abstractNumId w:val="75"/>
  </w:num>
  <w:num w:numId="6">
    <w:abstractNumId w:val="56"/>
  </w:num>
  <w:num w:numId="7">
    <w:abstractNumId w:val="68"/>
  </w:num>
  <w:num w:numId="8">
    <w:abstractNumId w:val="57"/>
  </w:num>
  <w:num w:numId="9">
    <w:abstractNumId w:val="90"/>
  </w:num>
  <w:num w:numId="10">
    <w:abstractNumId w:val="51"/>
  </w:num>
  <w:num w:numId="11">
    <w:abstractNumId w:val="6"/>
  </w:num>
  <w:num w:numId="12">
    <w:abstractNumId w:val="99"/>
  </w:num>
  <w:num w:numId="13">
    <w:abstractNumId w:val="95"/>
  </w:num>
  <w:num w:numId="14">
    <w:abstractNumId w:val="132"/>
  </w:num>
  <w:num w:numId="15">
    <w:abstractNumId w:val="65"/>
  </w:num>
  <w:num w:numId="16">
    <w:abstractNumId w:val="3"/>
  </w:num>
  <w:num w:numId="17">
    <w:abstractNumId w:val="17"/>
  </w:num>
  <w:num w:numId="18">
    <w:abstractNumId w:val="5"/>
  </w:num>
  <w:num w:numId="19">
    <w:abstractNumId w:val="63"/>
  </w:num>
  <w:num w:numId="20">
    <w:abstractNumId w:val="156"/>
  </w:num>
  <w:num w:numId="21">
    <w:abstractNumId w:val="80"/>
  </w:num>
  <w:num w:numId="22">
    <w:abstractNumId w:val="27"/>
  </w:num>
  <w:num w:numId="23">
    <w:abstractNumId w:val="161"/>
  </w:num>
  <w:num w:numId="24">
    <w:abstractNumId w:val="113"/>
  </w:num>
  <w:num w:numId="25">
    <w:abstractNumId w:val="94"/>
  </w:num>
  <w:num w:numId="26">
    <w:abstractNumId w:val="158"/>
  </w:num>
  <w:num w:numId="27">
    <w:abstractNumId w:val="109"/>
  </w:num>
  <w:num w:numId="28">
    <w:abstractNumId w:val="44"/>
  </w:num>
  <w:num w:numId="29">
    <w:abstractNumId w:val="24"/>
  </w:num>
  <w:num w:numId="30">
    <w:abstractNumId w:val="61"/>
  </w:num>
  <w:num w:numId="31">
    <w:abstractNumId w:val="79"/>
  </w:num>
  <w:num w:numId="32">
    <w:abstractNumId w:val="105"/>
  </w:num>
  <w:num w:numId="33">
    <w:abstractNumId w:val="54"/>
  </w:num>
  <w:num w:numId="34">
    <w:abstractNumId w:val="61"/>
    <w:lvlOverride w:ilvl="0">
      <w:startOverride w:val="1"/>
    </w:lvlOverride>
  </w:num>
  <w:num w:numId="35">
    <w:abstractNumId w:val="144"/>
  </w:num>
  <w:num w:numId="36">
    <w:abstractNumId w:val="117"/>
  </w:num>
  <w:num w:numId="37">
    <w:abstractNumId w:val="160"/>
  </w:num>
  <w:num w:numId="38">
    <w:abstractNumId w:val="29"/>
  </w:num>
  <w:num w:numId="39">
    <w:abstractNumId w:val="146"/>
  </w:num>
  <w:num w:numId="40">
    <w:abstractNumId w:val="162"/>
  </w:num>
  <w:num w:numId="41">
    <w:abstractNumId w:val="61"/>
    <w:lvlOverride w:ilvl="0">
      <w:startOverride w:val="1"/>
    </w:lvlOverride>
  </w:num>
  <w:num w:numId="42">
    <w:abstractNumId w:val="32"/>
  </w:num>
  <w:num w:numId="43">
    <w:abstractNumId w:val="126"/>
  </w:num>
  <w:num w:numId="44">
    <w:abstractNumId w:val="30"/>
  </w:num>
  <w:num w:numId="45">
    <w:abstractNumId w:val="120"/>
  </w:num>
  <w:num w:numId="46">
    <w:abstractNumId w:val="134"/>
  </w:num>
  <w:num w:numId="47">
    <w:abstractNumId w:val="106"/>
  </w:num>
  <w:num w:numId="48">
    <w:abstractNumId w:val="20"/>
  </w:num>
  <w:num w:numId="49">
    <w:abstractNumId w:val="118"/>
  </w:num>
  <w:num w:numId="50">
    <w:abstractNumId w:val="125"/>
  </w:num>
  <w:num w:numId="51">
    <w:abstractNumId w:val="61"/>
    <w:lvlOverride w:ilvl="0">
      <w:startOverride w:val="1"/>
    </w:lvlOverride>
  </w:num>
  <w:num w:numId="52">
    <w:abstractNumId w:val="138"/>
  </w:num>
  <w:num w:numId="53">
    <w:abstractNumId w:val="163"/>
  </w:num>
  <w:num w:numId="54">
    <w:abstractNumId w:val="41"/>
  </w:num>
  <w:num w:numId="55">
    <w:abstractNumId w:val="70"/>
  </w:num>
  <w:num w:numId="56">
    <w:abstractNumId w:val="55"/>
  </w:num>
  <w:num w:numId="57">
    <w:abstractNumId w:val="154"/>
  </w:num>
  <w:num w:numId="58">
    <w:abstractNumId w:val="61"/>
    <w:lvlOverride w:ilvl="0">
      <w:startOverride w:val="1"/>
    </w:lvlOverride>
  </w:num>
  <w:num w:numId="59">
    <w:abstractNumId w:val="2"/>
  </w:num>
  <w:num w:numId="60">
    <w:abstractNumId w:val="115"/>
  </w:num>
  <w:num w:numId="61">
    <w:abstractNumId w:val="61"/>
    <w:lvlOverride w:ilvl="0">
      <w:startOverride w:val="1"/>
    </w:lvlOverride>
  </w:num>
  <w:num w:numId="62">
    <w:abstractNumId w:val="88"/>
  </w:num>
  <w:num w:numId="63">
    <w:abstractNumId w:val="77"/>
  </w:num>
  <w:num w:numId="64">
    <w:abstractNumId w:val="40"/>
  </w:num>
  <w:num w:numId="65">
    <w:abstractNumId w:val="42"/>
  </w:num>
  <w:num w:numId="66">
    <w:abstractNumId w:val="110"/>
  </w:num>
  <w:num w:numId="67">
    <w:abstractNumId w:val="149"/>
  </w:num>
  <w:num w:numId="68">
    <w:abstractNumId w:val="155"/>
  </w:num>
  <w:num w:numId="69">
    <w:abstractNumId w:val="46"/>
  </w:num>
  <w:num w:numId="70">
    <w:abstractNumId w:val="97"/>
  </w:num>
  <w:num w:numId="71">
    <w:abstractNumId w:val="102"/>
  </w:num>
  <w:num w:numId="72">
    <w:abstractNumId w:val="141"/>
  </w:num>
  <w:num w:numId="73">
    <w:abstractNumId w:val="18"/>
  </w:num>
  <w:num w:numId="74">
    <w:abstractNumId w:val="28"/>
  </w:num>
  <w:num w:numId="75">
    <w:abstractNumId w:val="45"/>
  </w:num>
  <w:num w:numId="76">
    <w:abstractNumId w:val="150"/>
  </w:num>
  <w:num w:numId="77">
    <w:abstractNumId w:val="71"/>
  </w:num>
  <w:num w:numId="78">
    <w:abstractNumId w:val="49"/>
  </w:num>
  <w:num w:numId="79">
    <w:abstractNumId w:val="34"/>
  </w:num>
  <w:num w:numId="80">
    <w:abstractNumId w:val="122"/>
  </w:num>
  <w:num w:numId="81">
    <w:abstractNumId w:val="31"/>
  </w:num>
  <w:num w:numId="82">
    <w:abstractNumId w:val="101"/>
  </w:num>
  <w:num w:numId="83">
    <w:abstractNumId w:val="21"/>
  </w:num>
  <w:num w:numId="84">
    <w:abstractNumId w:val="136"/>
  </w:num>
  <w:num w:numId="85">
    <w:abstractNumId w:val="64"/>
  </w:num>
  <w:num w:numId="86">
    <w:abstractNumId w:val="145"/>
  </w:num>
  <w:num w:numId="87">
    <w:abstractNumId w:val="96"/>
  </w:num>
  <w:num w:numId="88">
    <w:abstractNumId w:val="33"/>
  </w:num>
  <w:num w:numId="89">
    <w:abstractNumId w:val="43"/>
  </w:num>
  <w:num w:numId="90">
    <w:abstractNumId w:val="127"/>
  </w:num>
  <w:num w:numId="91">
    <w:abstractNumId w:val="76"/>
  </w:num>
  <w:num w:numId="92">
    <w:abstractNumId w:val="62"/>
  </w:num>
  <w:num w:numId="93">
    <w:abstractNumId w:val="103"/>
  </w:num>
  <w:num w:numId="94">
    <w:abstractNumId w:val="121"/>
  </w:num>
  <w:num w:numId="95">
    <w:abstractNumId w:val="1"/>
  </w:num>
  <w:num w:numId="96">
    <w:abstractNumId w:val="10"/>
  </w:num>
  <w:num w:numId="97">
    <w:abstractNumId w:val="128"/>
  </w:num>
  <w:num w:numId="98">
    <w:abstractNumId w:val="147"/>
  </w:num>
  <w:num w:numId="99">
    <w:abstractNumId w:val="114"/>
  </w:num>
  <w:num w:numId="100">
    <w:abstractNumId w:val="53"/>
  </w:num>
  <w:num w:numId="101">
    <w:abstractNumId w:val="140"/>
  </w:num>
  <w:num w:numId="102">
    <w:abstractNumId w:val="152"/>
  </w:num>
  <w:num w:numId="103">
    <w:abstractNumId w:val="112"/>
  </w:num>
  <w:num w:numId="104">
    <w:abstractNumId w:val="74"/>
  </w:num>
  <w:num w:numId="105">
    <w:abstractNumId w:val="23"/>
  </w:num>
  <w:num w:numId="106">
    <w:abstractNumId w:val="139"/>
  </w:num>
  <w:num w:numId="107">
    <w:abstractNumId w:val="148"/>
  </w:num>
  <w:num w:numId="108">
    <w:abstractNumId w:val="143"/>
  </w:num>
  <w:num w:numId="109">
    <w:abstractNumId w:val="131"/>
  </w:num>
  <w:num w:numId="110">
    <w:abstractNumId w:val="11"/>
  </w:num>
  <w:num w:numId="111">
    <w:abstractNumId w:val="50"/>
  </w:num>
  <w:num w:numId="112">
    <w:abstractNumId w:val="69"/>
  </w:num>
  <w:num w:numId="113">
    <w:abstractNumId w:val="37"/>
  </w:num>
  <w:num w:numId="114">
    <w:abstractNumId w:val="22"/>
  </w:num>
  <w:num w:numId="115">
    <w:abstractNumId w:val="25"/>
  </w:num>
  <w:num w:numId="116">
    <w:abstractNumId w:val="58"/>
  </w:num>
  <w:num w:numId="117">
    <w:abstractNumId w:val="83"/>
  </w:num>
  <w:num w:numId="118">
    <w:abstractNumId w:val="48"/>
  </w:num>
  <w:num w:numId="119">
    <w:abstractNumId w:val="61"/>
    <w:lvlOverride w:ilvl="0">
      <w:startOverride w:val="1"/>
    </w:lvlOverride>
  </w:num>
  <w:num w:numId="120">
    <w:abstractNumId w:val="0"/>
  </w:num>
  <w:num w:numId="121">
    <w:abstractNumId w:val="13"/>
  </w:num>
  <w:num w:numId="122">
    <w:abstractNumId w:val="157"/>
  </w:num>
  <w:num w:numId="123">
    <w:abstractNumId w:val="100"/>
  </w:num>
  <w:num w:numId="124">
    <w:abstractNumId w:val="16"/>
  </w:num>
  <w:num w:numId="125">
    <w:abstractNumId w:val="84"/>
  </w:num>
  <w:num w:numId="126">
    <w:abstractNumId w:val="159"/>
  </w:num>
  <w:num w:numId="127">
    <w:abstractNumId w:val="85"/>
  </w:num>
  <w:num w:numId="128">
    <w:abstractNumId w:val="137"/>
  </w:num>
  <w:num w:numId="129">
    <w:abstractNumId w:val="61"/>
    <w:lvlOverride w:ilvl="0">
      <w:startOverride w:val="1"/>
    </w:lvlOverride>
  </w:num>
  <w:num w:numId="130">
    <w:abstractNumId w:val="89"/>
  </w:num>
  <w:num w:numId="131">
    <w:abstractNumId w:val="39"/>
  </w:num>
  <w:num w:numId="132">
    <w:abstractNumId w:val="61"/>
    <w:lvlOverride w:ilvl="0">
      <w:startOverride w:val="1"/>
    </w:lvlOverride>
  </w:num>
  <w:num w:numId="133">
    <w:abstractNumId w:val="92"/>
  </w:num>
  <w:num w:numId="134">
    <w:abstractNumId w:val="61"/>
    <w:lvlOverride w:ilvl="0">
      <w:startOverride w:val="1"/>
    </w:lvlOverride>
  </w:num>
  <w:num w:numId="135">
    <w:abstractNumId w:val="86"/>
  </w:num>
  <w:num w:numId="136">
    <w:abstractNumId w:val="61"/>
    <w:lvlOverride w:ilvl="0">
      <w:startOverride w:val="1"/>
    </w:lvlOverride>
  </w:num>
  <w:num w:numId="137">
    <w:abstractNumId w:val="47"/>
  </w:num>
  <w:num w:numId="138">
    <w:abstractNumId w:val="15"/>
  </w:num>
  <w:num w:numId="139">
    <w:abstractNumId w:val="81"/>
  </w:num>
  <w:num w:numId="140">
    <w:abstractNumId w:val="60"/>
  </w:num>
  <w:num w:numId="141">
    <w:abstractNumId w:val="93"/>
  </w:num>
  <w:num w:numId="142">
    <w:abstractNumId w:val="26"/>
  </w:num>
  <w:num w:numId="143">
    <w:abstractNumId w:val="111"/>
  </w:num>
  <w:num w:numId="144">
    <w:abstractNumId w:val="91"/>
  </w:num>
  <w:num w:numId="145">
    <w:abstractNumId w:val="151"/>
  </w:num>
  <w:num w:numId="146">
    <w:abstractNumId w:val="52"/>
  </w:num>
  <w:num w:numId="147">
    <w:abstractNumId w:val="135"/>
  </w:num>
  <w:num w:numId="148">
    <w:abstractNumId w:val="108"/>
  </w:num>
  <w:num w:numId="149">
    <w:abstractNumId w:val="38"/>
  </w:num>
  <w:num w:numId="150">
    <w:abstractNumId w:val="133"/>
  </w:num>
  <w:num w:numId="151">
    <w:abstractNumId w:val="72"/>
  </w:num>
  <w:num w:numId="152">
    <w:abstractNumId w:val="7"/>
  </w:num>
  <w:num w:numId="153">
    <w:abstractNumId w:val="104"/>
  </w:num>
  <w:num w:numId="154">
    <w:abstractNumId w:val="4"/>
  </w:num>
  <w:num w:numId="155">
    <w:abstractNumId w:val="98"/>
  </w:num>
  <w:num w:numId="156">
    <w:abstractNumId w:val="19"/>
  </w:num>
  <w:num w:numId="157">
    <w:abstractNumId w:val="124"/>
  </w:num>
  <w:num w:numId="158">
    <w:abstractNumId w:val="153"/>
  </w:num>
  <w:num w:numId="159">
    <w:abstractNumId w:val="73"/>
  </w:num>
  <w:num w:numId="160">
    <w:abstractNumId w:val="107"/>
  </w:num>
  <w:num w:numId="161">
    <w:abstractNumId w:val="36"/>
  </w:num>
  <w:num w:numId="162">
    <w:abstractNumId w:val="9"/>
  </w:num>
  <w:num w:numId="163">
    <w:abstractNumId w:val="12"/>
  </w:num>
  <w:num w:numId="164">
    <w:abstractNumId w:val="8"/>
  </w:num>
  <w:num w:numId="165">
    <w:abstractNumId w:val="87"/>
  </w:num>
  <w:num w:numId="166">
    <w:abstractNumId w:val="129"/>
  </w:num>
  <w:num w:numId="167">
    <w:abstractNumId w:val="123"/>
  </w:num>
  <w:num w:numId="168">
    <w:abstractNumId w:val="67"/>
  </w:num>
  <w:num w:numId="169">
    <w:abstractNumId w:val="35"/>
  </w:num>
  <w:num w:numId="170">
    <w:abstractNumId w:val="119"/>
  </w:num>
  <w:num w:numId="171">
    <w:abstractNumId w:val="142"/>
  </w:num>
  <w:num w:numId="172">
    <w:abstractNumId w:val="130"/>
  </w:num>
  <w:num w:numId="173">
    <w:abstractNumId w:val="14"/>
  </w:num>
  <w:num w:numId="174">
    <w:abstractNumId w:val="6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10527"/>
    <w:rsid w:val="000209E3"/>
    <w:rsid w:val="00053AD8"/>
    <w:rsid w:val="0009669E"/>
    <w:rsid w:val="000A1228"/>
    <w:rsid w:val="000B464E"/>
    <w:rsid w:val="000D7FF0"/>
    <w:rsid w:val="000E2FAB"/>
    <w:rsid w:val="000F41AB"/>
    <w:rsid w:val="00114B11"/>
    <w:rsid w:val="001162E2"/>
    <w:rsid w:val="001269BB"/>
    <w:rsid w:val="001633F6"/>
    <w:rsid w:val="00190F65"/>
    <w:rsid w:val="00192267"/>
    <w:rsid w:val="001A259E"/>
    <w:rsid w:val="001A4111"/>
    <w:rsid w:val="001D424C"/>
    <w:rsid w:val="001D6E7E"/>
    <w:rsid w:val="001E36D0"/>
    <w:rsid w:val="00251FB6"/>
    <w:rsid w:val="00254F0A"/>
    <w:rsid w:val="0026370C"/>
    <w:rsid w:val="00266A42"/>
    <w:rsid w:val="002673E6"/>
    <w:rsid w:val="00267F2E"/>
    <w:rsid w:val="00272C25"/>
    <w:rsid w:val="002845DE"/>
    <w:rsid w:val="00296BED"/>
    <w:rsid w:val="002C14D6"/>
    <w:rsid w:val="002D5313"/>
    <w:rsid w:val="0030646E"/>
    <w:rsid w:val="00320CCD"/>
    <w:rsid w:val="00324ADE"/>
    <w:rsid w:val="00326FD1"/>
    <w:rsid w:val="00332DC3"/>
    <w:rsid w:val="00347714"/>
    <w:rsid w:val="0035460E"/>
    <w:rsid w:val="003549BD"/>
    <w:rsid w:val="00362608"/>
    <w:rsid w:val="0036777F"/>
    <w:rsid w:val="00397FAD"/>
    <w:rsid w:val="003A7DBF"/>
    <w:rsid w:val="003B5418"/>
    <w:rsid w:val="003C00EA"/>
    <w:rsid w:val="003C1B32"/>
    <w:rsid w:val="003C47AC"/>
    <w:rsid w:val="003C5EF1"/>
    <w:rsid w:val="003D2DBC"/>
    <w:rsid w:val="003E5125"/>
    <w:rsid w:val="003E7647"/>
    <w:rsid w:val="003F71DF"/>
    <w:rsid w:val="0045005E"/>
    <w:rsid w:val="00464E23"/>
    <w:rsid w:val="00477D43"/>
    <w:rsid w:val="00482991"/>
    <w:rsid w:val="00491E90"/>
    <w:rsid w:val="004B51F4"/>
    <w:rsid w:val="004B6F1D"/>
    <w:rsid w:val="004D5390"/>
    <w:rsid w:val="004F3515"/>
    <w:rsid w:val="00501A20"/>
    <w:rsid w:val="00517755"/>
    <w:rsid w:val="00526DEF"/>
    <w:rsid w:val="00531733"/>
    <w:rsid w:val="005331FF"/>
    <w:rsid w:val="00546152"/>
    <w:rsid w:val="005523E2"/>
    <w:rsid w:val="0055795F"/>
    <w:rsid w:val="00584853"/>
    <w:rsid w:val="005D7268"/>
    <w:rsid w:val="00607D6D"/>
    <w:rsid w:val="006143C9"/>
    <w:rsid w:val="006164DF"/>
    <w:rsid w:val="0062430C"/>
    <w:rsid w:val="006300D6"/>
    <w:rsid w:val="006337F4"/>
    <w:rsid w:val="00643C62"/>
    <w:rsid w:val="00645BD4"/>
    <w:rsid w:val="00653515"/>
    <w:rsid w:val="00663AB3"/>
    <w:rsid w:val="00696FC1"/>
    <w:rsid w:val="006B0038"/>
    <w:rsid w:val="006C171C"/>
    <w:rsid w:val="006D7903"/>
    <w:rsid w:val="006E7E17"/>
    <w:rsid w:val="00703D1C"/>
    <w:rsid w:val="0070508D"/>
    <w:rsid w:val="00742695"/>
    <w:rsid w:val="00747E37"/>
    <w:rsid w:val="00754A8E"/>
    <w:rsid w:val="007E7A24"/>
    <w:rsid w:val="007F357F"/>
    <w:rsid w:val="007F439D"/>
    <w:rsid w:val="007F5D4F"/>
    <w:rsid w:val="00805541"/>
    <w:rsid w:val="00807310"/>
    <w:rsid w:val="0082257D"/>
    <w:rsid w:val="0083265D"/>
    <w:rsid w:val="00870806"/>
    <w:rsid w:val="0087486A"/>
    <w:rsid w:val="00885031"/>
    <w:rsid w:val="00890AA9"/>
    <w:rsid w:val="008959D2"/>
    <w:rsid w:val="008A290A"/>
    <w:rsid w:val="008D6FB9"/>
    <w:rsid w:val="008D70A3"/>
    <w:rsid w:val="008D7843"/>
    <w:rsid w:val="00901714"/>
    <w:rsid w:val="009271D9"/>
    <w:rsid w:val="009276E9"/>
    <w:rsid w:val="009302F7"/>
    <w:rsid w:val="00932A1E"/>
    <w:rsid w:val="00935C63"/>
    <w:rsid w:val="009403E0"/>
    <w:rsid w:val="0095548C"/>
    <w:rsid w:val="00957BC4"/>
    <w:rsid w:val="00961B1B"/>
    <w:rsid w:val="00974DC1"/>
    <w:rsid w:val="009763F5"/>
    <w:rsid w:val="009944F5"/>
    <w:rsid w:val="009A6A10"/>
    <w:rsid w:val="009B16E2"/>
    <w:rsid w:val="009B1FDC"/>
    <w:rsid w:val="009B40B2"/>
    <w:rsid w:val="009C0820"/>
    <w:rsid w:val="009E7662"/>
    <w:rsid w:val="009F24D1"/>
    <w:rsid w:val="009F5CFB"/>
    <w:rsid w:val="009F6872"/>
    <w:rsid w:val="00A06FA8"/>
    <w:rsid w:val="00A074D5"/>
    <w:rsid w:val="00A130D6"/>
    <w:rsid w:val="00A16416"/>
    <w:rsid w:val="00A16B11"/>
    <w:rsid w:val="00A27168"/>
    <w:rsid w:val="00A41DFE"/>
    <w:rsid w:val="00A66251"/>
    <w:rsid w:val="00A725CE"/>
    <w:rsid w:val="00A77A13"/>
    <w:rsid w:val="00A800F0"/>
    <w:rsid w:val="00A9551C"/>
    <w:rsid w:val="00AC3E6E"/>
    <w:rsid w:val="00AD0B5F"/>
    <w:rsid w:val="00B05395"/>
    <w:rsid w:val="00B1188E"/>
    <w:rsid w:val="00B1302A"/>
    <w:rsid w:val="00B14758"/>
    <w:rsid w:val="00B16396"/>
    <w:rsid w:val="00B2176E"/>
    <w:rsid w:val="00B30E17"/>
    <w:rsid w:val="00B913BF"/>
    <w:rsid w:val="00BA398C"/>
    <w:rsid w:val="00BD25BC"/>
    <w:rsid w:val="00BE52A0"/>
    <w:rsid w:val="00BF4980"/>
    <w:rsid w:val="00BF7192"/>
    <w:rsid w:val="00C1534D"/>
    <w:rsid w:val="00C23A37"/>
    <w:rsid w:val="00C276F6"/>
    <w:rsid w:val="00C31A77"/>
    <w:rsid w:val="00C876CB"/>
    <w:rsid w:val="00CB1CE6"/>
    <w:rsid w:val="00CD23D1"/>
    <w:rsid w:val="00CE05D7"/>
    <w:rsid w:val="00CF40E4"/>
    <w:rsid w:val="00D00C19"/>
    <w:rsid w:val="00D10060"/>
    <w:rsid w:val="00D32D65"/>
    <w:rsid w:val="00D41FF5"/>
    <w:rsid w:val="00D53934"/>
    <w:rsid w:val="00D64543"/>
    <w:rsid w:val="00D65A40"/>
    <w:rsid w:val="00DA0E88"/>
    <w:rsid w:val="00DB2059"/>
    <w:rsid w:val="00DC0AF9"/>
    <w:rsid w:val="00DE47A4"/>
    <w:rsid w:val="00DF0F70"/>
    <w:rsid w:val="00DF301C"/>
    <w:rsid w:val="00E007D6"/>
    <w:rsid w:val="00E0583C"/>
    <w:rsid w:val="00E20FB1"/>
    <w:rsid w:val="00E25069"/>
    <w:rsid w:val="00E3172D"/>
    <w:rsid w:val="00E403A5"/>
    <w:rsid w:val="00E501FB"/>
    <w:rsid w:val="00E66731"/>
    <w:rsid w:val="00E70842"/>
    <w:rsid w:val="00E759CA"/>
    <w:rsid w:val="00E85DE1"/>
    <w:rsid w:val="00E94BEF"/>
    <w:rsid w:val="00EA19C9"/>
    <w:rsid w:val="00EB0077"/>
    <w:rsid w:val="00EB6823"/>
    <w:rsid w:val="00EC7263"/>
    <w:rsid w:val="00ED2F73"/>
    <w:rsid w:val="00ED398F"/>
    <w:rsid w:val="00EE67EB"/>
    <w:rsid w:val="00EF2257"/>
    <w:rsid w:val="00F06C6D"/>
    <w:rsid w:val="00F51A04"/>
    <w:rsid w:val="00F6710C"/>
    <w:rsid w:val="00F70F6F"/>
    <w:rsid w:val="00F83A0D"/>
    <w:rsid w:val="00F85979"/>
    <w:rsid w:val="00F87E00"/>
    <w:rsid w:val="00F979C1"/>
    <w:rsid w:val="00FA348C"/>
    <w:rsid w:val="00FC2D8B"/>
    <w:rsid w:val="00FD325D"/>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878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E59DA-FB78-49FA-834D-575DE2D4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Windows User</cp:lastModifiedBy>
  <cp:revision>18</cp:revision>
  <dcterms:created xsi:type="dcterms:W3CDTF">2016-09-06T18:51:00Z</dcterms:created>
  <dcterms:modified xsi:type="dcterms:W3CDTF">2016-09-27T14:27:00Z</dcterms:modified>
</cp:coreProperties>
</file>