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DA33E" w14:textId="77777777" w:rsidR="004C7516" w:rsidRPr="00E33A89" w:rsidRDefault="00F92ACC" w:rsidP="00640BBB">
      <w:pPr>
        <w:pStyle w:val="NormalWeb"/>
        <w:spacing w:after="0" w:afterAutospacing="0"/>
        <w:ind w:firstLine="475"/>
        <w:jc w:val="center"/>
        <w:rPr>
          <w:u w:val="single"/>
        </w:rPr>
      </w:pPr>
      <w:bookmarkStart w:id="0" w:name="cs31d"/>
      <w:r w:rsidRPr="00E33A89">
        <w:rPr>
          <w:u w:val="single"/>
        </w:rPr>
        <w:t>SUPPORTING STATEMENT</w:t>
      </w:r>
      <w:r w:rsidR="000A2459" w:rsidRPr="00E33A89">
        <w:rPr>
          <w:u w:val="single"/>
        </w:rPr>
        <w:t xml:space="preserve"> – PART A</w:t>
      </w:r>
    </w:p>
    <w:p w14:paraId="613C7583" w14:textId="31012F37" w:rsidR="00640BBB" w:rsidRPr="00E33A89" w:rsidRDefault="00640BBB" w:rsidP="00640BBB">
      <w:pPr>
        <w:pStyle w:val="NormalWeb"/>
        <w:spacing w:after="40" w:afterAutospacing="0" w:line="40" w:lineRule="atLeast"/>
        <w:ind w:firstLine="475"/>
        <w:jc w:val="center"/>
        <w:rPr>
          <w:u w:val="single"/>
        </w:rPr>
      </w:pPr>
      <w:r w:rsidRPr="00E33A89">
        <w:rPr>
          <w:b/>
        </w:rPr>
        <w:t xml:space="preserve">Synchronized </w:t>
      </w:r>
      <w:proofErr w:type="spellStart"/>
      <w:r w:rsidRPr="00E33A89">
        <w:rPr>
          <w:b/>
        </w:rPr>
        <w:t>Predeployment</w:t>
      </w:r>
      <w:proofErr w:type="spellEnd"/>
      <w:r w:rsidRPr="00E33A89">
        <w:rPr>
          <w:b/>
        </w:rPr>
        <w:t xml:space="preserve"> and Operational Tracker Enterprise Suite</w:t>
      </w:r>
      <w:r w:rsidR="00AE09F7" w:rsidRPr="00E33A89">
        <w:rPr>
          <w:b/>
        </w:rPr>
        <w:t xml:space="preserve"> (SPOT-ES)</w:t>
      </w:r>
    </w:p>
    <w:p w14:paraId="67750352" w14:textId="77777777" w:rsidR="00445581" w:rsidRPr="00E33A89" w:rsidRDefault="00445581" w:rsidP="00640BBB">
      <w:pPr>
        <w:pStyle w:val="NormalWeb"/>
        <w:spacing w:before="60" w:beforeAutospacing="0" w:line="288" w:lineRule="atLeast"/>
        <w:ind w:firstLine="475"/>
        <w:jc w:val="center"/>
        <w:rPr>
          <w:i/>
        </w:rPr>
      </w:pPr>
      <w:r w:rsidRPr="00E33A89">
        <w:rPr>
          <w:i/>
        </w:rPr>
        <w:t>OMB Control Number</w:t>
      </w:r>
      <w:r w:rsidR="00640BBB" w:rsidRPr="00E33A89">
        <w:rPr>
          <w:i/>
        </w:rPr>
        <w:t xml:space="preserve"> 0704-0460</w:t>
      </w:r>
    </w:p>
    <w:p w14:paraId="0F0D4DBD" w14:textId="77777777" w:rsidR="005E0A0F" w:rsidRPr="00E33A89" w:rsidRDefault="005E0A0F" w:rsidP="005E0A0F">
      <w:pPr>
        <w:pStyle w:val="NormalWeb"/>
        <w:spacing w:line="288" w:lineRule="atLeast"/>
        <w:ind w:firstLine="480"/>
      </w:pPr>
      <w:r w:rsidRPr="00E33A89">
        <w:t xml:space="preserve">A.  </w:t>
      </w:r>
      <w:r w:rsidRPr="00E33A89">
        <w:rPr>
          <w:u w:val="single"/>
        </w:rPr>
        <w:t>JUSTIFICATION</w:t>
      </w:r>
    </w:p>
    <w:p w14:paraId="0C6C032F" w14:textId="77777777" w:rsidR="005E0A0F" w:rsidRPr="00E33A89" w:rsidRDefault="005E0A0F" w:rsidP="005E0A0F">
      <w:pPr>
        <w:pStyle w:val="NormalWeb"/>
        <w:spacing w:line="288" w:lineRule="atLeast"/>
        <w:ind w:firstLine="900"/>
      </w:pPr>
      <w:bookmarkStart w:id="1" w:name="cp432"/>
      <w:bookmarkEnd w:id="0"/>
      <w:r w:rsidRPr="00E33A89">
        <w:t xml:space="preserve">1.  </w:t>
      </w:r>
      <w:r w:rsidRPr="00E33A89">
        <w:rPr>
          <w:u w:val="single"/>
        </w:rPr>
        <w:t>Need for the Information Collection</w:t>
      </w:r>
    </w:p>
    <w:p w14:paraId="1C120242" w14:textId="7370DD99" w:rsidR="00052477" w:rsidRPr="00E33A89" w:rsidRDefault="00AE29DE" w:rsidP="00052477">
      <w:r w:rsidRPr="005151A4">
        <w:tab/>
      </w:r>
      <w:r w:rsidR="005151A4" w:rsidRPr="005151A4">
        <w:t xml:space="preserve">The National Defense Authorization Act (NDAA) for Fiscal Year (FY) 2008, </w:t>
      </w:r>
      <w:r w:rsidR="00052477" w:rsidRPr="00E33A89">
        <w:t>Public Law 110-181, Section 861, requires a common database between the Department of State (</w:t>
      </w:r>
      <w:proofErr w:type="spellStart"/>
      <w:r w:rsidR="00052477" w:rsidRPr="00E33A89">
        <w:t>DoS</w:t>
      </w:r>
      <w:proofErr w:type="spellEnd"/>
      <w:r w:rsidR="00052477" w:rsidRPr="00E33A89">
        <w:t>), Department of Defense (</w:t>
      </w:r>
      <w:proofErr w:type="gramStart"/>
      <w:r w:rsidR="00052477" w:rsidRPr="00E33A89">
        <w:t>DoD</w:t>
      </w:r>
      <w:proofErr w:type="gramEnd"/>
      <w:r w:rsidR="00052477" w:rsidRPr="00E33A89">
        <w:t xml:space="preserve">) and the United States Agency for International Development (USAID) to serve as the repository of information on contracts and contractor personnel performing in Iraq and Afghanistan.  A 2010 Memorandum of Understanding between </w:t>
      </w:r>
      <w:proofErr w:type="spellStart"/>
      <w:r w:rsidR="00052477" w:rsidRPr="00E33A89">
        <w:t>DoS</w:t>
      </w:r>
      <w:proofErr w:type="spellEnd"/>
      <w:r w:rsidR="00052477" w:rsidRPr="00E33A89">
        <w:t xml:space="preserve">, </w:t>
      </w:r>
      <w:proofErr w:type="gramStart"/>
      <w:r w:rsidR="00052477" w:rsidRPr="00E33A89">
        <w:t>DoD</w:t>
      </w:r>
      <w:proofErr w:type="gramEnd"/>
      <w:r w:rsidR="00052477" w:rsidRPr="00E33A89">
        <w:t xml:space="preserve"> and USAID designates the Synchronized </w:t>
      </w:r>
      <w:proofErr w:type="spellStart"/>
      <w:r w:rsidR="00052477" w:rsidRPr="00E33A89">
        <w:t>Predeployment</w:t>
      </w:r>
      <w:proofErr w:type="spellEnd"/>
      <w:r w:rsidR="00052477" w:rsidRPr="00E33A89">
        <w:t xml:space="preserve"> and Operational Tracker (SPOT) as that common database.  Public Law 110-181, Section 862, requires a process for registering, processing, accounting for, and keeping appropriate records of personnel performing private security functions in an area of combat operation</w:t>
      </w:r>
      <w:r w:rsidR="00BE304B" w:rsidRPr="00E33A89">
        <w:t xml:space="preserve">.  Again, </w:t>
      </w:r>
      <w:r w:rsidR="00052477" w:rsidRPr="00E33A89">
        <w:t xml:space="preserve">SPOT </w:t>
      </w:r>
      <w:r w:rsidR="00BE304B" w:rsidRPr="00E33A89">
        <w:t>w</w:t>
      </w:r>
      <w:r w:rsidR="00052477" w:rsidRPr="00E33A89">
        <w:t xml:space="preserve">as selected as the common database for compliance.  DoD Instruction 3020.41, </w:t>
      </w:r>
      <w:r w:rsidR="00052477" w:rsidRPr="00E33A89">
        <w:rPr>
          <w:i/>
        </w:rPr>
        <w:t>Operational Contractor Support (OCS)</w:t>
      </w:r>
      <w:r w:rsidR="00052477" w:rsidRPr="00E33A89">
        <w:t xml:space="preserve">, states:  “In applicable contingency operations, contractor visibility and accountability shall be maintained through a common joint database, the Synchronized </w:t>
      </w:r>
      <w:proofErr w:type="spellStart"/>
      <w:r w:rsidR="00052477" w:rsidRPr="00E33A89">
        <w:t>Predeployment</w:t>
      </w:r>
      <w:proofErr w:type="spellEnd"/>
      <w:r w:rsidR="00052477" w:rsidRPr="00E33A89">
        <w:t xml:space="preserve"> and Operational Tracker (SPOT).”    </w:t>
      </w:r>
    </w:p>
    <w:p w14:paraId="79ED4FBA" w14:textId="77777777" w:rsidR="00052477" w:rsidRPr="00E33A89" w:rsidRDefault="00052477" w:rsidP="00052477">
      <w:pPr>
        <w:ind w:firstLine="720"/>
      </w:pPr>
      <w:proofErr w:type="spellStart"/>
      <w:r w:rsidRPr="00E33A89">
        <w:t>DoDI</w:t>
      </w:r>
      <w:proofErr w:type="spellEnd"/>
      <w:r w:rsidRPr="00E33A89">
        <w:t xml:space="preserve"> 3020.41 further requires SPOT to assist Combatant Commanders (CCDR) in maintaining awareness of the nature, extent, and potential risks and capabilities associated with OCS in support of contingency operations, humanitarian or peacekeeping operations, or military exercises designated by the CCDR.  To ensure accountability, visibility, force protection, medical support, personnel recovery, and other related support can be accurately forecasted and </w:t>
      </w:r>
      <w:proofErr w:type="gramStart"/>
      <w:r w:rsidRPr="00E33A89">
        <w:t>provided,</w:t>
      </w:r>
      <w:proofErr w:type="gramEnd"/>
      <w:r w:rsidRPr="00E33A89">
        <w:t xml:space="preserve"> </w:t>
      </w:r>
      <w:proofErr w:type="spellStart"/>
      <w:r w:rsidRPr="00E33A89">
        <w:t>DoDI</w:t>
      </w:r>
      <w:proofErr w:type="spellEnd"/>
      <w:r w:rsidRPr="00E33A89">
        <w:t xml:space="preserve"> 3020.41 outlines procedures for establishing, maintaining, and validating the common joint database, currently designated as SPOT.</w:t>
      </w:r>
    </w:p>
    <w:p w14:paraId="201883CA" w14:textId="77777777" w:rsidR="00052477" w:rsidRPr="00E33A89" w:rsidRDefault="00052477" w:rsidP="00052477">
      <w:pPr>
        <w:ind w:firstLine="720"/>
      </w:pPr>
      <w:r w:rsidRPr="00E33A89">
        <w:t xml:space="preserve">Government contract companies are required to enter their employee’s data into SPOT before contractors are deployed outside of the United States.  SPOT is also used during Homeland Defense and Defense Support of Civil Authority Operations within the United States.  This data collection on contractors is a condition of </w:t>
      </w:r>
      <w:proofErr w:type="gramStart"/>
      <w:r w:rsidRPr="00E33A89">
        <w:t>DoD</w:t>
      </w:r>
      <w:proofErr w:type="gramEnd"/>
      <w:r w:rsidRPr="00E33A89">
        <w:t xml:space="preserve"> contracts when DFARS 252.225-7040, </w:t>
      </w:r>
      <w:r w:rsidRPr="00E33A89">
        <w:rPr>
          <w:i/>
        </w:rPr>
        <w:t>Contractor Personnel Authorized to Accompany U.S. Armed Forces Deployed Outside the United States</w:t>
      </w:r>
      <w:r w:rsidRPr="00E33A89">
        <w:t xml:space="preserve">, is incorporated.  This clause applies when contractors are authorized to accompany U.S. Armed Forces deployed outside of the United States in contingency, humanitarian or peacekeeping operations or other military operations/exercises when designated by the Combatant Commander. Any persons who choose not to have data collected will not be entitled to employment opportunities which require this data to be collected.  </w:t>
      </w:r>
    </w:p>
    <w:p w14:paraId="1EF40C74" w14:textId="2D1E1A10" w:rsidR="00E0630E" w:rsidRPr="00E33A89" w:rsidRDefault="00052477" w:rsidP="006B217E">
      <w:pPr>
        <w:ind w:firstLine="720"/>
        <w:rPr>
          <w:color w:val="0000FF"/>
        </w:rPr>
      </w:pPr>
      <w:r w:rsidRPr="00E33A89">
        <w:t xml:space="preserve">Contractor personnel are required to have a Letter of Authorization (LOA) in their possession at all times when deployed, and SPOT is the only system that provides the LOA.  The LOA is required to process through a deployment center and to travel to, from, or within designated operational areas.  The LOA is required for access to authorized Government Services (AGS) which are assigned by the responsible Contracting Officer for each individual contractor IAW their contract as a part of the automated LOA process in SPOT.  If the data is not collected to generate the LOA, contractors would not be able to obtain AGS in their deployed </w:t>
      </w:r>
      <w:r w:rsidRPr="00E33A89">
        <w:lastRenderedPageBreak/>
        <w:t>locations, including access to meals and lodging - limiting their ability to obtain critical life support.</w:t>
      </w:r>
      <w:r w:rsidR="006B217E" w:rsidRPr="00E33A89">
        <w:t xml:space="preserve">  </w:t>
      </w:r>
      <w:r w:rsidRPr="00E33A89">
        <w:t>In their 2004 Memo, the Assistant Secretary of the Army for Acquisition, Logistics and Technology (</w:t>
      </w:r>
      <w:proofErr w:type="gramStart"/>
      <w:r w:rsidRPr="00E33A89">
        <w:t>ASA(</w:t>
      </w:r>
      <w:proofErr w:type="gramEnd"/>
      <w:r w:rsidRPr="00E33A89">
        <w:t xml:space="preserve">ALT)) directed that their military, Department of Defense (DoD) civilians and government contractors are to be centrally managed and have chosen SPOT for this purpose.  Information is collected on all three categories for this subset of </w:t>
      </w:r>
      <w:proofErr w:type="gramStart"/>
      <w:r w:rsidRPr="00E33A89">
        <w:t>DoD</w:t>
      </w:r>
      <w:proofErr w:type="gramEnd"/>
      <w:r w:rsidRPr="00E33A89">
        <w:t xml:space="preserve">. </w:t>
      </w:r>
    </w:p>
    <w:bookmarkEnd w:id="1"/>
    <w:p w14:paraId="138E7A3C" w14:textId="77777777" w:rsidR="005E0A0F" w:rsidRPr="00E33A89" w:rsidRDefault="005E0A0F" w:rsidP="006B217E">
      <w:pPr>
        <w:pStyle w:val="NormalWeb"/>
        <w:spacing w:line="288" w:lineRule="atLeast"/>
        <w:ind w:firstLine="720"/>
        <w:rPr>
          <w:u w:val="single"/>
        </w:rPr>
      </w:pPr>
      <w:r w:rsidRPr="00E33A89">
        <w:t xml:space="preserve">2.  </w:t>
      </w:r>
      <w:r w:rsidRPr="00E33A89">
        <w:rPr>
          <w:u w:val="single"/>
        </w:rPr>
        <w:t>Use of the Information</w:t>
      </w:r>
    </w:p>
    <w:p w14:paraId="5BF41D32" w14:textId="6E13D8B8" w:rsidR="00D272F1" w:rsidRPr="00E33A89" w:rsidRDefault="00E0630E" w:rsidP="0039442F">
      <w:pPr>
        <w:ind w:firstLine="720"/>
      </w:pPr>
      <w:r w:rsidRPr="00E33A89">
        <w:t xml:space="preserve">In accordance with appropriate acquisition policy and regulations, </w:t>
      </w:r>
      <w:proofErr w:type="spellStart"/>
      <w:r w:rsidRPr="00E33A89">
        <w:t>DoS</w:t>
      </w:r>
      <w:proofErr w:type="spellEnd"/>
      <w:r w:rsidRPr="00E33A89">
        <w:t xml:space="preserve"> and USAID</w:t>
      </w:r>
      <w:r w:rsidR="00E63BB8" w:rsidRPr="00E33A89">
        <w:t xml:space="preserve"> </w:t>
      </w:r>
      <w:r w:rsidRPr="00E33A89">
        <w:t xml:space="preserve">funded contractors supporting operations in Iraq and Afghanistan and all DoD awarded contracts that may potentially support contingency operations </w:t>
      </w:r>
      <w:r w:rsidR="00DE1556" w:rsidRPr="00E33A89">
        <w:t xml:space="preserve">worldwide </w:t>
      </w:r>
      <w:r w:rsidRPr="00E33A89">
        <w:t xml:space="preserve">shall input employee data and maintain by-name accountability of contractor personnel </w:t>
      </w:r>
      <w:r w:rsidR="00E76885" w:rsidRPr="00E33A89">
        <w:t>in a</w:t>
      </w:r>
      <w:r w:rsidRPr="00E33A89">
        <w:t xml:space="preserve"> designated database </w:t>
      </w:r>
      <w:r w:rsidR="00E76885" w:rsidRPr="00E33A89">
        <w:t xml:space="preserve">as </w:t>
      </w:r>
      <w:r w:rsidRPr="00E33A89">
        <w:t xml:space="preserve">specified in their contract.  </w:t>
      </w:r>
      <w:r w:rsidR="0086628D" w:rsidRPr="00E33A89">
        <w:t xml:space="preserve">Currently, SPOT is the named system in these contractual requirements.  </w:t>
      </w:r>
      <w:r w:rsidRPr="00E33A89">
        <w:t xml:space="preserve">Contractors are responsible for knowing the general location of their employees and ensuring the database contains up-to-date, </w:t>
      </w:r>
      <w:r w:rsidR="0086628D" w:rsidRPr="00E33A89">
        <w:t xml:space="preserve">near </w:t>
      </w:r>
      <w:r w:rsidRPr="00E33A89">
        <w:t>real-time information reflecting all personnel deployed or to be deployed in support of contingency</w:t>
      </w:r>
      <w:r w:rsidR="0086628D" w:rsidRPr="00E33A89">
        <w:t>, humanitarian, peacekeeping or disaster relief</w:t>
      </w:r>
      <w:r w:rsidRPr="00E33A89">
        <w:t xml:space="preserve"> operations</w:t>
      </w:r>
      <w:r w:rsidR="00DE1556" w:rsidRPr="00E33A89">
        <w:t xml:space="preserve"> or as designated by the cognizant Combatant Commander</w:t>
      </w:r>
      <w:r w:rsidRPr="00E33A89">
        <w:t>.  Prime contractors are responsible for ensuring the database, SPOT</w:t>
      </w:r>
      <w:r w:rsidR="00BE304B" w:rsidRPr="00E33A89">
        <w:t>,</w:t>
      </w:r>
      <w:r w:rsidRPr="00E33A89">
        <w:t xml:space="preserve"> or its successor, contains up-to-date, real-time information regarding their subcontractors at all tiers.</w:t>
      </w:r>
      <w:r w:rsidR="0003211C">
        <w:t xml:space="preserve">  </w:t>
      </w:r>
    </w:p>
    <w:p w14:paraId="10880208" w14:textId="66779521" w:rsidR="00A96E97" w:rsidRPr="00E33A89" w:rsidRDefault="00372E7A" w:rsidP="00115C01">
      <w:pPr>
        <w:ind w:firstLine="720"/>
      </w:pPr>
      <w:r w:rsidRPr="00E33A89">
        <w:t>The SPOT-ES Information Collection begins with the announcement of a named contingency, humanitarian, peacekeeping or disaster relief mission</w:t>
      </w:r>
      <w:r w:rsidR="00DE1556" w:rsidRPr="00E33A89">
        <w:t xml:space="preserve"> or when designated by the Combatant Commander</w:t>
      </w:r>
      <w:r w:rsidRPr="00E33A89">
        <w:t>.  Companies with contracts to provide support respond by documenting their employees who will deploy to the geographical area</w:t>
      </w:r>
      <w:r w:rsidR="009D0DB3" w:rsidRPr="00E33A89">
        <w:t xml:space="preserve"> of responsibility (AOR)</w:t>
      </w:r>
      <w:r w:rsidRPr="00E33A89">
        <w:t xml:space="preserve"> being impacted</w:t>
      </w:r>
      <w:r w:rsidR="0038644E" w:rsidRPr="00E33A89">
        <w:t xml:space="preserve"> using their internal databases or</w:t>
      </w:r>
      <w:r w:rsidR="00885A09" w:rsidRPr="00E33A89">
        <w:t xml:space="preserve"> company</w:t>
      </w:r>
      <w:r w:rsidR="0038644E" w:rsidRPr="00E33A89">
        <w:t xml:space="preserve"> forms and the Department of Homeland Security’s United States Citizenship and Immigration Services (USCIS) Form I-9, </w:t>
      </w:r>
      <w:r w:rsidR="0038644E" w:rsidRPr="00E33A89">
        <w:rPr>
          <w:i/>
        </w:rPr>
        <w:t>Instructions for Employment Eligibility Verification</w:t>
      </w:r>
      <w:r w:rsidRPr="00E33A89">
        <w:t xml:space="preserve">.  </w:t>
      </w:r>
      <w:r w:rsidR="006B592A" w:rsidRPr="00E33A89">
        <w:t>This data is then entered into the SPOT-ES Database, located at</w:t>
      </w:r>
      <w:r w:rsidR="00ED5B0A" w:rsidRPr="00E33A89">
        <w:t xml:space="preserve"> https://spot.dmdc.mil</w:t>
      </w:r>
      <w:r w:rsidR="00ED5B0A" w:rsidRPr="00E33A89">
        <w:fldChar w:fldCharType="begin"/>
      </w:r>
      <w:r w:rsidR="00ED5B0A" w:rsidRPr="00E33A89">
        <w:instrText xml:space="preserve">https://spot.dmdc.mil/" </w:instrText>
      </w:r>
      <w:r w:rsidR="00ED5B0A" w:rsidRPr="00E33A89">
        <w:fldChar w:fldCharType="separate"/>
      </w:r>
      <w:r w:rsidR="00ED5B0A" w:rsidRPr="00E33A89">
        <w:rPr>
          <w:rStyle w:val="Hyperlink"/>
        </w:rPr>
        <w:t>https://spot.dmdc.mil/</w:t>
      </w:r>
      <w:r w:rsidR="00ED5B0A" w:rsidRPr="00E33A89">
        <w:fldChar w:fldCharType="end"/>
      </w:r>
      <w:r w:rsidR="006B592A" w:rsidRPr="00E33A89">
        <w:t xml:space="preserve">.  </w:t>
      </w:r>
      <w:r w:rsidR="00115C01">
        <w:t xml:space="preserve">Screen shots and dropdown options have been provided as part of the OMB Package.  </w:t>
      </w:r>
      <w:r w:rsidR="00813D1D" w:rsidRPr="00E33A89">
        <w:t xml:space="preserve">The Assistant Secretary of the Army for Acquisition Logistics and Technology </w:t>
      </w:r>
      <w:r w:rsidR="008751FD" w:rsidRPr="00E33A89">
        <w:t>(</w:t>
      </w:r>
      <w:proofErr w:type="gramStart"/>
      <w:r w:rsidR="008751FD" w:rsidRPr="00E33A89">
        <w:t>ASA(</w:t>
      </w:r>
      <w:proofErr w:type="gramEnd"/>
      <w:r w:rsidR="008751FD" w:rsidRPr="00E33A89">
        <w:t xml:space="preserve">ALT)) </w:t>
      </w:r>
      <w:r w:rsidR="00813D1D" w:rsidRPr="00E33A89">
        <w:t>also populate</w:t>
      </w:r>
      <w:r w:rsidR="008751FD" w:rsidRPr="00E33A89">
        <w:t>s</w:t>
      </w:r>
      <w:r w:rsidR="00813D1D" w:rsidRPr="00E33A89">
        <w:t xml:space="preserve"> the</w:t>
      </w:r>
      <w:r w:rsidR="00A57C10" w:rsidRPr="00E33A89">
        <w:t xml:space="preserve"> SPOT-ES</w:t>
      </w:r>
      <w:r w:rsidR="00813D1D" w:rsidRPr="00E33A89">
        <w:t xml:space="preserve"> </w:t>
      </w:r>
      <w:r w:rsidR="00A57C10" w:rsidRPr="00E33A89">
        <w:t>D</w:t>
      </w:r>
      <w:r w:rsidR="00813D1D" w:rsidRPr="00E33A89">
        <w:t>atabase</w:t>
      </w:r>
      <w:r w:rsidR="00ED5B0A" w:rsidRPr="00E33A89">
        <w:t xml:space="preserve"> </w:t>
      </w:r>
      <w:r w:rsidR="00813D1D" w:rsidRPr="00E33A89">
        <w:t>with their civilian and military members who travel as individual</w:t>
      </w:r>
      <w:r w:rsidR="009D0DB3" w:rsidRPr="00E33A89">
        <w:t>s</w:t>
      </w:r>
      <w:r w:rsidR="00813D1D" w:rsidRPr="00E33A89">
        <w:t xml:space="preserve"> supporting a specific program rather than as a </w:t>
      </w:r>
      <w:r w:rsidR="009D0DB3" w:rsidRPr="00E33A89">
        <w:t xml:space="preserve">military </w:t>
      </w:r>
      <w:r w:rsidR="00813D1D" w:rsidRPr="00E33A89">
        <w:t xml:space="preserve">unit.  </w:t>
      </w:r>
      <w:r w:rsidR="00A96E97" w:rsidRPr="00E33A89">
        <w:t xml:space="preserve">Categories of individuals covered by the SPOT-ES System of Records Notice (SORN) are those supporting military exercises, events, contingency, humanitarian assistance, peacekeeping, and disaster relief operations, and other activities, missions or scenarios that require contractor support within and outside of the United States (U.S.) as follows:  </w:t>
      </w:r>
    </w:p>
    <w:p w14:paraId="4CC29BD0" w14:textId="77777777" w:rsidR="00A96E97" w:rsidRPr="00E33A89" w:rsidRDefault="00A96E97" w:rsidP="00A96E97">
      <w:pPr>
        <w:pStyle w:val="ListParagraph"/>
        <w:numPr>
          <w:ilvl w:val="0"/>
          <w:numId w:val="40"/>
        </w:numPr>
        <w:autoSpaceDE w:val="0"/>
        <w:autoSpaceDN w:val="0"/>
        <w:adjustRightInd w:val="0"/>
        <w:contextualSpacing/>
        <w:rPr>
          <w:sz w:val="24"/>
          <w:szCs w:val="24"/>
        </w:rPr>
      </w:pPr>
      <w:r w:rsidRPr="00E33A89">
        <w:rPr>
          <w:sz w:val="24"/>
          <w:szCs w:val="24"/>
        </w:rPr>
        <w:t>Department of Defense (DoD) military personnel</w:t>
      </w:r>
    </w:p>
    <w:p w14:paraId="60E04929" w14:textId="77777777" w:rsidR="00A96E97" w:rsidRPr="00E33A89" w:rsidRDefault="00A96E97" w:rsidP="00A96E97">
      <w:pPr>
        <w:pStyle w:val="ListParagraph"/>
        <w:numPr>
          <w:ilvl w:val="0"/>
          <w:numId w:val="40"/>
        </w:numPr>
        <w:autoSpaceDE w:val="0"/>
        <w:autoSpaceDN w:val="0"/>
        <w:adjustRightInd w:val="0"/>
        <w:contextualSpacing/>
        <w:rPr>
          <w:sz w:val="24"/>
          <w:szCs w:val="24"/>
        </w:rPr>
      </w:pPr>
      <w:r w:rsidRPr="00E33A89">
        <w:rPr>
          <w:sz w:val="24"/>
          <w:szCs w:val="24"/>
        </w:rPr>
        <w:t>DoD civilian employees</w:t>
      </w:r>
    </w:p>
    <w:p w14:paraId="1763987E" w14:textId="77777777" w:rsidR="00A96E97" w:rsidRPr="00E33A89" w:rsidRDefault="00A96E97" w:rsidP="00A96E97">
      <w:pPr>
        <w:pStyle w:val="ListParagraph"/>
        <w:numPr>
          <w:ilvl w:val="0"/>
          <w:numId w:val="40"/>
        </w:numPr>
        <w:autoSpaceDE w:val="0"/>
        <w:autoSpaceDN w:val="0"/>
        <w:adjustRightInd w:val="0"/>
        <w:contextualSpacing/>
        <w:rPr>
          <w:sz w:val="24"/>
          <w:szCs w:val="24"/>
        </w:rPr>
      </w:pPr>
      <w:r w:rsidRPr="00E33A89">
        <w:rPr>
          <w:sz w:val="24"/>
          <w:szCs w:val="24"/>
        </w:rPr>
        <w:t xml:space="preserve">DoD contractor personnel </w:t>
      </w:r>
    </w:p>
    <w:p w14:paraId="62DDD125" w14:textId="77777777" w:rsidR="00A96E97" w:rsidRPr="00E33A89" w:rsidRDefault="00A96E97" w:rsidP="00A96E97">
      <w:pPr>
        <w:pStyle w:val="ListParagraph"/>
        <w:numPr>
          <w:ilvl w:val="0"/>
          <w:numId w:val="40"/>
        </w:numPr>
        <w:autoSpaceDE w:val="0"/>
        <w:autoSpaceDN w:val="0"/>
        <w:adjustRightInd w:val="0"/>
        <w:contextualSpacing/>
        <w:rPr>
          <w:sz w:val="24"/>
          <w:szCs w:val="24"/>
        </w:rPr>
      </w:pPr>
      <w:r w:rsidRPr="00E33A89">
        <w:rPr>
          <w:sz w:val="24"/>
          <w:szCs w:val="24"/>
        </w:rPr>
        <w:t xml:space="preserve">Department of State (DOS) contractor personnel </w:t>
      </w:r>
    </w:p>
    <w:p w14:paraId="72AD5B32" w14:textId="77777777" w:rsidR="00A96E97" w:rsidRPr="00E33A89" w:rsidRDefault="00A96E97" w:rsidP="00A96E97">
      <w:pPr>
        <w:pStyle w:val="ListParagraph"/>
        <w:numPr>
          <w:ilvl w:val="0"/>
          <w:numId w:val="40"/>
        </w:numPr>
        <w:autoSpaceDE w:val="0"/>
        <w:autoSpaceDN w:val="0"/>
        <w:adjustRightInd w:val="0"/>
        <w:contextualSpacing/>
        <w:rPr>
          <w:sz w:val="24"/>
          <w:szCs w:val="24"/>
        </w:rPr>
      </w:pPr>
      <w:r w:rsidRPr="00E33A89">
        <w:rPr>
          <w:sz w:val="24"/>
          <w:szCs w:val="24"/>
        </w:rPr>
        <w:t xml:space="preserve">DOS civilian employees supporting contingency operations led by </w:t>
      </w:r>
      <w:proofErr w:type="gramStart"/>
      <w:r w:rsidRPr="00E33A89">
        <w:rPr>
          <w:sz w:val="24"/>
          <w:szCs w:val="24"/>
        </w:rPr>
        <w:t>DoD</w:t>
      </w:r>
      <w:proofErr w:type="gramEnd"/>
      <w:r w:rsidRPr="00E33A89">
        <w:rPr>
          <w:sz w:val="24"/>
          <w:szCs w:val="24"/>
        </w:rPr>
        <w:t xml:space="preserve"> or the DOS Office of Security Cooperation outside of the U.S.</w:t>
      </w:r>
    </w:p>
    <w:p w14:paraId="7F90766F" w14:textId="77777777" w:rsidR="00A96E97" w:rsidRPr="00E33A89" w:rsidRDefault="00A96E97" w:rsidP="00A96E97">
      <w:pPr>
        <w:pStyle w:val="ListParagraph"/>
        <w:numPr>
          <w:ilvl w:val="0"/>
          <w:numId w:val="40"/>
        </w:numPr>
        <w:autoSpaceDE w:val="0"/>
        <w:autoSpaceDN w:val="0"/>
        <w:adjustRightInd w:val="0"/>
        <w:contextualSpacing/>
        <w:rPr>
          <w:sz w:val="24"/>
          <w:szCs w:val="24"/>
        </w:rPr>
      </w:pPr>
      <w:r w:rsidRPr="00E33A89">
        <w:rPr>
          <w:sz w:val="24"/>
          <w:szCs w:val="24"/>
        </w:rPr>
        <w:t>United States Agency for International Development (USAID) contractor personnel</w:t>
      </w:r>
    </w:p>
    <w:p w14:paraId="641C8878" w14:textId="77777777" w:rsidR="00A96E97" w:rsidRPr="00E33A89" w:rsidRDefault="00A96E97" w:rsidP="00A96E97">
      <w:pPr>
        <w:pStyle w:val="ListParagraph"/>
        <w:numPr>
          <w:ilvl w:val="0"/>
          <w:numId w:val="40"/>
        </w:numPr>
        <w:autoSpaceDE w:val="0"/>
        <w:autoSpaceDN w:val="0"/>
        <w:adjustRightInd w:val="0"/>
        <w:contextualSpacing/>
        <w:rPr>
          <w:sz w:val="24"/>
          <w:szCs w:val="24"/>
        </w:rPr>
      </w:pPr>
      <w:r w:rsidRPr="00E33A89">
        <w:rPr>
          <w:sz w:val="24"/>
          <w:szCs w:val="24"/>
        </w:rPr>
        <w:t xml:space="preserve">USAID civilian employees supporting contingency operations led by </w:t>
      </w:r>
      <w:proofErr w:type="gramStart"/>
      <w:r w:rsidRPr="00E33A89">
        <w:rPr>
          <w:sz w:val="24"/>
          <w:szCs w:val="24"/>
        </w:rPr>
        <w:t>DoD</w:t>
      </w:r>
      <w:proofErr w:type="gramEnd"/>
      <w:r w:rsidRPr="00E33A89">
        <w:rPr>
          <w:sz w:val="24"/>
          <w:szCs w:val="24"/>
        </w:rPr>
        <w:t xml:space="preserve"> or the DOS Office of Security Cooperation outside of the U.S. </w:t>
      </w:r>
    </w:p>
    <w:p w14:paraId="35AC3F15" w14:textId="77777777" w:rsidR="00A96E97" w:rsidRPr="00E33A89" w:rsidRDefault="00A96E97" w:rsidP="00A96E97">
      <w:pPr>
        <w:pStyle w:val="ListParagraph"/>
        <w:numPr>
          <w:ilvl w:val="0"/>
          <w:numId w:val="40"/>
        </w:numPr>
        <w:autoSpaceDE w:val="0"/>
        <w:autoSpaceDN w:val="0"/>
        <w:adjustRightInd w:val="0"/>
        <w:contextualSpacing/>
        <w:rPr>
          <w:sz w:val="24"/>
          <w:szCs w:val="24"/>
        </w:rPr>
      </w:pPr>
      <w:r w:rsidRPr="00E33A89">
        <w:rPr>
          <w:sz w:val="24"/>
          <w:szCs w:val="24"/>
        </w:rPr>
        <w:t xml:space="preserve">Government civilian and contractor personnel of other Federal Agencies, e.g., the Department of Interior, Department of Homeland Security, Department of Treasury, Department of Justice, Department of Health and Human Services, Environmental </w:t>
      </w:r>
      <w:r w:rsidRPr="00E33A89">
        <w:rPr>
          <w:sz w:val="24"/>
          <w:szCs w:val="24"/>
        </w:rPr>
        <w:lastRenderedPageBreak/>
        <w:t xml:space="preserve">Protection Agency, Department of Transportation, Department of Energy, and General Services Administration </w:t>
      </w:r>
    </w:p>
    <w:p w14:paraId="416BA99A" w14:textId="05CD67CF" w:rsidR="00A96E97" w:rsidRPr="00E33A89" w:rsidRDefault="00A96E97" w:rsidP="0052306E">
      <w:pPr>
        <w:pStyle w:val="ListParagraph"/>
        <w:numPr>
          <w:ilvl w:val="0"/>
          <w:numId w:val="40"/>
        </w:numPr>
        <w:autoSpaceDE w:val="0"/>
        <w:autoSpaceDN w:val="0"/>
        <w:adjustRightInd w:val="0"/>
        <w:contextualSpacing/>
        <w:rPr>
          <w:sz w:val="24"/>
          <w:szCs w:val="24"/>
        </w:rPr>
      </w:pPr>
      <w:r w:rsidRPr="00E33A89">
        <w:rPr>
          <w:sz w:val="24"/>
          <w:szCs w:val="24"/>
        </w:rPr>
        <w:t>Civilian organizations and private citizens, including first responders, who are in the vicinity, are supporting, or are impacted by operations, e.g., contingency, humanitarian assistance, or disaster relief, and transit through a location where a Joint Asset Movement Management System (JAMMS) workstation is deployed.</w:t>
      </w:r>
    </w:p>
    <w:p w14:paraId="3A9C12BF" w14:textId="2D2C8635" w:rsidR="00A96E97" w:rsidRPr="00E33A89" w:rsidRDefault="00A96E97" w:rsidP="004B7CB7">
      <w:pPr>
        <w:autoSpaceDE w:val="0"/>
        <w:autoSpaceDN w:val="0"/>
        <w:adjustRightInd w:val="0"/>
        <w:ind w:firstLine="720"/>
      </w:pPr>
    </w:p>
    <w:p w14:paraId="3F10F95B" w14:textId="79C4F4B5" w:rsidR="005424FA" w:rsidRPr="00E33A89" w:rsidRDefault="009D0DB3" w:rsidP="004B7CB7">
      <w:pPr>
        <w:autoSpaceDE w:val="0"/>
        <w:autoSpaceDN w:val="0"/>
        <w:adjustRightInd w:val="0"/>
        <w:ind w:firstLine="720"/>
      </w:pPr>
      <w:r w:rsidRPr="00E33A89">
        <w:t xml:space="preserve">The SORN also describes who, what, and why information regarding this data collection </w:t>
      </w:r>
      <w:r w:rsidR="00DA610C" w:rsidRPr="00E33A89">
        <w:t xml:space="preserve">is required </w:t>
      </w:r>
      <w:r w:rsidR="0038644E" w:rsidRPr="00E33A89">
        <w:t xml:space="preserve">per the </w:t>
      </w:r>
      <w:r w:rsidRPr="00E33A89">
        <w:t xml:space="preserve">Privacy Act </w:t>
      </w:r>
      <w:r w:rsidR="0038644E" w:rsidRPr="00E33A89">
        <w:t xml:space="preserve">because SPOT-ES collects personally identifiable </w:t>
      </w:r>
      <w:r w:rsidRPr="00E33A89">
        <w:t>information</w:t>
      </w:r>
      <w:r w:rsidR="0038644E" w:rsidRPr="00E33A89">
        <w:t xml:space="preserve"> (PII)</w:t>
      </w:r>
      <w:r w:rsidRPr="00E33A89">
        <w:t xml:space="preserve">.  </w:t>
      </w:r>
      <w:r w:rsidR="00372E7A" w:rsidRPr="00E33A89">
        <w:t xml:space="preserve">This </w:t>
      </w:r>
      <w:r w:rsidR="00D77B50" w:rsidRPr="00E33A89">
        <w:t xml:space="preserve">collection </w:t>
      </w:r>
      <w:r w:rsidR="00813D1D" w:rsidRPr="00E33A89">
        <w:t xml:space="preserve">action </w:t>
      </w:r>
      <w:r w:rsidR="00372E7A" w:rsidRPr="00E33A89">
        <w:t xml:space="preserve">is indicated </w:t>
      </w:r>
      <w:r w:rsidR="00DA610C" w:rsidRPr="00E33A89">
        <w:t>in</w:t>
      </w:r>
      <w:r w:rsidR="00372E7A" w:rsidRPr="00E33A89">
        <w:t xml:space="preserve"> </w:t>
      </w:r>
      <w:r w:rsidR="006B592A" w:rsidRPr="00E33A89">
        <w:t xml:space="preserve">Figure 1 </w:t>
      </w:r>
      <w:r w:rsidR="00DA610C" w:rsidRPr="00E33A89">
        <w:t xml:space="preserve">by the </w:t>
      </w:r>
      <w:r w:rsidR="00D77B50" w:rsidRPr="00E33A89">
        <w:t xml:space="preserve">graphic showing </w:t>
      </w:r>
      <w:r w:rsidR="00372E7A" w:rsidRPr="00E33A89">
        <w:t xml:space="preserve">hands on </w:t>
      </w:r>
      <w:r w:rsidR="00D77B50" w:rsidRPr="00E33A89">
        <w:t xml:space="preserve">a </w:t>
      </w:r>
      <w:r w:rsidR="00372E7A" w:rsidRPr="00E33A89">
        <w:t xml:space="preserve">computer labeled SPOT in the top left corner.  The data </w:t>
      </w:r>
      <w:r w:rsidR="00A47621" w:rsidRPr="00E33A89">
        <w:t xml:space="preserve">collection fields are accessed </w:t>
      </w:r>
      <w:r w:rsidR="00DA610C" w:rsidRPr="00E33A89">
        <w:t xml:space="preserve">by authorized users </w:t>
      </w:r>
      <w:r w:rsidR="00A47621" w:rsidRPr="00E33A89">
        <w:t xml:space="preserve">via the web and the responses are </w:t>
      </w:r>
      <w:r w:rsidR="00372E7A" w:rsidRPr="00E33A89">
        <w:t xml:space="preserve">entered directly into the unclassified SPOT </w:t>
      </w:r>
      <w:r w:rsidR="00A47621" w:rsidRPr="00E33A89">
        <w:t>graphical user interface (GUI)</w:t>
      </w:r>
      <w:r w:rsidR="00DA610C" w:rsidRPr="00E33A89">
        <w:t xml:space="preserve">.  </w:t>
      </w:r>
      <w:r w:rsidR="002C2998" w:rsidRPr="00E33A89">
        <w:t xml:space="preserve">There is a Privacy Act Statement portrayed on the web site as part of the login process every time any of the SPOT-ES products are accessed.  Each SPOT User must confirm their agreement before they are allowed to proceed to the system.  </w:t>
      </w:r>
      <w:r w:rsidR="00DA610C" w:rsidRPr="00E33A89">
        <w:t xml:space="preserve">The information </w:t>
      </w:r>
      <w:r w:rsidR="002C2998" w:rsidRPr="00E33A89">
        <w:t>then</w:t>
      </w:r>
      <w:r w:rsidR="00DA610C" w:rsidRPr="00E33A89">
        <w:t xml:space="preserve"> collected is stored in </w:t>
      </w:r>
      <w:r w:rsidR="009C6774" w:rsidRPr="00E33A89">
        <w:t>the</w:t>
      </w:r>
      <w:r w:rsidR="00DA610C" w:rsidRPr="00E33A89">
        <w:t xml:space="preserve"> central </w:t>
      </w:r>
      <w:r w:rsidR="009C6774" w:rsidRPr="00E33A89">
        <w:t xml:space="preserve">contractor </w:t>
      </w:r>
      <w:r w:rsidR="00DA610C" w:rsidRPr="00E33A89">
        <w:t xml:space="preserve">repository </w:t>
      </w:r>
      <w:r w:rsidR="00D77B50" w:rsidRPr="00E33A89">
        <w:t xml:space="preserve">database </w:t>
      </w:r>
      <w:r w:rsidR="004D577F" w:rsidRPr="00E33A89">
        <w:t xml:space="preserve">as </w:t>
      </w:r>
      <w:r w:rsidR="00372E7A" w:rsidRPr="00E33A89">
        <w:t>indicated</w:t>
      </w:r>
      <w:r w:rsidR="00DA610C" w:rsidRPr="00E33A89">
        <w:t xml:space="preserve"> by the SPOT NIPRNET database </w:t>
      </w:r>
      <w:r w:rsidR="00372E7A" w:rsidRPr="00E33A89">
        <w:t>in the top center of</w:t>
      </w:r>
      <w:r w:rsidR="005424FA" w:rsidRPr="00E33A89">
        <w:t xml:space="preserve"> Figure 1, below</w:t>
      </w:r>
      <w:r w:rsidR="00372E7A" w:rsidRPr="00E33A89">
        <w:t xml:space="preserve">.  </w:t>
      </w:r>
    </w:p>
    <w:p w14:paraId="62C316A0" w14:textId="13ECB6B2" w:rsidR="000D3180" w:rsidRPr="00E33A89" w:rsidRDefault="00597483" w:rsidP="004B7CB7">
      <w:pPr>
        <w:autoSpaceDE w:val="0"/>
        <w:autoSpaceDN w:val="0"/>
        <w:adjustRightInd w:val="0"/>
        <w:ind w:firstLine="720"/>
      </w:pPr>
      <w:r w:rsidRPr="00E33A89">
        <w:rPr>
          <w:noProof/>
        </w:rPr>
        <w:drawing>
          <wp:anchor distT="0" distB="0" distL="114300" distR="114300" simplePos="0" relativeHeight="251659264" behindDoc="0" locked="0" layoutInCell="1" allowOverlap="1" wp14:anchorId="6CA529FC" wp14:editId="56BF24EE">
            <wp:simplePos x="0" y="0"/>
            <wp:positionH relativeFrom="column">
              <wp:posOffset>1129030</wp:posOffset>
            </wp:positionH>
            <wp:positionV relativeFrom="page">
              <wp:posOffset>4189684</wp:posOffset>
            </wp:positionV>
            <wp:extent cx="4041140" cy="2988945"/>
            <wp:effectExtent l="19050" t="19050" r="16510" b="209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41140" cy="2988945"/>
                    </a:xfrm>
                    <a:prstGeom prst="rect">
                      <a:avLst/>
                    </a:prstGeom>
                    <a:noFill/>
                    <a:ln>
                      <a:solidFill>
                        <a:schemeClr val="accent1">
                          <a:lumMod val="50000"/>
                        </a:schemeClr>
                      </a:solidFill>
                    </a:ln>
                  </pic:spPr>
                </pic:pic>
              </a:graphicData>
            </a:graphic>
            <wp14:sizeRelH relativeFrom="margin">
              <wp14:pctWidth>0</wp14:pctWidth>
            </wp14:sizeRelH>
            <wp14:sizeRelV relativeFrom="margin">
              <wp14:pctHeight>0</wp14:pctHeight>
            </wp14:sizeRelV>
          </wp:anchor>
        </w:drawing>
      </w:r>
    </w:p>
    <w:p w14:paraId="42EB56B5" w14:textId="009FD1BB" w:rsidR="000D3180" w:rsidRPr="00E33A89" w:rsidRDefault="000D3180" w:rsidP="000D3180">
      <w:pPr>
        <w:autoSpaceDE w:val="0"/>
        <w:autoSpaceDN w:val="0"/>
        <w:adjustRightInd w:val="0"/>
        <w:ind w:firstLine="720"/>
        <w:jc w:val="center"/>
        <w:rPr>
          <w:b/>
          <w:sz w:val="22"/>
        </w:rPr>
      </w:pPr>
      <w:r w:rsidRPr="00E33A89">
        <w:rPr>
          <w:b/>
        </w:rPr>
        <w:t>Figure 1 – SPOT-ES Information Collection Flow</w:t>
      </w:r>
    </w:p>
    <w:p w14:paraId="432E049D" w14:textId="1E2582A2" w:rsidR="000D3180" w:rsidRPr="00E33A89" w:rsidRDefault="000D3180" w:rsidP="004B7CB7">
      <w:pPr>
        <w:autoSpaceDE w:val="0"/>
        <w:autoSpaceDN w:val="0"/>
        <w:adjustRightInd w:val="0"/>
        <w:ind w:firstLine="720"/>
      </w:pPr>
    </w:p>
    <w:p w14:paraId="34566220" w14:textId="686D5F6A" w:rsidR="0039442F" w:rsidRPr="00E33A89" w:rsidRDefault="009C6774" w:rsidP="004B7CB7">
      <w:pPr>
        <w:autoSpaceDE w:val="0"/>
        <w:autoSpaceDN w:val="0"/>
        <w:adjustRightInd w:val="0"/>
        <w:ind w:firstLine="720"/>
      </w:pPr>
      <w:r w:rsidRPr="00E33A89">
        <w:t>The</w:t>
      </w:r>
      <w:r w:rsidR="00372E7A" w:rsidRPr="00E33A89">
        <w:t xml:space="preserve"> </w:t>
      </w:r>
      <w:r w:rsidR="0086628D" w:rsidRPr="00E33A89">
        <w:t xml:space="preserve">records </w:t>
      </w:r>
      <w:r w:rsidRPr="00E33A89">
        <w:t xml:space="preserve">stored in the SPOT </w:t>
      </w:r>
      <w:r w:rsidR="00372E7A" w:rsidRPr="00E33A89">
        <w:t xml:space="preserve">database </w:t>
      </w:r>
      <w:r w:rsidRPr="00E33A89">
        <w:t>are then</w:t>
      </w:r>
      <w:r w:rsidR="00372E7A" w:rsidRPr="00E33A89">
        <w:t xml:space="preserve"> transported to the classified </w:t>
      </w:r>
      <w:r w:rsidR="00685957" w:rsidRPr="00E33A89">
        <w:t xml:space="preserve">side (SIPR) </w:t>
      </w:r>
      <w:r w:rsidR="00372E7A" w:rsidRPr="00E33A89">
        <w:t xml:space="preserve">where black programs may use existing data and enter additional data as required.  </w:t>
      </w:r>
      <w:r w:rsidR="003D739F" w:rsidRPr="00E33A89">
        <w:t>As noted in Paragraph 1, t</w:t>
      </w:r>
      <w:r w:rsidR="00813D1D" w:rsidRPr="00E33A89">
        <w:t xml:space="preserve">he reason for collecting this information in the SPOT application is because </w:t>
      </w:r>
      <w:r w:rsidR="004F0845" w:rsidRPr="00E33A89">
        <w:t>Public Law 110-181</w:t>
      </w:r>
      <w:r w:rsidR="00493658" w:rsidRPr="00E33A89">
        <w:t>, Section 861,</w:t>
      </w:r>
      <w:r w:rsidR="004F0845" w:rsidRPr="00E33A89">
        <w:t xml:space="preserve"> requires </w:t>
      </w:r>
      <w:r w:rsidR="003D739F" w:rsidRPr="00E33A89">
        <w:t xml:space="preserve">a single central repository of contract and contractor information </w:t>
      </w:r>
      <w:r w:rsidR="004F0845" w:rsidRPr="00E33A89">
        <w:t xml:space="preserve">for </w:t>
      </w:r>
      <w:proofErr w:type="spellStart"/>
      <w:r w:rsidR="003D739F" w:rsidRPr="00E33A89">
        <w:t>deployees</w:t>
      </w:r>
      <w:proofErr w:type="spellEnd"/>
      <w:r w:rsidR="003D739F" w:rsidRPr="00E33A89">
        <w:t xml:space="preserve"> to </w:t>
      </w:r>
      <w:r w:rsidR="004F0845" w:rsidRPr="00E33A89">
        <w:t>Iraq and Afghanistan</w:t>
      </w:r>
      <w:r w:rsidR="003D739F" w:rsidRPr="00E33A89">
        <w:t xml:space="preserve"> to be used by </w:t>
      </w:r>
      <w:proofErr w:type="gramStart"/>
      <w:r w:rsidR="003D739F" w:rsidRPr="00E33A89">
        <w:t>DoD</w:t>
      </w:r>
      <w:proofErr w:type="gramEnd"/>
      <w:r w:rsidR="003D739F" w:rsidRPr="00E33A89">
        <w:t>, DOS and USAID.</w:t>
      </w:r>
      <w:r w:rsidR="00026476">
        <w:t xml:space="preserve">  </w:t>
      </w:r>
      <w:r w:rsidR="00E616F4" w:rsidRPr="00E33A89">
        <w:t xml:space="preserve">These three Agencies have designated SPOT as the single repository and authoritative source for contract and contractor information related to the Iraq and Afghanistan contingencies.  Additionally, in their January 2008 memo, </w:t>
      </w:r>
      <w:r w:rsidR="004F0845" w:rsidRPr="00E33A89">
        <w:t>the Department of Defense</w:t>
      </w:r>
      <w:r w:rsidR="00E616F4" w:rsidRPr="00E33A89">
        <w:t xml:space="preserve"> provided time</w:t>
      </w:r>
      <w:r w:rsidR="00E616F4" w:rsidRPr="00E33A89">
        <w:rPr>
          <w:spacing w:val="20"/>
        </w:rPr>
        <w:t>-</w:t>
      </w:r>
      <w:r w:rsidR="00E616F4" w:rsidRPr="00E33A89">
        <w:t>phased</w:t>
      </w:r>
      <w:r w:rsidR="00E616F4" w:rsidRPr="00E33A89">
        <w:rPr>
          <w:spacing w:val="42"/>
        </w:rPr>
        <w:t xml:space="preserve"> </w:t>
      </w:r>
      <w:r w:rsidR="00E616F4" w:rsidRPr="00E33A89">
        <w:t>implementation</w:t>
      </w:r>
      <w:r w:rsidR="00E616F4" w:rsidRPr="00E33A89">
        <w:rPr>
          <w:spacing w:val="50"/>
        </w:rPr>
        <w:t xml:space="preserve"> </w:t>
      </w:r>
      <w:r w:rsidR="00E616F4" w:rsidRPr="00E33A89">
        <w:t>guidance</w:t>
      </w:r>
      <w:r w:rsidR="00E616F4" w:rsidRPr="00E33A89">
        <w:rPr>
          <w:spacing w:val="33"/>
        </w:rPr>
        <w:t xml:space="preserve"> </w:t>
      </w:r>
      <w:r w:rsidR="00E616F4" w:rsidRPr="00E33A89">
        <w:t>for</w:t>
      </w:r>
      <w:r w:rsidR="00E616F4" w:rsidRPr="00E33A89">
        <w:rPr>
          <w:w w:val="101"/>
        </w:rPr>
        <w:t xml:space="preserve"> </w:t>
      </w:r>
      <w:r w:rsidR="00E616F4" w:rsidRPr="00E33A89">
        <w:t>input</w:t>
      </w:r>
      <w:r w:rsidR="00E616F4" w:rsidRPr="00E33A89">
        <w:rPr>
          <w:spacing w:val="15"/>
        </w:rPr>
        <w:t xml:space="preserve"> </w:t>
      </w:r>
      <w:r w:rsidR="00E616F4" w:rsidRPr="00E33A89">
        <w:t>of</w:t>
      </w:r>
      <w:r w:rsidR="00E616F4" w:rsidRPr="00E33A89">
        <w:rPr>
          <w:spacing w:val="6"/>
        </w:rPr>
        <w:t xml:space="preserve"> </w:t>
      </w:r>
      <w:r w:rsidR="00E616F4" w:rsidRPr="00E33A89">
        <w:t>contractor</w:t>
      </w:r>
      <w:r w:rsidR="00E616F4" w:rsidRPr="00E33A89">
        <w:rPr>
          <w:spacing w:val="28"/>
        </w:rPr>
        <w:t xml:space="preserve"> </w:t>
      </w:r>
      <w:r w:rsidR="00E616F4" w:rsidRPr="00E33A89">
        <w:t>data</w:t>
      </w:r>
      <w:r w:rsidR="00E616F4" w:rsidRPr="00E33A89">
        <w:rPr>
          <w:spacing w:val="19"/>
        </w:rPr>
        <w:t xml:space="preserve"> </w:t>
      </w:r>
      <w:r w:rsidR="00E616F4" w:rsidRPr="00E33A89">
        <w:t>into</w:t>
      </w:r>
      <w:r w:rsidR="00E616F4" w:rsidRPr="00E33A89">
        <w:rPr>
          <w:spacing w:val="22"/>
        </w:rPr>
        <w:t xml:space="preserve"> </w:t>
      </w:r>
      <w:r w:rsidR="00E616F4" w:rsidRPr="00E33A89">
        <w:t>SPOT such that all</w:t>
      </w:r>
      <w:r w:rsidR="00E616F4" w:rsidRPr="00E33A89">
        <w:rPr>
          <w:spacing w:val="21"/>
        </w:rPr>
        <w:t xml:space="preserve"> </w:t>
      </w:r>
      <w:r w:rsidR="00E616F4" w:rsidRPr="00E33A89">
        <w:t>contractors</w:t>
      </w:r>
      <w:r w:rsidR="00E616F4" w:rsidRPr="00E33A89">
        <w:rPr>
          <w:spacing w:val="31"/>
        </w:rPr>
        <w:t xml:space="preserve"> </w:t>
      </w:r>
      <w:r w:rsidR="00E616F4" w:rsidRPr="00E33A89">
        <w:lastRenderedPageBreak/>
        <w:t>employed</w:t>
      </w:r>
      <w:r w:rsidR="00E616F4" w:rsidRPr="00E33A89">
        <w:rPr>
          <w:spacing w:val="33"/>
        </w:rPr>
        <w:t xml:space="preserve"> </w:t>
      </w:r>
      <w:r w:rsidR="00E616F4" w:rsidRPr="00E33A89">
        <w:t>on</w:t>
      </w:r>
      <w:r w:rsidR="00E616F4" w:rsidRPr="00E33A89">
        <w:rPr>
          <w:spacing w:val="1"/>
        </w:rPr>
        <w:t xml:space="preserve"> </w:t>
      </w:r>
      <w:r w:rsidR="00E616F4" w:rsidRPr="00E33A89">
        <w:t>DoD-funded</w:t>
      </w:r>
      <w:r w:rsidR="00E616F4" w:rsidRPr="00E33A89">
        <w:rPr>
          <w:spacing w:val="42"/>
        </w:rPr>
        <w:t xml:space="preserve"> </w:t>
      </w:r>
      <w:r w:rsidR="00E616F4" w:rsidRPr="00E33A89">
        <w:t>contracts</w:t>
      </w:r>
      <w:r w:rsidR="00E616F4" w:rsidRPr="00E33A89">
        <w:rPr>
          <w:spacing w:val="16"/>
        </w:rPr>
        <w:t xml:space="preserve"> </w:t>
      </w:r>
      <w:r w:rsidR="00E616F4" w:rsidRPr="00E33A89">
        <w:t>being</w:t>
      </w:r>
      <w:r w:rsidR="00E616F4" w:rsidRPr="00E33A89">
        <w:rPr>
          <w:spacing w:val="12"/>
        </w:rPr>
        <w:t xml:space="preserve"> </w:t>
      </w:r>
      <w:r w:rsidR="00E616F4" w:rsidRPr="00E33A89">
        <w:t>performed</w:t>
      </w:r>
      <w:r w:rsidR="00E616F4" w:rsidRPr="00E33A89">
        <w:rPr>
          <w:spacing w:val="40"/>
        </w:rPr>
        <w:t xml:space="preserve"> </w:t>
      </w:r>
      <w:r w:rsidR="00E616F4" w:rsidRPr="00E33A89">
        <w:t>in</w:t>
      </w:r>
      <w:r w:rsidR="00E616F4" w:rsidRPr="00E33A89">
        <w:rPr>
          <w:w w:val="103"/>
        </w:rPr>
        <w:t xml:space="preserve"> </w:t>
      </w:r>
      <w:r w:rsidR="00E616F4" w:rsidRPr="00E33A89">
        <w:t>support</w:t>
      </w:r>
      <w:r w:rsidR="00E616F4" w:rsidRPr="00E33A89">
        <w:rPr>
          <w:spacing w:val="19"/>
        </w:rPr>
        <w:t xml:space="preserve"> </w:t>
      </w:r>
      <w:r w:rsidR="00E616F4" w:rsidRPr="00E33A89">
        <w:t>of</w:t>
      </w:r>
      <w:r w:rsidR="00E616F4" w:rsidRPr="00E33A89">
        <w:rPr>
          <w:spacing w:val="8"/>
        </w:rPr>
        <w:t xml:space="preserve"> </w:t>
      </w:r>
      <w:r w:rsidR="00E616F4" w:rsidRPr="00E33A89">
        <w:t>contingency</w:t>
      </w:r>
      <w:r w:rsidR="00E616F4" w:rsidRPr="00E33A89">
        <w:rPr>
          <w:spacing w:val="30"/>
        </w:rPr>
        <w:t xml:space="preserve"> </w:t>
      </w:r>
      <w:r w:rsidR="00E616F4" w:rsidRPr="00E33A89">
        <w:t>operations</w:t>
      </w:r>
      <w:r w:rsidR="00E616F4" w:rsidRPr="00E33A89">
        <w:rPr>
          <w:spacing w:val="33"/>
        </w:rPr>
        <w:t xml:space="preserve"> </w:t>
      </w:r>
      <w:r w:rsidR="00E616F4" w:rsidRPr="00E33A89">
        <w:t>anywhere</w:t>
      </w:r>
      <w:r w:rsidR="00E616F4" w:rsidRPr="00E33A89">
        <w:rPr>
          <w:spacing w:val="26"/>
        </w:rPr>
        <w:t xml:space="preserve"> </w:t>
      </w:r>
      <w:r w:rsidR="00E616F4" w:rsidRPr="00E33A89">
        <w:t>in</w:t>
      </w:r>
      <w:r w:rsidR="00E616F4" w:rsidRPr="00E33A89">
        <w:rPr>
          <w:spacing w:val="10"/>
        </w:rPr>
        <w:t xml:space="preserve"> </w:t>
      </w:r>
      <w:r w:rsidR="00E616F4" w:rsidRPr="00E33A89">
        <w:t>the</w:t>
      </w:r>
      <w:r w:rsidR="00E616F4" w:rsidRPr="00E33A89">
        <w:rPr>
          <w:spacing w:val="6"/>
        </w:rPr>
        <w:t xml:space="preserve"> </w:t>
      </w:r>
      <w:r w:rsidR="00E616F4" w:rsidRPr="00E33A89">
        <w:t>world</w:t>
      </w:r>
      <w:r w:rsidR="00E616F4" w:rsidRPr="00E33A89">
        <w:rPr>
          <w:spacing w:val="31"/>
        </w:rPr>
        <w:t xml:space="preserve"> </w:t>
      </w:r>
      <w:r w:rsidR="00E616F4" w:rsidRPr="00E33A89">
        <w:t>be entered into SPOT</w:t>
      </w:r>
      <w:r w:rsidR="00E846A2" w:rsidRPr="00E33A89">
        <w:t xml:space="preserve"> by</w:t>
      </w:r>
      <w:r w:rsidR="00E846A2" w:rsidRPr="00E33A89">
        <w:rPr>
          <w:spacing w:val="25"/>
        </w:rPr>
        <w:t xml:space="preserve"> </w:t>
      </w:r>
      <w:r w:rsidR="00E846A2" w:rsidRPr="00E33A89">
        <w:t>30</w:t>
      </w:r>
      <w:r w:rsidR="00E846A2" w:rsidRPr="00E33A89">
        <w:rPr>
          <w:spacing w:val="18"/>
        </w:rPr>
        <w:t xml:space="preserve"> </w:t>
      </w:r>
      <w:r w:rsidR="00E846A2" w:rsidRPr="00E33A89">
        <w:t>September</w:t>
      </w:r>
      <w:r w:rsidR="00E846A2" w:rsidRPr="00E33A89">
        <w:rPr>
          <w:spacing w:val="11"/>
        </w:rPr>
        <w:t xml:space="preserve"> </w:t>
      </w:r>
      <w:r w:rsidR="00E846A2" w:rsidRPr="00E33A89">
        <w:t>2008 and continuing thereafter</w:t>
      </w:r>
      <w:r w:rsidR="00E616F4" w:rsidRPr="00E33A89">
        <w:t xml:space="preserve">.  </w:t>
      </w:r>
      <w:proofErr w:type="gramStart"/>
      <w:r w:rsidR="00813D1D" w:rsidRPr="00E33A89">
        <w:t>ASA(</w:t>
      </w:r>
      <w:proofErr w:type="gramEnd"/>
      <w:r w:rsidR="00813D1D" w:rsidRPr="00E33A89">
        <w:t>ALT) uses this application so that they have a single source for visibility of all their deployed</w:t>
      </w:r>
      <w:r w:rsidR="00E616F4" w:rsidRPr="00E33A89">
        <w:t xml:space="preserve"> personnel</w:t>
      </w:r>
      <w:r w:rsidR="00813D1D" w:rsidRPr="00E33A89">
        <w:t xml:space="preserve"> assets</w:t>
      </w:r>
      <w:r w:rsidR="00A10433" w:rsidRPr="00E33A89">
        <w:t xml:space="preserve"> (military, DoD civilians and contractors)</w:t>
      </w:r>
      <w:r w:rsidR="00813D1D" w:rsidRPr="00E33A89">
        <w:t xml:space="preserve">.  </w:t>
      </w:r>
      <w:r w:rsidR="00372E7A" w:rsidRPr="00E33A89">
        <w:t xml:space="preserve"> </w:t>
      </w:r>
      <w:r w:rsidR="00E846A2" w:rsidRPr="00E33A89">
        <w:t xml:space="preserve"> </w:t>
      </w:r>
    </w:p>
    <w:p w14:paraId="0A74D271" w14:textId="083F0F69" w:rsidR="0039442F" w:rsidRPr="00E33A89" w:rsidRDefault="0039442F" w:rsidP="0039442F">
      <w:pPr>
        <w:autoSpaceDE w:val="0"/>
        <w:autoSpaceDN w:val="0"/>
        <w:adjustRightInd w:val="0"/>
        <w:ind w:firstLine="720"/>
      </w:pPr>
    </w:p>
    <w:p w14:paraId="1BC9DA6D" w14:textId="14F7EF32" w:rsidR="005424FA" w:rsidRPr="00E33A89" w:rsidRDefault="00372E7A" w:rsidP="00370DDD">
      <w:pPr>
        <w:autoSpaceDE w:val="0"/>
        <w:autoSpaceDN w:val="0"/>
        <w:adjustRightInd w:val="0"/>
        <w:ind w:firstLine="720"/>
      </w:pPr>
      <w:r w:rsidRPr="00E33A89">
        <w:t xml:space="preserve">Once deployed, contractors present their </w:t>
      </w:r>
      <w:r w:rsidR="00DE62A2" w:rsidRPr="00E33A89">
        <w:t xml:space="preserve">Common Access Card (CAC) or </w:t>
      </w:r>
      <w:r w:rsidRPr="00E33A89">
        <w:t xml:space="preserve">LOA at JAMMS workstations </w:t>
      </w:r>
      <w:r w:rsidR="00DE62A2" w:rsidRPr="00E33A89">
        <w:t>for scanning.  Military and civilians also scan their CACs for access to dining facilities</w:t>
      </w:r>
      <w:r w:rsidR="00C113E1" w:rsidRPr="00E33A89">
        <w:t xml:space="preserve"> and at other locations</w:t>
      </w:r>
      <w:r w:rsidR="00DE62A2" w:rsidRPr="00E33A89">
        <w:t xml:space="preserve">.  </w:t>
      </w:r>
      <w:r w:rsidR="00C113E1" w:rsidRPr="00E33A89">
        <w:t xml:space="preserve">The JAMMS workstation </w:t>
      </w:r>
      <w:r w:rsidR="00370DDD" w:rsidRPr="00E33A89">
        <w:t xml:space="preserve">records the date and time that </w:t>
      </w:r>
      <w:r w:rsidR="00DE62A2" w:rsidRPr="00E33A89">
        <w:t xml:space="preserve">the specific individual is at a certain location consuming associated government services, e.g., meals, flights, or billeting.  This information is also fed into the unclassified SPOT </w:t>
      </w:r>
      <w:r w:rsidR="00E76885" w:rsidRPr="00E33A89">
        <w:t xml:space="preserve">system </w:t>
      </w:r>
      <w:r w:rsidR="00DE62A2" w:rsidRPr="00E33A89">
        <w:t xml:space="preserve">where it is stored until the interface with DEERS/RAPIDS is activated (several times daily).  This process feeds the unique DoD ID number on each scanned CAC </w:t>
      </w:r>
      <w:r w:rsidR="006851EF" w:rsidRPr="00E33A89">
        <w:t>to</w:t>
      </w:r>
      <w:r w:rsidR="00DE62A2" w:rsidRPr="00E33A89">
        <w:t xml:space="preserve"> DEERS/RAPIDS </w:t>
      </w:r>
      <w:r w:rsidR="006851EF" w:rsidRPr="00E33A89">
        <w:t xml:space="preserve">which </w:t>
      </w:r>
      <w:proofErr w:type="gramStart"/>
      <w:r w:rsidR="00DE62A2" w:rsidRPr="00E33A89">
        <w:t>returns</w:t>
      </w:r>
      <w:proofErr w:type="gramEnd"/>
      <w:r w:rsidR="00DE62A2" w:rsidRPr="00E33A89">
        <w:t xml:space="preserve"> person</w:t>
      </w:r>
      <w:r w:rsidR="006851EF" w:rsidRPr="00E33A89">
        <w:t>ally identifiable</w:t>
      </w:r>
      <w:r w:rsidR="00DE62A2" w:rsidRPr="00E33A89">
        <w:t xml:space="preserve"> information</w:t>
      </w:r>
      <w:r w:rsidR="006851EF" w:rsidRPr="00E33A89">
        <w:t xml:space="preserve"> (PII)</w:t>
      </w:r>
      <w:r w:rsidR="00DE62A2" w:rsidRPr="00E33A89">
        <w:t>, e.</w:t>
      </w:r>
      <w:r w:rsidR="006851EF" w:rsidRPr="00E33A89">
        <w:t>g.</w:t>
      </w:r>
      <w:r w:rsidR="00DE62A2" w:rsidRPr="00E33A89">
        <w:t xml:space="preserve">, name and </w:t>
      </w:r>
      <w:r w:rsidR="006851EF" w:rsidRPr="00E33A89">
        <w:t xml:space="preserve">SSN to either build or </w:t>
      </w:r>
      <w:r w:rsidR="00DE62A2" w:rsidRPr="00E33A89">
        <w:t xml:space="preserve">append </w:t>
      </w:r>
      <w:r w:rsidR="006851EF" w:rsidRPr="00E33A89">
        <w:t xml:space="preserve">an existing </w:t>
      </w:r>
      <w:r w:rsidR="00DE62A2" w:rsidRPr="00E33A89">
        <w:t>person record</w:t>
      </w:r>
      <w:r w:rsidR="00370DDD" w:rsidRPr="00E33A89">
        <w:t xml:space="preserve"> and </w:t>
      </w:r>
      <w:r w:rsidR="007314A6" w:rsidRPr="00E33A89">
        <w:t>log the specific date and time the individual transited the JAMMS location</w:t>
      </w:r>
      <w:r w:rsidR="006851EF" w:rsidRPr="00E33A89">
        <w:t xml:space="preserve">.  </w:t>
      </w:r>
      <w:r w:rsidR="00E76885" w:rsidRPr="00E33A89">
        <w:t>T</w:t>
      </w:r>
      <w:r w:rsidR="007314A6" w:rsidRPr="00E33A89">
        <w:t>his</w:t>
      </w:r>
      <w:r w:rsidR="006851EF" w:rsidRPr="00E33A89">
        <w:t xml:space="preserve"> information is </w:t>
      </w:r>
      <w:r w:rsidR="007314A6" w:rsidRPr="00E33A89">
        <w:t xml:space="preserve">also </w:t>
      </w:r>
      <w:r w:rsidR="00DE62A2" w:rsidRPr="00E33A89">
        <w:t xml:space="preserve">transferred to the classified network and stored in the SPOT </w:t>
      </w:r>
      <w:r w:rsidR="007314A6" w:rsidRPr="00E33A89">
        <w:t xml:space="preserve">SIPR </w:t>
      </w:r>
      <w:r w:rsidR="00DE62A2" w:rsidRPr="00E33A89">
        <w:t>database.  TOPSS provides reports to authorized government users for planning and analysis.</w:t>
      </w:r>
      <w:r w:rsidR="009115A9" w:rsidRPr="00E33A89">
        <w:t xml:space="preserve">  </w:t>
      </w:r>
      <w:r w:rsidR="007314A6" w:rsidRPr="00E33A89">
        <w:t>It is not currently accessible by contractor company representatives.  Of</w:t>
      </w:r>
      <w:r w:rsidR="009115A9" w:rsidRPr="00E33A89">
        <w:t xml:space="preserve">ficial notification </w:t>
      </w:r>
      <w:r w:rsidR="007314A6" w:rsidRPr="00E33A89">
        <w:t xml:space="preserve">for the information collection </w:t>
      </w:r>
      <w:r w:rsidR="009115A9" w:rsidRPr="00E33A89">
        <w:t xml:space="preserve">is </w:t>
      </w:r>
      <w:r w:rsidR="007314A6" w:rsidRPr="00E33A89">
        <w:t xml:space="preserve">not </w:t>
      </w:r>
      <w:r w:rsidR="009115A9" w:rsidRPr="00E33A89">
        <w:t>sent to the respondents.  Applicable contracts contain DFARS Clause 252.225</w:t>
      </w:r>
      <w:r w:rsidR="005424FA" w:rsidRPr="00E33A89">
        <w:t>-</w:t>
      </w:r>
      <w:r w:rsidR="009115A9" w:rsidRPr="00E33A89">
        <w:t xml:space="preserve">7040, which </w:t>
      </w:r>
      <w:r w:rsidR="007314A6" w:rsidRPr="00E33A89">
        <w:t xml:space="preserve">prompts the companies to respond.  This clause </w:t>
      </w:r>
      <w:r w:rsidR="009115A9" w:rsidRPr="00E33A89">
        <w:t xml:space="preserve">will be provided as part of the OMB Package.  The 2004 </w:t>
      </w:r>
      <w:proofErr w:type="gramStart"/>
      <w:r w:rsidR="009115A9" w:rsidRPr="00E33A89">
        <w:t>ASA(</w:t>
      </w:r>
      <w:proofErr w:type="gramEnd"/>
      <w:r w:rsidR="009115A9" w:rsidRPr="00E33A89">
        <w:t>ALT) Memo</w:t>
      </w:r>
      <w:r w:rsidR="00E76885" w:rsidRPr="00E33A89">
        <w:t>randum</w:t>
      </w:r>
      <w:r w:rsidR="009115A9" w:rsidRPr="00E33A89">
        <w:t xml:space="preserve"> requiring the use of SPOT will also be in the OMB Package.</w:t>
      </w:r>
    </w:p>
    <w:p w14:paraId="29CD408B" w14:textId="77777777" w:rsidR="005E0A0F" w:rsidRPr="00E33A89" w:rsidRDefault="005E0A0F" w:rsidP="005E0A0F">
      <w:pPr>
        <w:pStyle w:val="NormalWeb"/>
        <w:spacing w:line="288" w:lineRule="atLeast"/>
        <w:ind w:firstLine="900"/>
        <w:rPr>
          <w:u w:val="single"/>
        </w:rPr>
      </w:pPr>
      <w:r w:rsidRPr="00E33A89">
        <w:t xml:space="preserve">3.  </w:t>
      </w:r>
      <w:r w:rsidRPr="00E33A89">
        <w:rPr>
          <w:u w:val="single"/>
        </w:rPr>
        <w:t>Use of Information Technology</w:t>
      </w:r>
    </w:p>
    <w:p w14:paraId="58345A1B" w14:textId="1F654F6C" w:rsidR="00133C45" w:rsidRPr="00E33A89" w:rsidRDefault="007A6603" w:rsidP="008A76CF">
      <w:pPr>
        <w:pStyle w:val="BodyText"/>
        <w:ind w:firstLine="720"/>
      </w:pPr>
      <w:r w:rsidRPr="00E33A89">
        <w:rPr>
          <w:szCs w:val="24"/>
        </w:rPr>
        <w:t>SPOT is a Web-based system.  100% of the information is collected electronically.</w:t>
      </w:r>
    </w:p>
    <w:p w14:paraId="02C219C7" w14:textId="77777777" w:rsidR="00BF1B29" w:rsidRPr="00E33A89" w:rsidRDefault="005E0A0F" w:rsidP="00BF1B29">
      <w:pPr>
        <w:pStyle w:val="NormalWeb"/>
        <w:spacing w:line="288" w:lineRule="atLeast"/>
        <w:ind w:firstLine="900"/>
        <w:rPr>
          <w:u w:val="single"/>
        </w:rPr>
      </w:pPr>
      <w:r w:rsidRPr="00E33A89">
        <w:t xml:space="preserve">4.  </w:t>
      </w:r>
      <w:r w:rsidRPr="00E33A89">
        <w:rPr>
          <w:u w:val="single"/>
        </w:rPr>
        <w:t>Non-duplication</w:t>
      </w:r>
    </w:p>
    <w:p w14:paraId="66D0ADC4" w14:textId="65EF938E" w:rsidR="007E710E" w:rsidRPr="00E33A89" w:rsidRDefault="00E0630E" w:rsidP="008A76CF">
      <w:pPr>
        <w:pStyle w:val="BodyText"/>
        <w:ind w:firstLine="720"/>
      </w:pPr>
      <w:r w:rsidRPr="00E33A89">
        <w:rPr>
          <w:szCs w:val="24"/>
        </w:rPr>
        <w:t xml:space="preserve">There is no duplication of data collection. </w:t>
      </w:r>
      <w:r w:rsidR="00D64EB6" w:rsidRPr="00E33A89">
        <w:rPr>
          <w:szCs w:val="24"/>
        </w:rPr>
        <w:t xml:space="preserve"> </w:t>
      </w:r>
      <w:r w:rsidR="007E54E5" w:rsidRPr="00E33A89">
        <w:rPr>
          <w:szCs w:val="24"/>
        </w:rPr>
        <w:t>SPOT</w:t>
      </w:r>
      <w:r w:rsidRPr="00E33A89">
        <w:rPr>
          <w:szCs w:val="24"/>
        </w:rPr>
        <w:t xml:space="preserve"> is the </w:t>
      </w:r>
      <w:r w:rsidR="0016193B" w:rsidRPr="00E33A89">
        <w:rPr>
          <w:szCs w:val="24"/>
        </w:rPr>
        <w:t>authoritative contract and</w:t>
      </w:r>
      <w:r w:rsidR="007E54E5" w:rsidRPr="00E33A89">
        <w:rPr>
          <w:szCs w:val="24"/>
        </w:rPr>
        <w:t xml:space="preserve"> contractor database that was designated as the central repository for contract and</w:t>
      </w:r>
      <w:r w:rsidRPr="00E33A89">
        <w:rPr>
          <w:szCs w:val="24"/>
        </w:rPr>
        <w:t xml:space="preserve"> contractor data by </w:t>
      </w:r>
      <w:proofErr w:type="gramStart"/>
      <w:r w:rsidRPr="00E33A89">
        <w:rPr>
          <w:szCs w:val="24"/>
        </w:rPr>
        <w:t>DoD</w:t>
      </w:r>
      <w:proofErr w:type="gramEnd"/>
      <w:r w:rsidRPr="00E33A89">
        <w:rPr>
          <w:szCs w:val="24"/>
        </w:rPr>
        <w:t xml:space="preserve">, </w:t>
      </w:r>
      <w:proofErr w:type="spellStart"/>
      <w:r w:rsidRPr="00E33A89">
        <w:rPr>
          <w:szCs w:val="24"/>
        </w:rPr>
        <w:t>DoS</w:t>
      </w:r>
      <w:proofErr w:type="spellEnd"/>
      <w:r w:rsidRPr="00E33A89">
        <w:rPr>
          <w:szCs w:val="24"/>
        </w:rPr>
        <w:t xml:space="preserve"> and USAID for </w:t>
      </w:r>
      <w:r w:rsidR="007E54E5" w:rsidRPr="00E33A89">
        <w:rPr>
          <w:szCs w:val="24"/>
        </w:rPr>
        <w:t>Iraq and Afghanistan contingencies</w:t>
      </w:r>
      <w:r w:rsidR="0016193B" w:rsidRPr="00E33A89">
        <w:rPr>
          <w:szCs w:val="24"/>
        </w:rPr>
        <w:t xml:space="preserve"> as soon as the requirement was identified</w:t>
      </w:r>
      <w:r w:rsidR="007E54E5" w:rsidRPr="00E33A89">
        <w:rPr>
          <w:szCs w:val="24"/>
        </w:rPr>
        <w:t>.  SPOT was then leveraged to collect similar information for other countries, geographic Combatant Commands and other federal agencies specifically to avoid the cost and resources required to develop, populate and maintain separate data repositories for similar data collection purposes.  SPOT shares the data it houses with other authoritative sources to reduce the likelihood of duplicate burdens of collection and reconciling information from more than a single source.</w:t>
      </w:r>
    </w:p>
    <w:p w14:paraId="6EA71F60" w14:textId="77777777" w:rsidR="005E0A0F" w:rsidRPr="00E33A89" w:rsidRDefault="005E0A0F" w:rsidP="005E0A0F">
      <w:pPr>
        <w:pStyle w:val="NormalWeb"/>
        <w:spacing w:line="288" w:lineRule="atLeast"/>
        <w:ind w:firstLine="900"/>
        <w:rPr>
          <w:u w:val="single"/>
        </w:rPr>
      </w:pPr>
      <w:bookmarkStart w:id="2" w:name="cp440"/>
      <w:r w:rsidRPr="00E33A89">
        <w:t xml:space="preserve">5.  </w:t>
      </w:r>
      <w:r w:rsidRPr="00E33A89">
        <w:rPr>
          <w:u w:val="single"/>
        </w:rPr>
        <w:t>Burden on Small Business</w:t>
      </w:r>
    </w:p>
    <w:p w14:paraId="1C6BAAA7" w14:textId="1C3F0C26" w:rsidR="00E0630E" w:rsidRPr="00E33A89" w:rsidRDefault="00E0630E" w:rsidP="00E0630E">
      <w:pPr>
        <w:pStyle w:val="BodyText"/>
        <w:ind w:firstLine="720"/>
        <w:rPr>
          <w:szCs w:val="24"/>
        </w:rPr>
      </w:pPr>
      <w:r w:rsidRPr="00E33A89">
        <w:rPr>
          <w:szCs w:val="24"/>
        </w:rPr>
        <w:t>The information collection associated with small businesses is the minimum co</w:t>
      </w:r>
      <w:r w:rsidR="00E0584C" w:rsidRPr="00E33A89">
        <w:rPr>
          <w:szCs w:val="24"/>
        </w:rPr>
        <w:t>nsistent with applicable laws, e</w:t>
      </w:r>
      <w:r w:rsidRPr="00E33A89">
        <w:rPr>
          <w:szCs w:val="24"/>
        </w:rPr>
        <w:t>xecutive orders, regulations, and prudent business practices</w:t>
      </w:r>
      <w:r w:rsidR="00941CCE" w:rsidRPr="00E33A89">
        <w:rPr>
          <w:szCs w:val="24"/>
        </w:rPr>
        <w:t>.  In accordance with best business practices, this data collection does allow for company administrators working for the prime contractor to enter the data into SPOT for such small businesses that are their sub-contractors</w:t>
      </w:r>
      <w:r w:rsidRPr="00E33A89">
        <w:rPr>
          <w:szCs w:val="24"/>
        </w:rPr>
        <w:t xml:space="preserve">. </w:t>
      </w:r>
      <w:r w:rsidR="00E0584C" w:rsidRPr="00E33A89">
        <w:rPr>
          <w:szCs w:val="24"/>
        </w:rPr>
        <w:t xml:space="preserve"> </w:t>
      </w:r>
    </w:p>
    <w:p w14:paraId="7D94E336" w14:textId="77777777" w:rsidR="0016193B" w:rsidRPr="00E33A89" w:rsidRDefault="0016193B" w:rsidP="00E0630E">
      <w:pPr>
        <w:pStyle w:val="BodyText"/>
        <w:ind w:firstLine="720"/>
        <w:rPr>
          <w:szCs w:val="24"/>
        </w:rPr>
      </w:pPr>
    </w:p>
    <w:bookmarkEnd w:id="2"/>
    <w:p w14:paraId="697E770C" w14:textId="77777777" w:rsidR="005E0A0F" w:rsidRPr="00E33A89" w:rsidRDefault="005E0A0F" w:rsidP="005E0A0F">
      <w:pPr>
        <w:pStyle w:val="NormalWeb"/>
        <w:spacing w:line="288" w:lineRule="atLeast"/>
        <w:ind w:firstLine="900"/>
        <w:rPr>
          <w:u w:val="single"/>
        </w:rPr>
      </w:pPr>
      <w:r w:rsidRPr="00E33A89">
        <w:lastRenderedPageBreak/>
        <w:t xml:space="preserve">6.  </w:t>
      </w:r>
      <w:r w:rsidRPr="00E33A89">
        <w:rPr>
          <w:u w:val="single"/>
        </w:rPr>
        <w:t>Less Frequent Collection</w:t>
      </w:r>
    </w:p>
    <w:p w14:paraId="33A9F1E9" w14:textId="77777777" w:rsidR="00B529DE" w:rsidRPr="00E33A89" w:rsidRDefault="008F71C2" w:rsidP="00A8326F">
      <w:pPr>
        <w:pStyle w:val="BodyText"/>
        <w:ind w:firstLine="720"/>
        <w:rPr>
          <w:szCs w:val="24"/>
        </w:rPr>
      </w:pPr>
      <w:r w:rsidRPr="00E33A89">
        <w:rPr>
          <w:szCs w:val="24"/>
        </w:rPr>
        <w:t>The data is collected one-time for each deploying contractor</w:t>
      </w:r>
      <w:r w:rsidR="00DE1556" w:rsidRPr="00E33A89">
        <w:rPr>
          <w:szCs w:val="24"/>
        </w:rPr>
        <w:t xml:space="preserve"> for each deployment</w:t>
      </w:r>
      <w:r w:rsidRPr="00E33A89">
        <w:rPr>
          <w:szCs w:val="24"/>
        </w:rPr>
        <w:t>.  As the situation regarding their deployment changes, the record is updated until the individual re-deploys</w:t>
      </w:r>
      <w:r w:rsidR="00D15813" w:rsidRPr="00E33A89">
        <w:rPr>
          <w:szCs w:val="24"/>
        </w:rPr>
        <w:t>, i.e., leaves the area of operations</w:t>
      </w:r>
      <w:r w:rsidRPr="00E33A89">
        <w:rPr>
          <w:szCs w:val="24"/>
        </w:rPr>
        <w:t>.  All information is collected electronically to reduce the burden of maintaining paper copies</w:t>
      </w:r>
      <w:r w:rsidR="00941CCE" w:rsidRPr="00E33A89">
        <w:rPr>
          <w:szCs w:val="24"/>
        </w:rPr>
        <w:t xml:space="preserve"> in accordance with Pub</w:t>
      </w:r>
      <w:r w:rsidR="00DD41FA" w:rsidRPr="00E33A89">
        <w:rPr>
          <w:szCs w:val="24"/>
        </w:rPr>
        <w:t>lic Law</w:t>
      </w:r>
      <w:r w:rsidR="00941CCE" w:rsidRPr="00E33A89">
        <w:rPr>
          <w:szCs w:val="24"/>
        </w:rPr>
        <w:t xml:space="preserve"> 96-511, </w:t>
      </w:r>
      <w:r w:rsidR="00DD41FA" w:rsidRPr="00E33A89">
        <w:rPr>
          <w:szCs w:val="24"/>
        </w:rPr>
        <w:t xml:space="preserve">Section </w:t>
      </w:r>
      <w:r w:rsidR="00941CCE" w:rsidRPr="00E33A89">
        <w:rPr>
          <w:szCs w:val="24"/>
        </w:rPr>
        <w:t>94 Stat</w:t>
      </w:r>
      <w:r w:rsidR="00DD41FA" w:rsidRPr="00E33A89">
        <w:rPr>
          <w:szCs w:val="24"/>
        </w:rPr>
        <w:t>ute</w:t>
      </w:r>
      <w:r w:rsidR="00941CCE" w:rsidRPr="00E33A89">
        <w:rPr>
          <w:szCs w:val="24"/>
        </w:rPr>
        <w:t xml:space="preserve"> 2812</w:t>
      </w:r>
      <w:r w:rsidRPr="00E33A89">
        <w:rPr>
          <w:szCs w:val="24"/>
        </w:rPr>
        <w:t xml:space="preserve">.  </w:t>
      </w:r>
      <w:r w:rsidR="006F5422" w:rsidRPr="00E33A89">
        <w:rPr>
          <w:szCs w:val="24"/>
        </w:rPr>
        <w:t>If this data is not collected</w:t>
      </w:r>
      <w:r w:rsidRPr="00E33A89">
        <w:rPr>
          <w:szCs w:val="24"/>
        </w:rPr>
        <w:t xml:space="preserve"> and updated there is a risk that contractor personnel will be without the ability to obtain life support or personnel recovery services when placed in harm’s way.  </w:t>
      </w:r>
    </w:p>
    <w:p w14:paraId="19B2365D" w14:textId="77777777" w:rsidR="005E0A0F" w:rsidRPr="00E33A89" w:rsidRDefault="005E0A0F" w:rsidP="005E0A0F">
      <w:pPr>
        <w:pStyle w:val="NormalWeb"/>
        <w:spacing w:line="288" w:lineRule="atLeast"/>
        <w:ind w:firstLine="900"/>
        <w:rPr>
          <w:u w:val="single"/>
        </w:rPr>
      </w:pPr>
      <w:bookmarkStart w:id="3" w:name="cp444"/>
      <w:r w:rsidRPr="00E33A89">
        <w:t xml:space="preserve">7.  </w:t>
      </w:r>
      <w:r w:rsidRPr="00E33A89">
        <w:rPr>
          <w:u w:val="single"/>
        </w:rPr>
        <w:t>Paperwork Reduction Act Guidelines</w:t>
      </w:r>
    </w:p>
    <w:p w14:paraId="0B727549" w14:textId="57BF9795" w:rsidR="005326B8" w:rsidRPr="00E33A89" w:rsidRDefault="006F5422" w:rsidP="00DC025A">
      <w:pPr>
        <w:pStyle w:val="BodyText"/>
        <w:ind w:firstLine="720"/>
        <w:rPr>
          <w:szCs w:val="24"/>
        </w:rPr>
      </w:pPr>
      <w:r w:rsidRPr="00E33A89">
        <w:rPr>
          <w:szCs w:val="24"/>
        </w:rPr>
        <w:t>There are no special circumstances that require the collection to be conducted in a manner inconsistent with the guidelines in 5 CFR 1320.5 (d) (2).</w:t>
      </w:r>
      <w:r w:rsidR="00941CCE" w:rsidRPr="00E33A89">
        <w:rPr>
          <w:szCs w:val="24"/>
        </w:rPr>
        <w:t xml:space="preserve">  As stated in Paragraph 4, it avoids unnecessary duplication and as stated in Paragraph 5 it carries the least amount of burden on small companies.  </w:t>
      </w:r>
      <w:r w:rsidR="00DD41FA" w:rsidRPr="00E33A89">
        <w:rPr>
          <w:szCs w:val="24"/>
        </w:rPr>
        <w:t>This data collection</w:t>
      </w:r>
      <w:r w:rsidR="00941CCE" w:rsidRPr="00E33A89">
        <w:rPr>
          <w:szCs w:val="24"/>
        </w:rPr>
        <w:t xml:space="preserve"> is necessary for </w:t>
      </w:r>
      <w:r w:rsidR="00DD41FA" w:rsidRPr="00E33A89">
        <w:rPr>
          <w:szCs w:val="24"/>
        </w:rPr>
        <w:t xml:space="preserve">agencies to comply with Public Law 110-181, Sections 861 and 862 to properly perform their functions.  The National Archives and Records Administration </w:t>
      </w:r>
      <w:proofErr w:type="gramStart"/>
      <w:r w:rsidR="00DD41FA" w:rsidRPr="00E33A89">
        <w:rPr>
          <w:szCs w:val="24"/>
        </w:rPr>
        <w:t>has</w:t>
      </w:r>
      <w:proofErr w:type="gramEnd"/>
      <w:r w:rsidR="00DD41FA" w:rsidRPr="00E33A89">
        <w:rPr>
          <w:szCs w:val="24"/>
        </w:rPr>
        <w:t xml:space="preserve"> determined the</w:t>
      </w:r>
      <w:r w:rsidR="00941CCE" w:rsidRPr="00E33A89">
        <w:rPr>
          <w:szCs w:val="24"/>
        </w:rPr>
        <w:t xml:space="preserve"> retention periods for recordkeeping requirements</w:t>
      </w:r>
      <w:r w:rsidR="00DD41FA" w:rsidRPr="00E33A89">
        <w:rPr>
          <w:szCs w:val="24"/>
        </w:rPr>
        <w:t xml:space="preserve"> of the SPOT data collection as described in NARA N1-au-07-0005.</w:t>
      </w:r>
      <w:r w:rsidR="000501DB" w:rsidRPr="00E33A89">
        <w:rPr>
          <w:szCs w:val="24"/>
        </w:rPr>
        <w:t xml:space="preserve">  The office collecting the data makes appropriate use of information technology, continually enhancing performance to match IT advancements and defeat security vulnerabilities </w:t>
      </w:r>
      <w:r w:rsidR="008E3AB7" w:rsidRPr="00E33A89">
        <w:rPr>
          <w:szCs w:val="24"/>
        </w:rPr>
        <w:t>while</w:t>
      </w:r>
      <w:r w:rsidR="000501DB" w:rsidRPr="00E33A89">
        <w:rPr>
          <w:szCs w:val="24"/>
        </w:rPr>
        <w:t xml:space="preserve"> increasing functionality to meet customer and stakeholder requirements </w:t>
      </w:r>
      <w:r w:rsidR="008E3AB7" w:rsidRPr="00E33A89">
        <w:rPr>
          <w:szCs w:val="24"/>
        </w:rPr>
        <w:t>that will</w:t>
      </w:r>
      <w:r w:rsidR="000501DB" w:rsidRPr="00E33A89">
        <w:rPr>
          <w:szCs w:val="24"/>
        </w:rPr>
        <w:t xml:space="preserve"> enable rapid response to military operations and federal missions.</w:t>
      </w:r>
      <w:bookmarkStart w:id="4" w:name="cp446"/>
      <w:bookmarkEnd w:id="3"/>
    </w:p>
    <w:p w14:paraId="70F156CF" w14:textId="77777777" w:rsidR="005E0A0F" w:rsidRPr="00E33A89" w:rsidRDefault="005E0A0F" w:rsidP="005E0A0F">
      <w:pPr>
        <w:pStyle w:val="NormalWeb"/>
        <w:spacing w:line="288" w:lineRule="atLeast"/>
        <w:ind w:firstLine="900"/>
        <w:rPr>
          <w:u w:val="single"/>
        </w:rPr>
      </w:pPr>
      <w:r w:rsidRPr="00E33A89">
        <w:t xml:space="preserve">8.  </w:t>
      </w:r>
      <w:r w:rsidRPr="00E33A89">
        <w:rPr>
          <w:u w:val="single"/>
        </w:rPr>
        <w:t>Consultation and Public Comments</w:t>
      </w:r>
    </w:p>
    <w:p w14:paraId="57D0ED79" w14:textId="77777777" w:rsidR="00DC025A" w:rsidRPr="00E33A89" w:rsidRDefault="00DC025A" w:rsidP="00DC025A">
      <w:pPr>
        <w:pStyle w:val="NormalWeb"/>
        <w:numPr>
          <w:ilvl w:val="0"/>
          <w:numId w:val="21"/>
        </w:numPr>
        <w:spacing w:line="288" w:lineRule="atLeast"/>
      </w:pPr>
      <w:r w:rsidRPr="00E33A89">
        <w:t>Part A: PUBLIC NOTICE</w:t>
      </w:r>
    </w:p>
    <w:p w14:paraId="5456D990" w14:textId="77777777" w:rsidR="00F403EB" w:rsidRDefault="006F5422" w:rsidP="00F62AD2">
      <w:pPr>
        <w:ind w:firstLine="720"/>
      </w:pPr>
      <w:r w:rsidRPr="00E33A89">
        <w:t xml:space="preserve">The 60-day Federal Register notice </w:t>
      </w:r>
      <w:r w:rsidR="003A0A1A" w:rsidRPr="00E33A89">
        <w:t xml:space="preserve">was </w:t>
      </w:r>
      <w:r w:rsidRPr="00E33A89">
        <w:t xml:space="preserve">published </w:t>
      </w:r>
      <w:r w:rsidR="003A0A1A" w:rsidRPr="00E33A89">
        <w:t>May 24, 2016</w:t>
      </w:r>
      <w:r w:rsidR="005063BC" w:rsidRPr="00E33A89">
        <w:t xml:space="preserve"> </w:t>
      </w:r>
      <w:r w:rsidR="00F403EB">
        <w:t>in</w:t>
      </w:r>
      <w:r w:rsidR="005063BC" w:rsidRPr="00E33A89">
        <w:t xml:space="preserve"> 81 </w:t>
      </w:r>
      <w:r w:rsidR="00582D2F" w:rsidRPr="00E33A89">
        <w:t>FR</w:t>
      </w:r>
      <w:r w:rsidR="005063BC" w:rsidRPr="00E33A89">
        <w:t>N</w:t>
      </w:r>
      <w:r w:rsidR="00582D2F" w:rsidRPr="00E33A89">
        <w:t xml:space="preserve"> 32736</w:t>
      </w:r>
      <w:r w:rsidRPr="00E33A89">
        <w:t xml:space="preserve">.  </w:t>
      </w:r>
      <w:r w:rsidR="00955F28" w:rsidRPr="00E33A89">
        <w:t>N</w:t>
      </w:r>
      <w:r w:rsidRPr="00E33A89">
        <w:t xml:space="preserve">o comments </w:t>
      </w:r>
      <w:r w:rsidR="00582D2F" w:rsidRPr="00E33A89">
        <w:t>have been</w:t>
      </w:r>
      <w:r w:rsidRPr="00E33A89">
        <w:t xml:space="preserve"> received.</w:t>
      </w:r>
      <w:r w:rsidR="005063BC" w:rsidRPr="00E33A89">
        <w:t xml:space="preserve">  </w:t>
      </w:r>
      <w:r w:rsidR="00F403EB">
        <w:t xml:space="preserve">The 30-day Federal Register notice was published on November 9, 2016 in 81 FRN 78793. </w:t>
      </w:r>
    </w:p>
    <w:p w14:paraId="5341FED4" w14:textId="77777777" w:rsidR="00F403EB" w:rsidRDefault="00F403EB" w:rsidP="00F62AD2">
      <w:pPr>
        <w:ind w:firstLine="720"/>
      </w:pPr>
    </w:p>
    <w:p w14:paraId="759C499E" w14:textId="22E556DC" w:rsidR="00DC1218" w:rsidRPr="00E33A89" w:rsidRDefault="00EA482B" w:rsidP="00F62AD2">
      <w:pPr>
        <w:ind w:firstLine="720"/>
      </w:pPr>
      <w:bookmarkStart w:id="5" w:name="_GoBack"/>
      <w:bookmarkEnd w:id="5"/>
      <w:r w:rsidRPr="00E33A89">
        <w:t xml:space="preserve">Every quarter the data collected is provided to the respondents for review, comment and updating.  </w:t>
      </w:r>
      <w:r w:rsidR="005063BC" w:rsidRPr="00E33A89">
        <w:t xml:space="preserve">Requests for the data being collected are received on an ongoing basis from combatant commanders, law enforcement agencies, and private sector companies.  Standard reports are provided </w:t>
      </w:r>
      <w:r w:rsidRPr="00E33A89">
        <w:t xml:space="preserve">on routine and ad hoc schedules </w:t>
      </w:r>
      <w:r w:rsidR="005063BC" w:rsidRPr="00E33A89">
        <w:t>to federal agencies</w:t>
      </w:r>
      <w:r w:rsidRPr="00E33A89">
        <w:t xml:space="preserve">, </w:t>
      </w:r>
      <w:proofErr w:type="gramStart"/>
      <w:r w:rsidRPr="00E33A89">
        <w:t>DoD</w:t>
      </w:r>
      <w:proofErr w:type="gramEnd"/>
      <w:r w:rsidRPr="00E33A89">
        <w:t xml:space="preserve"> entities and companies who use SPOT-ES</w:t>
      </w:r>
      <w:r w:rsidR="005063BC" w:rsidRPr="00E33A89">
        <w:t>.  The SPOT</w:t>
      </w:r>
      <w:r w:rsidRPr="00E33A89">
        <w:t>-ES</w:t>
      </w:r>
      <w:r w:rsidR="005063BC" w:rsidRPr="00E33A89">
        <w:t xml:space="preserve"> Configuration Control Board (CCB) members ingest and share </w:t>
      </w:r>
      <w:r w:rsidRPr="00E33A89">
        <w:t xml:space="preserve">information on consultations they have with the companies providing the data.  The CCB meets quarterly and they consider this feedback </w:t>
      </w:r>
      <w:r w:rsidR="0016193B" w:rsidRPr="00E33A89">
        <w:t xml:space="preserve">when making decisions </w:t>
      </w:r>
      <w:r w:rsidRPr="00E33A89">
        <w:t xml:space="preserve">on </w:t>
      </w:r>
      <w:r w:rsidR="005063BC" w:rsidRPr="00E33A89">
        <w:t>continu</w:t>
      </w:r>
      <w:r w:rsidR="0016193B" w:rsidRPr="00E33A89">
        <w:t>ed</w:t>
      </w:r>
      <w:r w:rsidR="005063BC" w:rsidRPr="00E33A89">
        <w:t xml:space="preserve"> use of the collected data</w:t>
      </w:r>
      <w:r w:rsidR="0016193B" w:rsidRPr="00E33A89">
        <w:t xml:space="preserve"> for OMB 0704-0460 and </w:t>
      </w:r>
      <w:r w:rsidRPr="00E33A89">
        <w:t>when determining the priority of proposed enhancements to the existing software.</w:t>
      </w:r>
    </w:p>
    <w:p w14:paraId="23A9BFC6" w14:textId="77777777" w:rsidR="00B86BFA" w:rsidRPr="00E33A89" w:rsidRDefault="00B86BFA" w:rsidP="00B86BFA">
      <w:pPr>
        <w:pStyle w:val="NormalWeb"/>
        <w:numPr>
          <w:ilvl w:val="0"/>
          <w:numId w:val="22"/>
        </w:numPr>
        <w:spacing w:line="288" w:lineRule="atLeast"/>
      </w:pPr>
      <w:r w:rsidRPr="00E33A89">
        <w:t>Part B: CONSULTATION</w:t>
      </w:r>
    </w:p>
    <w:p w14:paraId="7624ED4C" w14:textId="68FAC075" w:rsidR="00A50E42" w:rsidRPr="00E33A89" w:rsidRDefault="005A468C" w:rsidP="00B86BFA">
      <w:pPr>
        <w:ind w:firstLine="720"/>
      </w:pPr>
      <w:r w:rsidRPr="00E33A89">
        <w:t>Representatives of the sponsoring Agency,</w:t>
      </w:r>
      <w:r w:rsidR="00752676" w:rsidRPr="00E33A89">
        <w:t xml:space="preserve"> Office of the</w:t>
      </w:r>
      <w:r w:rsidRPr="00E33A89">
        <w:t xml:space="preserve"> Under Secretary of Defense (Acquisition, Technology &amp; Logistics)</w:t>
      </w:r>
      <w:r w:rsidR="00D938F8" w:rsidRPr="00E33A89">
        <w:t xml:space="preserve"> for</w:t>
      </w:r>
      <w:r w:rsidRPr="00E33A89">
        <w:t xml:space="preserve"> Program Support, attend Industry Conferences at least </w:t>
      </w:r>
      <w:r w:rsidRPr="00E33A89">
        <w:lastRenderedPageBreak/>
        <w:t>once a year to gather direct feedback on the SPOT-ES Program.  This includes</w:t>
      </w:r>
      <w:r w:rsidR="00D938F8" w:rsidRPr="00E33A89">
        <w:t xml:space="preserve"> comments on the elements being gathered for this Information Collection as well as the capabilities and functionality of the SPOT-ES family of systems.  </w:t>
      </w:r>
    </w:p>
    <w:p w14:paraId="1E830609" w14:textId="333359C6" w:rsidR="00717332" w:rsidRPr="00E33A89" w:rsidRDefault="00D938F8" w:rsidP="00B86BFA">
      <w:pPr>
        <w:ind w:firstLine="720"/>
      </w:pPr>
      <w:r w:rsidRPr="00E33A89">
        <w:t>Each month the Help Desk receives over 1,000 contacts and more than 60% of these are from the contractor community who are responsible for providing the</w:t>
      </w:r>
      <w:r w:rsidR="001937E6" w:rsidRPr="00E33A89">
        <w:t xml:space="preserve"> SPOT-ES</w:t>
      </w:r>
      <w:r w:rsidRPr="00E33A89">
        <w:t xml:space="preserve"> information.   The great majority are </w:t>
      </w:r>
      <w:r w:rsidR="001937E6" w:rsidRPr="00E33A89">
        <w:t xml:space="preserve">related to </w:t>
      </w:r>
      <w:r w:rsidR="0033174D" w:rsidRPr="00E33A89">
        <w:t xml:space="preserve">SPOT </w:t>
      </w:r>
      <w:r w:rsidR="001937E6" w:rsidRPr="00E33A89">
        <w:t xml:space="preserve">registration </w:t>
      </w:r>
      <w:r w:rsidR="002709AF" w:rsidRPr="00E33A89">
        <w:t>–</w:t>
      </w:r>
      <w:r w:rsidR="001937E6" w:rsidRPr="00E33A89">
        <w:t xml:space="preserve"> </w:t>
      </w:r>
      <w:r w:rsidR="002709AF" w:rsidRPr="00E33A89">
        <w:t>asking for assistance with a</w:t>
      </w:r>
      <w:r w:rsidR="001937E6" w:rsidRPr="00E33A89">
        <w:t xml:space="preserve"> new user registration, adding another role to an existing user account</w:t>
      </w:r>
      <w:r w:rsidR="002709AF" w:rsidRPr="00E33A89">
        <w:t xml:space="preserve">, inquiring about a problem with logging into the </w:t>
      </w:r>
      <w:proofErr w:type="gramStart"/>
      <w:r w:rsidR="002709AF" w:rsidRPr="00E33A89">
        <w:t>system,</w:t>
      </w:r>
      <w:proofErr w:type="gramEnd"/>
      <w:r w:rsidR="001937E6" w:rsidRPr="00E33A89">
        <w:t xml:space="preserve"> or </w:t>
      </w:r>
      <w:r w:rsidRPr="00E33A89">
        <w:t xml:space="preserve">requesting </w:t>
      </w:r>
      <w:r w:rsidR="00495C9A" w:rsidRPr="00E33A89">
        <w:t xml:space="preserve">reactivation of </w:t>
      </w:r>
      <w:r w:rsidR="001937E6" w:rsidRPr="00E33A89">
        <w:t>an</w:t>
      </w:r>
      <w:r w:rsidR="00495C9A" w:rsidRPr="00E33A89">
        <w:t xml:space="preserve"> account because it had not been used for </w:t>
      </w:r>
      <w:r w:rsidR="005D207D" w:rsidRPr="00E33A89">
        <w:t xml:space="preserve">more than </w:t>
      </w:r>
      <w:r w:rsidR="00C27CFA" w:rsidRPr="00E33A89">
        <w:t>90 days</w:t>
      </w:r>
      <w:r w:rsidRPr="00E33A89">
        <w:t xml:space="preserve">.  </w:t>
      </w:r>
      <w:r w:rsidR="0033174D" w:rsidRPr="00E33A89">
        <w:t xml:space="preserve">The next highest </w:t>
      </w:r>
      <w:proofErr w:type="gramStart"/>
      <w:r w:rsidR="0033174D" w:rsidRPr="00E33A89">
        <w:t xml:space="preserve">category </w:t>
      </w:r>
      <w:r w:rsidR="006D1400" w:rsidRPr="00E33A89">
        <w:t>are</w:t>
      </w:r>
      <w:proofErr w:type="gramEnd"/>
      <w:r w:rsidR="006D1400" w:rsidRPr="00E33A89">
        <w:t xml:space="preserve"> related to </w:t>
      </w:r>
      <w:r w:rsidR="0033174D" w:rsidRPr="00E33A89">
        <w:t xml:space="preserve">requesting </w:t>
      </w:r>
      <w:r w:rsidR="006D1400" w:rsidRPr="00E33A89">
        <w:t xml:space="preserve">changes to the record of a company employee.  Examples are: </w:t>
      </w:r>
      <w:r w:rsidR="0033174D" w:rsidRPr="00E33A89">
        <w:t xml:space="preserve"> </w:t>
      </w:r>
      <w:r w:rsidR="006D1400" w:rsidRPr="00E33A89">
        <w:t xml:space="preserve">a deployment is changed from one location to another, a deployment ended and needs to be closed out or a person has changed from one company to another and needs to be released by the prior company.  </w:t>
      </w:r>
      <w:r w:rsidR="001F0153" w:rsidRPr="00E33A89">
        <w:t xml:space="preserve">All of these take a small amount of time to resolve.  </w:t>
      </w:r>
      <w:r w:rsidR="001B385F" w:rsidRPr="00E33A89">
        <w:t xml:space="preserve">Occasionally a </w:t>
      </w:r>
      <w:r w:rsidR="006D1400" w:rsidRPr="00E33A89">
        <w:t>Company U</w:t>
      </w:r>
      <w:r w:rsidR="001B385F" w:rsidRPr="00E33A89">
        <w:t xml:space="preserve">ser will </w:t>
      </w:r>
      <w:r w:rsidR="006D1400" w:rsidRPr="00E33A89">
        <w:t>provide an idea on how to improve the process of information collection, and these are documented as a change request (CR).  These CRs are consolidated with changes recommended by Government Users.  During 201</w:t>
      </w:r>
      <w:r w:rsidR="00E71364" w:rsidRPr="00E33A89">
        <w:t>4</w:t>
      </w:r>
      <w:r w:rsidR="006D1400" w:rsidRPr="00E33A89">
        <w:t xml:space="preserve"> a </w:t>
      </w:r>
      <w:r w:rsidR="00717332" w:rsidRPr="00E33A89">
        <w:t xml:space="preserve">Usability Release </w:t>
      </w:r>
      <w:r w:rsidR="003B1170" w:rsidRPr="00E33A89">
        <w:t xml:space="preserve">Working Group reviewed </w:t>
      </w:r>
      <w:r w:rsidR="00717332" w:rsidRPr="00E33A89">
        <w:t xml:space="preserve">98 separate </w:t>
      </w:r>
      <w:r w:rsidR="006D1400" w:rsidRPr="00E33A89">
        <w:t>CRs</w:t>
      </w:r>
      <w:r w:rsidR="00717332" w:rsidRPr="00E33A89">
        <w:t>.</w:t>
      </w:r>
      <w:r w:rsidR="005A468C" w:rsidRPr="00E33A89">
        <w:t xml:space="preserve">  </w:t>
      </w:r>
      <w:r w:rsidR="00E71364" w:rsidRPr="00E33A89">
        <w:t xml:space="preserve">Some </w:t>
      </w:r>
      <w:r w:rsidR="006D1400" w:rsidRPr="00E33A89">
        <w:t xml:space="preserve">were found to be duplicative </w:t>
      </w:r>
      <w:r w:rsidR="00E71364" w:rsidRPr="00E33A89">
        <w:t xml:space="preserve">and were </w:t>
      </w:r>
      <w:r w:rsidR="00A50E42" w:rsidRPr="00E33A89">
        <w:t>combined</w:t>
      </w:r>
      <w:r w:rsidR="00E71364" w:rsidRPr="00E33A89">
        <w:t xml:space="preserve"> with others</w:t>
      </w:r>
      <w:r w:rsidR="00A50E42" w:rsidRPr="00E33A89">
        <w:t xml:space="preserve">.  </w:t>
      </w:r>
      <w:r w:rsidR="005D207D" w:rsidRPr="00E33A89">
        <w:t xml:space="preserve">Some were unfounded and discarded.  </w:t>
      </w:r>
      <w:r w:rsidR="005A468C" w:rsidRPr="00E33A89">
        <w:t>Twenty-two of these were selected for implementation to improve the user experience.</w:t>
      </w:r>
      <w:r w:rsidR="00A50E42" w:rsidRPr="00E33A89">
        <w:t xml:space="preserve">  These proceeded through design, development, test and implementation resulting in a </w:t>
      </w:r>
      <w:r w:rsidR="00E71364" w:rsidRPr="00E33A89">
        <w:t xml:space="preserve">number of </w:t>
      </w:r>
      <w:r w:rsidR="00A50E42" w:rsidRPr="00E33A89">
        <w:t>Usability Release</w:t>
      </w:r>
      <w:r w:rsidR="00E71364" w:rsidRPr="00E33A89">
        <w:t>s starting in March 2015 and continuing through 2016.</w:t>
      </w:r>
    </w:p>
    <w:p w14:paraId="74AB1096" w14:textId="48C15CD1" w:rsidR="00C34D19" w:rsidRPr="00E33A89" w:rsidRDefault="001F23D4" w:rsidP="008C3C96">
      <w:pPr>
        <w:ind w:firstLine="720"/>
      </w:pPr>
      <w:r w:rsidRPr="00E33A89">
        <w:t>I</w:t>
      </w:r>
      <w:r w:rsidR="001F0153" w:rsidRPr="00E33A89">
        <w:t>nformation is</w:t>
      </w:r>
      <w:r w:rsidRPr="00E33A89">
        <w:t xml:space="preserve"> initially</w:t>
      </w:r>
      <w:r w:rsidR="001F0153" w:rsidRPr="00E33A89">
        <w:t xml:space="preserve"> collected for each person</w:t>
      </w:r>
      <w:r w:rsidRPr="00E33A89">
        <w:t>;</w:t>
      </w:r>
      <w:r w:rsidR="001F0153" w:rsidRPr="00E33A89">
        <w:t xml:space="preserve"> once the record is built in SPOT only changes need to be added for subsequent deployments, e.g., location, time frame, purpose and contact information updates.  </w:t>
      </w:r>
      <w:r w:rsidR="00C34D19" w:rsidRPr="00E33A89">
        <w:t xml:space="preserve">A benefit </w:t>
      </w:r>
      <w:r w:rsidR="001F0153" w:rsidRPr="00E33A89">
        <w:t xml:space="preserve">to the Company for </w:t>
      </w:r>
      <w:r w:rsidR="008D4122" w:rsidRPr="00E33A89">
        <w:t>providing</w:t>
      </w:r>
      <w:r w:rsidR="00C34D19" w:rsidRPr="00E33A89">
        <w:t xml:space="preserve"> </w:t>
      </w:r>
      <w:r w:rsidR="001F0153" w:rsidRPr="00E33A89">
        <w:t xml:space="preserve">the requested information on their </w:t>
      </w:r>
      <w:r w:rsidR="00C34D19" w:rsidRPr="00E33A89">
        <w:t>employee</w:t>
      </w:r>
      <w:r w:rsidR="001F0153" w:rsidRPr="00E33A89">
        <w:t>s</w:t>
      </w:r>
      <w:r w:rsidR="00C34D19" w:rsidRPr="00E33A89">
        <w:t xml:space="preserve"> is that SPOT uses this collection to produce the Letter of Authorization (LOA) for each individual.  </w:t>
      </w:r>
      <w:r w:rsidR="001F0153" w:rsidRPr="00E33A89">
        <w:t xml:space="preserve">This document must be carried by each contractor in the </w:t>
      </w:r>
      <w:r w:rsidRPr="00E33A89">
        <w:t xml:space="preserve">geographical </w:t>
      </w:r>
      <w:r w:rsidR="001F0153" w:rsidRPr="00E33A89">
        <w:t xml:space="preserve">area of responsibility (AOR) where they are to be deployed.  The LOA </w:t>
      </w:r>
      <w:r w:rsidR="008D4122" w:rsidRPr="00E33A89">
        <w:t>allows</w:t>
      </w:r>
      <w:r w:rsidR="00C34D19" w:rsidRPr="00E33A89">
        <w:t xml:space="preserve"> th</w:t>
      </w:r>
      <w:r w:rsidR="001F0153" w:rsidRPr="00E33A89">
        <w:t>e named</w:t>
      </w:r>
      <w:r w:rsidR="00C34D19" w:rsidRPr="00E33A89">
        <w:t xml:space="preserve"> </w:t>
      </w:r>
      <w:r w:rsidR="008D4122" w:rsidRPr="00E33A89">
        <w:t>employee</w:t>
      </w:r>
      <w:r w:rsidR="00C34D19" w:rsidRPr="00E33A89">
        <w:t xml:space="preserve"> access to </w:t>
      </w:r>
      <w:r w:rsidR="001F0153" w:rsidRPr="00E33A89">
        <w:t xml:space="preserve">the </w:t>
      </w:r>
      <w:r w:rsidR="00C34D19" w:rsidRPr="00E33A89">
        <w:t xml:space="preserve">authorized government services </w:t>
      </w:r>
      <w:r w:rsidR="001F0153" w:rsidRPr="00E33A89">
        <w:t>to which they are entitled that are listed</w:t>
      </w:r>
      <w:r w:rsidR="00C34D19" w:rsidRPr="00E33A89">
        <w:t xml:space="preserve"> thereon.</w:t>
      </w:r>
      <w:r w:rsidR="0031669B" w:rsidRPr="00E33A89">
        <w:t xml:space="preserve">  Without the LOA the person would not have access to critical life support in dangerous areas where they cannot be procured commercially by an individual, e.g., meals, lodging and transportation.</w:t>
      </w:r>
    </w:p>
    <w:p w14:paraId="07C12D82" w14:textId="77777777" w:rsidR="002D2D94" w:rsidRPr="00E33A89" w:rsidRDefault="005E0A0F" w:rsidP="00EB4D3C">
      <w:pPr>
        <w:pStyle w:val="NormalWeb"/>
        <w:spacing w:line="288" w:lineRule="atLeast"/>
        <w:ind w:firstLine="900"/>
        <w:rPr>
          <w:u w:val="single"/>
        </w:rPr>
      </w:pPr>
      <w:bookmarkStart w:id="6" w:name="cp449"/>
      <w:bookmarkEnd w:id="4"/>
      <w:r w:rsidRPr="00E33A89">
        <w:t xml:space="preserve">9.  </w:t>
      </w:r>
      <w:r w:rsidRPr="00E33A89">
        <w:rPr>
          <w:u w:val="single"/>
        </w:rPr>
        <w:t>Gifts or Payment</w:t>
      </w:r>
      <w:bookmarkStart w:id="7" w:name="cp450"/>
      <w:bookmarkEnd w:id="6"/>
    </w:p>
    <w:p w14:paraId="18FB987D" w14:textId="0ED1F815" w:rsidR="00E31A5F" w:rsidRPr="004F4BB3" w:rsidRDefault="00E31A5F" w:rsidP="002D2D94">
      <w:pPr>
        <w:pStyle w:val="NormalWeb"/>
        <w:spacing w:line="288" w:lineRule="atLeast"/>
        <w:ind w:firstLine="900"/>
      </w:pPr>
      <w:r w:rsidRPr="00E33A89">
        <w:t xml:space="preserve">No payment or gift </w:t>
      </w:r>
      <w:r w:rsidR="005D76DF" w:rsidRPr="00E33A89">
        <w:t>is</w:t>
      </w:r>
      <w:r w:rsidRPr="00E33A89">
        <w:t xml:space="preserve"> provided to respondents</w:t>
      </w:r>
      <w:r w:rsidR="005D76DF" w:rsidRPr="00E33A89">
        <w:t>.</w:t>
      </w:r>
    </w:p>
    <w:bookmarkEnd w:id="7"/>
    <w:p w14:paraId="0715B919" w14:textId="77777777" w:rsidR="002D2D94" w:rsidRPr="00E33A89" w:rsidRDefault="005E0A0F" w:rsidP="002D2D94">
      <w:pPr>
        <w:pStyle w:val="NormalWeb"/>
        <w:spacing w:line="288" w:lineRule="atLeast"/>
        <w:ind w:firstLine="900"/>
        <w:rPr>
          <w:u w:val="single"/>
        </w:rPr>
      </w:pPr>
      <w:r w:rsidRPr="00E33A89">
        <w:t xml:space="preserve">10.  </w:t>
      </w:r>
      <w:r w:rsidRPr="00E33A89">
        <w:rPr>
          <w:u w:val="single"/>
        </w:rPr>
        <w:t>Confidentiality</w:t>
      </w:r>
    </w:p>
    <w:p w14:paraId="676AA4B5" w14:textId="7A3E030F" w:rsidR="008837BE" w:rsidRPr="00E33A89" w:rsidRDefault="00F80DB0" w:rsidP="00E31A5F">
      <w:pPr>
        <w:ind w:firstLine="720"/>
      </w:pPr>
      <w:r w:rsidRPr="00E33A89">
        <w:t>A portion of th</w:t>
      </w:r>
      <w:r w:rsidR="00E31A5F" w:rsidRPr="00E33A89">
        <w:t xml:space="preserve">e information in SPOT is </w:t>
      </w:r>
      <w:r w:rsidRPr="00E33A89">
        <w:t xml:space="preserve">considered as personally identifiable information (PII), i.e., </w:t>
      </w:r>
      <w:r w:rsidR="00E31A5F" w:rsidRPr="00E33A89">
        <w:t>personal or sensitive</w:t>
      </w:r>
      <w:r w:rsidRPr="00E33A89">
        <w:t>.  T</w:t>
      </w:r>
      <w:r w:rsidR="00E31A5F" w:rsidRPr="00E33A89">
        <w:t xml:space="preserve">herefore, </w:t>
      </w:r>
      <w:r w:rsidR="00550A9B" w:rsidRPr="00E33A89">
        <w:t>SPOT-ES</w:t>
      </w:r>
      <w:r w:rsidR="00E31A5F" w:rsidRPr="00E33A89">
        <w:t xml:space="preserve"> contains built-in safeguards to limit access </w:t>
      </w:r>
      <w:r w:rsidR="00550A9B" w:rsidRPr="00E33A89">
        <w:t xml:space="preserve">to </w:t>
      </w:r>
      <w:r w:rsidR="00E31A5F" w:rsidRPr="00E33A89">
        <w:t xml:space="preserve">and visibility of this information.  SPOT </w:t>
      </w:r>
      <w:r w:rsidR="008837BE" w:rsidRPr="00E33A89">
        <w:t>is implementing a</w:t>
      </w:r>
      <w:r w:rsidRPr="00E33A89">
        <w:t xml:space="preserve">ttribute-based access control (ABAC) </w:t>
      </w:r>
      <w:r w:rsidR="00E31A5F" w:rsidRPr="00E33A89">
        <w:t xml:space="preserve">security so </w:t>
      </w:r>
      <w:r w:rsidRPr="00E33A89">
        <w:t xml:space="preserve">that </w:t>
      </w:r>
      <w:r w:rsidR="00E31A5F" w:rsidRPr="00E33A89">
        <w:t>a</w:t>
      </w:r>
      <w:r w:rsidR="008837BE" w:rsidRPr="00E33A89">
        <w:t>ny</w:t>
      </w:r>
      <w:r w:rsidR="00E31A5F" w:rsidRPr="00E33A89">
        <w:t xml:space="preserve"> user only </w:t>
      </w:r>
      <w:r w:rsidR="008837BE" w:rsidRPr="00E33A89">
        <w:t xml:space="preserve">sees </w:t>
      </w:r>
      <w:r w:rsidR="00E31A5F" w:rsidRPr="00E33A89">
        <w:t xml:space="preserve">the information for </w:t>
      </w:r>
      <w:r w:rsidR="00550A9B" w:rsidRPr="00E33A89">
        <w:t xml:space="preserve">their own organization and for </w:t>
      </w:r>
      <w:r w:rsidR="00E31A5F" w:rsidRPr="00E33A89">
        <w:t>which permission has been granted</w:t>
      </w:r>
      <w:r w:rsidR="008837BE" w:rsidRPr="00E33A89">
        <w:t xml:space="preserve"> in accordance with existing laws and policies</w:t>
      </w:r>
      <w:r w:rsidR="00E31A5F" w:rsidRPr="00E33A89">
        <w:t>.</w:t>
      </w:r>
      <w:r w:rsidR="008837BE" w:rsidRPr="00E33A89">
        <w:t xml:space="preserve"> </w:t>
      </w:r>
      <w:r w:rsidR="00E31A5F" w:rsidRPr="00E33A89">
        <w:t xml:space="preserve"> </w:t>
      </w:r>
    </w:p>
    <w:p w14:paraId="013DAF8A" w14:textId="38084F02" w:rsidR="004266A0" w:rsidRPr="00E33A89" w:rsidRDefault="008837BE" w:rsidP="002E7614">
      <w:pPr>
        <w:ind w:firstLine="720"/>
        <w:rPr>
          <w:color w:val="000000"/>
          <w:sz w:val="20"/>
          <w:szCs w:val="18"/>
        </w:rPr>
      </w:pPr>
      <w:r w:rsidRPr="00E33A89">
        <w:t xml:space="preserve">The current SPOT Privacy Act </w:t>
      </w:r>
      <w:r w:rsidR="00F80DB0" w:rsidRPr="00E33A89">
        <w:t xml:space="preserve">Statement </w:t>
      </w:r>
      <w:r w:rsidRPr="00E33A89">
        <w:t>(PA</w:t>
      </w:r>
      <w:r w:rsidR="00F80DB0" w:rsidRPr="00E33A89">
        <w:t>S</w:t>
      </w:r>
      <w:r w:rsidRPr="00E33A89">
        <w:t>)</w:t>
      </w:r>
      <w:r w:rsidR="004266A0" w:rsidRPr="00E33A89">
        <w:t xml:space="preserve"> is displayed on the SPOT</w:t>
      </w:r>
      <w:r w:rsidR="00550A9B" w:rsidRPr="00E33A89">
        <w:t>, JAMMS</w:t>
      </w:r>
      <w:r w:rsidR="004266A0" w:rsidRPr="00E33A89">
        <w:t xml:space="preserve"> and TOPSS web sites.  All respondents must consent to the PAS before gaining access to one of these SPOT-ES products.</w:t>
      </w:r>
    </w:p>
    <w:p w14:paraId="3683F74F" w14:textId="771367B1" w:rsidR="008837BE" w:rsidRPr="00E33A89" w:rsidRDefault="008837BE" w:rsidP="008837BE">
      <w:pPr>
        <w:ind w:firstLine="720"/>
      </w:pPr>
      <w:r w:rsidRPr="00E33A89">
        <w:lastRenderedPageBreak/>
        <w:t>The current Systems of Records Notice (SORN)</w:t>
      </w:r>
      <w:r w:rsidR="00A820BF" w:rsidRPr="00E33A89">
        <w:t>, DMDC 18 DoD,</w:t>
      </w:r>
      <w:r w:rsidRPr="00E33A89">
        <w:t xml:space="preserve"> </w:t>
      </w:r>
      <w:r w:rsidR="002D7112" w:rsidRPr="00E33A89">
        <w:t>was updated and p</w:t>
      </w:r>
      <w:r w:rsidRPr="00E33A89">
        <w:t>ublished on May 26, 2015 (80 FRN 30057).  It is available to all respondents via the Internet</w:t>
      </w:r>
      <w:r w:rsidR="00A820BF" w:rsidRPr="00E33A89">
        <w:t xml:space="preserve"> at </w:t>
      </w:r>
      <w:r w:rsidR="00F119FE">
        <w:t>URL</w:t>
      </w:r>
      <w:r w:rsidR="00F119FE" w:rsidRPr="00F119FE">
        <w:t xml:space="preserve"> </w:t>
      </w:r>
      <w:hyperlink r:id="rId14" w:history="1">
        <w:r w:rsidR="008A2B68" w:rsidRPr="00AA11C8">
          <w:rPr>
            <w:rStyle w:val="Hyperlink"/>
          </w:rPr>
          <w:t>http://dpcld.defense.gov/Privacy/SORNsIndex/DOD-wide-SORN-Article-View/Article/570569/dmdc-18-dod/</w:t>
        </w:r>
      </w:hyperlink>
      <w:r w:rsidR="00F119FE">
        <w:t xml:space="preserve"> .</w:t>
      </w:r>
    </w:p>
    <w:p w14:paraId="53BBA640" w14:textId="77777777" w:rsidR="006C184D" w:rsidRPr="00E33A89" w:rsidRDefault="006C184D" w:rsidP="006C184D">
      <w:pPr>
        <w:ind w:firstLine="720"/>
      </w:pPr>
      <w:r w:rsidRPr="00E33A89">
        <w:t xml:space="preserve">The Privacy Impact Assessment (PIA) </w:t>
      </w:r>
      <w:r>
        <w:t xml:space="preserve">has been revised and is currently with </w:t>
      </w:r>
      <w:r w:rsidRPr="00E33A89">
        <w:t>the DMDC Privacy Office</w:t>
      </w:r>
      <w:r>
        <w:t xml:space="preserve"> going through the signature process</w:t>
      </w:r>
      <w:r w:rsidRPr="00E33A89">
        <w:t xml:space="preserve">.  Sections 1 &amp; 2 of this </w:t>
      </w:r>
      <w:r>
        <w:t xml:space="preserve">approved </w:t>
      </w:r>
      <w:r w:rsidRPr="00E33A89">
        <w:t xml:space="preserve">draft </w:t>
      </w:r>
      <w:r>
        <w:t>have been</w:t>
      </w:r>
      <w:r w:rsidRPr="00E33A89">
        <w:t xml:space="preserve"> included with this OMB package submitted for 2016.</w:t>
      </w:r>
    </w:p>
    <w:p w14:paraId="1D51B6E3" w14:textId="77777777" w:rsidR="00E31A5F" w:rsidRPr="00E33A89" w:rsidRDefault="00E31A5F" w:rsidP="00E31A5F">
      <w:pPr>
        <w:ind w:firstLine="720"/>
      </w:pPr>
      <w:r w:rsidRPr="00E33A89">
        <w:t>Information is collected via secure entry (</w:t>
      </w:r>
      <w:proofErr w:type="spellStart"/>
      <w:proofErr w:type="gramStart"/>
      <w:r w:rsidRPr="00E33A89">
        <w:t>ssh</w:t>
      </w:r>
      <w:proofErr w:type="spellEnd"/>
      <w:proofErr w:type="gramEnd"/>
      <w:r w:rsidRPr="00E33A89">
        <w:t xml:space="preserve"> port 43) on the web.  The SPOT</w:t>
      </w:r>
      <w:r w:rsidR="002E7614" w:rsidRPr="00E33A89">
        <w:t>-ES</w:t>
      </w:r>
      <w:r w:rsidRPr="00E33A89">
        <w:t xml:space="preserve"> system</w:t>
      </w:r>
      <w:r w:rsidR="002E7614" w:rsidRPr="00E33A89">
        <w:t>s</w:t>
      </w:r>
      <w:r w:rsidRPr="00E33A89">
        <w:t xml:space="preserve"> </w:t>
      </w:r>
      <w:r w:rsidR="002E7614" w:rsidRPr="00E33A89">
        <w:t>are</w:t>
      </w:r>
      <w:r w:rsidRPr="00E33A89">
        <w:t xml:space="preserve"> DIACAP certified having been subjected to and passed thorough security testing and evaluation by independent parties.  </w:t>
      </w:r>
      <w:r w:rsidR="008837BE" w:rsidRPr="00E33A89">
        <w:t>The data collection</w:t>
      </w:r>
      <w:r w:rsidRPr="00E33A89">
        <w:t xml:space="preserve"> meets safeguards specified by the Privacy Act of 1974.  SPOT </w:t>
      </w:r>
      <w:r w:rsidR="002E7614" w:rsidRPr="00E33A89">
        <w:t xml:space="preserve">and TOPSS are hosted in </w:t>
      </w:r>
      <w:r w:rsidRPr="00E33A89">
        <w:t>secure</w:t>
      </w:r>
      <w:r w:rsidR="002E7614" w:rsidRPr="00E33A89">
        <w:t xml:space="preserve"> </w:t>
      </w:r>
      <w:proofErr w:type="gramStart"/>
      <w:r w:rsidR="002E7614" w:rsidRPr="00E33A89">
        <w:t>DoD</w:t>
      </w:r>
      <w:proofErr w:type="gramEnd"/>
      <w:r w:rsidR="002E7614" w:rsidRPr="00E33A89">
        <w:t xml:space="preserve"> facilities</w:t>
      </w:r>
      <w:r w:rsidRPr="00E33A89">
        <w:t>.</w:t>
      </w:r>
    </w:p>
    <w:p w14:paraId="62E1F64F" w14:textId="2DFEFC4F" w:rsidR="002C43DB" w:rsidRPr="00E33A89" w:rsidRDefault="00700450" w:rsidP="00550A9B">
      <w:pPr>
        <w:pStyle w:val="Default"/>
        <w:ind w:firstLine="720"/>
      </w:pPr>
      <w:r w:rsidRPr="00E33A89">
        <w:t xml:space="preserve">The National Archives and Records Administration </w:t>
      </w:r>
      <w:proofErr w:type="gramStart"/>
      <w:r w:rsidRPr="00E33A89">
        <w:t>has</w:t>
      </w:r>
      <w:proofErr w:type="gramEnd"/>
      <w:r w:rsidRPr="00E33A89">
        <w:t xml:space="preserve"> determined the retention periods for recordkeeping requirements of the SPOT data collection as described in NARA N1-au-07-0005.  Disposition instructions are to keep until an individual's deployment is terminated and no longer needed for conducting business, </w:t>
      </w:r>
      <w:proofErr w:type="gramStart"/>
      <w:r w:rsidRPr="00E33A89">
        <w:t>then</w:t>
      </w:r>
      <w:proofErr w:type="gramEnd"/>
      <w:r w:rsidRPr="00E33A89">
        <w:t xml:space="preserve"> retire to the Army Electronic Archives (AEA). </w:t>
      </w:r>
      <w:r w:rsidR="005D207D" w:rsidRPr="00E33A89">
        <w:t xml:space="preserve"> </w:t>
      </w:r>
      <w:r w:rsidRPr="00E33A89">
        <w:t xml:space="preserve">The AEA will transfer </w:t>
      </w:r>
      <w:r w:rsidR="00550A9B" w:rsidRPr="00E33A89">
        <w:t xml:space="preserve">the data </w:t>
      </w:r>
      <w:r w:rsidRPr="00E33A89">
        <w:t xml:space="preserve">to the National Archives </w:t>
      </w:r>
      <w:r w:rsidR="00374F4C" w:rsidRPr="00E33A89">
        <w:t xml:space="preserve">for permanent retention </w:t>
      </w:r>
      <w:r w:rsidR="008B47F1" w:rsidRPr="00E33A89">
        <w:t>when the record is 25 years old</w:t>
      </w:r>
      <w:r w:rsidRPr="00E33A89">
        <w:t>.</w:t>
      </w:r>
      <w:r w:rsidR="00374F4C" w:rsidRPr="00E33A89">
        <w:t xml:space="preserve"> </w:t>
      </w:r>
      <w:r w:rsidR="00550A9B" w:rsidRPr="00E33A89">
        <w:t xml:space="preserve"> </w:t>
      </w:r>
      <w:r w:rsidR="00374F4C" w:rsidRPr="00E33A89">
        <w:rPr>
          <w:color w:val="auto"/>
        </w:rPr>
        <w:t>Personnel information will be compiled and converted into statistical data to identify trends and determine judgement on claims and lawsuits; and used in research and studies that may prevent or fully support future litigations, contingencies, and the rights and interests of American citizens.</w:t>
      </w:r>
    </w:p>
    <w:p w14:paraId="11B3185B" w14:textId="77777777" w:rsidR="005E0A0F" w:rsidRPr="00E33A89" w:rsidRDefault="005E0A0F" w:rsidP="005E0A0F">
      <w:pPr>
        <w:pStyle w:val="NormalWeb"/>
        <w:spacing w:line="288" w:lineRule="atLeast"/>
        <w:ind w:firstLine="900"/>
        <w:rPr>
          <w:u w:val="single"/>
        </w:rPr>
      </w:pPr>
      <w:r w:rsidRPr="00E33A89">
        <w:t xml:space="preserve">11.  </w:t>
      </w:r>
      <w:r w:rsidRPr="00E33A89">
        <w:rPr>
          <w:u w:val="single"/>
        </w:rPr>
        <w:t>Sensitive Questions</w:t>
      </w:r>
    </w:p>
    <w:p w14:paraId="1EBA24DE" w14:textId="645800B2" w:rsidR="00DC1218" w:rsidRPr="00E33A89" w:rsidRDefault="003C7F79" w:rsidP="00F62AD2">
      <w:pPr>
        <w:pStyle w:val="NormalWeb"/>
        <w:spacing w:line="288" w:lineRule="atLeast"/>
        <w:ind w:firstLine="900"/>
      </w:pPr>
      <w:r w:rsidRPr="00E33A89">
        <w:t xml:space="preserve">This information collection includes the social security number (SSN) as part of the individual contractor records.  </w:t>
      </w:r>
      <w:proofErr w:type="gramStart"/>
      <w:r w:rsidRPr="00E33A89">
        <w:t xml:space="preserve">Use of the SSN within SPOT-ES falls under </w:t>
      </w:r>
      <w:r w:rsidR="00490123" w:rsidRPr="00E33A89">
        <w:t>A</w:t>
      </w:r>
      <w:r w:rsidRPr="00E33A89">
        <w:t xml:space="preserve">cceptable </w:t>
      </w:r>
      <w:r w:rsidR="00490123" w:rsidRPr="00E33A89">
        <w:t>U</w:t>
      </w:r>
      <w:r w:rsidRPr="00E33A89">
        <w:t xml:space="preserve">se 8, Computer Matching and </w:t>
      </w:r>
      <w:r w:rsidR="00490123" w:rsidRPr="00E33A89">
        <w:t>A</w:t>
      </w:r>
      <w:r w:rsidRPr="00E33A89">
        <w:t xml:space="preserve">cceptable </w:t>
      </w:r>
      <w:r w:rsidR="00490123" w:rsidRPr="00E33A89">
        <w:t>U</w:t>
      </w:r>
      <w:r w:rsidRPr="00E33A89">
        <w:t>se 11, Legacy System Interface.</w:t>
      </w:r>
      <w:proofErr w:type="gramEnd"/>
      <w:r w:rsidRPr="00E33A89">
        <w:t xml:space="preserve">  Each of the three SPOT-ES applications have manual or automated interfaces with authoritative systems that need SSN as part of their unique person validation process in accordance with current Interface Control Agreements (ICAs).  Where possible the DoD ID Number (aka EDIPI) is used in lieu of the SSN.  However, several of these interfaces are with legacy systems that are not able to accept the DoD ID and have no plans to modify the</w:t>
      </w:r>
      <w:r w:rsidR="00550A9B" w:rsidRPr="00E33A89">
        <w:t>ir</w:t>
      </w:r>
      <w:r w:rsidRPr="00E33A89">
        <w:t xml:space="preserve"> system to recognize </w:t>
      </w:r>
      <w:r w:rsidR="00550A9B" w:rsidRPr="00E33A89">
        <w:t xml:space="preserve">and store the </w:t>
      </w:r>
      <w:r w:rsidR="00490123" w:rsidRPr="00E33A89">
        <w:t>DoD ID</w:t>
      </w:r>
      <w:r w:rsidRPr="00E33A89">
        <w:t xml:space="preserve"> based on cost limitations.</w:t>
      </w:r>
      <w:r w:rsidR="00AD3FAF">
        <w:t xml:space="preserve"> A Social Security Number Justification Memo is included as part of the OMB submission package.</w:t>
      </w:r>
      <w:r w:rsidRPr="00E33A89">
        <w:t xml:space="preserve"> </w:t>
      </w:r>
    </w:p>
    <w:p w14:paraId="662508E6" w14:textId="77777777" w:rsidR="005E0A0F" w:rsidRPr="00E33A89" w:rsidRDefault="005E0A0F" w:rsidP="005E0A0F">
      <w:pPr>
        <w:pStyle w:val="NormalWeb"/>
        <w:spacing w:line="288" w:lineRule="atLeast"/>
        <w:ind w:firstLine="900"/>
        <w:rPr>
          <w:u w:val="single"/>
        </w:rPr>
      </w:pPr>
      <w:bookmarkStart w:id="8" w:name="cp456"/>
      <w:r w:rsidRPr="00E33A89">
        <w:t xml:space="preserve">12.  </w:t>
      </w:r>
      <w:r w:rsidRPr="00E33A89">
        <w:rPr>
          <w:u w:val="single"/>
        </w:rPr>
        <w:t>Respondent Burden, and its Labor Costs</w:t>
      </w:r>
    </w:p>
    <w:p w14:paraId="4B637DD5" w14:textId="7DF89287" w:rsidR="00550A9B" w:rsidRPr="00E33A89" w:rsidRDefault="00EC0130" w:rsidP="00597483">
      <w:pPr>
        <w:pStyle w:val="NormalWeb"/>
        <w:spacing w:line="288" w:lineRule="atLeast"/>
        <w:ind w:firstLine="1350"/>
      </w:pPr>
      <w:r w:rsidRPr="00E33A89">
        <w:t xml:space="preserve">a. </w:t>
      </w:r>
      <w:r w:rsidR="00312578" w:rsidRPr="00E33A89">
        <w:rPr>
          <w:u w:val="single"/>
        </w:rPr>
        <w:t>Estimat</w:t>
      </w:r>
      <w:r w:rsidRPr="00E33A89">
        <w:rPr>
          <w:u w:val="single"/>
        </w:rPr>
        <w:t>ion of</w:t>
      </w:r>
      <w:r w:rsidR="00312578" w:rsidRPr="00E33A89">
        <w:rPr>
          <w:u w:val="single"/>
        </w:rPr>
        <w:t xml:space="preserve"> Respondent Burden</w:t>
      </w:r>
    </w:p>
    <w:tbl>
      <w:tblPr>
        <w:tblW w:w="1077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341"/>
        <w:gridCol w:w="1327"/>
        <w:gridCol w:w="1260"/>
        <w:gridCol w:w="2070"/>
        <w:gridCol w:w="2610"/>
      </w:tblGrid>
      <w:tr w:rsidR="00652E45" w:rsidRPr="00C30B90" w14:paraId="636FE7F4" w14:textId="77777777" w:rsidTr="00C30B90">
        <w:tc>
          <w:tcPr>
            <w:tcW w:w="10777" w:type="dxa"/>
            <w:gridSpan w:val="6"/>
            <w:shd w:val="clear" w:color="auto" w:fill="auto"/>
          </w:tcPr>
          <w:p w14:paraId="36EDFF82" w14:textId="77777777" w:rsidR="00652E45" w:rsidRPr="00C30B90" w:rsidRDefault="00652E45" w:rsidP="007A7148">
            <w:pPr>
              <w:pStyle w:val="NormalWeb"/>
              <w:spacing w:line="288" w:lineRule="atLeast"/>
              <w:jc w:val="center"/>
              <w:rPr>
                <w:b/>
              </w:rPr>
            </w:pPr>
            <w:bookmarkStart w:id="9" w:name="cp457"/>
            <w:bookmarkEnd w:id="8"/>
            <w:r w:rsidRPr="00C30B90">
              <w:rPr>
                <w:b/>
              </w:rPr>
              <w:t>Estimation of Respondent Burden Hours</w:t>
            </w:r>
          </w:p>
        </w:tc>
      </w:tr>
      <w:tr w:rsidR="00652E45" w:rsidRPr="00C30B90" w14:paraId="47056B34" w14:textId="77777777" w:rsidTr="00C30B90">
        <w:trPr>
          <w:trHeight w:val="1466"/>
        </w:trPr>
        <w:tc>
          <w:tcPr>
            <w:tcW w:w="2169" w:type="dxa"/>
            <w:shd w:val="clear" w:color="auto" w:fill="auto"/>
            <w:vAlign w:val="center"/>
          </w:tcPr>
          <w:p w14:paraId="572271A7" w14:textId="77777777" w:rsidR="00652E45" w:rsidRPr="00C30B90" w:rsidRDefault="00652E45" w:rsidP="006B0F61">
            <w:pPr>
              <w:pStyle w:val="NormalWeb"/>
              <w:spacing w:line="288" w:lineRule="atLeast"/>
              <w:jc w:val="center"/>
              <w:rPr>
                <w:sz w:val="22"/>
              </w:rPr>
            </w:pPr>
          </w:p>
        </w:tc>
        <w:tc>
          <w:tcPr>
            <w:tcW w:w="1341" w:type="dxa"/>
            <w:shd w:val="clear" w:color="auto" w:fill="auto"/>
            <w:vAlign w:val="center"/>
          </w:tcPr>
          <w:p w14:paraId="5F6EF0BA" w14:textId="77777777" w:rsidR="00652E45" w:rsidRPr="00C30B90" w:rsidRDefault="00652E45" w:rsidP="006B0F61">
            <w:pPr>
              <w:pStyle w:val="NormalWeb"/>
              <w:spacing w:line="288" w:lineRule="atLeast"/>
              <w:jc w:val="center"/>
              <w:rPr>
                <w:sz w:val="22"/>
              </w:rPr>
            </w:pPr>
            <w:r w:rsidRPr="00C30B90">
              <w:rPr>
                <w:sz w:val="22"/>
              </w:rPr>
              <w:t>Number of Respondents</w:t>
            </w:r>
          </w:p>
        </w:tc>
        <w:tc>
          <w:tcPr>
            <w:tcW w:w="1327" w:type="dxa"/>
            <w:shd w:val="clear" w:color="auto" w:fill="auto"/>
            <w:vAlign w:val="center"/>
          </w:tcPr>
          <w:p w14:paraId="3E160056" w14:textId="77777777" w:rsidR="00652E45" w:rsidRPr="00C30B90" w:rsidRDefault="00652E45" w:rsidP="006B0F61">
            <w:pPr>
              <w:pStyle w:val="NormalWeb"/>
              <w:spacing w:line="288" w:lineRule="atLeast"/>
              <w:jc w:val="center"/>
              <w:rPr>
                <w:sz w:val="22"/>
              </w:rPr>
            </w:pPr>
            <w:r w:rsidRPr="00C30B90">
              <w:rPr>
                <w:sz w:val="22"/>
              </w:rPr>
              <w:t>Number of Responses per Respondent</w:t>
            </w:r>
          </w:p>
        </w:tc>
        <w:tc>
          <w:tcPr>
            <w:tcW w:w="1260" w:type="dxa"/>
            <w:shd w:val="clear" w:color="auto" w:fill="auto"/>
            <w:vAlign w:val="center"/>
          </w:tcPr>
          <w:p w14:paraId="6D17CB3D" w14:textId="77777777" w:rsidR="00652E45" w:rsidRPr="00C30B90" w:rsidRDefault="00652E45" w:rsidP="006B0F61">
            <w:pPr>
              <w:pStyle w:val="NormalWeb"/>
              <w:spacing w:line="288" w:lineRule="atLeast"/>
              <w:jc w:val="center"/>
              <w:rPr>
                <w:sz w:val="22"/>
              </w:rPr>
            </w:pPr>
            <w:r w:rsidRPr="00C30B90">
              <w:rPr>
                <w:sz w:val="22"/>
              </w:rPr>
              <w:t>Number of Total Annual Responses</w:t>
            </w:r>
          </w:p>
        </w:tc>
        <w:tc>
          <w:tcPr>
            <w:tcW w:w="2070" w:type="dxa"/>
            <w:shd w:val="clear" w:color="auto" w:fill="auto"/>
            <w:vAlign w:val="center"/>
          </w:tcPr>
          <w:p w14:paraId="44DCE7DC" w14:textId="77777777" w:rsidR="00652E45" w:rsidRPr="00C30B90" w:rsidRDefault="00652E45" w:rsidP="006B0F61">
            <w:pPr>
              <w:pStyle w:val="NormalWeb"/>
              <w:spacing w:line="288" w:lineRule="atLeast"/>
              <w:jc w:val="center"/>
              <w:rPr>
                <w:sz w:val="22"/>
              </w:rPr>
            </w:pPr>
            <w:r w:rsidRPr="00C30B90">
              <w:rPr>
                <w:sz w:val="22"/>
              </w:rPr>
              <w:t>Response Time (Amount of time needed to complete the collection instrument)</w:t>
            </w:r>
          </w:p>
        </w:tc>
        <w:tc>
          <w:tcPr>
            <w:tcW w:w="2610" w:type="dxa"/>
            <w:shd w:val="clear" w:color="auto" w:fill="auto"/>
            <w:vAlign w:val="center"/>
          </w:tcPr>
          <w:p w14:paraId="69B7B0C5" w14:textId="77777777" w:rsidR="00652E45" w:rsidRPr="00C30B90" w:rsidRDefault="00652E45" w:rsidP="006B0F61">
            <w:pPr>
              <w:pStyle w:val="NormalWeb"/>
              <w:spacing w:line="288" w:lineRule="atLeast"/>
              <w:jc w:val="center"/>
              <w:rPr>
                <w:sz w:val="22"/>
              </w:rPr>
            </w:pPr>
            <w:r w:rsidRPr="00C30B90">
              <w:rPr>
                <w:sz w:val="22"/>
              </w:rPr>
              <w:t>Respondent Burden Hours (Total Annual Responses multiplied by Response Time)</w:t>
            </w:r>
            <w:r w:rsidR="00D201AD" w:rsidRPr="00C30B90">
              <w:rPr>
                <w:sz w:val="22"/>
              </w:rPr>
              <w:t xml:space="preserve"> Please compute these into </w:t>
            </w:r>
            <w:r w:rsidR="004A5282" w:rsidRPr="00C30B90">
              <w:rPr>
                <w:sz w:val="22"/>
              </w:rPr>
              <w:t>hours)</w:t>
            </w:r>
          </w:p>
        </w:tc>
      </w:tr>
      <w:tr w:rsidR="00652E45" w:rsidRPr="00C30B90" w14:paraId="51253730" w14:textId="77777777" w:rsidTr="00C30B90">
        <w:tc>
          <w:tcPr>
            <w:tcW w:w="2169" w:type="dxa"/>
            <w:shd w:val="clear" w:color="auto" w:fill="auto"/>
            <w:vAlign w:val="center"/>
          </w:tcPr>
          <w:p w14:paraId="35EE8A79" w14:textId="77777777" w:rsidR="00652E45" w:rsidRPr="00C30B90" w:rsidRDefault="00652E45" w:rsidP="006B0F61">
            <w:pPr>
              <w:pStyle w:val="NormalWeb"/>
              <w:spacing w:line="288" w:lineRule="atLeast"/>
              <w:jc w:val="center"/>
              <w:rPr>
                <w:sz w:val="22"/>
              </w:rPr>
            </w:pPr>
            <w:r w:rsidRPr="00C30B90">
              <w:rPr>
                <w:sz w:val="22"/>
              </w:rPr>
              <w:t xml:space="preserve">Collection Instrument </w:t>
            </w:r>
            <w:r w:rsidRPr="00C30B90">
              <w:rPr>
                <w:sz w:val="22"/>
              </w:rPr>
              <w:lastRenderedPageBreak/>
              <w:t>#1</w:t>
            </w:r>
            <w:r w:rsidR="006B0F61" w:rsidRPr="00C30B90">
              <w:rPr>
                <w:sz w:val="22"/>
              </w:rPr>
              <w:t xml:space="preserve"> </w:t>
            </w:r>
            <w:r w:rsidRPr="00C30B90">
              <w:rPr>
                <w:sz w:val="22"/>
              </w:rPr>
              <w:t>(</w:t>
            </w:r>
            <w:r w:rsidR="006B0F61" w:rsidRPr="00C30B90">
              <w:rPr>
                <w:sz w:val="22"/>
              </w:rPr>
              <w:t>SPOT Database</w:t>
            </w:r>
            <w:r w:rsidRPr="00C30B90">
              <w:rPr>
                <w:sz w:val="22"/>
              </w:rPr>
              <w:t>)</w:t>
            </w:r>
          </w:p>
        </w:tc>
        <w:tc>
          <w:tcPr>
            <w:tcW w:w="1341" w:type="dxa"/>
            <w:shd w:val="clear" w:color="auto" w:fill="auto"/>
            <w:vAlign w:val="center"/>
          </w:tcPr>
          <w:p w14:paraId="1B4322F8" w14:textId="77777777" w:rsidR="00652E45" w:rsidRPr="00C30B90" w:rsidRDefault="006B0F61" w:rsidP="006B0F61">
            <w:pPr>
              <w:pStyle w:val="NormalWeb"/>
              <w:spacing w:line="288" w:lineRule="atLeast"/>
              <w:jc w:val="center"/>
              <w:rPr>
                <w:sz w:val="20"/>
              </w:rPr>
            </w:pPr>
            <w:r w:rsidRPr="00C30B90">
              <w:rPr>
                <w:sz w:val="20"/>
              </w:rPr>
              <w:lastRenderedPageBreak/>
              <w:t>1670</w:t>
            </w:r>
          </w:p>
        </w:tc>
        <w:tc>
          <w:tcPr>
            <w:tcW w:w="1327" w:type="dxa"/>
            <w:shd w:val="clear" w:color="auto" w:fill="auto"/>
            <w:vAlign w:val="center"/>
          </w:tcPr>
          <w:p w14:paraId="79A143DB" w14:textId="77777777" w:rsidR="00652E45" w:rsidRPr="00C30B90" w:rsidRDefault="008D368E" w:rsidP="006B0F61">
            <w:pPr>
              <w:pStyle w:val="NormalWeb"/>
              <w:spacing w:line="288" w:lineRule="atLeast"/>
              <w:jc w:val="center"/>
              <w:rPr>
                <w:sz w:val="20"/>
              </w:rPr>
            </w:pPr>
            <w:r w:rsidRPr="00C30B90">
              <w:rPr>
                <w:sz w:val="20"/>
              </w:rPr>
              <w:t>56</w:t>
            </w:r>
          </w:p>
        </w:tc>
        <w:tc>
          <w:tcPr>
            <w:tcW w:w="1260" w:type="dxa"/>
            <w:shd w:val="clear" w:color="auto" w:fill="auto"/>
            <w:vAlign w:val="center"/>
          </w:tcPr>
          <w:p w14:paraId="3AB51881" w14:textId="77777777" w:rsidR="00652E45" w:rsidRPr="00C30B90" w:rsidRDefault="008D368E" w:rsidP="006B0F61">
            <w:pPr>
              <w:pStyle w:val="NormalWeb"/>
              <w:spacing w:line="288" w:lineRule="atLeast"/>
              <w:jc w:val="center"/>
              <w:rPr>
                <w:sz w:val="20"/>
              </w:rPr>
            </w:pPr>
            <w:r w:rsidRPr="00C30B90">
              <w:rPr>
                <w:sz w:val="20"/>
              </w:rPr>
              <w:t>93,520</w:t>
            </w:r>
          </w:p>
        </w:tc>
        <w:tc>
          <w:tcPr>
            <w:tcW w:w="2070" w:type="dxa"/>
            <w:shd w:val="clear" w:color="auto" w:fill="auto"/>
            <w:vAlign w:val="center"/>
          </w:tcPr>
          <w:p w14:paraId="5079CEB9" w14:textId="77777777" w:rsidR="00652E45" w:rsidRPr="00C30B90" w:rsidRDefault="008D368E" w:rsidP="006B0F61">
            <w:pPr>
              <w:pStyle w:val="NormalWeb"/>
              <w:spacing w:line="288" w:lineRule="atLeast"/>
              <w:jc w:val="center"/>
              <w:rPr>
                <w:sz w:val="20"/>
              </w:rPr>
            </w:pPr>
            <w:r w:rsidRPr="00C30B90">
              <w:rPr>
                <w:sz w:val="20"/>
              </w:rPr>
              <w:t>.5</w:t>
            </w:r>
          </w:p>
        </w:tc>
        <w:tc>
          <w:tcPr>
            <w:tcW w:w="2610" w:type="dxa"/>
            <w:shd w:val="clear" w:color="auto" w:fill="auto"/>
            <w:vAlign w:val="center"/>
          </w:tcPr>
          <w:p w14:paraId="6BFC8272" w14:textId="77777777" w:rsidR="00652E45" w:rsidRPr="00C30B90" w:rsidRDefault="008D368E" w:rsidP="006B0F61">
            <w:pPr>
              <w:pStyle w:val="NormalWeb"/>
              <w:spacing w:line="288" w:lineRule="atLeast"/>
              <w:jc w:val="center"/>
              <w:rPr>
                <w:sz w:val="20"/>
              </w:rPr>
            </w:pPr>
            <w:r w:rsidRPr="00C30B90">
              <w:rPr>
                <w:sz w:val="20"/>
              </w:rPr>
              <w:t>46,760</w:t>
            </w:r>
          </w:p>
        </w:tc>
      </w:tr>
      <w:tr w:rsidR="008D368E" w:rsidRPr="00C30B90" w14:paraId="07B00298" w14:textId="77777777" w:rsidTr="00C30B90">
        <w:trPr>
          <w:trHeight w:val="737"/>
        </w:trPr>
        <w:tc>
          <w:tcPr>
            <w:tcW w:w="2169" w:type="dxa"/>
            <w:shd w:val="clear" w:color="auto" w:fill="auto"/>
            <w:vAlign w:val="center"/>
          </w:tcPr>
          <w:p w14:paraId="1BC31C4F" w14:textId="77777777" w:rsidR="008D368E" w:rsidRPr="00C30B90" w:rsidRDefault="008D368E" w:rsidP="008D368E">
            <w:pPr>
              <w:pStyle w:val="NormalWeb"/>
              <w:spacing w:line="288" w:lineRule="atLeast"/>
              <w:jc w:val="center"/>
              <w:rPr>
                <w:sz w:val="22"/>
              </w:rPr>
            </w:pPr>
            <w:r w:rsidRPr="00C30B90">
              <w:rPr>
                <w:sz w:val="22"/>
              </w:rPr>
              <w:lastRenderedPageBreak/>
              <w:t>Total</w:t>
            </w:r>
          </w:p>
        </w:tc>
        <w:tc>
          <w:tcPr>
            <w:tcW w:w="1341" w:type="dxa"/>
            <w:shd w:val="clear" w:color="auto" w:fill="auto"/>
            <w:vAlign w:val="center"/>
          </w:tcPr>
          <w:p w14:paraId="2721BD72" w14:textId="77777777" w:rsidR="008D368E" w:rsidRPr="00C30B90" w:rsidRDefault="008D368E" w:rsidP="008D368E">
            <w:pPr>
              <w:pStyle w:val="NormalWeb"/>
              <w:spacing w:line="288" w:lineRule="atLeast"/>
              <w:jc w:val="center"/>
              <w:rPr>
                <w:sz w:val="20"/>
              </w:rPr>
            </w:pPr>
            <w:r w:rsidRPr="00C30B90">
              <w:rPr>
                <w:sz w:val="20"/>
              </w:rPr>
              <w:t>1670</w:t>
            </w:r>
          </w:p>
        </w:tc>
        <w:tc>
          <w:tcPr>
            <w:tcW w:w="1327" w:type="dxa"/>
            <w:shd w:val="clear" w:color="auto" w:fill="auto"/>
            <w:vAlign w:val="center"/>
          </w:tcPr>
          <w:p w14:paraId="546D8179" w14:textId="77777777" w:rsidR="008D368E" w:rsidRPr="00C30B90" w:rsidRDefault="008D368E" w:rsidP="008D368E">
            <w:pPr>
              <w:pStyle w:val="NormalWeb"/>
              <w:spacing w:line="288" w:lineRule="atLeast"/>
              <w:jc w:val="center"/>
              <w:rPr>
                <w:sz w:val="20"/>
              </w:rPr>
            </w:pPr>
            <w:r w:rsidRPr="00C30B90">
              <w:rPr>
                <w:sz w:val="20"/>
              </w:rPr>
              <w:t>56</w:t>
            </w:r>
          </w:p>
        </w:tc>
        <w:tc>
          <w:tcPr>
            <w:tcW w:w="1260" w:type="dxa"/>
            <w:shd w:val="clear" w:color="auto" w:fill="auto"/>
            <w:vAlign w:val="center"/>
          </w:tcPr>
          <w:p w14:paraId="080CEE9B" w14:textId="77777777" w:rsidR="008D368E" w:rsidRPr="00C30B90" w:rsidRDefault="008D368E" w:rsidP="008D368E">
            <w:pPr>
              <w:pStyle w:val="NormalWeb"/>
              <w:spacing w:line="288" w:lineRule="atLeast"/>
              <w:jc w:val="center"/>
              <w:rPr>
                <w:sz w:val="20"/>
              </w:rPr>
            </w:pPr>
            <w:r w:rsidRPr="00C30B90">
              <w:rPr>
                <w:sz w:val="20"/>
              </w:rPr>
              <w:t>93,520</w:t>
            </w:r>
          </w:p>
        </w:tc>
        <w:tc>
          <w:tcPr>
            <w:tcW w:w="2070" w:type="dxa"/>
            <w:shd w:val="clear" w:color="auto" w:fill="auto"/>
            <w:vAlign w:val="center"/>
          </w:tcPr>
          <w:p w14:paraId="732A5625" w14:textId="77777777" w:rsidR="008D368E" w:rsidRPr="00C30B90" w:rsidRDefault="008D368E" w:rsidP="008D368E">
            <w:pPr>
              <w:pStyle w:val="NormalWeb"/>
              <w:spacing w:line="288" w:lineRule="atLeast"/>
              <w:jc w:val="center"/>
              <w:rPr>
                <w:sz w:val="20"/>
              </w:rPr>
            </w:pPr>
            <w:r w:rsidRPr="00C30B90">
              <w:rPr>
                <w:sz w:val="20"/>
              </w:rPr>
              <w:t>.5</w:t>
            </w:r>
          </w:p>
        </w:tc>
        <w:tc>
          <w:tcPr>
            <w:tcW w:w="2610" w:type="dxa"/>
            <w:shd w:val="clear" w:color="auto" w:fill="auto"/>
            <w:vAlign w:val="center"/>
          </w:tcPr>
          <w:p w14:paraId="3A37BF3B" w14:textId="77777777" w:rsidR="008D368E" w:rsidRPr="00C30B90" w:rsidRDefault="008D368E" w:rsidP="008D368E">
            <w:pPr>
              <w:pStyle w:val="NormalWeb"/>
              <w:spacing w:line="288" w:lineRule="atLeast"/>
              <w:jc w:val="center"/>
              <w:rPr>
                <w:sz w:val="20"/>
              </w:rPr>
            </w:pPr>
            <w:r w:rsidRPr="00C30B90">
              <w:rPr>
                <w:sz w:val="20"/>
              </w:rPr>
              <w:t>46,760</w:t>
            </w:r>
          </w:p>
        </w:tc>
      </w:tr>
    </w:tbl>
    <w:p w14:paraId="066031A0" w14:textId="1081E750" w:rsidR="00652E45" w:rsidRPr="00E33A89" w:rsidRDefault="005E0A0F" w:rsidP="00564656">
      <w:pPr>
        <w:pStyle w:val="NormalWeb"/>
        <w:spacing w:line="288" w:lineRule="atLeast"/>
        <w:ind w:firstLine="1350"/>
        <w:rPr>
          <w:u w:val="single"/>
        </w:rPr>
      </w:pPr>
      <w:bookmarkStart w:id="10" w:name="cp460"/>
      <w:bookmarkEnd w:id="9"/>
      <w:r w:rsidRPr="00E33A89">
        <w:t xml:space="preserve">b. </w:t>
      </w:r>
      <w:r w:rsidRPr="00E33A89">
        <w:rPr>
          <w:u w:val="single"/>
        </w:rPr>
        <w:t>Labor Cost of Respondent Burden</w:t>
      </w:r>
    </w:p>
    <w:p w14:paraId="0018BC55" w14:textId="239C5B9F" w:rsidR="005326B8" w:rsidRPr="00E33A89" w:rsidRDefault="00E67264" w:rsidP="00482487">
      <w:pPr>
        <w:pStyle w:val="BodyTextIndent2"/>
        <w:spacing w:after="0" w:line="240" w:lineRule="auto"/>
        <w:ind w:left="0" w:firstLine="900"/>
      </w:pPr>
      <w:r w:rsidRPr="00E33A89">
        <w:t xml:space="preserve">The cost to </w:t>
      </w:r>
      <w:r w:rsidR="00550A9B" w:rsidRPr="00E33A89">
        <w:t xml:space="preserve">each </w:t>
      </w:r>
      <w:r w:rsidRPr="00E33A89">
        <w:t xml:space="preserve">respondent is based on the approximate salary of $36.00 per hour using Department of Labor statistics for the average of the hourly mean wages of Management of Companies &amp; Enterprises and Federal Branch industries at </w:t>
      </w:r>
      <w:hyperlink r:id="rId15" w:history="1">
        <w:r w:rsidRPr="00E33A89">
          <w:t>http://www.bls.gov/oes/current/oes131071.htm</w:t>
        </w:r>
      </w:hyperlink>
      <w:r w:rsidR="00550A9B" w:rsidRPr="00E33A89">
        <w:t>.</w:t>
      </w:r>
    </w:p>
    <w:p w14:paraId="7FCC611C" w14:textId="77777777" w:rsidR="00E67264" w:rsidRPr="00E33A89" w:rsidRDefault="00E67264" w:rsidP="00E67264">
      <w:pPr>
        <w:pStyle w:val="BodyTextIndent2"/>
        <w:tabs>
          <w:tab w:val="left" w:pos="630"/>
          <w:tab w:val="left" w:pos="1170"/>
        </w:tabs>
        <w:spacing w:after="0" w:line="240" w:lineRule="auto"/>
        <w:ind w:left="1138"/>
      </w:pPr>
    </w:p>
    <w:tbl>
      <w:tblPr>
        <w:tblW w:w="1069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620"/>
        <w:gridCol w:w="1530"/>
        <w:gridCol w:w="1800"/>
        <w:gridCol w:w="2239"/>
      </w:tblGrid>
      <w:tr w:rsidR="00564656" w:rsidRPr="00E33A89" w14:paraId="199073F8" w14:textId="77777777" w:rsidTr="00E025CD">
        <w:tc>
          <w:tcPr>
            <w:tcW w:w="10699" w:type="dxa"/>
            <w:gridSpan w:val="6"/>
            <w:shd w:val="clear" w:color="auto" w:fill="auto"/>
          </w:tcPr>
          <w:p w14:paraId="5EB67AC3" w14:textId="77777777" w:rsidR="00564656" w:rsidRPr="00E33A89" w:rsidRDefault="00564656" w:rsidP="007A7148">
            <w:pPr>
              <w:pStyle w:val="NormalWeb"/>
              <w:spacing w:line="288" w:lineRule="atLeast"/>
              <w:jc w:val="center"/>
            </w:pPr>
            <w:r w:rsidRPr="00E33A89">
              <w:t>Labor Cost of Respondent Burden</w:t>
            </w:r>
          </w:p>
        </w:tc>
      </w:tr>
      <w:tr w:rsidR="00564656" w:rsidRPr="00E33A89" w14:paraId="0757EDFF" w14:textId="77777777" w:rsidTr="00482487">
        <w:trPr>
          <w:trHeight w:val="2150"/>
        </w:trPr>
        <w:tc>
          <w:tcPr>
            <w:tcW w:w="1980" w:type="dxa"/>
            <w:shd w:val="clear" w:color="auto" w:fill="auto"/>
            <w:vAlign w:val="center"/>
          </w:tcPr>
          <w:p w14:paraId="55BD9E80" w14:textId="77777777" w:rsidR="00564656" w:rsidRPr="00E33A89" w:rsidRDefault="00564656" w:rsidP="00116C2E">
            <w:pPr>
              <w:pStyle w:val="NormalWeb"/>
              <w:spacing w:line="288" w:lineRule="atLeast"/>
              <w:jc w:val="center"/>
              <w:rPr>
                <w:b/>
                <w:sz w:val="22"/>
              </w:rPr>
            </w:pPr>
          </w:p>
        </w:tc>
        <w:tc>
          <w:tcPr>
            <w:tcW w:w="1530" w:type="dxa"/>
            <w:shd w:val="clear" w:color="auto" w:fill="auto"/>
            <w:vAlign w:val="center"/>
          </w:tcPr>
          <w:p w14:paraId="6676712F" w14:textId="77777777" w:rsidR="00564656" w:rsidRPr="00E33A89" w:rsidRDefault="0096762B" w:rsidP="00116C2E">
            <w:pPr>
              <w:pStyle w:val="NormalWeb"/>
              <w:spacing w:line="288" w:lineRule="atLeast"/>
              <w:jc w:val="center"/>
              <w:rPr>
                <w:b/>
                <w:sz w:val="22"/>
              </w:rPr>
            </w:pPr>
            <w:r w:rsidRPr="00E33A89">
              <w:rPr>
                <w:b/>
                <w:sz w:val="22"/>
              </w:rPr>
              <w:t>Number of Responses</w:t>
            </w:r>
          </w:p>
        </w:tc>
        <w:tc>
          <w:tcPr>
            <w:tcW w:w="1620" w:type="dxa"/>
            <w:shd w:val="clear" w:color="auto" w:fill="auto"/>
            <w:vAlign w:val="center"/>
          </w:tcPr>
          <w:p w14:paraId="68E10C5C" w14:textId="77777777" w:rsidR="00564656" w:rsidRPr="00E33A89" w:rsidRDefault="00564656" w:rsidP="00116C2E">
            <w:pPr>
              <w:pStyle w:val="NormalWeb"/>
              <w:spacing w:line="288" w:lineRule="atLeast"/>
              <w:jc w:val="center"/>
              <w:rPr>
                <w:b/>
                <w:sz w:val="22"/>
              </w:rPr>
            </w:pPr>
            <w:r w:rsidRPr="00E33A89">
              <w:rPr>
                <w:b/>
                <w:sz w:val="22"/>
              </w:rPr>
              <w:t xml:space="preserve">Response Time </w:t>
            </w:r>
            <w:r w:rsidR="0096762B" w:rsidRPr="00E33A89">
              <w:rPr>
                <w:b/>
                <w:sz w:val="22"/>
              </w:rPr>
              <w:t>per Response</w:t>
            </w:r>
          </w:p>
        </w:tc>
        <w:tc>
          <w:tcPr>
            <w:tcW w:w="1530" w:type="dxa"/>
            <w:shd w:val="clear" w:color="auto" w:fill="auto"/>
            <w:vAlign w:val="center"/>
          </w:tcPr>
          <w:p w14:paraId="1CA42208" w14:textId="77777777" w:rsidR="00564656" w:rsidRPr="00E33A89" w:rsidRDefault="00564656" w:rsidP="00116C2E">
            <w:pPr>
              <w:pStyle w:val="NormalWeb"/>
              <w:spacing w:line="288" w:lineRule="atLeast"/>
              <w:jc w:val="center"/>
              <w:rPr>
                <w:b/>
                <w:sz w:val="22"/>
              </w:rPr>
            </w:pPr>
            <w:r w:rsidRPr="00E33A89">
              <w:rPr>
                <w:b/>
                <w:sz w:val="22"/>
              </w:rPr>
              <w:t>Respondent Hourly Wage</w:t>
            </w:r>
          </w:p>
        </w:tc>
        <w:tc>
          <w:tcPr>
            <w:tcW w:w="1800" w:type="dxa"/>
            <w:shd w:val="clear" w:color="auto" w:fill="auto"/>
            <w:vAlign w:val="center"/>
          </w:tcPr>
          <w:p w14:paraId="5FBA4301" w14:textId="77777777" w:rsidR="00564656" w:rsidRPr="00E33A89" w:rsidRDefault="00564656" w:rsidP="00116C2E">
            <w:pPr>
              <w:pStyle w:val="NormalWeb"/>
              <w:spacing w:line="288" w:lineRule="atLeast"/>
              <w:jc w:val="center"/>
              <w:rPr>
                <w:b/>
                <w:sz w:val="22"/>
              </w:rPr>
            </w:pPr>
            <w:r w:rsidRPr="00E33A89">
              <w:rPr>
                <w:b/>
                <w:sz w:val="22"/>
              </w:rPr>
              <w:t xml:space="preserve">Labor Burden per </w:t>
            </w:r>
            <w:r w:rsidR="0096762B" w:rsidRPr="00E33A89">
              <w:rPr>
                <w:b/>
                <w:sz w:val="22"/>
              </w:rPr>
              <w:t xml:space="preserve">Response </w:t>
            </w:r>
            <w:r w:rsidRPr="00E33A89">
              <w:rPr>
                <w:b/>
                <w:sz w:val="22"/>
              </w:rPr>
              <w:t>(Response Time multiplied by Respondent Hourly Wage)</w:t>
            </w:r>
          </w:p>
        </w:tc>
        <w:tc>
          <w:tcPr>
            <w:tcW w:w="2239" w:type="dxa"/>
            <w:shd w:val="clear" w:color="auto" w:fill="auto"/>
            <w:vAlign w:val="center"/>
          </w:tcPr>
          <w:p w14:paraId="07A95CC0" w14:textId="77777777" w:rsidR="00564656" w:rsidRPr="00E33A89" w:rsidRDefault="00564656" w:rsidP="00116C2E">
            <w:pPr>
              <w:pStyle w:val="NormalWeb"/>
              <w:spacing w:line="288" w:lineRule="atLeast"/>
              <w:jc w:val="center"/>
              <w:rPr>
                <w:b/>
                <w:sz w:val="22"/>
              </w:rPr>
            </w:pPr>
            <w:r w:rsidRPr="00E33A89">
              <w:rPr>
                <w:b/>
                <w:sz w:val="22"/>
              </w:rPr>
              <w:t>Total Labor Burden (Number of Respondents multiplied by Response Time multiplied by Respondent Hourly Wage)</w:t>
            </w:r>
          </w:p>
        </w:tc>
      </w:tr>
      <w:tr w:rsidR="00564656" w:rsidRPr="00E33A89" w14:paraId="490CE92B" w14:textId="77777777" w:rsidTr="00C130C9">
        <w:trPr>
          <w:trHeight w:val="1016"/>
        </w:trPr>
        <w:tc>
          <w:tcPr>
            <w:tcW w:w="1980" w:type="dxa"/>
            <w:shd w:val="clear" w:color="auto" w:fill="auto"/>
            <w:vAlign w:val="center"/>
          </w:tcPr>
          <w:p w14:paraId="5352049C" w14:textId="77777777" w:rsidR="00564656" w:rsidRPr="00E33A89" w:rsidRDefault="00564656" w:rsidP="00E025CD">
            <w:pPr>
              <w:pStyle w:val="NormalWeb"/>
              <w:spacing w:line="288" w:lineRule="atLeast"/>
              <w:jc w:val="center"/>
            </w:pPr>
            <w:r w:rsidRPr="00E33A89">
              <w:t xml:space="preserve">Collection Instrument </w:t>
            </w:r>
            <w:r w:rsidR="00E025CD" w:rsidRPr="00E33A89">
              <w:t>#</w:t>
            </w:r>
            <w:r w:rsidRPr="00E33A89">
              <w:t>1</w:t>
            </w:r>
            <w:r w:rsidR="00E025CD" w:rsidRPr="00E33A89">
              <w:t xml:space="preserve"> </w:t>
            </w:r>
            <w:r w:rsidRPr="00E33A89">
              <w:t>(</w:t>
            </w:r>
            <w:r w:rsidR="00116C2E" w:rsidRPr="00E33A89">
              <w:t>SPOT Database</w:t>
            </w:r>
            <w:r w:rsidRPr="00E33A89">
              <w:t>)</w:t>
            </w:r>
          </w:p>
        </w:tc>
        <w:tc>
          <w:tcPr>
            <w:tcW w:w="1530" w:type="dxa"/>
            <w:shd w:val="clear" w:color="auto" w:fill="auto"/>
            <w:vAlign w:val="center"/>
          </w:tcPr>
          <w:p w14:paraId="0C87BEA0" w14:textId="77777777" w:rsidR="00564656" w:rsidRPr="00E33A89" w:rsidRDefault="00C130C9" w:rsidP="00116C2E">
            <w:pPr>
              <w:pStyle w:val="NormalWeb"/>
              <w:spacing w:line="288" w:lineRule="atLeast"/>
              <w:jc w:val="center"/>
            </w:pPr>
            <w:r w:rsidRPr="00E33A89">
              <w:t>93,520</w:t>
            </w:r>
          </w:p>
        </w:tc>
        <w:tc>
          <w:tcPr>
            <w:tcW w:w="1620" w:type="dxa"/>
            <w:shd w:val="clear" w:color="auto" w:fill="auto"/>
            <w:vAlign w:val="center"/>
          </w:tcPr>
          <w:p w14:paraId="4EA8AD75" w14:textId="77777777" w:rsidR="00564656" w:rsidRPr="00E33A89" w:rsidRDefault="00C130C9" w:rsidP="00116C2E">
            <w:pPr>
              <w:pStyle w:val="NormalWeb"/>
              <w:spacing w:line="288" w:lineRule="atLeast"/>
              <w:jc w:val="center"/>
            </w:pPr>
            <w:r w:rsidRPr="00E33A89">
              <w:t>.5</w:t>
            </w:r>
          </w:p>
        </w:tc>
        <w:tc>
          <w:tcPr>
            <w:tcW w:w="1530" w:type="dxa"/>
            <w:shd w:val="clear" w:color="auto" w:fill="auto"/>
            <w:vAlign w:val="center"/>
          </w:tcPr>
          <w:p w14:paraId="38133739" w14:textId="77777777" w:rsidR="00564656" w:rsidRPr="00E33A89" w:rsidRDefault="00C130C9" w:rsidP="00116C2E">
            <w:pPr>
              <w:pStyle w:val="NormalWeb"/>
              <w:spacing w:line="288" w:lineRule="atLeast"/>
              <w:jc w:val="center"/>
            </w:pPr>
            <w:r w:rsidRPr="00E33A89">
              <w:t>$36.00</w:t>
            </w:r>
          </w:p>
        </w:tc>
        <w:tc>
          <w:tcPr>
            <w:tcW w:w="1800" w:type="dxa"/>
            <w:shd w:val="clear" w:color="auto" w:fill="auto"/>
            <w:vAlign w:val="center"/>
          </w:tcPr>
          <w:p w14:paraId="543A57C1" w14:textId="77777777" w:rsidR="00564656" w:rsidRPr="00E33A89" w:rsidRDefault="00C130C9" w:rsidP="00116C2E">
            <w:pPr>
              <w:pStyle w:val="NormalWeb"/>
              <w:spacing w:line="288" w:lineRule="atLeast"/>
              <w:jc w:val="center"/>
            </w:pPr>
            <w:r w:rsidRPr="00E33A89">
              <w:t>$18.00</w:t>
            </w:r>
          </w:p>
        </w:tc>
        <w:tc>
          <w:tcPr>
            <w:tcW w:w="2239" w:type="dxa"/>
            <w:shd w:val="clear" w:color="auto" w:fill="auto"/>
            <w:vAlign w:val="center"/>
          </w:tcPr>
          <w:p w14:paraId="5D455CFB" w14:textId="76AE1FED" w:rsidR="00564656" w:rsidRPr="00E33A89" w:rsidRDefault="00AD3FAF" w:rsidP="00AD3FAF">
            <w:pPr>
              <w:pStyle w:val="NormalWeb"/>
              <w:spacing w:line="288" w:lineRule="atLeast"/>
              <w:jc w:val="center"/>
            </w:pPr>
            <w:r>
              <w:t>$ 1,683,360</w:t>
            </w:r>
          </w:p>
        </w:tc>
      </w:tr>
      <w:tr w:rsidR="00C130C9" w:rsidRPr="00E33A89" w14:paraId="56130AAB" w14:textId="77777777" w:rsidTr="00482487">
        <w:trPr>
          <w:trHeight w:val="701"/>
        </w:trPr>
        <w:tc>
          <w:tcPr>
            <w:tcW w:w="1980" w:type="dxa"/>
            <w:shd w:val="clear" w:color="auto" w:fill="auto"/>
            <w:vAlign w:val="center"/>
          </w:tcPr>
          <w:p w14:paraId="0F59E440" w14:textId="77777777" w:rsidR="00C130C9" w:rsidRPr="00E33A89" w:rsidRDefault="00C130C9" w:rsidP="00C130C9">
            <w:pPr>
              <w:pStyle w:val="NormalWeb"/>
              <w:spacing w:line="288" w:lineRule="atLeast"/>
              <w:jc w:val="center"/>
            </w:pPr>
            <w:r w:rsidRPr="00E33A89">
              <w:t>Total</w:t>
            </w:r>
          </w:p>
        </w:tc>
        <w:tc>
          <w:tcPr>
            <w:tcW w:w="1530" w:type="dxa"/>
            <w:shd w:val="clear" w:color="auto" w:fill="auto"/>
            <w:vAlign w:val="center"/>
          </w:tcPr>
          <w:p w14:paraId="0696259F" w14:textId="77777777" w:rsidR="00C130C9" w:rsidRPr="00E33A89" w:rsidRDefault="00C130C9" w:rsidP="00C130C9">
            <w:pPr>
              <w:pStyle w:val="NormalWeb"/>
              <w:spacing w:line="288" w:lineRule="atLeast"/>
              <w:jc w:val="center"/>
            </w:pPr>
            <w:r w:rsidRPr="00E33A89">
              <w:t>93,520</w:t>
            </w:r>
          </w:p>
        </w:tc>
        <w:tc>
          <w:tcPr>
            <w:tcW w:w="1620" w:type="dxa"/>
            <w:shd w:val="clear" w:color="auto" w:fill="auto"/>
            <w:vAlign w:val="center"/>
          </w:tcPr>
          <w:p w14:paraId="492E0B58" w14:textId="77777777" w:rsidR="00C130C9" w:rsidRPr="00E33A89" w:rsidRDefault="00C130C9" w:rsidP="00C130C9">
            <w:pPr>
              <w:pStyle w:val="NormalWeb"/>
              <w:spacing w:line="288" w:lineRule="atLeast"/>
              <w:jc w:val="center"/>
            </w:pPr>
            <w:r w:rsidRPr="00E33A89">
              <w:t>.5</w:t>
            </w:r>
          </w:p>
        </w:tc>
        <w:tc>
          <w:tcPr>
            <w:tcW w:w="1530" w:type="dxa"/>
            <w:shd w:val="clear" w:color="auto" w:fill="auto"/>
            <w:vAlign w:val="center"/>
          </w:tcPr>
          <w:p w14:paraId="06760CDC" w14:textId="77777777" w:rsidR="00C130C9" w:rsidRPr="00E33A89" w:rsidRDefault="00C130C9" w:rsidP="00C130C9">
            <w:pPr>
              <w:pStyle w:val="NormalWeb"/>
              <w:spacing w:line="288" w:lineRule="atLeast"/>
              <w:jc w:val="center"/>
            </w:pPr>
            <w:r w:rsidRPr="00E33A89">
              <w:t>$36.00</w:t>
            </w:r>
          </w:p>
        </w:tc>
        <w:tc>
          <w:tcPr>
            <w:tcW w:w="1800" w:type="dxa"/>
            <w:shd w:val="clear" w:color="auto" w:fill="auto"/>
            <w:vAlign w:val="center"/>
          </w:tcPr>
          <w:p w14:paraId="79D7F7E2" w14:textId="77777777" w:rsidR="00C130C9" w:rsidRPr="00E33A89" w:rsidRDefault="00C130C9" w:rsidP="00C130C9">
            <w:pPr>
              <w:pStyle w:val="NormalWeb"/>
              <w:spacing w:line="288" w:lineRule="atLeast"/>
              <w:jc w:val="center"/>
            </w:pPr>
            <w:r w:rsidRPr="00E33A89">
              <w:t>$18.00</w:t>
            </w:r>
          </w:p>
        </w:tc>
        <w:tc>
          <w:tcPr>
            <w:tcW w:w="2239" w:type="dxa"/>
            <w:shd w:val="clear" w:color="auto" w:fill="auto"/>
            <w:vAlign w:val="center"/>
          </w:tcPr>
          <w:p w14:paraId="6D4DA07F" w14:textId="110BCD86" w:rsidR="00C130C9" w:rsidRPr="00E33A89" w:rsidRDefault="00AD3FAF" w:rsidP="00C130C9">
            <w:pPr>
              <w:pStyle w:val="NormalWeb"/>
              <w:spacing w:line="288" w:lineRule="atLeast"/>
              <w:jc w:val="center"/>
            </w:pPr>
            <w:r>
              <w:t>$ 1,683,360</w:t>
            </w:r>
          </w:p>
        </w:tc>
      </w:tr>
    </w:tbl>
    <w:p w14:paraId="46A7875A" w14:textId="77777777" w:rsidR="005E0A0F" w:rsidRPr="00E33A89" w:rsidRDefault="005E0A0F" w:rsidP="005E0A0F">
      <w:pPr>
        <w:pStyle w:val="NormalWeb"/>
        <w:spacing w:line="288" w:lineRule="atLeast"/>
        <w:ind w:firstLine="900"/>
        <w:rPr>
          <w:u w:val="single"/>
        </w:rPr>
      </w:pPr>
      <w:bookmarkStart w:id="11" w:name="cp462"/>
      <w:bookmarkEnd w:id="10"/>
      <w:r w:rsidRPr="00E33A89">
        <w:t xml:space="preserve">13.  </w:t>
      </w:r>
      <w:r w:rsidRPr="00E33A89">
        <w:rPr>
          <w:u w:val="single"/>
        </w:rPr>
        <w:t xml:space="preserve">Respondent Costs Other </w:t>
      </w:r>
      <w:proofErr w:type="gramStart"/>
      <w:r w:rsidRPr="00E33A89">
        <w:rPr>
          <w:u w:val="single"/>
        </w:rPr>
        <w:t>Than</w:t>
      </w:r>
      <w:proofErr w:type="gramEnd"/>
      <w:r w:rsidRPr="00E33A89">
        <w:rPr>
          <w:u w:val="single"/>
        </w:rPr>
        <w:t xml:space="preserve"> Burden Hour Costs</w:t>
      </w:r>
    </w:p>
    <w:p w14:paraId="240056E6" w14:textId="0CD83C10" w:rsidR="00312578" w:rsidRPr="00E33A89" w:rsidRDefault="00312578" w:rsidP="005E0A0F">
      <w:pPr>
        <w:pStyle w:val="NormalWeb"/>
        <w:spacing w:line="288" w:lineRule="atLeast"/>
        <w:ind w:firstLine="900"/>
        <w:rPr>
          <w:u w:val="single"/>
        </w:rPr>
      </w:pPr>
      <w:r w:rsidRPr="00E33A89">
        <w:t xml:space="preserve">There </w:t>
      </w:r>
      <w:r w:rsidR="00A67B18" w:rsidRPr="00E33A89">
        <w:t xml:space="preserve">is </w:t>
      </w:r>
      <w:proofErr w:type="gramStart"/>
      <w:r w:rsidR="00A67B18" w:rsidRPr="00E33A89">
        <w:t>not a specific startup cost nor</w:t>
      </w:r>
      <w:proofErr w:type="gramEnd"/>
      <w:r w:rsidR="00A67B18" w:rsidRPr="00E33A89">
        <w:t xml:space="preserve"> an annual reporting and recordkeeping cost burden associated with this information collection as automated </w:t>
      </w:r>
      <w:r w:rsidRPr="00E33A89">
        <w:t xml:space="preserve">tools </w:t>
      </w:r>
      <w:r w:rsidR="00A67B18" w:rsidRPr="00E33A89">
        <w:t xml:space="preserve">are accessible to authorized users via Internet connection </w:t>
      </w:r>
      <w:r w:rsidRPr="00E33A89">
        <w:t>for data submission.  Completion is</w:t>
      </w:r>
      <w:r w:rsidR="00A67B18" w:rsidRPr="00E33A89">
        <w:t xml:space="preserve"> accomplished entirely through the SPOT w</w:t>
      </w:r>
      <w:r w:rsidRPr="00E33A89">
        <w:t>eb-based system.</w:t>
      </w:r>
      <w:r w:rsidR="00A67B18" w:rsidRPr="00E33A89">
        <w:t xml:space="preserve">  </w:t>
      </w:r>
    </w:p>
    <w:p w14:paraId="40E2D926" w14:textId="27A2378B" w:rsidR="0099717E" w:rsidRDefault="005E0A0F" w:rsidP="0099717E">
      <w:pPr>
        <w:pStyle w:val="NormalWeb"/>
        <w:spacing w:line="288" w:lineRule="atLeast"/>
        <w:ind w:firstLine="900"/>
      </w:pPr>
      <w:bookmarkStart w:id="12" w:name="cp466"/>
      <w:bookmarkEnd w:id="11"/>
      <w:r w:rsidRPr="00E33A89">
        <w:t xml:space="preserve">14.  </w:t>
      </w:r>
      <w:r w:rsidRPr="00E33A89">
        <w:rPr>
          <w:u w:val="single"/>
        </w:rPr>
        <w:t>Cost to the Federal Government</w:t>
      </w:r>
      <w:bookmarkStart w:id="13" w:name="cp468"/>
      <w:bookmarkEnd w:id="12"/>
    </w:p>
    <w:p w14:paraId="4A900E3A" w14:textId="0898CAEC" w:rsidR="00170E58" w:rsidRDefault="00E47D39" w:rsidP="005A3F2D">
      <w:pPr>
        <w:ind w:firstLine="720"/>
      </w:pPr>
      <w:r w:rsidRPr="00E33A89">
        <w:t>The</w:t>
      </w:r>
      <w:r>
        <w:t xml:space="preserve"> cost to the federal government is for review of the data that is collected from the private sector</w:t>
      </w:r>
      <w:r w:rsidR="00D1063D">
        <w:t>.  The</w:t>
      </w:r>
      <w:r w:rsidR="00170E58">
        <w:t xml:space="preserve"> companies who employ</w:t>
      </w:r>
      <w:r>
        <w:t xml:space="preserve"> contractors who deploy</w:t>
      </w:r>
      <w:r w:rsidR="00170E58">
        <w:t xml:space="preserve"> to </w:t>
      </w:r>
      <w:r w:rsidR="00D1063D">
        <w:t>contingency</w:t>
      </w:r>
      <w:r w:rsidR="00170E58">
        <w:t>, humanitarian or peacekeeping operations enter data to build</w:t>
      </w:r>
      <w:r w:rsidR="00D1063D">
        <w:t xml:space="preserve"> records</w:t>
      </w:r>
      <w:r>
        <w:t xml:space="preserve">.  </w:t>
      </w:r>
      <w:r w:rsidR="00170E58">
        <w:t>B</w:t>
      </w:r>
      <w:r w:rsidRPr="00E33A89">
        <w:t>e</w:t>
      </w:r>
      <w:r w:rsidR="00170E58">
        <w:t xml:space="preserve">cause many contractors deploy on the same contract for the same company, information may be consolidated for collection.  Similarly, government personnel are able to review the data in a consolidated fashion, averaging about </w:t>
      </w:r>
      <w:r w:rsidR="00C90A6F">
        <w:t>10 responses reviewed in 4</w:t>
      </w:r>
      <w:r w:rsidR="00170E58">
        <w:t xml:space="preserve"> minute</w:t>
      </w:r>
      <w:r w:rsidR="00C90A6F">
        <w:t>s</w:t>
      </w:r>
      <w:r w:rsidR="00170E58">
        <w:t>.</w:t>
      </w:r>
      <w:r w:rsidR="00C90A6F">
        <w:t xml:space="preserve">  This is what </w:t>
      </w:r>
      <w:r w:rsidR="00D1063D">
        <w:t xml:space="preserve">is used to </w:t>
      </w:r>
      <w:r w:rsidR="00C90A6F">
        <w:t>determine the cost to the federal government for the data collection.  The hourly wage is based on the base rate of a GS-12, Step 5 as of January 2016.</w:t>
      </w:r>
    </w:p>
    <w:p w14:paraId="0C678F2B" w14:textId="56DC3FDC" w:rsidR="00E47D39" w:rsidRDefault="00170E58" w:rsidP="005A3F2D">
      <w:pPr>
        <w:ind w:firstLine="720"/>
      </w:pPr>
      <w:r>
        <w:lastRenderedPageBreak/>
        <w:t xml:space="preserve">The government has </w:t>
      </w:r>
      <w:r w:rsidR="00D1063D">
        <w:t xml:space="preserve">a responsibility to retain a repository of contracts and contractor personnel records related to specified operations in accordance with United States law and the Code of Federal Regulations.  </w:t>
      </w:r>
      <w:r w:rsidR="0084165A">
        <w:t>Operations and maintenance are funded by congressional appropriations.  There is no cost to the federal government for equipment as each employee has access to an Internet connected computer as part of their work environment.  T</w:t>
      </w:r>
      <w:r w:rsidR="00E47D39" w:rsidRPr="00E33A89">
        <w:t xml:space="preserve">his information collection </w:t>
      </w:r>
      <w:r w:rsidR="0084165A">
        <w:t>uses</w:t>
      </w:r>
      <w:r w:rsidR="00E47D39" w:rsidRPr="00E33A89">
        <w:t xml:space="preserve"> automated tools </w:t>
      </w:r>
      <w:r w:rsidR="0084165A">
        <w:t xml:space="preserve">that </w:t>
      </w:r>
      <w:r w:rsidR="00E47D39" w:rsidRPr="00E33A89">
        <w:t xml:space="preserve">are accessible to </w:t>
      </w:r>
      <w:r w:rsidR="0084165A">
        <w:t xml:space="preserve">registered government </w:t>
      </w:r>
      <w:r w:rsidR="00E47D39" w:rsidRPr="00E33A89">
        <w:t>users via Internet connection</w:t>
      </w:r>
      <w:r w:rsidR="0084165A">
        <w:t xml:space="preserve"> with their CAC / PIN</w:t>
      </w:r>
      <w:r w:rsidR="00E47D39" w:rsidRPr="00E33A89">
        <w:t xml:space="preserve">.  </w:t>
      </w:r>
      <w:r w:rsidR="0084165A">
        <w:t>Printing and postage are not relevant as all data is collected and reviewed within the application.  Similarly, there is no software to purchase or licenses to hold beyond the CAC certificate, which is issued to Government employees via another program of record.</w:t>
      </w:r>
    </w:p>
    <w:p w14:paraId="7BA78578" w14:textId="77777777" w:rsidR="00DC56ED" w:rsidRDefault="00DC56ED" w:rsidP="005A3F2D">
      <w:pPr>
        <w:ind w:firstLine="720"/>
      </w:pPr>
    </w:p>
    <w:p w14:paraId="27D8F32B" w14:textId="77777777" w:rsidR="00DC56ED" w:rsidRPr="0084165A" w:rsidRDefault="00DC56ED" w:rsidP="005A3F2D">
      <w:pPr>
        <w:ind w:firstLine="720"/>
        <w:rPr>
          <w:u w:val="single"/>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690"/>
        <w:gridCol w:w="2700"/>
        <w:gridCol w:w="2160"/>
      </w:tblGrid>
      <w:tr w:rsidR="0099717E" w:rsidRPr="006D52D2" w14:paraId="0240495D" w14:textId="77777777" w:rsidTr="006D52D2">
        <w:tc>
          <w:tcPr>
            <w:tcW w:w="10440" w:type="dxa"/>
            <w:gridSpan w:val="4"/>
            <w:shd w:val="clear" w:color="auto" w:fill="auto"/>
            <w:vAlign w:val="center"/>
          </w:tcPr>
          <w:p w14:paraId="59B14F69" w14:textId="77777777" w:rsidR="0099717E" w:rsidRPr="006D52D2" w:rsidRDefault="0099717E" w:rsidP="006D52D2">
            <w:pPr>
              <w:pStyle w:val="NormalWeb"/>
              <w:spacing w:line="288" w:lineRule="atLeast"/>
              <w:jc w:val="center"/>
              <w:rPr>
                <w:b/>
              </w:rPr>
            </w:pPr>
            <w:r w:rsidRPr="006D52D2">
              <w:rPr>
                <w:b/>
              </w:rPr>
              <w:t>Labor Cost to the Federal Government</w:t>
            </w:r>
          </w:p>
        </w:tc>
      </w:tr>
      <w:tr w:rsidR="0099717E" w14:paraId="56774B28" w14:textId="77777777" w:rsidTr="006D52D2">
        <w:tc>
          <w:tcPr>
            <w:tcW w:w="2890" w:type="dxa"/>
            <w:shd w:val="clear" w:color="auto" w:fill="auto"/>
            <w:vAlign w:val="center"/>
          </w:tcPr>
          <w:p w14:paraId="774B1C92" w14:textId="77777777" w:rsidR="0099717E" w:rsidRDefault="0099717E" w:rsidP="006D52D2">
            <w:pPr>
              <w:pStyle w:val="NormalWeb"/>
              <w:spacing w:line="288" w:lineRule="atLeast"/>
              <w:jc w:val="center"/>
            </w:pPr>
          </w:p>
        </w:tc>
        <w:tc>
          <w:tcPr>
            <w:tcW w:w="2690" w:type="dxa"/>
            <w:shd w:val="clear" w:color="auto" w:fill="auto"/>
            <w:vAlign w:val="center"/>
          </w:tcPr>
          <w:p w14:paraId="1793F831" w14:textId="17792BD7" w:rsidR="0099717E" w:rsidRDefault="0099717E" w:rsidP="006D52D2">
            <w:pPr>
              <w:pStyle w:val="NormalWeb"/>
              <w:spacing w:line="288" w:lineRule="atLeast"/>
              <w:jc w:val="center"/>
            </w:pPr>
            <w:r>
              <w:t>Collection Instrument #1</w:t>
            </w:r>
          </w:p>
        </w:tc>
        <w:tc>
          <w:tcPr>
            <w:tcW w:w="2700" w:type="dxa"/>
            <w:shd w:val="clear" w:color="auto" w:fill="auto"/>
            <w:vAlign w:val="center"/>
          </w:tcPr>
          <w:p w14:paraId="22A5309E" w14:textId="77777777" w:rsidR="0099717E" w:rsidRDefault="0099717E" w:rsidP="006D52D2">
            <w:pPr>
              <w:pStyle w:val="NormalWeb"/>
              <w:spacing w:line="288" w:lineRule="atLeast"/>
              <w:jc w:val="center"/>
            </w:pPr>
            <w:r>
              <w:t>Collection Instrument #2</w:t>
            </w:r>
          </w:p>
        </w:tc>
        <w:tc>
          <w:tcPr>
            <w:tcW w:w="2160" w:type="dxa"/>
            <w:shd w:val="clear" w:color="auto" w:fill="auto"/>
            <w:vAlign w:val="center"/>
          </w:tcPr>
          <w:p w14:paraId="3646D572" w14:textId="77777777" w:rsidR="0099717E" w:rsidRDefault="0099717E" w:rsidP="006D52D2">
            <w:pPr>
              <w:pStyle w:val="NormalWeb"/>
              <w:spacing w:line="288" w:lineRule="atLeast"/>
              <w:jc w:val="center"/>
            </w:pPr>
            <w:r>
              <w:t>Total</w:t>
            </w:r>
          </w:p>
        </w:tc>
      </w:tr>
      <w:tr w:rsidR="00083005" w14:paraId="5AC5378B" w14:textId="77777777" w:rsidTr="006D52D2">
        <w:trPr>
          <w:trHeight w:val="584"/>
        </w:trPr>
        <w:tc>
          <w:tcPr>
            <w:tcW w:w="2890" w:type="dxa"/>
            <w:shd w:val="clear" w:color="auto" w:fill="auto"/>
            <w:vAlign w:val="center"/>
          </w:tcPr>
          <w:p w14:paraId="398B2814" w14:textId="77777777" w:rsidR="00083005" w:rsidRDefault="00083005" w:rsidP="006D52D2">
            <w:pPr>
              <w:pStyle w:val="NormalWeb"/>
              <w:spacing w:line="288" w:lineRule="atLeast"/>
              <w:jc w:val="center"/>
            </w:pPr>
            <w:r>
              <w:t>Number of Responses</w:t>
            </w:r>
          </w:p>
        </w:tc>
        <w:tc>
          <w:tcPr>
            <w:tcW w:w="2690" w:type="dxa"/>
            <w:shd w:val="clear" w:color="auto" w:fill="auto"/>
            <w:vAlign w:val="center"/>
          </w:tcPr>
          <w:p w14:paraId="2A8D6C58" w14:textId="59091B38" w:rsidR="00083005" w:rsidRDefault="00083005" w:rsidP="006D52D2">
            <w:pPr>
              <w:pStyle w:val="NormalWeb"/>
              <w:spacing w:line="288" w:lineRule="atLeast"/>
              <w:jc w:val="center"/>
            </w:pPr>
            <w:r w:rsidRPr="00395E98">
              <w:t>93</w:t>
            </w:r>
            <w:r>
              <w:t>,</w:t>
            </w:r>
            <w:r w:rsidRPr="00395E98">
              <w:t>520</w:t>
            </w:r>
          </w:p>
        </w:tc>
        <w:tc>
          <w:tcPr>
            <w:tcW w:w="2700" w:type="dxa"/>
            <w:shd w:val="clear" w:color="auto" w:fill="auto"/>
            <w:vAlign w:val="center"/>
          </w:tcPr>
          <w:p w14:paraId="0E824716" w14:textId="715DC4E6" w:rsidR="00083005" w:rsidRDefault="00083005" w:rsidP="006D52D2">
            <w:pPr>
              <w:pStyle w:val="NormalWeb"/>
              <w:spacing w:line="288" w:lineRule="atLeast"/>
              <w:jc w:val="center"/>
            </w:pPr>
            <w:r>
              <w:t>N/A</w:t>
            </w:r>
          </w:p>
        </w:tc>
        <w:tc>
          <w:tcPr>
            <w:tcW w:w="2160" w:type="dxa"/>
            <w:shd w:val="clear" w:color="auto" w:fill="auto"/>
            <w:vAlign w:val="center"/>
          </w:tcPr>
          <w:p w14:paraId="36EDC5AC" w14:textId="3E062028" w:rsidR="00083005" w:rsidRDefault="00083005" w:rsidP="006D52D2">
            <w:pPr>
              <w:pStyle w:val="NormalWeb"/>
              <w:spacing w:line="288" w:lineRule="atLeast"/>
              <w:jc w:val="center"/>
            </w:pPr>
            <w:r w:rsidRPr="00395E98">
              <w:t>93</w:t>
            </w:r>
            <w:r>
              <w:t>,</w:t>
            </w:r>
            <w:r w:rsidRPr="00395E98">
              <w:t>520</w:t>
            </w:r>
          </w:p>
        </w:tc>
      </w:tr>
      <w:tr w:rsidR="00083005" w14:paraId="48B54414" w14:textId="77777777" w:rsidTr="006D52D2">
        <w:tc>
          <w:tcPr>
            <w:tcW w:w="2890" w:type="dxa"/>
            <w:shd w:val="clear" w:color="auto" w:fill="auto"/>
            <w:vAlign w:val="center"/>
          </w:tcPr>
          <w:p w14:paraId="5AF0A417" w14:textId="77777777" w:rsidR="00083005" w:rsidRDefault="00083005" w:rsidP="006D52D2">
            <w:pPr>
              <w:pStyle w:val="NormalWeb"/>
              <w:spacing w:line="288" w:lineRule="atLeast"/>
              <w:jc w:val="center"/>
            </w:pPr>
            <w:r>
              <w:t>Processing Time Per Response (in hours)</w:t>
            </w:r>
          </w:p>
        </w:tc>
        <w:tc>
          <w:tcPr>
            <w:tcW w:w="2690" w:type="dxa"/>
            <w:shd w:val="clear" w:color="auto" w:fill="auto"/>
            <w:vAlign w:val="center"/>
          </w:tcPr>
          <w:p w14:paraId="5CD3E2F7" w14:textId="062E79F7" w:rsidR="00083005" w:rsidRDefault="00083005" w:rsidP="006D52D2">
            <w:pPr>
              <w:pStyle w:val="NormalWeb"/>
              <w:spacing w:line="288" w:lineRule="atLeast"/>
              <w:jc w:val="center"/>
            </w:pPr>
            <w:r>
              <w:t>.007</w:t>
            </w:r>
          </w:p>
        </w:tc>
        <w:tc>
          <w:tcPr>
            <w:tcW w:w="2700" w:type="dxa"/>
            <w:shd w:val="clear" w:color="auto" w:fill="auto"/>
            <w:vAlign w:val="center"/>
          </w:tcPr>
          <w:p w14:paraId="47B70B0D" w14:textId="7BAAAE28" w:rsidR="00083005" w:rsidRDefault="00083005" w:rsidP="006D52D2">
            <w:pPr>
              <w:pStyle w:val="NormalWeb"/>
              <w:spacing w:line="288" w:lineRule="atLeast"/>
              <w:jc w:val="center"/>
            </w:pPr>
            <w:r>
              <w:t>N/A</w:t>
            </w:r>
          </w:p>
        </w:tc>
        <w:tc>
          <w:tcPr>
            <w:tcW w:w="2160" w:type="dxa"/>
            <w:shd w:val="clear" w:color="auto" w:fill="auto"/>
            <w:vAlign w:val="center"/>
          </w:tcPr>
          <w:p w14:paraId="542FCC16" w14:textId="0C0C7BE5" w:rsidR="00083005" w:rsidRDefault="00083005" w:rsidP="006D52D2">
            <w:pPr>
              <w:pStyle w:val="NormalWeb"/>
              <w:spacing w:line="288" w:lineRule="atLeast"/>
              <w:jc w:val="center"/>
            </w:pPr>
            <w:r>
              <w:t>.007</w:t>
            </w:r>
          </w:p>
        </w:tc>
      </w:tr>
      <w:tr w:rsidR="00083005" w14:paraId="078D743B" w14:textId="77777777" w:rsidTr="006D52D2">
        <w:tc>
          <w:tcPr>
            <w:tcW w:w="2890" w:type="dxa"/>
            <w:shd w:val="clear" w:color="auto" w:fill="auto"/>
            <w:vAlign w:val="center"/>
          </w:tcPr>
          <w:p w14:paraId="6D01962B" w14:textId="6760C33A" w:rsidR="00083005" w:rsidRDefault="00083005" w:rsidP="006D52D2">
            <w:pPr>
              <w:pStyle w:val="NormalWeb"/>
              <w:spacing w:line="288" w:lineRule="atLeast"/>
              <w:jc w:val="center"/>
            </w:pPr>
            <w:r>
              <w:t>Hourly Wage of Worker(s) Processing Responses</w:t>
            </w:r>
          </w:p>
        </w:tc>
        <w:tc>
          <w:tcPr>
            <w:tcW w:w="2690" w:type="dxa"/>
            <w:shd w:val="clear" w:color="auto" w:fill="auto"/>
            <w:vAlign w:val="center"/>
          </w:tcPr>
          <w:p w14:paraId="70EAE6D4" w14:textId="4EAA38B8" w:rsidR="00083005" w:rsidRDefault="00083005" w:rsidP="006D52D2">
            <w:pPr>
              <w:pStyle w:val="NormalWeb"/>
              <w:spacing w:line="288" w:lineRule="atLeast"/>
              <w:jc w:val="center"/>
            </w:pPr>
            <w:r>
              <w:t>$33.72</w:t>
            </w:r>
          </w:p>
        </w:tc>
        <w:tc>
          <w:tcPr>
            <w:tcW w:w="2700" w:type="dxa"/>
            <w:shd w:val="clear" w:color="auto" w:fill="auto"/>
            <w:vAlign w:val="center"/>
          </w:tcPr>
          <w:p w14:paraId="7EA652EA" w14:textId="5DE82E5D" w:rsidR="00083005" w:rsidRDefault="00083005" w:rsidP="006D52D2">
            <w:pPr>
              <w:pStyle w:val="NormalWeb"/>
              <w:spacing w:line="288" w:lineRule="atLeast"/>
              <w:jc w:val="center"/>
            </w:pPr>
            <w:r>
              <w:t>N/A</w:t>
            </w:r>
          </w:p>
        </w:tc>
        <w:tc>
          <w:tcPr>
            <w:tcW w:w="2160" w:type="dxa"/>
            <w:shd w:val="clear" w:color="auto" w:fill="auto"/>
            <w:vAlign w:val="center"/>
          </w:tcPr>
          <w:p w14:paraId="4DC7DD9B" w14:textId="55F9C01B" w:rsidR="00083005" w:rsidRDefault="00083005" w:rsidP="006D52D2">
            <w:pPr>
              <w:pStyle w:val="NormalWeb"/>
              <w:spacing w:line="288" w:lineRule="atLeast"/>
              <w:jc w:val="center"/>
            </w:pPr>
            <w:r>
              <w:t>$33.72</w:t>
            </w:r>
          </w:p>
        </w:tc>
      </w:tr>
      <w:tr w:rsidR="00083005" w14:paraId="3C7F9872" w14:textId="77777777" w:rsidTr="006D52D2">
        <w:tc>
          <w:tcPr>
            <w:tcW w:w="2890" w:type="dxa"/>
            <w:shd w:val="clear" w:color="auto" w:fill="auto"/>
            <w:vAlign w:val="center"/>
          </w:tcPr>
          <w:p w14:paraId="58B0A4A5" w14:textId="77777777" w:rsidR="00083005" w:rsidRDefault="00083005" w:rsidP="006D52D2">
            <w:pPr>
              <w:pStyle w:val="NormalWeb"/>
              <w:spacing w:line="288" w:lineRule="atLeast"/>
              <w:jc w:val="center"/>
            </w:pPr>
            <w:r>
              <w:t>Cost to Process Each Response (Processing Time Per Response multiplied by Hourly Wage of Worker(s) Processing Responses)</w:t>
            </w:r>
          </w:p>
        </w:tc>
        <w:tc>
          <w:tcPr>
            <w:tcW w:w="2690" w:type="dxa"/>
            <w:shd w:val="clear" w:color="auto" w:fill="auto"/>
            <w:vAlign w:val="center"/>
          </w:tcPr>
          <w:p w14:paraId="0BA9240A" w14:textId="37CBEA3B" w:rsidR="00083005" w:rsidRDefault="00083005" w:rsidP="00EC7A7F">
            <w:pPr>
              <w:pStyle w:val="NormalWeb"/>
              <w:spacing w:line="288" w:lineRule="atLeast"/>
              <w:jc w:val="center"/>
            </w:pPr>
            <w:r>
              <w:t xml:space="preserve">$  </w:t>
            </w:r>
            <w:r w:rsidR="00EC7A7F">
              <w:t>0</w:t>
            </w:r>
            <w:r>
              <w:t>.22</w:t>
            </w:r>
          </w:p>
        </w:tc>
        <w:tc>
          <w:tcPr>
            <w:tcW w:w="2700" w:type="dxa"/>
            <w:shd w:val="clear" w:color="auto" w:fill="auto"/>
            <w:vAlign w:val="center"/>
          </w:tcPr>
          <w:p w14:paraId="72D83BCB" w14:textId="2F478D1D" w:rsidR="00083005" w:rsidRDefault="00083005" w:rsidP="006D52D2">
            <w:pPr>
              <w:pStyle w:val="NormalWeb"/>
              <w:spacing w:line="288" w:lineRule="atLeast"/>
              <w:jc w:val="center"/>
            </w:pPr>
            <w:r>
              <w:t>N/A</w:t>
            </w:r>
          </w:p>
        </w:tc>
        <w:tc>
          <w:tcPr>
            <w:tcW w:w="2160" w:type="dxa"/>
            <w:shd w:val="clear" w:color="auto" w:fill="auto"/>
            <w:vAlign w:val="center"/>
          </w:tcPr>
          <w:p w14:paraId="6C7AC25F" w14:textId="1B23F5B7" w:rsidR="00083005" w:rsidRDefault="00083005" w:rsidP="006D52D2">
            <w:pPr>
              <w:pStyle w:val="NormalWeb"/>
              <w:spacing w:line="288" w:lineRule="atLeast"/>
              <w:jc w:val="center"/>
            </w:pPr>
            <w:r>
              <w:t xml:space="preserve">$ </w:t>
            </w:r>
            <w:r w:rsidR="00EC7A7F">
              <w:t xml:space="preserve"> 0</w:t>
            </w:r>
            <w:r>
              <w:t>.22</w:t>
            </w:r>
          </w:p>
        </w:tc>
      </w:tr>
      <w:tr w:rsidR="00083005" w14:paraId="166AA177" w14:textId="77777777" w:rsidTr="00173C66">
        <w:trPr>
          <w:trHeight w:val="1367"/>
        </w:trPr>
        <w:tc>
          <w:tcPr>
            <w:tcW w:w="2890" w:type="dxa"/>
            <w:shd w:val="clear" w:color="auto" w:fill="auto"/>
            <w:vAlign w:val="center"/>
          </w:tcPr>
          <w:p w14:paraId="0608107B" w14:textId="3D9AF0FD" w:rsidR="00BA177D" w:rsidRDefault="00173C66" w:rsidP="00173C66">
            <w:pPr>
              <w:pStyle w:val="NormalWeb"/>
              <w:spacing w:line="288" w:lineRule="atLeast"/>
              <w:jc w:val="center"/>
            </w:pPr>
            <w:r w:rsidRPr="00173C66">
              <w:t>Total Cost to Process Responses (Cost to Process Each Response multiplied by Number of Responses</w:t>
            </w:r>
          </w:p>
        </w:tc>
        <w:tc>
          <w:tcPr>
            <w:tcW w:w="2690" w:type="dxa"/>
            <w:shd w:val="clear" w:color="auto" w:fill="auto"/>
            <w:vAlign w:val="center"/>
          </w:tcPr>
          <w:p w14:paraId="7E6CE199" w14:textId="101CF0D7" w:rsidR="00083005" w:rsidRDefault="00083005" w:rsidP="006D52D2">
            <w:pPr>
              <w:pStyle w:val="NormalWeb"/>
              <w:spacing w:line="288" w:lineRule="atLeast"/>
              <w:jc w:val="center"/>
            </w:pPr>
            <w:r>
              <w:t>$21,023.30</w:t>
            </w:r>
          </w:p>
        </w:tc>
        <w:tc>
          <w:tcPr>
            <w:tcW w:w="2700" w:type="dxa"/>
            <w:shd w:val="clear" w:color="auto" w:fill="auto"/>
            <w:vAlign w:val="center"/>
          </w:tcPr>
          <w:p w14:paraId="32179D26" w14:textId="66FD5784" w:rsidR="00083005" w:rsidRDefault="00083005" w:rsidP="006D52D2">
            <w:pPr>
              <w:pStyle w:val="NormalWeb"/>
              <w:spacing w:line="288" w:lineRule="atLeast"/>
              <w:jc w:val="center"/>
            </w:pPr>
            <w:r>
              <w:t>N/A</w:t>
            </w:r>
          </w:p>
        </w:tc>
        <w:tc>
          <w:tcPr>
            <w:tcW w:w="2160" w:type="dxa"/>
            <w:shd w:val="clear" w:color="auto" w:fill="auto"/>
            <w:vAlign w:val="center"/>
          </w:tcPr>
          <w:p w14:paraId="4EF48A4E" w14:textId="7ED7CDB4" w:rsidR="00083005" w:rsidRDefault="006D486D" w:rsidP="006D52D2">
            <w:pPr>
              <w:pStyle w:val="NormalWeb"/>
              <w:spacing w:line="288" w:lineRule="atLeast"/>
              <w:jc w:val="center"/>
            </w:pPr>
            <w:r>
              <w:t>$21,023</w:t>
            </w:r>
          </w:p>
        </w:tc>
      </w:tr>
    </w:tbl>
    <w:p w14:paraId="13C0FE84" w14:textId="77777777" w:rsidR="0099717E" w:rsidRDefault="0099717E" w:rsidP="0099717E">
      <w:pPr>
        <w:pStyle w:val="NormalWeb"/>
        <w:spacing w:line="288" w:lineRule="atLeast"/>
      </w:pPr>
      <w:bookmarkStart w:id="14" w:name="cp467"/>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334"/>
        <w:gridCol w:w="1332"/>
        <w:gridCol w:w="1351"/>
        <w:gridCol w:w="1350"/>
        <w:gridCol w:w="1314"/>
        <w:gridCol w:w="1765"/>
      </w:tblGrid>
      <w:tr w:rsidR="0099717E" w:rsidRPr="006D52D2" w14:paraId="4A3BF37C" w14:textId="77777777" w:rsidTr="006D52D2">
        <w:tc>
          <w:tcPr>
            <w:tcW w:w="10260" w:type="dxa"/>
            <w:gridSpan w:val="7"/>
            <w:shd w:val="clear" w:color="auto" w:fill="auto"/>
            <w:vAlign w:val="center"/>
          </w:tcPr>
          <w:p w14:paraId="6DF0CED7" w14:textId="77777777" w:rsidR="0099717E" w:rsidRPr="006D52D2" w:rsidRDefault="0099717E" w:rsidP="006D52D2">
            <w:pPr>
              <w:pStyle w:val="NormalWeb"/>
              <w:spacing w:line="288" w:lineRule="atLeast"/>
              <w:jc w:val="center"/>
              <w:rPr>
                <w:b/>
              </w:rPr>
            </w:pPr>
            <w:r w:rsidRPr="006D52D2">
              <w:rPr>
                <w:b/>
              </w:rPr>
              <w:t>Operational and Maintenance Costs</w:t>
            </w:r>
          </w:p>
        </w:tc>
      </w:tr>
      <w:tr w:rsidR="0099717E" w14:paraId="70AD688E" w14:textId="77777777" w:rsidTr="006D52D2">
        <w:tc>
          <w:tcPr>
            <w:tcW w:w="1814" w:type="dxa"/>
            <w:shd w:val="clear" w:color="auto" w:fill="auto"/>
            <w:vAlign w:val="center"/>
          </w:tcPr>
          <w:p w14:paraId="78F8ACBE" w14:textId="77777777" w:rsidR="0099717E" w:rsidRDefault="0099717E" w:rsidP="006D52D2">
            <w:pPr>
              <w:pStyle w:val="NormalWeb"/>
              <w:spacing w:line="288" w:lineRule="atLeast"/>
              <w:jc w:val="center"/>
            </w:pPr>
            <w:r>
              <w:t>Equipment</w:t>
            </w:r>
          </w:p>
        </w:tc>
        <w:tc>
          <w:tcPr>
            <w:tcW w:w="1334" w:type="dxa"/>
            <w:shd w:val="clear" w:color="auto" w:fill="auto"/>
            <w:vAlign w:val="center"/>
          </w:tcPr>
          <w:p w14:paraId="7707E6E9" w14:textId="77777777" w:rsidR="0099717E" w:rsidRDefault="0099717E" w:rsidP="006D52D2">
            <w:pPr>
              <w:pStyle w:val="NormalWeb"/>
              <w:spacing w:line="288" w:lineRule="atLeast"/>
              <w:jc w:val="center"/>
            </w:pPr>
            <w:r>
              <w:t>Printing</w:t>
            </w:r>
          </w:p>
        </w:tc>
        <w:tc>
          <w:tcPr>
            <w:tcW w:w="1332" w:type="dxa"/>
            <w:shd w:val="clear" w:color="auto" w:fill="auto"/>
            <w:vAlign w:val="center"/>
          </w:tcPr>
          <w:p w14:paraId="05327C73" w14:textId="77777777" w:rsidR="0099717E" w:rsidRDefault="0099717E" w:rsidP="006D52D2">
            <w:pPr>
              <w:pStyle w:val="NormalWeb"/>
              <w:spacing w:line="288" w:lineRule="atLeast"/>
              <w:jc w:val="center"/>
            </w:pPr>
            <w:r>
              <w:t>Postage</w:t>
            </w:r>
          </w:p>
        </w:tc>
        <w:tc>
          <w:tcPr>
            <w:tcW w:w="1351" w:type="dxa"/>
            <w:shd w:val="clear" w:color="auto" w:fill="auto"/>
            <w:vAlign w:val="center"/>
          </w:tcPr>
          <w:p w14:paraId="7CDCE85E" w14:textId="77777777" w:rsidR="0099717E" w:rsidRDefault="0099717E" w:rsidP="006D52D2">
            <w:pPr>
              <w:pStyle w:val="NormalWeb"/>
              <w:spacing w:line="288" w:lineRule="atLeast"/>
              <w:jc w:val="center"/>
            </w:pPr>
            <w:r>
              <w:t>Software Purchases</w:t>
            </w:r>
          </w:p>
        </w:tc>
        <w:tc>
          <w:tcPr>
            <w:tcW w:w="1350" w:type="dxa"/>
            <w:shd w:val="clear" w:color="auto" w:fill="auto"/>
            <w:vAlign w:val="center"/>
          </w:tcPr>
          <w:p w14:paraId="41CB5EE0" w14:textId="77777777" w:rsidR="0099717E" w:rsidRDefault="0099717E" w:rsidP="006D52D2">
            <w:pPr>
              <w:pStyle w:val="NormalWeb"/>
              <w:spacing w:line="288" w:lineRule="atLeast"/>
              <w:jc w:val="center"/>
            </w:pPr>
            <w:r>
              <w:t>Licensing Costs</w:t>
            </w:r>
          </w:p>
        </w:tc>
        <w:tc>
          <w:tcPr>
            <w:tcW w:w="1314" w:type="dxa"/>
            <w:shd w:val="clear" w:color="auto" w:fill="auto"/>
            <w:vAlign w:val="center"/>
          </w:tcPr>
          <w:p w14:paraId="3203939D" w14:textId="77777777" w:rsidR="0099717E" w:rsidRDefault="0099717E" w:rsidP="006D52D2">
            <w:pPr>
              <w:pStyle w:val="NormalWeb"/>
              <w:spacing w:line="288" w:lineRule="atLeast"/>
              <w:jc w:val="center"/>
            </w:pPr>
            <w:r>
              <w:t>Other</w:t>
            </w:r>
          </w:p>
        </w:tc>
        <w:tc>
          <w:tcPr>
            <w:tcW w:w="1765" w:type="dxa"/>
            <w:shd w:val="clear" w:color="auto" w:fill="auto"/>
            <w:vAlign w:val="center"/>
          </w:tcPr>
          <w:p w14:paraId="4E42B883" w14:textId="77777777" w:rsidR="0099717E" w:rsidRDefault="0099717E" w:rsidP="006D52D2">
            <w:pPr>
              <w:pStyle w:val="NormalWeb"/>
              <w:spacing w:line="288" w:lineRule="atLeast"/>
              <w:jc w:val="center"/>
            </w:pPr>
            <w:r>
              <w:t>Total</w:t>
            </w:r>
          </w:p>
        </w:tc>
      </w:tr>
      <w:tr w:rsidR="00BA177D" w14:paraId="523E1DBE" w14:textId="77777777" w:rsidTr="006D52D2">
        <w:trPr>
          <w:trHeight w:val="674"/>
        </w:trPr>
        <w:tc>
          <w:tcPr>
            <w:tcW w:w="1814" w:type="dxa"/>
            <w:shd w:val="clear" w:color="auto" w:fill="auto"/>
            <w:vAlign w:val="center"/>
          </w:tcPr>
          <w:p w14:paraId="4791102A" w14:textId="1B0A1361" w:rsidR="00BA177D" w:rsidRDefault="00BA177D" w:rsidP="00BA177D">
            <w:pPr>
              <w:pStyle w:val="NormalWeb"/>
              <w:spacing w:line="288" w:lineRule="atLeast"/>
              <w:jc w:val="center"/>
            </w:pPr>
            <w:r>
              <w:t>$  0.00</w:t>
            </w:r>
          </w:p>
        </w:tc>
        <w:tc>
          <w:tcPr>
            <w:tcW w:w="1334" w:type="dxa"/>
            <w:shd w:val="clear" w:color="auto" w:fill="auto"/>
            <w:vAlign w:val="center"/>
          </w:tcPr>
          <w:p w14:paraId="2325E969" w14:textId="3F547CEC" w:rsidR="00BA177D" w:rsidRDefault="00BA177D" w:rsidP="00BA177D">
            <w:pPr>
              <w:pStyle w:val="NormalWeb"/>
              <w:spacing w:line="288" w:lineRule="atLeast"/>
              <w:jc w:val="center"/>
            </w:pPr>
            <w:r>
              <w:t>$  0.00</w:t>
            </w:r>
          </w:p>
        </w:tc>
        <w:tc>
          <w:tcPr>
            <w:tcW w:w="1332" w:type="dxa"/>
            <w:shd w:val="clear" w:color="auto" w:fill="auto"/>
            <w:vAlign w:val="center"/>
          </w:tcPr>
          <w:p w14:paraId="007825EF" w14:textId="3FD7B9E7" w:rsidR="00BA177D" w:rsidRDefault="00BA177D" w:rsidP="00BA177D">
            <w:pPr>
              <w:pStyle w:val="NormalWeb"/>
              <w:spacing w:line="288" w:lineRule="atLeast"/>
              <w:jc w:val="center"/>
            </w:pPr>
            <w:r>
              <w:t>$  0.00</w:t>
            </w:r>
          </w:p>
        </w:tc>
        <w:tc>
          <w:tcPr>
            <w:tcW w:w="1351" w:type="dxa"/>
            <w:shd w:val="clear" w:color="auto" w:fill="auto"/>
            <w:vAlign w:val="center"/>
          </w:tcPr>
          <w:p w14:paraId="1C53EB90" w14:textId="72E7960F" w:rsidR="00BA177D" w:rsidRDefault="00BA177D" w:rsidP="00BA177D">
            <w:pPr>
              <w:pStyle w:val="NormalWeb"/>
              <w:spacing w:line="288" w:lineRule="atLeast"/>
              <w:jc w:val="center"/>
            </w:pPr>
            <w:r>
              <w:t>$  0.00</w:t>
            </w:r>
          </w:p>
        </w:tc>
        <w:tc>
          <w:tcPr>
            <w:tcW w:w="1350" w:type="dxa"/>
            <w:shd w:val="clear" w:color="auto" w:fill="auto"/>
            <w:vAlign w:val="center"/>
          </w:tcPr>
          <w:p w14:paraId="5A80AD75" w14:textId="4C5D9B48" w:rsidR="00BA177D" w:rsidRDefault="00BA177D" w:rsidP="00BA177D">
            <w:pPr>
              <w:pStyle w:val="NormalWeb"/>
              <w:spacing w:line="288" w:lineRule="atLeast"/>
              <w:jc w:val="center"/>
            </w:pPr>
            <w:r>
              <w:t>$  0.00</w:t>
            </w:r>
          </w:p>
        </w:tc>
        <w:tc>
          <w:tcPr>
            <w:tcW w:w="1314" w:type="dxa"/>
            <w:shd w:val="clear" w:color="auto" w:fill="auto"/>
            <w:vAlign w:val="center"/>
          </w:tcPr>
          <w:p w14:paraId="158B450D" w14:textId="742030AB" w:rsidR="00BA177D" w:rsidRDefault="00BA177D" w:rsidP="00BA177D">
            <w:pPr>
              <w:pStyle w:val="NormalWeb"/>
              <w:spacing w:line="288" w:lineRule="atLeast"/>
              <w:jc w:val="center"/>
            </w:pPr>
            <w:r>
              <w:t>$  0.00</w:t>
            </w:r>
          </w:p>
        </w:tc>
        <w:tc>
          <w:tcPr>
            <w:tcW w:w="1765" w:type="dxa"/>
            <w:shd w:val="clear" w:color="auto" w:fill="auto"/>
            <w:vAlign w:val="center"/>
          </w:tcPr>
          <w:p w14:paraId="1AE4AFEF" w14:textId="7454CAEA" w:rsidR="00BA177D" w:rsidRDefault="00BA177D" w:rsidP="00BA177D">
            <w:pPr>
              <w:pStyle w:val="NormalWeb"/>
              <w:spacing w:line="288" w:lineRule="atLeast"/>
              <w:jc w:val="center"/>
            </w:pPr>
            <w:r>
              <w:t>$  0.00</w:t>
            </w:r>
          </w:p>
        </w:tc>
      </w:tr>
    </w:tbl>
    <w:p w14:paraId="7E76370A" w14:textId="77777777" w:rsidR="006D486D" w:rsidRDefault="006D486D" w:rsidP="006D486D">
      <w:pPr>
        <w:pStyle w:val="NormalWeb"/>
        <w:spacing w:line="288" w:lineRule="atLeast"/>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9717E" w:rsidRPr="006D52D2" w14:paraId="428DA94B" w14:textId="77777777" w:rsidTr="00BA177D">
        <w:tc>
          <w:tcPr>
            <w:tcW w:w="9350" w:type="dxa"/>
            <w:gridSpan w:val="3"/>
            <w:shd w:val="clear" w:color="auto" w:fill="auto"/>
            <w:vAlign w:val="center"/>
          </w:tcPr>
          <w:p w14:paraId="5FB1C98A" w14:textId="77777777" w:rsidR="0099717E" w:rsidRPr="006D52D2" w:rsidRDefault="0099717E" w:rsidP="006D52D2">
            <w:pPr>
              <w:pStyle w:val="NormalWeb"/>
              <w:spacing w:line="288" w:lineRule="atLeast"/>
              <w:jc w:val="center"/>
              <w:rPr>
                <w:b/>
              </w:rPr>
            </w:pPr>
            <w:r w:rsidRPr="006D52D2">
              <w:rPr>
                <w:b/>
              </w:rPr>
              <w:t>Total Cost to the Federal Government</w:t>
            </w:r>
          </w:p>
        </w:tc>
      </w:tr>
      <w:tr w:rsidR="0099717E" w14:paraId="26BA969D" w14:textId="77777777" w:rsidTr="00BA177D">
        <w:tc>
          <w:tcPr>
            <w:tcW w:w="3125" w:type="dxa"/>
            <w:shd w:val="clear" w:color="auto" w:fill="auto"/>
            <w:vAlign w:val="center"/>
          </w:tcPr>
          <w:p w14:paraId="4FA48D3E" w14:textId="77777777" w:rsidR="0099717E" w:rsidRDefault="0099717E" w:rsidP="006D52D2">
            <w:pPr>
              <w:pStyle w:val="NormalWeb"/>
              <w:spacing w:line="288" w:lineRule="atLeast"/>
              <w:jc w:val="center"/>
            </w:pPr>
            <w:r>
              <w:t>Operational and Maintenance Costs</w:t>
            </w:r>
          </w:p>
        </w:tc>
        <w:tc>
          <w:tcPr>
            <w:tcW w:w="3123" w:type="dxa"/>
            <w:shd w:val="clear" w:color="auto" w:fill="auto"/>
            <w:vAlign w:val="center"/>
          </w:tcPr>
          <w:p w14:paraId="76CB6C0C" w14:textId="77777777" w:rsidR="0099717E" w:rsidRDefault="0099717E" w:rsidP="006D52D2">
            <w:pPr>
              <w:pStyle w:val="NormalWeb"/>
              <w:spacing w:line="288" w:lineRule="atLeast"/>
              <w:jc w:val="center"/>
            </w:pPr>
            <w:r>
              <w:t>Labor Cost to the Federal Government</w:t>
            </w:r>
          </w:p>
        </w:tc>
        <w:tc>
          <w:tcPr>
            <w:tcW w:w="3102" w:type="dxa"/>
            <w:shd w:val="clear" w:color="auto" w:fill="auto"/>
            <w:vAlign w:val="center"/>
          </w:tcPr>
          <w:p w14:paraId="74FCF11B" w14:textId="77777777" w:rsidR="0099717E" w:rsidRDefault="0099717E" w:rsidP="006D52D2">
            <w:pPr>
              <w:pStyle w:val="NormalWeb"/>
              <w:spacing w:line="288" w:lineRule="atLeast"/>
              <w:jc w:val="center"/>
            </w:pPr>
            <w:r>
              <w:t>Total Cost (O&amp;M Costs + Labor Cost)</w:t>
            </w:r>
          </w:p>
        </w:tc>
      </w:tr>
      <w:tr w:rsidR="00BA177D" w14:paraId="6B4CD39D" w14:textId="77777777" w:rsidTr="009F7763">
        <w:trPr>
          <w:trHeight w:val="503"/>
        </w:trPr>
        <w:tc>
          <w:tcPr>
            <w:tcW w:w="3192" w:type="dxa"/>
            <w:shd w:val="clear" w:color="auto" w:fill="auto"/>
            <w:vAlign w:val="center"/>
          </w:tcPr>
          <w:p w14:paraId="5F30DDF9" w14:textId="410DE480" w:rsidR="00BA177D" w:rsidRDefault="00BA177D" w:rsidP="00BA177D">
            <w:pPr>
              <w:pStyle w:val="NormalWeb"/>
              <w:spacing w:line="288" w:lineRule="atLeast"/>
              <w:jc w:val="center"/>
            </w:pPr>
            <w:r>
              <w:lastRenderedPageBreak/>
              <w:t>$  0.00</w:t>
            </w:r>
          </w:p>
        </w:tc>
        <w:tc>
          <w:tcPr>
            <w:tcW w:w="3192" w:type="dxa"/>
            <w:shd w:val="clear" w:color="auto" w:fill="auto"/>
            <w:vAlign w:val="center"/>
          </w:tcPr>
          <w:p w14:paraId="70C08A99" w14:textId="2F9AA238" w:rsidR="00BA177D" w:rsidRDefault="00BA177D" w:rsidP="00BA177D">
            <w:pPr>
              <w:pStyle w:val="NormalWeb"/>
              <w:spacing w:line="288" w:lineRule="atLeast"/>
              <w:jc w:val="center"/>
            </w:pPr>
            <w:r>
              <w:t>$21,023</w:t>
            </w:r>
          </w:p>
        </w:tc>
        <w:tc>
          <w:tcPr>
            <w:tcW w:w="3192" w:type="dxa"/>
            <w:shd w:val="clear" w:color="auto" w:fill="auto"/>
            <w:vAlign w:val="center"/>
          </w:tcPr>
          <w:p w14:paraId="2591F410" w14:textId="573D1BFF" w:rsidR="00BA177D" w:rsidRDefault="00BA177D" w:rsidP="00BA177D">
            <w:pPr>
              <w:pStyle w:val="NormalWeb"/>
              <w:spacing w:line="288" w:lineRule="atLeast"/>
              <w:jc w:val="center"/>
            </w:pPr>
            <w:r>
              <w:t>$21,023</w:t>
            </w:r>
          </w:p>
        </w:tc>
      </w:tr>
      <w:bookmarkEnd w:id="14"/>
    </w:tbl>
    <w:p w14:paraId="6F05722F" w14:textId="77777777" w:rsidR="00173C66" w:rsidRDefault="00173C66" w:rsidP="005E0A0F">
      <w:pPr>
        <w:pStyle w:val="NormalWeb"/>
        <w:spacing w:line="288" w:lineRule="atLeast"/>
        <w:ind w:firstLine="900"/>
      </w:pPr>
    </w:p>
    <w:p w14:paraId="428D5CCC" w14:textId="77777777" w:rsidR="009F7763" w:rsidRDefault="009F7763" w:rsidP="005E0A0F">
      <w:pPr>
        <w:pStyle w:val="NormalWeb"/>
        <w:spacing w:line="288" w:lineRule="atLeast"/>
        <w:ind w:firstLine="900"/>
      </w:pPr>
    </w:p>
    <w:p w14:paraId="47050849" w14:textId="77777777" w:rsidR="005E0A0F" w:rsidRPr="00E33A89" w:rsidRDefault="005E0A0F" w:rsidP="005E0A0F">
      <w:pPr>
        <w:pStyle w:val="NormalWeb"/>
        <w:spacing w:line="288" w:lineRule="atLeast"/>
        <w:ind w:firstLine="900"/>
        <w:rPr>
          <w:u w:val="single"/>
        </w:rPr>
      </w:pPr>
      <w:r w:rsidRPr="00E33A89">
        <w:t xml:space="preserve">15.  </w:t>
      </w:r>
      <w:r w:rsidRPr="00E33A89">
        <w:rPr>
          <w:u w:val="single"/>
        </w:rPr>
        <w:t>Reasons for Change in Burden</w:t>
      </w:r>
    </w:p>
    <w:p w14:paraId="271BAE64" w14:textId="5985A23F" w:rsidR="00F55479" w:rsidRPr="00E33A89" w:rsidRDefault="001D7909" w:rsidP="005424FA">
      <w:pPr>
        <w:ind w:firstLine="720"/>
      </w:pPr>
      <w:r>
        <w:t>This is a reinstatement of a previously approved collection for which approval has expired.</w:t>
      </w:r>
      <w:r w:rsidR="00372411" w:rsidRPr="00E33A89">
        <w:t xml:space="preserve">  There was a</w:t>
      </w:r>
      <w:r w:rsidR="00377AC3" w:rsidRPr="00E33A89">
        <w:t xml:space="preserve"> significant decrease</w:t>
      </w:r>
      <w:r w:rsidR="001A2AEA" w:rsidRPr="00E33A89">
        <w:rPr>
          <w:b/>
        </w:rPr>
        <w:t xml:space="preserve"> </w:t>
      </w:r>
      <w:r w:rsidR="001A2AEA" w:rsidRPr="00E33A89">
        <w:t xml:space="preserve">in the number of U.S. Forces </w:t>
      </w:r>
      <w:r w:rsidR="00F55479" w:rsidRPr="00E33A89">
        <w:t>in</w:t>
      </w:r>
      <w:r w:rsidR="00F55479" w:rsidRPr="00E33A89">
        <w:rPr>
          <w:w w:val="102"/>
        </w:rPr>
        <w:t xml:space="preserve"> </w:t>
      </w:r>
      <w:r w:rsidR="00F55479" w:rsidRPr="00E33A89">
        <w:t>Afghanistan</w:t>
      </w:r>
      <w:r w:rsidR="00F55479" w:rsidRPr="00E33A89">
        <w:rPr>
          <w:spacing w:val="36"/>
        </w:rPr>
        <w:t xml:space="preserve"> </w:t>
      </w:r>
      <w:r w:rsidR="001A2AEA" w:rsidRPr="00E33A89">
        <w:t>based on</w:t>
      </w:r>
      <w:r w:rsidR="00372411" w:rsidRPr="00E33A89">
        <w:t xml:space="preserve"> the</w:t>
      </w:r>
      <w:r w:rsidR="001A2AEA" w:rsidRPr="00E33A89">
        <w:t xml:space="preserve"> announced</w:t>
      </w:r>
      <w:r w:rsidR="00F55479" w:rsidRPr="00E33A89">
        <w:t xml:space="preserve"> conclusion of combat operations at the end of 2014.  There was a commensurate reduction in the number of contracts and contractors supporting</w:t>
      </w:r>
      <w:r w:rsidR="00EE0FA5" w:rsidRPr="00E33A89">
        <w:t xml:space="preserve"> </w:t>
      </w:r>
      <w:r w:rsidR="001A2AEA" w:rsidRPr="00E33A89">
        <w:t>those U.S. Forces and</w:t>
      </w:r>
      <w:r w:rsidR="00F55479" w:rsidRPr="00E33A89">
        <w:t xml:space="preserve"> </w:t>
      </w:r>
      <w:r w:rsidR="00EE0FA5" w:rsidRPr="00E33A89">
        <w:t>G</w:t>
      </w:r>
      <w:r w:rsidR="00F55479" w:rsidRPr="00E33A89">
        <w:t>overnment operations</w:t>
      </w:r>
      <w:r w:rsidR="001A2AEA" w:rsidRPr="00E33A89">
        <w:t>.  T</w:t>
      </w:r>
      <w:r w:rsidR="00EE0FA5" w:rsidRPr="00E33A89">
        <w:t>his drove a three-fold decrease in the annual burden hours</w:t>
      </w:r>
      <w:r w:rsidR="00F55479" w:rsidRPr="00E33A89">
        <w:t xml:space="preserve">. </w:t>
      </w:r>
      <w:r w:rsidR="004D3721" w:rsidRPr="00E33A89">
        <w:t xml:space="preserve"> While the U.S. Central Command (CENTCOM) burden was decreasing, during this same timeframe the use of SPOT as the centralized database grew in the other geographic Combatant Commands (COCOMs).  </w:t>
      </w:r>
      <w:r w:rsidR="00EE0FA5" w:rsidRPr="00E33A89">
        <w:t>T</w:t>
      </w:r>
      <w:r w:rsidR="004D3721" w:rsidRPr="00E33A89">
        <w:t>his drove an</w:t>
      </w:r>
      <w:r w:rsidR="00EE0FA5" w:rsidRPr="00E33A89">
        <w:t xml:space="preserve"> </w:t>
      </w:r>
      <w:r w:rsidR="004D3721" w:rsidRPr="00E33A89">
        <w:t xml:space="preserve">overall </w:t>
      </w:r>
      <w:r w:rsidR="00EE0FA5" w:rsidRPr="00E33A89">
        <w:t>increase</w:t>
      </w:r>
      <w:r w:rsidR="004D3721" w:rsidRPr="00E33A89">
        <w:t xml:space="preserve"> to the number of respondents while the responses per respondent </w:t>
      </w:r>
      <w:r w:rsidR="00A57C10" w:rsidRPr="00E33A89">
        <w:t xml:space="preserve">decreased </w:t>
      </w:r>
      <w:r w:rsidR="00766C1B" w:rsidRPr="00E33A89">
        <w:t>by 75 per cent.</w:t>
      </w:r>
      <w:r w:rsidR="001A2AEA" w:rsidRPr="00E33A89">
        <w:t xml:space="preserve">  The actual numbers for this 2016 collection and the last collection in 2013 are presented in the below Table. </w:t>
      </w:r>
    </w:p>
    <w:p w14:paraId="6BFDEBF2" w14:textId="77777777" w:rsidR="00601390" w:rsidRPr="00E33A89" w:rsidRDefault="00601390" w:rsidP="00F9138E">
      <w:pPr>
        <w:ind w:firstLine="630"/>
        <w:rPr>
          <w:b/>
        </w:rPr>
      </w:pPr>
    </w:p>
    <w:tbl>
      <w:tblPr>
        <w:tblStyle w:val="TableGrid"/>
        <w:tblW w:w="0" w:type="auto"/>
        <w:jc w:val="center"/>
        <w:tblLook w:val="04A0" w:firstRow="1" w:lastRow="0" w:firstColumn="1" w:lastColumn="0" w:noHBand="0" w:noVBand="1"/>
      </w:tblPr>
      <w:tblGrid>
        <w:gridCol w:w="3242"/>
        <w:gridCol w:w="2428"/>
        <w:gridCol w:w="2250"/>
      </w:tblGrid>
      <w:tr w:rsidR="001A2AEA" w:rsidRPr="00E33A89" w14:paraId="0257CA24" w14:textId="77777777" w:rsidTr="00786F55">
        <w:trPr>
          <w:jc w:val="center"/>
        </w:trPr>
        <w:tc>
          <w:tcPr>
            <w:tcW w:w="3242" w:type="dxa"/>
            <w:tcBorders>
              <w:top w:val="single" w:sz="12" w:space="0" w:color="auto"/>
              <w:left w:val="single" w:sz="12" w:space="0" w:color="auto"/>
              <w:bottom w:val="single" w:sz="12" w:space="0" w:color="auto"/>
            </w:tcBorders>
          </w:tcPr>
          <w:p w14:paraId="075196E8" w14:textId="77777777" w:rsidR="001A2AEA" w:rsidRPr="00E33A89" w:rsidRDefault="001A2AEA" w:rsidP="001A2AEA">
            <w:pPr>
              <w:jc w:val="center"/>
              <w:rPr>
                <w:b/>
              </w:rPr>
            </w:pPr>
            <w:r w:rsidRPr="00E33A89">
              <w:rPr>
                <w:b/>
              </w:rPr>
              <w:t>Burden Item</w:t>
            </w:r>
          </w:p>
        </w:tc>
        <w:tc>
          <w:tcPr>
            <w:tcW w:w="2428" w:type="dxa"/>
            <w:tcBorders>
              <w:top w:val="single" w:sz="12" w:space="0" w:color="auto"/>
              <w:bottom w:val="single" w:sz="12" w:space="0" w:color="auto"/>
            </w:tcBorders>
          </w:tcPr>
          <w:p w14:paraId="6016FCA6" w14:textId="77777777" w:rsidR="001A2AEA" w:rsidRPr="00E33A89" w:rsidRDefault="001A2AEA" w:rsidP="001A2AEA">
            <w:pPr>
              <w:jc w:val="center"/>
              <w:rPr>
                <w:b/>
              </w:rPr>
            </w:pPr>
            <w:r w:rsidRPr="00E33A89">
              <w:rPr>
                <w:b/>
              </w:rPr>
              <w:t>2016</w:t>
            </w:r>
          </w:p>
        </w:tc>
        <w:tc>
          <w:tcPr>
            <w:tcW w:w="2250" w:type="dxa"/>
            <w:tcBorders>
              <w:top w:val="single" w:sz="12" w:space="0" w:color="auto"/>
              <w:bottom w:val="single" w:sz="12" w:space="0" w:color="auto"/>
              <w:right w:val="single" w:sz="12" w:space="0" w:color="auto"/>
            </w:tcBorders>
          </w:tcPr>
          <w:p w14:paraId="6CE7593F" w14:textId="77777777" w:rsidR="001A2AEA" w:rsidRPr="00E33A89" w:rsidRDefault="001A2AEA" w:rsidP="001A2AEA">
            <w:pPr>
              <w:jc w:val="center"/>
              <w:rPr>
                <w:b/>
              </w:rPr>
            </w:pPr>
            <w:r w:rsidRPr="00E33A89">
              <w:rPr>
                <w:b/>
              </w:rPr>
              <w:t>2013</w:t>
            </w:r>
          </w:p>
        </w:tc>
      </w:tr>
      <w:tr w:rsidR="001A2AEA" w:rsidRPr="00E33A89" w14:paraId="3DBF5ED9" w14:textId="77777777" w:rsidTr="00786F55">
        <w:trPr>
          <w:jc w:val="center"/>
        </w:trPr>
        <w:tc>
          <w:tcPr>
            <w:tcW w:w="3242" w:type="dxa"/>
            <w:tcBorders>
              <w:top w:val="single" w:sz="12" w:space="0" w:color="auto"/>
            </w:tcBorders>
          </w:tcPr>
          <w:p w14:paraId="7CF26B1E" w14:textId="77777777" w:rsidR="001A2AEA" w:rsidRPr="00E33A89" w:rsidRDefault="001A2AEA" w:rsidP="00F9138E">
            <w:r w:rsidRPr="00E33A89">
              <w:t>Annual Burden Hours</w:t>
            </w:r>
          </w:p>
        </w:tc>
        <w:tc>
          <w:tcPr>
            <w:tcW w:w="2428" w:type="dxa"/>
            <w:tcBorders>
              <w:top w:val="single" w:sz="12" w:space="0" w:color="auto"/>
            </w:tcBorders>
          </w:tcPr>
          <w:p w14:paraId="7B0445E6" w14:textId="77777777" w:rsidR="001A2AEA" w:rsidRPr="00E33A89" w:rsidRDefault="001A2AEA" w:rsidP="00786F55">
            <w:pPr>
              <w:ind w:right="288"/>
              <w:jc w:val="right"/>
            </w:pPr>
            <w:r w:rsidRPr="00E33A89">
              <w:t>46,760</w:t>
            </w:r>
          </w:p>
        </w:tc>
        <w:tc>
          <w:tcPr>
            <w:tcW w:w="2250" w:type="dxa"/>
            <w:tcBorders>
              <w:top w:val="single" w:sz="12" w:space="0" w:color="auto"/>
            </w:tcBorders>
          </w:tcPr>
          <w:p w14:paraId="6DFA7DF7" w14:textId="77777777" w:rsidR="001A2AEA" w:rsidRPr="00E33A89" w:rsidRDefault="00786F55" w:rsidP="00786F55">
            <w:pPr>
              <w:ind w:right="288"/>
              <w:jc w:val="right"/>
            </w:pPr>
            <w:r w:rsidRPr="00E33A89">
              <w:t>150,000</w:t>
            </w:r>
          </w:p>
        </w:tc>
      </w:tr>
      <w:tr w:rsidR="001A2AEA" w:rsidRPr="00E33A89" w14:paraId="31044D65" w14:textId="77777777" w:rsidTr="00786F55">
        <w:trPr>
          <w:jc w:val="center"/>
        </w:trPr>
        <w:tc>
          <w:tcPr>
            <w:tcW w:w="3242" w:type="dxa"/>
          </w:tcPr>
          <w:p w14:paraId="71A676E2" w14:textId="77777777" w:rsidR="001A2AEA" w:rsidRPr="00E33A89" w:rsidRDefault="00786F55" w:rsidP="00F9138E">
            <w:r w:rsidRPr="00E33A89">
              <w:t>Number of Respondents</w:t>
            </w:r>
          </w:p>
        </w:tc>
        <w:tc>
          <w:tcPr>
            <w:tcW w:w="2428" w:type="dxa"/>
          </w:tcPr>
          <w:p w14:paraId="1A2BA3F4" w14:textId="77777777" w:rsidR="001A2AEA" w:rsidRPr="00E33A89" w:rsidRDefault="001A2AEA" w:rsidP="00786F55">
            <w:pPr>
              <w:ind w:right="288"/>
              <w:jc w:val="right"/>
            </w:pPr>
            <w:r w:rsidRPr="00E33A89">
              <w:t>1,670</w:t>
            </w:r>
          </w:p>
        </w:tc>
        <w:tc>
          <w:tcPr>
            <w:tcW w:w="2250" w:type="dxa"/>
          </w:tcPr>
          <w:p w14:paraId="173D9831" w14:textId="77777777" w:rsidR="001A2AEA" w:rsidRPr="00E33A89" w:rsidRDefault="00786F55" w:rsidP="00786F55">
            <w:pPr>
              <w:ind w:right="288"/>
              <w:jc w:val="right"/>
            </w:pPr>
            <w:r w:rsidRPr="00E33A89">
              <w:t>1,300</w:t>
            </w:r>
          </w:p>
        </w:tc>
      </w:tr>
      <w:tr w:rsidR="001A2AEA" w:rsidRPr="00E33A89" w14:paraId="0F125F7B" w14:textId="77777777" w:rsidTr="00786F55">
        <w:trPr>
          <w:jc w:val="center"/>
        </w:trPr>
        <w:tc>
          <w:tcPr>
            <w:tcW w:w="3242" w:type="dxa"/>
          </w:tcPr>
          <w:p w14:paraId="0D19DB02" w14:textId="77777777" w:rsidR="001A2AEA" w:rsidRPr="00E33A89" w:rsidRDefault="00786F55" w:rsidP="00786F55">
            <w:r w:rsidRPr="00E33A89">
              <w:t>Responses per Respondent</w:t>
            </w:r>
          </w:p>
        </w:tc>
        <w:tc>
          <w:tcPr>
            <w:tcW w:w="2428" w:type="dxa"/>
          </w:tcPr>
          <w:p w14:paraId="33F3A1DC" w14:textId="77777777" w:rsidR="001A2AEA" w:rsidRPr="00E33A89" w:rsidRDefault="001A2AEA" w:rsidP="00786F55">
            <w:pPr>
              <w:ind w:right="288"/>
              <w:jc w:val="right"/>
            </w:pPr>
            <w:r w:rsidRPr="00E33A89">
              <w:t>56</w:t>
            </w:r>
          </w:p>
        </w:tc>
        <w:tc>
          <w:tcPr>
            <w:tcW w:w="2250" w:type="dxa"/>
          </w:tcPr>
          <w:p w14:paraId="24954F5D" w14:textId="77777777" w:rsidR="001A2AEA" w:rsidRPr="00E33A89" w:rsidRDefault="00786F55" w:rsidP="00786F55">
            <w:pPr>
              <w:ind w:right="288"/>
              <w:jc w:val="right"/>
            </w:pPr>
            <w:r w:rsidRPr="00E33A89">
              <w:t>231</w:t>
            </w:r>
          </w:p>
        </w:tc>
      </w:tr>
      <w:tr w:rsidR="001A2AEA" w:rsidRPr="00E33A89" w14:paraId="30292AC9" w14:textId="77777777" w:rsidTr="00786F55">
        <w:trPr>
          <w:jc w:val="center"/>
        </w:trPr>
        <w:tc>
          <w:tcPr>
            <w:tcW w:w="3242" w:type="dxa"/>
          </w:tcPr>
          <w:p w14:paraId="4EE5AA1B" w14:textId="77777777" w:rsidR="001A2AEA" w:rsidRPr="00E33A89" w:rsidRDefault="00786F55" w:rsidP="00F9138E">
            <w:r w:rsidRPr="00E33A89">
              <w:t>Annual Responses</w:t>
            </w:r>
          </w:p>
        </w:tc>
        <w:tc>
          <w:tcPr>
            <w:tcW w:w="2428" w:type="dxa"/>
          </w:tcPr>
          <w:p w14:paraId="5BBB9F08" w14:textId="77777777" w:rsidR="001A2AEA" w:rsidRPr="00E33A89" w:rsidRDefault="00786F55" w:rsidP="00786F55">
            <w:pPr>
              <w:ind w:right="288"/>
              <w:jc w:val="right"/>
            </w:pPr>
            <w:r w:rsidRPr="00E33A89">
              <w:t>93,520</w:t>
            </w:r>
          </w:p>
        </w:tc>
        <w:tc>
          <w:tcPr>
            <w:tcW w:w="2250" w:type="dxa"/>
          </w:tcPr>
          <w:p w14:paraId="47D0CBD9" w14:textId="77777777" w:rsidR="001A2AEA" w:rsidRPr="00E33A89" w:rsidRDefault="00786F55" w:rsidP="00786F55">
            <w:pPr>
              <w:ind w:right="288"/>
              <w:jc w:val="right"/>
            </w:pPr>
            <w:r w:rsidRPr="00E33A89">
              <w:t>300,000</w:t>
            </w:r>
          </w:p>
        </w:tc>
      </w:tr>
      <w:tr w:rsidR="001A2AEA" w:rsidRPr="00E33A89" w14:paraId="3048F5B2" w14:textId="77777777" w:rsidTr="00786F55">
        <w:trPr>
          <w:jc w:val="center"/>
        </w:trPr>
        <w:tc>
          <w:tcPr>
            <w:tcW w:w="3242" w:type="dxa"/>
          </w:tcPr>
          <w:p w14:paraId="365B2A86" w14:textId="77777777" w:rsidR="001A2AEA" w:rsidRPr="00E33A89" w:rsidRDefault="00786F55" w:rsidP="00F9138E">
            <w:r w:rsidRPr="00E33A89">
              <w:t>Average Burden per Response</w:t>
            </w:r>
          </w:p>
        </w:tc>
        <w:tc>
          <w:tcPr>
            <w:tcW w:w="2428" w:type="dxa"/>
          </w:tcPr>
          <w:p w14:paraId="627B37C9" w14:textId="77777777" w:rsidR="001A2AEA" w:rsidRPr="00E33A89" w:rsidRDefault="00786F55" w:rsidP="00786F55">
            <w:pPr>
              <w:ind w:right="288"/>
              <w:jc w:val="right"/>
            </w:pPr>
            <w:r w:rsidRPr="00E33A89">
              <w:t>30 minutes</w:t>
            </w:r>
          </w:p>
        </w:tc>
        <w:tc>
          <w:tcPr>
            <w:tcW w:w="2250" w:type="dxa"/>
          </w:tcPr>
          <w:p w14:paraId="2C180372" w14:textId="77777777" w:rsidR="001A2AEA" w:rsidRPr="00E33A89" w:rsidRDefault="00786F55" w:rsidP="00786F55">
            <w:pPr>
              <w:ind w:right="288"/>
              <w:jc w:val="right"/>
            </w:pPr>
            <w:r w:rsidRPr="00E33A89">
              <w:t>30 minutes</w:t>
            </w:r>
          </w:p>
        </w:tc>
      </w:tr>
    </w:tbl>
    <w:p w14:paraId="7A0679DD" w14:textId="77777777" w:rsidR="00601390" w:rsidRPr="00E33A89" w:rsidRDefault="00601390" w:rsidP="00786F55">
      <w:pPr>
        <w:rPr>
          <w:b/>
        </w:rPr>
      </w:pPr>
    </w:p>
    <w:bookmarkEnd w:id="13"/>
    <w:p w14:paraId="657E0912" w14:textId="77777777" w:rsidR="005E0A0F" w:rsidRPr="00E33A89" w:rsidRDefault="005E0A0F" w:rsidP="005E0A0F">
      <w:pPr>
        <w:pStyle w:val="NormalWeb"/>
        <w:spacing w:line="288" w:lineRule="atLeast"/>
        <w:ind w:firstLine="900"/>
        <w:rPr>
          <w:u w:val="single"/>
        </w:rPr>
      </w:pPr>
      <w:r w:rsidRPr="00E33A89">
        <w:t xml:space="preserve">16.  </w:t>
      </w:r>
      <w:r w:rsidRPr="00E33A89">
        <w:rPr>
          <w:u w:val="single"/>
        </w:rPr>
        <w:t>Publication of Results</w:t>
      </w:r>
    </w:p>
    <w:p w14:paraId="62EEBF35" w14:textId="050DC0BB" w:rsidR="005A3F2D" w:rsidRPr="00E33A89" w:rsidRDefault="00F9138E" w:rsidP="00DC56ED">
      <w:pPr>
        <w:pStyle w:val="BodyText2"/>
        <w:tabs>
          <w:tab w:val="left" w:pos="630"/>
          <w:tab w:val="left" w:pos="1080"/>
        </w:tabs>
        <w:spacing w:line="240" w:lineRule="auto"/>
        <w:ind w:firstLine="720"/>
      </w:pPr>
      <w:r w:rsidRPr="00E33A89">
        <w:t>The</w:t>
      </w:r>
      <w:r w:rsidR="00AD4BBE" w:rsidRPr="00E33A89">
        <w:t>re are no plans for this</w:t>
      </w:r>
      <w:r w:rsidRPr="00E33A89">
        <w:t xml:space="preserve"> information collect</w:t>
      </w:r>
      <w:r w:rsidR="00AD4BBE" w:rsidRPr="00E33A89">
        <w:t>ion</w:t>
      </w:r>
      <w:r w:rsidRPr="00E33A89">
        <w:t xml:space="preserve"> </w:t>
      </w:r>
      <w:r w:rsidR="00AD4BBE" w:rsidRPr="00E33A89">
        <w:t xml:space="preserve">to </w:t>
      </w:r>
      <w:r w:rsidRPr="00E33A89">
        <w:t>be</w:t>
      </w:r>
      <w:r w:rsidR="00AD4BBE" w:rsidRPr="00E33A89">
        <w:t xml:space="preserve"> formally</w:t>
      </w:r>
      <w:r w:rsidRPr="00E33A89">
        <w:t xml:space="preserve"> tabulated or published.  </w:t>
      </w:r>
      <w:r w:rsidR="00C52CD4" w:rsidRPr="00E33A89">
        <w:t>Doing so would violate the Privacy Act as it would publish personally identifiable information (PII)</w:t>
      </w:r>
      <w:r w:rsidR="00593DC2" w:rsidRPr="00E33A89">
        <w:t xml:space="preserve"> and potentially place deployed personnel in harm’s way.</w:t>
      </w:r>
    </w:p>
    <w:p w14:paraId="353CA438" w14:textId="77777777" w:rsidR="005E0A0F" w:rsidRPr="00E33A89" w:rsidRDefault="005E0A0F" w:rsidP="005E0A0F">
      <w:pPr>
        <w:pStyle w:val="NormalWeb"/>
        <w:spacing w:line="288" w:lineRule="atLeast"/>
        <w:ind w:firstLine="900"/>
        <w:rPr>
          <w:u w:val="single"/>
        </w:rPr>
      </w:pPr>
      <w:bookmarkStart w:id="15" w:name="cp471"/>
      <w:r w:rsidRPr="00E33A89">
        <w:t xml:space="preserve">17.  </w:t>
      </w:r>
      <w:r w:rsidRPr="00E33A89">
        <w:rPr>
          <w:u w:val="single"/>
        </w:rPr>
        <w:t>Non-Display of OMB Expiration Date</w:t>
      </w:r>
    </w:p>
    <w:p w14:paraId="7274B8DB" w14:textId="77777777" w:rsidR="00F9138E" w:rsidRPr="00E33A89" w:rsidRDefault="00046755" w:rsidP="005424FA">
      <w:pPr>
        <w:ind w:firstLine="720"/>
      </w:pPr>
      <w:r w:rsidRPr="00E33A89">
        <w:t>The expiration date of the OMB approval may be displayed; a</w:t>
      </w:r>
      <w:r w:rsidR="00F9138E" w:rsidRPr="00E33A89">
        <w:t xml:space="preserve">pproval is not sought for </w:t>
      </w:r>
      <w:proofErr w:type="gramStart"/>
      <w:r w:rsidR="00F9138E" w:rsidRPr="00E33A89">
        <w:t>avoiding</w:t>
      </w:r>
      <w:proofErr w:type="gramEnd"/>
      <w:r w:rsidR="00F9138E" w:rsidRPr="00E33A89">
        <w:t xml:space="preserve"> display of the expiration date for OMB approval of the information collection.  </w:t>
      </w:r>
    </w:p>
    <w:p w14:paraId="02E49276" w14:textId="77777777" w:rsidR="00743072" w:rsidRPr="00E33A89" w:rsidRDefault="005E0A0F" w:rsidP="00743072">
      <w:pPr>
        <w:pStyle w:val="NormalWeb"/>
        <w:spacing w:line="288" w:lineRule="atLeast"/>
        <w:ind w:firstLine="900"/>
        <w:rPr>
          <w:u w:val="single"/>
        </w:rPr>
      </w:pPr>
      <w:bookmarkStart w:id="16" w:name="cp473"/>
      <w:bookmarkEnd w:id="15"/>
      <w:r w:rsidRPr="00E33A89">
        <w:t xml:space="preserve">18.  </w:t>
      </w:r>
      <w:r w:rsidRPr="00E33A89">
        <w:rPr>
          <w:u w:val="single"/>
        </w:rPr>
        <w:t>Exceptions to "Certification for Paperwork Reduction Submissions"</w:t>
      </w:r>
    </w:p>
    <w:p w14:paraId="15D377BC" w14:textId="77777777" w:rsidR="00A93CBF" w:rsidRDefault="00F9138E" w:rsidP="005424FA">
      <w:pPr>
        <w:autoSpaceDE w:val="0"/>
        <w:autoSpaceDN w:val="0"/>
        <w:adjustRightInd w:val="0"/>
        <w:ind w:firstLine="720"/>
      </w:pPr>
      <w:r w:rsidRPr="00E33A89">
        <w:t>There are no exceptions to the certification accompanying this Paperwork Reduction Act submission.</w:t>
      </w:r>
      <w:r w:rsidR="005513E4" w:rsidRPr="00E33A89">
        <w:t xml:space="preserve">  The collection of information encompassed by this request fully complies with the provisions of Title 5 - Administrative Personnel, of the Code of Federal Regulations, Part 1320 – Controlling Paperwork Burdens on the Public, Section 1320.9 - Agency certifications for proposed collections of information (5 CFR 1320.9).</w:t>
      </w:r>
      <w:bookmarkEnd w:id="16"/>
    </w:p>
    <w:p w14:paraId="79A78D85" w14:textId="77777777" w:rsidR="00055BA4" w:rsidRDefault="00055BA4" w:rsidP="005424FA">
      <w:pPr>
        <w:autoSpaceDE w:val="0"/>
        <w:autoSpaceDN w:val="0"/>
        <w:adjustRightInd w:val="0"/>
        <w:ind w:firstLine="720"/>
      </w:pPr>
    </w:p>
    <w:p w14:paraId="2BED23C6" w14:textId="77777777" w:rsidR="00055BA4" w:rsidRDefault="00055BA4" w:rsidP="005424FA">
      <w:pPr>
        <w:autoSpaceDE w:val="0"/>
        <w:autoSpaceDN w:val="0"/>
        <w:adjustRightInd w:val="0"/>
        <w:ind w:firstLine="720"/>
      </w:pPr>
    </w:p>
    <w:p w14:paraId="43823188" w14:textId="77777777" w:rsidR="00055BA4" w:rsidRDefault="00055BA4" w:rsidP="005424FA">
      <w:pPr>
        <w:autoSpaceDE w:val="0"/>
        <w:autoSpaceDN w:val="0"/>
        <w:adjustRightInd w:val="0"/>
        <w:ind w:firstLine="720"/>
      </w:pPr>
    </w:p>
    <w:p w14:paraId="74B2F6A2" w14:textId="77777777" w:rsidR="00055BA4" w:rsidRDefault="00055BA4" w:rsidP="005424FA">
      <w:pPr>
        <w:autoSpaceDE w:val="0"/>
        <w:autoSpaceDN w:val="0"/>
        <w:adjustRightInd w:val="0"/>
        <w:ind w:firstLine="720"/>
      </w:pPr>
    </w:p>
    <w:sectPr w:rsidR="00055BA4" w:rsidSect="00F144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E815" w14:textId="77777777" w:rsidR="00AD1059" w:rsidRDefault="00AD1059" w:rsidP="00D74D55">
      <w:r>
        <w:separator/>
      </w:r>
    </w:p>
  </w:endnote>
  <w:endnote w:type="continuationSeparator" w:id="0">
    <w:p w14:paraId="455016A8" w14:textId="77777777" w:rsidR="00AD1059" w:rsidRDefault="00AD1059"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BA410" w14:textId="77777777" w:rsidR="00D74D55" w:rsidRDefault="00D74D55">
    <w:pPr>
      <w:pStyle w:val="Footer"/>
      <w:jc w:val="center"/>
    </w:pPr>
    <w:r>
      <w:fldChar w:fldCharType="begin"/>
    </w:r>
    <w:r>
      <w:instrText xml:space="preserve"> PAGE   \* MERGEFORMAT </w:instrText>
    </w:r>
    <w:r>
      <w:fldChar w:fldCharType="separate"/>
    </w:r>
    <w:r w:rsidR="00F403EB">
      <w:rPr>
        <w:noProof/>
      </w:rPr>
      <w:t>1</w:t>
    </w:r>
    <w:r>
      <w:fldChar w:fldCharType="end"/>
    </w:r>
  </w:p>
  <w:p w14:paraId="2091AEA4" w14:textId="77777777"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30AD4" w14:textId="77777777" w:rsidR="00AD1059" w:rsidRDefault="00AD1059" w:rsidP="00D74D55">
      <w:r>
        <w:separator/>
      </w:r>
    </w:p>
  </w:footnote>
  <w:footnote w:type="continuationSeparator" w:id="0">
    <w:p w14:paraId="63EEC319" w14:textId="77777777" w:rsidR="00AD1059" w:rsidRDefault="00AD1059"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34D62C1"/>
    <w:multiLevelType w:val="hybridMultilevel"/>
    <w:tmpl w:val="7DAE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9631D46"/>
    <w:multiLevelType w:val="hybridMultilevel"/>
    <w:tmpl w:val="95600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1D242F9F"/>
    <w:multiLevelType w:val="hybridMultilevel"/>
    <w:tmpl w:val="C9ECE394"/>
    <w:lvl w:ilvl="0" w:tplc="57A4B06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41A509A1"/>
    <w:multiLevelType w:val="multilevel"/>
    <w:tmpl w:val="0DC82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75725664"/>
    <w:multiLevelType w:val="hybridMultilevel"/>
    <w:tmpl w:val="0584F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C714AA"/>
    <w:multiLevelType w:val="hybridMultilevel"/>
    <w:tmpl w:val="06565924"/>
    <w:lvl w:ilvl="0" w:tplc="C9C89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3"/>
  </w:num>
  <w:num w:numId="2">
    <w:abstractNumId w:val="29"/>
  </w:num>
  <w:num w:numId="3">
    <w:abstractNumId w:val="19"/>
  </w:num>
  <w:num w:numId="4">
    <w:abstractNumId w:val="15"/>
  </w:num>
  <w:num w:numId="5">
    <w:abstractNumId w:val="25"/>
  </w:num>
  <w:num w:numId="6">
    <w:abstractNumId w:val="32"/>
  </w:num>
  <w:num w:numId="7">
    <w:abstractNumId w:val="31"/>
  </w:num>
  <w:num w:numId="8">
    <w:abstractNumId w:val="12"/>
  </w:num>
  <w:num w:numId="9">
    <w:abstractNumId w:val="37"/>
  </w:num>
  <w:num w:numId="10">
    <w:abstractNumId w:val="4"/>
  </w:num>
  <w:num w:numId="11">
    <w:abstractNumId w:val="6"/>
  </w:num>
  <w:num w:numId="12">
    <w:abstractNumId w:val="27"/>
  </w:num>
  <w:num w:numId="13">
    <w:abstractNumId w:val="23"/>
  </w:num>
  <w:num w:numId="14">
    <w:abstractNumId w:val="34"/>
  </w:num>
  <w:num w:numId="15">
    <w:abstractNumId w:val="40"/>
  </w:num>
  <w:num w:numId="16">
    <w:abstractNumId w:val="26"/>
  </w:num>
  <w:num w:numId="17">
    <w:abstractNumId w:val="17"/>
  </w:num>
  <w:num w:numId="18">
    <w:abstractNumId w:val="5"/>
  </w:num>
  <w:num w:numId="19">
    <w:abstractNumId w:val="9"/>
  </w:num>
  <w:num w:numId="20">
    <w:abstractNumId w:val="2"/>
  </w:num>
  <w:num w:numId="21">
    <w:abstractNumId w:val="7"/>
  </w:num>
  <w:num w:numId="22">
    <w:abstractNumId w:val="0"/>
  </w:num>
  <w:num w:numId="23">
    <w:abstractNumId w:val="33"/>
  </w:num>
  <w:num w:numId="24">
    <w:abstractNumId w:val="18"/>
  </w:num>
  <w:num w:numId="25">
    <w:abstractNumId w:val="41"/>
  </w:num>
  <w:num w:numId="26">
    <w:abstractNumId w:val="22"/>
  </w:num>
  <w:num w:numId="27">
    <w:abstractNumId w:val="11"/>
  </w:num>
  <w:num w:numId="28">
    <w:abstractNumId w:val="3"/>
  </w:num>
  <w:num w:numId="29">
    <w:abstractNumId w:val="38"/>
  </w:num>
  <w:num w:numId="30">
    <w:abstractNumId w:val="30"/>
  </w:num>
  <w:num w:numId="31">
    <w:abstractNumId w:val="16"/>
  </w:num>
  <w:num w:numId="32">
    <w:abstractNumId w:val="14"/>
  </w:num>
  <w:num w:numId="33">
    <w:abstractNumId w:val="39"/>
  </w:num>
  <w:num w:numId="34">
    <w:abstractNumId w:val="20"/>
  </w:num>
  <w:num w:numId="35">
    <w:abstractNumId w:val="21"/>
  </w:num>
  <w:num w:numId="36">
    <w:abstractNumId w:val="28"/>
  </w:num>
  <w:num w:numId="37">
    <w:abstractNumId w:val="24"/>
  </w:num>
  <w:num w:numId="38">
    <w:abstractNumId w:val="36"/>
  </w:num>
  <w:num w:numId="39">
    <w:abstractNumId w:val="10"/>
  </w:num>
  <w:num w:numId="40">
    <w:abstractNumId w:val="35"/>
  </w:num>
  <w:num w:numId="41">
    <w:abstractNumId w:val="8"/>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2DEC"/>
    <w:rsid w:val="000249E6"/>
    <w:rsid w:val="00026476"/>
    <w:rsid w:val="000302BA"/>
    <w:rsid w:val="0003211C"/>
    <w:rsid w:val="000455C7"/>
    <w:rsid w:val="00045F91"/>
    <w:rsid w:val="00046755"/>
    <w:rsid w:val="000501DB"/>
    <w:rsid w:val="0005055C"/>
    <w:rsid w:val="00052477"/>
    <w:rsid w:val="00055BA4"/>
    <w:rsid w:val="00060CE2"/>
    <w:rsid w:val="00083005"/>
    <w:rsid w:val="00087C50"/>
    <w:rsid w:val="000909E6"/>
    <w:rsid w:val="00092F82"/>
    <w:rsid w:val="00094405"/>
    <w:rsid w:val="000A21B6"/>
    <w:rsid w:val="000A2459"/>
    <w:rsid w:val="000D086E"/>
    <w:rsid w:val="000D3180"/>
    <w:rsid w:val="000D7D41"/>
    <w:rsid w:val="000F22FE"/>
    <w:rsid w:val="00115C01"/>
    <w:rsid w:val="001160D7"/>
    <w:rsid w:val="00116C2E"/>
    <w:rsid w:val="00120196"/>
    <w:rsid w:val="00120D49"/>
    <w:rsid w:val="00126CA0"/>
    <w:rsid w:val="00130E72"/>
    <w:rsid w:val="00133C45"/>
    <w:rsid w:val="00141128"/>
    <w:rsid w:val="00143A69"/>
    <w:rsid w:val="00154BA9"/>
    <w:rsid w:val="0016193B"/>
    <w:rsid w:val="00170E58"/>
    <w:rsid w:val="00173C66"/>
    <w:rsid w:val="001758C6"/>
    <w:rsid w:val="001937E6"/>
    <w:rsid w:val="001A2776"/>
    <w:rsid w:val="001A2AEA"/>
    <w:rsid w:val="001A3072"/>
    <w:rsid w:val="001B385F"/>
    <w:rsid w:val="001D1905"/>
    <w:rsid w:val="001D7909"/>
    <w:rsid w:val="001F0153"/>
    <w:rsid w:val="001F23D4"/>
    <w:rsid w:val="001F6F97"/>
    <w:rsid w:val="00215AAA"/>
    <w:rsid w:val="00232383"/>
    <w:rsid w:val="0023398A"/>
    <w:rsid w:val="00235E69"/>
    <w:rsid w:val="00236679"/>
    <w:rsid w:val="00252103"/>
    <w:rsid w:val="00266B67"/>
    <w:rsid w:val="002709AF"/>
    <w:rsid w:val="00272B3B"/>
    <w:rsid w:val="00276DFB"/>
    <w:rsid w:val="00281FD3"/>
    <w:rsid w:val="00284E88"/>
    <w:rsid w:val="002959D8"/>
    <w:rsid w:val="002977E3"/>
    <w:rsid w:val="002A1B73"/>
    <w:rsid w:val="002A3D80"/>
    <w:rsid w:val="002A458F"/>
    <w:rsid w:val="002A5114"/>
    <w:rsid w:val="002C2998"/>
    <w:rsid w:val="002C43DB"/>
    <w:rsid w:val="002D2D2C"/>
    <w:rsid w:val="002D2D94"/>
    <w:rsid w:val="002D7112"/>
    <w:rsid w:val="002E590E"/>
    <w:rsid w:val="002E7614"/>
    <w:rsid w:val="0030008B"/>
    <w:rsid w:val="00312578"/>
    <w:rsid w:val="00312D11"/>
    <w:rsid w:val="003157E5"/>
    <w:rsid w:val="0031619E"/>
    <w:rsid w:val="0031669B"/>
    <w:rsid w:val="0032295F"/>
    <w:rsid w:val="0033174D"/>
    <w:rsid w:val="00332B57"/>
    <w:rsid w:val="00333024"/>
    <w:rsid w:val="00335807"/>
    <w:rsid w:val="003475C1"/>
    <w:rsid w:val="00350F21"/>
    <w:rsid w:val="003652DE"/>
    <w:rsid w:val="0036636C"/>
    <w:rsid w:val="00370DDD"/>
    <w:rsid w:val="00372411"/>
    <w:rsid w:val="00372E7A"/>
    <w:rsid w:val="00374F4C"/>
    <w:rsid w:val="00377AC3"/>
    <w:rsid w:val="00381DF9"/>
    <w:rsid w:val="0038644E"/>
    <w:rsid w:val="0039442F"/>
    <w:rsid w:val="00395E98"/>
    <w:rsid w:val="0039675B"/>
    <w:rsid w:val="003A0A1A"/>
    <w:rsid w:val="003B1170"/>
    <w:rsid w:val="003C30AA"/>
    <w:rsid w:val="003C48CC"/>
    <w:rsid w:val="003C7F79"/>
    <w:rsid w:val="003D739F"/>
    <w:rsid w:val="003E56E2"/>
    <w:rsid w:val="003F3952"/>
    <w:rsid w:val="00400347"/>
    <w:rsid w:val="004138A6"/>
    <w:rsid w:val="004266A0"/>
    <w:rsid w:val="00434E35"/>
    <w:rsid w:val="00445581"/>
    <w:rsid w:val="00471929"/>
    <w:rsid w:val="00471DD3"/>
    <w:rsid w:val="00482487"/>
    <w:rsid w:val="00486FED"/>
    <w:rsid w:val="00490123"/>
    <w:rsid w:val="00490756"/>
    <w:rsid w:val="00493658"/>
    <w:rsid w:val="00495C9A"/>
    <w:rsid w:val="0049623D"/>
    <w:rsid w:val="00497962"/>
    <w:rsid w:val="004A5282"/>
    <w:rsid w:val="004A60CA"/>
    <w:rsid w:val="004B2960"/>
    <w:rsid w:val="004B7CB7"/>
    <w:rsid w:val="004C7516"/>
    <w:rsid w:val="004D3721"/>
    <w:rsid w:val="004D577F"/>
    <w:rsid w:val="004E6063"/>
    <w:rsid w:val="004F0845"/>
    <w:rsid w:val="004F4BB3"/>
    <w:rsid w:val="005063BC"/>
    <w:rsid w:val="0051472D"/>
    <w:rsid w:val="005151A4"/>
    <w:rsid w:val="005163ED"/>
    <w:rsid w:val="0052306E"/>
    <w:rsid w:val="00527764"/>
    <w:rsid w:val="005326B8"/>
    <w:rsid w:val="00540600"/>
    <w:rsid w:val="00540DD4"/>
    <w:rsid w:val="005424FA"/>
    <w:rsid w:val="00550A9B"/>
    <w:rsid w:val="005513E4"/>
    <w:rsid w:val="00564656"/>
    <w:rsid w:val="00567C1C"/>
    <w:rsid w:val="005824A0"/>
    <w:rsid w:val="00582D2F"/>
    <w:rsid w:val="00584544"/>
    <w:rsid w:val="00585080"/>
    <w:rsid w:val="00593DC2"/>
    <w:rsid w:val="00597483"/>
    <w:rsid w:val="005A3F2D"/>
    <w:rsid w:val="005A414A"/>
    <w:rsid w:val="005A468C"/>
    <w:rsid w:val="005A7911"/>
    <w:rsid w:val="005B4781"/>
    <w:rsid w:val="005C3CBA"/>
    <w:rsid w:val="005C5A49"/>
    <w:rsid w:val="005D207D"/>
    <w:rsid w:val="005D76DF"/>
    <w:rsid w:val="005E0A0F"/>
    <w:rsid w:val="005E354E"/>
    <w:rsid w:val="005F207E"/>
    <w:rsid w:val="00601390"/>
    <w:rsid w:val="006017B9"/>
    <w:rsid w:val="0060388A"/>
    <w:rsid w:val="00604687"/>
    <w:rsid w:val="00617F69"/>
    <w:rsid w:val="00621DE4"/>
    <w:rsid w:val="00637DAA"/>
    <w:rsid w:val="00640BBB"/>
    <w:rsid w:val="00647055"/>
    <w:rsid w:val="00652E45"/>
    <w:rsid w:val="00654220"/>
    <w:rsid w:val="00654FF8"/>
    <w:rsid w:val="00675E56"/>
    <w:rsid w:val="006851EF"/>
    <w:rsid w:val="00685957"/>
    <w:rsid w:val="00696598"/>
    <w:rsid w:val="006A0969"/>
    <w:rsid w:val="006A728C"/>
    <w:rsid w:val="006B0F61"/>
    <w:rsid w:val="006B217E"/>
    <w:rsid w:val="006B2B17"/>
    <w:rsid w:val="006B592A"/>
    <w:rsid w:val="006B5BD5"/>
    <w:rsid w:val="006C184D"/>
    <w:rsid w:val="006C24F0"/>
    <w:rsid w:val="006C3B01"/>
    <w:rsid w:val="006C5F37"/>
    <w:rsid w:val="006D07C1"/>
    <w:rsid w:val="006D1400"/>
    <w:rsid w:val="006D486D"/>
    <w:rsid w:val="006D52D2"/>
    <w:rsid w:val="006D635A"/>
    <w:rsid w:val="006E3571"/>
    <w:rsid w:val="006F233D"/>
    <w:rsid w:val="006F5422"/>
    <w:rsid w:val="006F5F02"/>
    <w:rsid w:val="006F7A8B"/>
    <w:rsid w:val="00700450"/>
    <w:rsid w:val="00705D95"/>
    <w:rsid w:val="007118B2"/>
    <w:rsid w:val="00715020"/>
    <w:rsid w:val="00717332"/>
    <w:rsid w:val="007212F6"/>
    <w:rsid w:val="007314A6"/>
    <w:rsid w:val="00743072"/>
    <w:rsid w:val="00744DE2"/>
    <w:rsid w:val="00747C25"/>
    <w:rsid w:val="0075195C"/>
    <w:rsid w:val="00752676"/>
    <w:rsid w:val="00761928"/>
    <w:rsid w:val="00764CD7"/>
    <w:rsid w:val="00766C1B"/>
    <w:rsid w:val="00775FAA"/>
    <w:rsid w:val="00786F55"/>
    <w:rsid w:val="00795C32"/>
    <w:rsid w:val="007A6603"/>
    <w:rsid w:val="007A70BB"/>
    <w:rsid w:val="007A7148"/>
    <w:rsid w:val="007D534C"/>
    <w:rsid w:val="007D7AFE"/>
    <w:rsid w:val="007D7C95"/>
    <w:rsid w:val="007E54E5"/>
    <w:rsid w:val="007E710E"/>
    <w:rsid w:val="007F0FE3"/>
    <w:rsid w:val="007F7867"/>
    <w:rsid w:val="00806531"/>
    <w:rsid w:val="00813D1D"/>
    <w:rsid w:val="00823CCD"/>
    <w:rsid w:val="00834E9C"/>
    <w:rsid w:val="00837D84"/>
    <w:rsid w:val="00840CD9"/>
    <w:rsid w:val="0084165A"/>
    <w:rsid w:val="008539FC"/>
    <w:rsid w:val="00865ABE"/>
    <w:rsid w:val="0086628D"/>
    <w:rsid w:val="00870CAB"/>
    <w:rsid w:val="008751FD"/>
    <w:rsid w:val="0088048B"/>
    <w:rsid w:val="008837BE"/>
    <w:rsid w:val="00885A09"/>
    <w:rsid w:val="008864FF"/>
    <w:rsid w:val="00895718"/>
    <w:rsid w:val="008A1896"/>
    <w:rsid w:val="008A2B68"/>
    <w:rsid w:val="008A76CF"/>
    <w:rsid w:val="008B44FD"/>
    <w:rsid w:val="008B47F1"/>
    <w:rsid w:val="008C3C96"/>
    <w:rsid w:val="008C7E6C"/>
    <w:rsid w:val="008D345F"/>
    <w:rsid w:val="008D368E"/>
    <w:rsid w:val="008D4122"/>
    <w:rsid w:val="008E3AB7"/>
    <w:rsid w:val="008E7A53"/>
    <w:rsid w:val="008F012F"/>
    <w:rsid w:val="008F0E23"/>
    <w:rsid w:val="008F71C2"/>
    <w:rsid w:val="00901F21"/>
    <w:rsid w:val="00904A3E"/>
    <w:rsid w:val="009115A9"/>
    <w:rsid w:val="00912CFA"/>
    <w:rsid w:val="009148D4"/>
    <w:rsid w:val="00930971"/>
    <w:rsid w:val="00932507"/>
    <w:rsid w:val="00941CCE"/>
    <w:rsid w:val="00945D4F"/>
    <w:rsid w:val="00955F28"/>
    <w:rsid w:val="00957C80"/>
    <w:rsid w:val="0096762B"/>
    <w:rsid w:val="00967942"/>
    <w:rsid w:val="00983489"/>
    <w:rsid w:val="00990339"/>
    <w:rsid w:val="00994B51"/>
    <w:rsid w:val="0099717E"/>
    <w:rsid w:val="009C0F9B"/>
    <w:rsid w:val="009C6774"/>
    <w:rsid w:val="009D0DB3"/>
    <w:rsid w:val="009D2E6F"/>
    <w:rsid w:val="009D7FB6"/>
    <w:rsid w:val="009F3977"/>
    <w:rsid w:val="009F7763"/>
    <w:rsid w:val="00A0052F"/>
    <w:rsid w:val="00A032BA"/>
    <w:rsid w:val="00A0351C"/>
    <w:rsid w:val="00A10433"/>
    <w:rsid w:val="00A24D9E"/>
    <w:rsid w:val="00A27879"/>
    <w:rsid w:val="00A27EF5"/>
    <w:rsid w:val="00A317CF"/>
    <w:rsid w:val="00A334EB"/>
    <w:rsid w:val="00A4246B"/>
    <w:rsid w:val="00A47621"/>
    <w:rsid w:val="00A50E42"/>
    <w:rsid w:val="00A55A11"/>
    <w:rsid w:val="00A57C10"/>
    <w:rsid w:val="00A67B18"/>
    <w:rsid w:val="00A820BF"/>
    <w:rsid w:val="00A8326F"/>
    <w:rsid w:val="00A834CA"/>
    <w:rsid w:val="00A93CBF"/>
    <w:rsid w:val="00A96E97"/>
    <w:rsid w:val="00AB0141"/>
    <w:rsid w:val="00AB36F2"/>
    <w:rsid w:val="00AD1059"/>
    <w:rsid w:val="00AD3FAF"/>
    <w:rsid w:val="00AD4746"/>
    <w:rsid w:val="00AD4BBE"/>
    <w:rsid w:val="00AD63D2"/>
    <w:rsid w:val="00AD63E5"/>
    <w:rsid w:val="00AE09F7"/>
    <w:rsid w:val="00AE29DE"/>
    <w:rsid w:val="00AE436D"/>
    <w:rsid w:val="00AF6157"/>
    <w:rsid w:val="00AF63FB"/>
    <w:rsid w:val="00AF66E0"/>
    <w:rsid w:val="00B02375"/>
    <w:rsid w:val="00B07BB7"/>
    <w:rsid w:val="00B105F9"/>
    <w:rsid w:val="00B12B8E"/>
    <w:rsid w:val="00B5025B"/>
    <w:rsid w:val="00B529DE"/>
    <w:rsid w:val="00B820FC"/>
    <w:rsid w:val="00B82868"/>
    <w:rsid w:val="00B8495C"/>
    <w:rsid w:val="00B86BFA"/>
    <w:rsid w:val="00B932BB"/>
    <w:rsid w:val="00BA177D"/>
    <w:rsid w:val="00BA751C"/>
    <w:rsid w:val="00BB1EBC"/>
    <w:rsid w:val="00BD1B38"/>
    <w:rsid w:val="00BD2A1B"/>
    <w:rsid w:val="00BD4BB1"/>
    <w:rsid w:val="00BE304B"/>
    <w:rsid w:val="00BF1B29"/>
    <w:rsid w:val="00BF21AC"/>
    <w:rsid w:val="00C113E1"/>
    <w:rsid w:val="00C1222B"/>
    <w:rsid w:val="00C130C9"/>
    <w:rsid w:val="00C27CFA"/>
    <w:rsid w:val="00C30B90"/>
    <w:rsid w:val="00C32D70"/>
    <w:rsid w:val="00C34D08"/>
    <w:rsid w:val="00C34D19"/>
    <w:rsid w:val="00C35C59"/>
    <w:rsid w:val="00C459BE"/>
    <w:rsid w:val="00C52CD4"/>
    <w:rsid w:val="00C605CA"/>
    <w:rsid w:val="00C64E9B"/>
    <w:rsid w:val="00C66D8C"/>
    <w:rsid w:val="00C74292"/>
    <w:rsid w:val="00C82960"/>
    <w:rsid w:val="00C90A6F"/>
    <w:rsid w:val="00CA6CF7"/>
    <w:rsid w:val="00CB26C7"/>
    <w:rsid w:val="00CC3D2B"/>
    <w:rsid w:val="00CC7F2C"/>
    <w:rsid w:val="00CE3818"/>
    <w:rsid w:val="00CE73B4"/>
    <w:rsid w:val="00D05DB3"/>
    <w:rsid w:val="00D1063D"/>
    <w:rsid w:val="00D156CF"/>
    <w:rsid w:val="00D15813"/>
    <w:rsid w:val="00D201AD"/>
    <w:rsid w:val="00D272F1"/>
    <w:rsid w:val="00D330BA"/>
    <w:rsid w:val="00D37A50"/>
    <w:rsid w:val="00D43002"/>
    <w:rsid w:val="00D4459D"/>
    <w:rsid w:val="00D459CA"/>
    <w:rsid w:val="00D46148"/>
    <w:rsid w:val="00D631C4"/>
    <w:rsid w:val="00D64EB6"/>
    <w:rsid w:val="00D74D55"/>
    <w:rsid w:val="00D75CE3"/>
    <w:rsid w:val="00D76551"/>
    <w:rsid w:val="00D7659D"/>
    <w:rsid w:val="00D77B50"/>
    <w:rsid w:val="00D83B6F"/>
    <w:rsid w:val="00D8730A"/>
    <w:rsid w:val="00D938F8"/>
    <w:rsid w:val="00DA1476"/>
    <w:rsid w:val="00DA3AE7"/>
    <w:rsid w:val="00DA610C"/>
    <w:rsid w:val="00DC025A"/>
    <w:rsid w:val="00DC1218"/>
    <w:rsid w:val="00DC56ED"/>
    <w:rsid w:val="00DD3AD7"/>
    <w:rsid w:val="00DD41FA"/>
    <w:rsid w:val="00DD5763"/>
    <w:rsid w:val="00DE1556"/>
    <w:rsid w:val="00DE62A2"/>
    <w:rsid w:val="00DE63DB"/>
    <w:rsid w:val="00E025CD"/>
    <w:rsid w:val="00E0584C"/>
    <w:rsid w:val="00E0630E"/>
    <w:rsid w:val="00E17EA6"/>
    <w:rsid w:val="00E27AB6"/>
    <w:rsid w:val="00E31A5F"/>
    <w:rsid w:val="00E33A89"/>
    <w:rsid w:val="00E47D39"/>
    <w:rsid w:val="00E53C2C"/>
    <w:rsid w:val="00E57EEE"/>
    <w:rsid w:val="00E616F4"/>
    <w:rsid w:val="00E63BB8"/>
    <w:rsid w:val="00E66FF3"/>
    <w:rsid w:val="00E67264"/>
    <w:rsid w:val="00E71364"/>
    <w:rsid w:val="00E74719"/>
    <w:rsid w:val="00E763FF"/>
    <w:rsid w:val="00E76885"/>
    <w:rsid w:val="00E846A2"/>
    <w:rsid w:val="00E96207"/>
    <w:rsid w:val="00EA00D6"/>
    <w:rsid w:val="00EA482B"/>
    <w:rsid w:val="00EB07B0"/>
    <w:rsid w:val="00EB274B"/>
    <w:rsid w:val="00EB2C04"/>
    <w:rsid w:val="00EB4D3C"/>
    <w:rsid w:val="00EC0130"/>
    <w:rsid w:val="00EC4D68"/>
    <w:rsid w:val="00EC65E3"/>
    <w:rsid w:val="00EC7A7F"/>
    <w:rsid w:val="00ED4101"/>
    <w:rsid w:val="00ED5B0A"/>
    <w:rsid w:val="00EE0FA5"/>
    <w:rsid w:val="00EE2389"/>
    <w:rsid w:val="00F0169A"/>
    <w:rsid w:val="00F041D2"/>
    <w:rsid w:val="00F10121"/>
    <w:rsid w:val="00F119FE"/>
    <w:rsid w:val="00F1447C"/>
    <w:rsid w:val="00F22088"/>
    <w:rsid w:val="00F31D24"/>
    <w:rsid w:val="00F403EB"/>
    <w:rsid w:val="00F468DA"/>
    <w:rsid w:val="00F508E6"/>
    <w:rsid w:val="00F51474"/>
    <w:rsid w:val="00F515E0"/>
    <w:rsid w:val="00F5197A"/>
    <w:rsid w:val="00F55479"/>
    <w:rsid w:val="00F5754F"/>
    <w:rsid w:val="00F62AD2"/>
    <w:rsid w:val="00F80DB0"/>
    <w:rsid w:val="00F82DD7"/>
    <w:rsid w:val="00F850A8"/>
    <w:rsid w:val="00F9138E"/>
    <w:rsid w:val="00F92085"/>
    <w:rsid w:val="00F92ACC"/>
    <w:rsid w:val="00F92C06"/>
    <w:rsid w:val="00F9625B"/>
    <w:rsid w:val="00FC505B"/>
    <w:rsid w:val="00FD5883"/>
    <w:rsid w:val="00FF484D"/>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paragraph" w:styleId="BodyText">
    <w:name w:val="Body Text"/>
    <w:basedOn w:val="Normal"/>
    <w:link w:val="BodyTextChar"/>
    <w:rsid w:val="00E0630E"/>
    <w:rPr>
      <w:szCs w:val="20"/>
    </w:rPr>
  </w:style>
  <w:style w:type="character" w:customStyle="1" w:styleId="BodyTextChar">
    <w:name w:val="Body Text Char"/>
    <w:link w:val="BodyText"/>
    <w:rsid w:val="00E0630E"/>
    <w:rPr>
      <w:rFonts w:ascii="Times New Roman" w:eastAsia="Times New Roman" w:hAnsi="Times New Roman"/>
      <w:sz w:val="24"/>
    </w:rPr>
  </w:style>
  <w:style w:type="paragraph" w:styleId="BodyTextIndent2">
    <w:name w:val="Body Text Indent 2"/>
    <w:basedOn w:val="Normal"/>
    <w:link w:val="BodyTextIndent2Char"/>
    <w:unhideWhenUsed/>
    <w:rsid w:val="00E0630E"/>
    <w:pPr>
      <w:spacing w:after="120" w:line="480" w:lineRule="auto"/>
      <w:ind w:left="360"/>
    </w:pPr>
  </w:style>
  <w:style w:type="character" w:customStyle="1" w:styleId="BodyTextIndent2Char">
    <w:name w:val="Body Text Indent 2 Char"/>
    <w:link w:val="BodyTextIndent2"/>
    <w:uiPriority w:val="99"/>
    <w:semiHidden/>
    <w:rsid w:val="00E0630E"/>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E0630E"/>
    <w:pPr>
      <w:spacing w:after="120" w:line="480" w:lineRule="auto"/>
    </w:pPr>
  </w:style>
  <w:style w:type="character" w:customStyle="1" w:styleId="BodyText2Char">
    <w:name w:val="Body Text 2 Char"/>
    <w:link w:val="BodyText2"/>
    <w:uiPriority w:val="99"/>
    <w:semiHidden/>
    <w:rsid w:val="00E0630E"/>
    <w:rPr>
      <w:rFonts w:ascii="Times New Roman" w:eastAsia="Times New Roman" w:hAnsi="Times New Roman"/>
      <w:sz w:val="24"/>
      <w:szCs w:val="24"/>
    </w:rPr>
  </w:style>
  <w:style w:type="paragraph" w:styleId="PlainText">
    <w:name w:val="Plain Text"/>
    <w:basedOn w:val="Normal"/>
    <w:link w:val="PlainTextChar"/>
    <w:uiPriority w:val="99"/>
    <w:unhideWhenUsed/>
    <w:rsid w:val="00312578"/>
    <w:rPr>
      <w:rFonts w:eastAsia="Calibri"/>
    </w:rPr>
  </w:style>
  <w:style w:type="character" w:customStyle="1" w:styleId="PlainTextChar">
    <w:name w:val="Plain Text Char"/>
    <w:link w:val="PlainText"/>
    <w:uiPriority w:val="99"/>
    <w:rsid w:val="00312578"/>
    <w:rPr>
      <w:rFonts w:ascii="Times New Roman" w:hAnsi="Times New Roman"/>
      <w:sz w:val="24"/>
      <w:szCs w:val="24"/>
    </w:rPr>
  </w:style>
  <w:style w:type="character" w:styleId="Emphasis">
    <w:name w:val="Emphasis"/>
    <w:basedOn w:val="DefaultParagraphFont"/>
    <w:uiPriority w:val="20"/>
    <w:qFormat/>
    <w:rsid w:val="008837BE"/>
    <w:rPr>
      <w:i/>
      <w:iCs/>
    </w:rPr>
  </w:style>
  <w:style w:type="character" w:customStyle="1" w:styleId="apple-converted-space">
    <w:name w:val="apple-converted-space"/>
    <w:basedOn w:val="DefaultParagraphFont"/>
    <w:rsid w:val="008837BE"/>
  </w:style>
  <w:style w:type="character" w:styleId="Hyperlink">
    <w:name w:val="Hyperlink"/>
    <w:basedOn w:val="DefaultParagraphFont"/>
    <w:uiPriority w:val="99"/>
    <w:unhideWhenUsed/>
    <w:rsid w:val="00A820BF"/>
    <w:rPr>
      <w:color w:val="0563C1" w:themeColor="hyperlink"/>
      <w:u w:val="single"/>
    </w:rPr>
  </w:style>
  <w:style w:type="paragraph" w:customStyle="1" w:styleId="Default">
    <w:name w:val="Default"/>
    <w:rsid w:val="00700450"/>
    <w:pPr>
      <w:autoSpaceDE w:val="0"/>
      <w:autoSpaceDN w:val="0"/>
      <w:adjustRightInd w:val="0"/>
    </w:pPr>
    <w:rPr>
      <w:rFonts w:ascii="Times New Roman" w:hAnsi="Times New Roman"/>
      <w:color w:val="000000"/>
      <w:sz w:val="24"/>
      <w:szCs w:val="24"/>
    </w:rPr>
  </w:style>
  <w:style w:type="character" w:styleId="Strong">
    <w:name w:val="Strong"/>
    <w:qFormat/>
    <w:rsid w:val="00AE29DE"/>
    <w:rPr>
      <w:rFonts w:cs="Times New Roman"/>
      <w:b/>
      <w:bCs/>
    </w:rPr>
  </w:style>
  <w:style w:type="paragraph" w:styleId="ListParagraph">
    <w:name w:val="List Paragraph"/>
    <w:basedOn w:val="Normal"/>
    <w:uiPriority w:val="34"/>
    <w:qFormat/>
    <w:rsid w:val="00AE29DE"/>
    <w:pPr>
      <w:ind w:left="720"/>
    </w:pPr>
    <w:rPr>
      <w:sz w:val="20"/>
      <w:szCs w:val="20"/>
    </w:rPr>
  </w:style>
  <w:style w:type="character" w:styleId="FollowedHyperlink">
    <w:name w:val="FollowedHyperlink"/>
    <w:basedOn w:val="DefaultParagraphFont"/>
    <w:uiPriority w:val="99"/>
    <w:semiHidden/>
    <w:unhideWhenUsed/>
    <w:rsid w:val="00E763F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paragraph" w:styleId="BodyText">
    <w:name w:val="Body Text"/>
    <w:basedOn w:val="Normal"/>
    <w:link w:val="BodyTextChar"/>
    <w:rsid w:val="00E0630E"/>
    <w:rPr>
      <w:szCs w:val="20"/>
    </w:rPr>
  </w:style>
  <w:style w:type="character" w:customStyle="1" w:styleId="BodyTextChar">
    <w:name w:val="Body Text Char"/>
    <w:link w:val="BodyText"/>
    <w:rsid w:val="00E0630E"/>
    <w:rPr>
      <w:rFonts w:ascii="Times New Roman" w:eastAsia="Times New Roman" w:hAnsi="Times New Roman"/>
      <w:sz w:val="24"/>
    </w:rPr>
  </w:style>
  <w:style w:type="paragraph" w:styleId="BodyTextIndent2">
    <w:name w:val="Body Text Indent 2"/>
    <w:basedOn w:val="Normal"/>
    <w:link w:val="BodyTextIndent2Char"/>
    <w:unhideWhenUsed/>
    <w:rsid w:val="00E0630E"/>
    <w:pPr>
      <w:spacing w:after="120" w:line="480" w:lineRule="auto"/>
      <w:ind w:left="360"/>
    </w:pPr>
  </w:style>
  <w:style w:type="character" w:customStyle="1" w:styleId="BodyTextIndent2Char">
    <w:name w:val="Body Text Indent 2 Char"/>
    <w:link w:val="BodyTextIndent2"/>
    <w:uiPriority w:val="99"/>
    <w:semiHidden/>
    <w:rsid w:val="00E0630E"/>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E0630E"/>
    <w:pPr>
      <w:spacing w:after="120" w:line="480" w:lineRule="auto"/>
    </w:pPr>
  </w:style>
  <w:style w:type="character" w:customStyle="1" w:styleId="BodyText2Char">
    <w:name w:val="Body Text 2 Char"/>
    <w:link w:val="BodyText2"/>
    <w:uiPriority w:val="99"/>
    <w:semiHidden/>
    <w:rsid w:val="00E0630E"/>
    <w:rPr>
      <w:rFonts w:ascii="Times New Roman" w:eastAsia="Times New Roman" w:hAnsi="Times New Roman"/>
      <w:sz w:val="24"/>
      <w:szCs w:val="24"/>
    </w:rPr>
  </w:style>
  <w:style w:type="paragraph" w:styleId="PlainText">
    <w:name w:val="Plain Text"/>
    <w:basedOn w:val="Normal"/>
    <w:link w:val="PlainTextChar"/>
    <w:uiPriority w:val="99"/>
    <w:unhideWhenUsed/>
    <w:rsid w:val="00312578"/>
    <w:rPr>
      <w:rFonts w:eastAsia="Calibri"/>
    </w:rPr>
  </w:style>
  <w:style w:type="character" w:customStyle="1" w:styleId="PlainTextChar">
    <w:name w:val="Plain Text Char"/>
    <w:link w:val="PlainText"/>
    <w:uiPriority w:val="99"/>
    <w:rsid w:val="00312578"/>
    <w:rPr>
      <w:rFonts w:ascii="Times New Roman" w:hAnsi="Times New Roman"/>
      <w:sz w:val="24"/>
      <w:szCs w:val="24"/>
    </w:rPr>
  </w:style>
  <w:style w:type="character" w:styleId="Emphasis">
    <w:name w:val="Emphasis"/>
    <w:basedOn w:val="DefaultParagraphFont"/>
    <w:uiPriority w:val="20"/>
    <w:qFormat/>
    <w:rsid w:val="008837BE"/>
    <w:rPr>
      <w:i/>
      <w:iCs/>
    </w:rPr>
  </w:style>
  <w:style w:type="character" w:customStyle="1" w:styleId="apple-converted-space">
    <w:name w:val="apple-converted-space"/>
    <w:basedOn w:val="DefaultParagraphFont"/>
    <w:rsid w:val="008837BE"/>
  </w:style>
  <w:style w:type="character" w:styleId="Hyperlink">
    <w:name w:val="Hyperlink"/>
    <w:basedOn w:val="DefaultParagraphFont"/>
    <w:uiPriority w:val="99"/>
    <w:unhideWhenUsed/>
    <w:rsid w:val="00A820BF"/>
    <w:rPr>
      <w:color w:val="0563C1" w:themeColor="hyperlink"/>
      <w:u w:val="single"/>
    </w:rPr>
  </w:style>
  <w:style w:type="paragraph" w:customStyle="1" w:styleId="Default">
    <w:name w:val="Default"/>
    <w:rsid w:val="00700450"/>
    <w:pPr>
      <w:autoSpaceDE w:val="0"/>
      <w:autoSpaceDN w:val="0"/>
      <w:adjustRightInd w:val="0"/>
    </w:pPr>
    <w:rPr>
      <w:rFonts w:ascii="Times New Roman" w:hAnsi="Times New Roman"/>
      <w:color w:val="000000"/>
      <w:sz w:val="24"/>
      <w:szCs w:val="24"/>
    </w:rPr>
  </w:style>
  <w:style w:type="character" w:styleId="Strong">
    <w:name w:val="Strong"/>
    <w:qFormat/>
    <w:rsid w:val="00AE29DE"/>
    <w:rPr>
      <w:rFonts w:cs="Times New Roman"/>
      <w:b/>
      <w:bCs/>
    </w:rPr>
  </w:style>
  <w:style w:type="paragraph" w:styleId="ListParagraph">
    <w:name w:val="List Paragraph"/>
    <w:basedOn w:val="Normal"/>
    <w:uiPriority w:val="34"/>
    <w:qFormat/>
    <w:rsid w:val="00AE29DE"/>
    <w:pPr>
      <w:ind w:left="720"/>
    </w:pPr>
    <w:rPr>
      <w:sz w:val="20"/>
      <w:szCs w:val="20"/>
    </w:rPr>
  </w:style>
  <w:style w:type="character" w:styleId="FollowedHyperlink">
    <w:name w:val="FollowedHyperlink"/>
    <w:basedOn w:val="DefaultParagraphFont"/>
    <w:uiPriority w:val="99"/>
    <w:semiHidden/>
    <w:unhideWhenUsed/>
    <w:rsid w:val="00E763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0983">
      <w:bodyDiv w:val="1"/>
      <w:marLeft w:val="0"/>
      <w:marRight w:val="0"/>
      <w:marTop w:val="0"/>
      <w:marBottom w:val="0"/>
      <w:divBdr>
        <w:top w:val="none" w:sz="0" w:space="0" w:color="auto"/>
        <w:left w:val="none" w:sz="0" w:space="0" w:color="auto"/>
        <w:bottom w:val="none" w:sz="0" w:space="0" w:color="auto"/>
        <w:right w:val="none" w:sz="0" w:space="0" w:color="auto"/>
      </w:divBdr>
    </w:div>
    <w:div w:id="1050763753">
      <w:bodyDiv w:val="1"/>
      <w:marLeft w:val="0"/>
      <w:marRight w:val="0"/>
      <w:marTop w:val="0"/>
      <w:marBottom w:val="0"/>
      <w:divBdr>
        <w:top w:val="none" w:sz="0" w:space="0" w:color="auto"/>
        <w:left w:val="none" w:sz="0" w:space="0" w:color="auto"/>
        <w:bottom w:val="none" w:sz="0" w:space="0" w:color="auto"/>
        <w:right w:val="none" w:sz="0" w:space="0" w:color="auto"/>
      </w:divBdr>
      <w:divsChild>
        <w:div w:id="751123338">
          <w:marLeft w:val="0"/>
          <w:marRight w:val="0"/>
          <w:marTop w:val="0"/>
          <w:marBottom w:val="0"/>
          <w:divBdr>
            <w:top w:val="none" w:sz="0" w:space="0" w:color="auto"/>
            <w:left w:val="none" w:sz="0" w:space="0" w:color="auto"/>
            <w:bottom w:val="none" w:sz="0" w:space="0" w:color="auto"/>
            <w:right w:val="none" w:sz="0" w:space="0" w:color="auto"/>
          </w:divBdr>
          <w:divsChild>
            <w:div w:id="679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ls.gov/oes/current/oes131071.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pcld.defense.gov/Privacy/SORNsIndex/DOD-wide-SORN-Article-View/Article/570569/dmdc-18-d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TH3QXZ4CCXAT-18-603</_dlc_DocId>
    <_dlc_DocIdUrl xmlns="4f06cbb4-5319-44a1-b73c-03442379dfaa">
      <Url>https://eitsdext.osd.mil/sites/dodiic/_layouts/DocIdRedir.aspx?ID=TH3QXZ4CCXAT-18-603</Url>
      <Description>TH3QXZ4CCXAT-18-603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47D9-4DFF-49A3-9278-ECF8EAE6A430}">
  <ds:schemaRefs>
    <ds:schemaRef ds:uri="http://schemas.microsoft.com/office/2006/documentManagement/types"/>
    <ds:schemaRef ds:uri="456AF0B4-47B6-441D-9D5F-F64341D14F81"/>
    <ds:schemaRef ds:uri="http://purl.org/dc/elements/1.1/"/>
    <ds:schemaRef ds:uri="http://schemas.openxmlformats.org/package/2006/metadata/core-properties"/>
    <ds:schemaRef ds:uri="http://www.w3.org/XML/1998/namespace"/>
    <ds:schemaRef ds:uri="http://purl.org/dc/terms/"/>
    <ds:schemaRef ds:uri="4f06cbb4-5319-44a1-b73c-03442379dfaa"/>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D5A0700-A41F-4F50-A64C-3F5850B7B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13A8C-6538-4989-8EFB-0A9E5546D256}">
  <ds:schemaRefs>
    <ds:schemaRef ds:uri="http://schemas.microsoft.com/sharepoint/events"/>
  </ds:schemaRefs>
</ds:datastoreItem>
</file>

<file path=customXml/itemProps4.xml><?xml version="1.0" encoding="utf-8"?>
<ds:datastoreItem xmlns:ds="http://schemas.openxmlformats.org/officeDocument/2006/customXml" ds:itemID="{72230827-DBEB-43BD-8A98-74B13E999372}">
  <ds:schemaRefs>
    <ds:schemaRef ds:uri="http://schemas.microsoft.com/sharepoint/v3/contenttype/forms"/>
  </ds:schemaRefs>
</ds:datastoreItem>
</file>

<file path=customXml/itemProps5.xml><?xml version="1.0" encoding="utf-8"?>
<ds:datastoreItem xmlns:ds="http://schemas.openxmlformats.org/officeDocument/2006/customXml" ds:itemID="{1049A892-0F10-4F3A-ADCE-2B77FF7F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Tyler Robinson</cp:lastModifiedBy>
  <cp:revision>3</cp:revision>
  <cp:lastPrinted>2013-01-25T18:09:00Z</cp:lastPrinted>
  <dcterms:created xsi:type="dcterms:W3CDTF">2016-11-10T19:23:00Z</dcterms:created>
  <dcterms:modified xsi:type="dcterms:W3CDTF">2016-11-10T19:35:00Z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115fc5fa-6643-46a2-b51c-9dacec0c5b9c</vt:lpwstr>
  </property>
</Properties>
</file>