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85" w:rsidRPr="00883C55" w:rsidRDefault="00AF5085" w:rsidP="00AF5085">
      <w:pPr>
        <w:spacing w:before="100" w:beforeAutospacing="1" w:after="100" w:afterAutospacing="1" w:line="240" w:lineRule="auto"/>
        <w:jc w:val="center"/>
        <w:rPr>
          <w:rFonts w:eastAsia="Times New Roman" w:cs="Times New Roman"/>
          <w:color w:val="000000"/>
        </w:rPr>
      </w:pPr>
      <w:r w:rsidRPr="00883C55">
        <w:rPr>
          <w:rFonts w:eastAsia="Times New Roman" w:cs="Times New Roman"/>
          <w:color w:val="000000"/>
        </w:rPr>
        <w:t>Non-Substantive Change to the National Survey of Children’s Health Information Collection Request</w:t>
      </w:r>
    </w:p>
    <w:p w:rsidR="00AF5085" w:rsidRPr="00883C55"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The Census Bureau requests approval of a non-substantive change to the current approved National Survey of Children’s Health (NSCH) Information Collection Request. Due to lower than </w:t>
      </w:r>
      <w:r w:rsidR="006C4860" w:rsidRPr="00883C55">
        <w:rPr>
          <w:rFonts w:eastAsia="Times New Roman" w:cs="Times New Roman"/>
          <w:color w:val="000000"/>
        </w:rPr>
        <w:t>expected response</w:t>
      </w:r>
      <w:r w:rsidRPr="00883C55">
        <w:rPr>
          <w:rFonts w:eastAsia="Times New Roman" w:cs="Times New Roman"/>
          <w:color w:val="000000"/>
        </w:rPr>
        <w:t xml:space="preserve"> rates for the 2016 survey, the NSCH sponsor has requested the Census </w:t>
      </w:r>
      <w:r w:rsidR="006C4860" w:rsidRPr="00883C55">
        <w:rPr>
          <w:rFonts w:eastAsia="Times New Roman" w:cs="Times New Roman"/>
          <w:color w:val="000000"/>
        </w:rPr>
        <w:t>Bureau expand</w:t>
      </w:r>
      <w:r w:rsidRPr="00883C55">
        <w:rPr>
          <w:rFonts w:eastAsia="Times New Roman" w:cs="Times New Roman"/>
          <w:color w:val="000000"/>
        </w:rPr>
        <w:t xml:space="preserve"> the current incentive plans to include an additional incentive in a planned mailing of topical questionnaires.  Census recommended to the sponsor that we also implement the additional incentive with an experimental design, as was done for the incentivized initial mailings in June 2016.</w:t>
      </w:r>
    </w:p>
    <w:p w:rsidR="00AF5085" w:rsidRPr="00883C55" w:rsidRDefault="00AF5085" w:rsidP="00AF5085">
      <w:pPr>
        <w:spacing w:line="240" w:lineRule="auto"/>
      </w:pPr>
      <w:r w:rsidRPr="00883C55">
        <w:t xml:space="preserve">The initial sample size and completion estimates are included in </w:t>
      </w:r>
      <w:r w:rsidRPr="00883C55">
        <w:rPr>
          <w:b/>
        </w:rPr>
        <w:t>Table 1</w:t>
      </w:r>
      <w:r w:rsidRPr="00883C55">
        <w:t xml:space="preserve">. A response rate for participation by web was estimated to be between 42% and 48% based on incentive group, 2015 pretest response rates, and other survey response rates. The mailing design was a ‘web-push’ strategy, which attempts to generate as much response as possible by web before switching to a more costly paper screener and paper topical strategy.  The paper screener response rates </w:t>
      </w:r>
      <w:r w:rsidR="006C4860" w:rsidRPr="00883C55">
        <w:t>were</w:t>
      </w:r>
      <w:r w:rsidRPr="00883C55">
        <w:t xml:space="preserve"> estimated to be 25% of the remaining web non-response, for an expected total screener response of 58.8%.  </w:t>
      </w:r>
      <w:r w:rsidR="00C371E7">
        <w:t xml:space="preserve"> </w:t>
      </w:r>
      <w:bookmarkStart w:id="0" w:name="_GoBack"/>
      <w:bookmarkEnd w:id="0"/>
    </w:p>
    <w:p w:rsidR="00AF5085" w:rsidRPr="00883C55" w:rsidRDefault="00AF5085" w:rsidP="00AF5085">
      <w:pPr>
        <w:spacing w:line="240" w:lineRule="auto"/>
        <w:rPr>
          <w:b/>
        </w:rPr>
      </w:pPr>
      <w:r w:rsidRPr="00883C55">
        <w:rPr>
          <w:b/>
        </w:rPr>
        <w:t>Table 1:  Expected Sample Sizes of 2016 NSCH Incentive Treatment Groups</w:t>
      </w:r>
    </w:p>
    <w:tbl>
      <w:tblPr>
        <w:tblW w:w="11070" w:type="dxa"/>
        <w:tblInd w:w="-612" w:type="dxa"/>
        <w:tblLayout w:type="fixed"/>
        <w:tblLook w:val="04A0" w:firstRow="1" w:lastRow="0" w:firstColumn="1" w:lastColumn="0" w:noHBand="0" w:noVBand="1"/>
      </w:tblPr>
      <w:tblGrid>
        <w:gridCol w:w="990"/>
        <w:gridCol w:w="450"/>
        <w:gridCol w:w="990"/>
        <w:gridCol w:w="540"/>
        <w:gridCol w:w="900"/>
        <w:gridCol w:w="990"/>
        <w:gridCol w:w="1080"/>
        <w:gridCol w:w="990"/>
        <w:gridCol w:w="1080"/>
        <w:gridCol w:w="990"/>
        <w:gridCol w:w="1080"/>
        <w:gridCol w:w="990"/>
      </w:tblGrid>
      <w:tr w:rsidR="00AF5085" w:rsidRPr="00883C55" w:rsidTr="000567EB">
        <w:trPr>
          <w:trHeight w:val="1290"/>
        </w:trPr>
        <w:tc>
          <w:tcPr>
            <w:tcW w:w="990" w:type="dxa"/>
            <w:tcBorders>
              <w:top w:val="single" w:sz="4" w:space="0" w:color="auto"/>
              <w:left w:val="single" w:sz="4" w:space="0" w:color="auto"/>
              <w:bottom w:val="nil"/>
              <w:right w:val="single" w:sz="4" w:space="0" w:color="auto"/>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Initial Sample</w:t>
            </w:r>
          </w:p>
        </w:tc>
        <w:tc>
          <w:tcPr>
            <w:tcW w:w="1440" w:type="dxa"/>
            <w:gridSpan w:val="2"/>
            <w:tcBorders>
              <w:top w:val="single" w:sz="4" w:space="0" w:color="auto"/>
              <w:left w:val="nil"/>
              <w:bottom w:val="nil"/>
              <w:right w:val="single" w:sz="4" w:space="0" w:color="000000"/>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Stratum</w:t>
            </w:r>
            <w:r w:rsidRPr="00883C55">
              <w:rPr>
                <w:b/>
                <w:bCs/>
                <w:color w:val="000000"/>
              </w:rPr>
              <w:br/>
            </w:r>
            <w:r w:rsidRPr="00883C55">
              <w:rPr>
                <w:color w:val="000000"/>
              </w:rPr>
              <w:t>Stratum I: 61.2%</w:t>
            </w:r>
            <w:r w:rsidRPr="00883C55">
              <w:rPr>
                <w:color w:val="000000"/>
              </w:rPr>
              <w:br/>
              <w:t>Stratum II: 38.8%</w:t>
            </w:r>
          </w:p>
        </w:tc>
        <w:tc>
          <w:tcPr>
            <w:tcW w:w="1440" w:type="dxa"/>
            <w:gridSpan w:val="2"/>
            <w:tcBorders>
              <w:top w:val="single" w:sz="4" w:space="0" w:color="auto"/>
              <w:left w:val="nil"/>
              <w:bottom w:val="nil"/>
              <w:right w:val="single" w:sz="4" w:space="0" w:color="000000"/>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Incentive Group</w:t>
            </w:r>
            <w:r w:rsidRPr="00883C55">
              <w:rPr>
                <w:b/>
                <w:bCs/>
                <w:color w:val="000000"/>
              </w:rPr>
              <w:br/>
            </w:r>
            <w:r w:rsidRPr="00883C55">
              <w:rPr>
                <w:color w:val="000000"/>
              </w:rPr>
              <w:t>$0: 33%</w:t>
            </w:r>
            <w:r w:rsidRPr="00883C55">
              <w:rPr>
                <w:color w:val="000000"/>
              </w:rPr>
              <w:br/>
              <w:t>$2: 33%</w:t>
            </w:r>
            <w:r w:rsidRPr="00883C55">
              <w:rPr>
                <w:color w:val="000000"/>
              </w:rPr>
              <w:br/>
              <w:t>$5: 33%</w:t>
            </w:r>
          </w:p>
        </w:tc>
        <w:tc>
          <w:tcPr>
            <w:tcW w:w="990" w:type="dxa"/>
            <w:tcBorders>
              <w:top w:val="single" w:sz="4" w:space="0" w:color="auto"/>
              <w:left w:val="nil"/>
              <w:bottom w:val="nil"/>
              <w:right w:val="single" w:sz="4" w:space="0" w:color="auto"/>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Valid</w:t>
            </w:r>
            <w:r w:rsidRPr="00883C55">
              <w:rPr>
                <w:b/>
                <w:bCs/>
                <w:color w:val="000000"/>
              </w:rPr>
              <w:br/>
            </w:r>
            <w:r w:rsidRPr="00883C55">
              <w:rPr>
                <w:color w:val="000000"/>
              </w:rPr>
              <w:t>89%</w:t>
            </w:r>
          </w:p>
        </w:tc>
        <w:tc>
          <w:tcPr>
            <w:tcW w:w="2070" w:type="dxa"/>
            <w:gridSpan w:val="2"/>
            <w:tcBorders>
              <w:top w:val="single" w:sz="4" w:space="0" w:color="auto"/>
              <w:left w:val="nil"/>
              <w:bottom w:val="nil"/>
              <w:right w:val="single" w:sz="4" w:space="0" w:color="auto"/>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Screeners</w:t>
            </w:r>
            <w:r w:rsidRPr="00883C55">
              <w:rPr>
                <w:b/>
                <w:bCs/>
                <w:color w:val="000000"/>
              </w:rPr>
              <w:br/>
            </w:r>
            <w:r w:rsidRPr="00883C55">
              <w:rPr>
                <w:color w:val="000000"/>
              </w:rPr>
              <w:t>Web ($0): 42%</w:t>
            </w:r>
            <w:r w:rsidRPr="00883C55">
              <w:rPr>
                <w:color w:val="000000"/>
              </w:rPr>
              <w:br/>
              <w:t>Web ($2): 45%</w:t>
            </w:r>
            <w:r w:rsidRPr="00883C55">
              <w:rPr>
                <w:color w:val="000000"/>
              </w:rPr>
              <w:br/>
              <w:t>Web ($5): 48%</w:t>
            </w:r>
            <w:r w:rsidRPr="00883C55">
              <w:rPr>
                <w:color w:val="000000"/>
              </w:rPr>
              <w:br/>
              <w:t>Paper: (1-Web)*.25</w:t>
            </w:r>
          </w:p>
        </w:tc>
        <w:tc>
          <w:tcPr>
            <w:tcW w:w="2070" w:type="dxa"/>
            <w:gridSpan w:val="2"/>
            <w:tcBorders>
              <w:top w:val="single" w:sz="4" w:space="0" w:color="auto"/>
              <w:left w:val="nil"/>
              <w:bottom w:val="nil"/>
              <w:right w:val="single" w:sz="4" w:space="0" w:color="000000"/>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xml:space="preserve">Households </w:t>
            </w:r>
            <w:r w:rsidRPr="00883C55">
              <w:rPr>
                <w:b/>
                <w:bCs/>
                <w:color w:val="000000"/>
              </w:rPr>
              <w:br/>
              <w:t xml:space="preserve">With Kids </w:t>
            </w:r>
            <w:r w:rsidRPr="00883C55">
              <w:rPr>
                <w:b/>
                <w:bCs/>
                <w:color w:val="000000"/>
              </w:rPr>
              <w:br/>
            </w:r>
            <w:r w:rsidRPr="00883C55">
              <w:rPr>
                <w:color w:val="000000"/>
              </w:rPr>
              <w:t>Stratum I: 77.1%</w:t>
            </w:r>
            <w:r w:rsidRPr="00883C55">
              <w:rPr>
                <w:color w:val="000000"/>
              </w:rPr>
              <w:br/>
              <w:t>Stratum II: 10.2%</w:t>
            </w:r>
          </w:p>
        </w:tc>
        <w:tc>
          <w:tcPr>
            <w:tcW w:w="2070" w:type="dxa"/>
            <w:gridSpan w:val="2"/>
            <w:tcBorders>
              <w:top w:val="single" w:sz="4" w:space="0" w:color="auto"/>
              <w:left w:val="nil"/>
              <w:bottom w:val="nil"/>
              <w:right w:val="single" w:sz="4" w:space="0" w:color="000000"/>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xml:space="preserve">Completed </w:t>
            </w:r>
            <w:r w:rsidRPr="00883C55">
              <w:rPr>
                <w:b/>
                <w:bCs/>
                <w:color w:val="000000"/>
              </w:rPr>
              <w:br/>
              <w:t>Topicals</w:t>
            </w:r>
            <w:r w:rsidRPr="00883C55">
              <w:rPr>
                <w:b/>
                <w:bCs/>
                <w:color w:val="000000"/>
              </w:rPr>
              <w:br/>
            </w:r>
            <w:r w:rsidRPr="00883C55">
              <w:rPr>
                <w:color w:val="000000"/>
              </w:rPr>
              <w:t>Web: 95%</w:t>
            </w:r>
            <w:r w:rsidRPr="00883C55">
              <w:rPr>
                <w:color w:val="000000"/>
              </w:rPr>
              <w:br/>
              <w:t>Paper: 25%</w:t>
            </w:r>
          </w:p>
        </w:tc>
      </w:tr>
      <w:tr w:rsidR="00AF5085" w:rsidRPr="00883C55" w:rsidTr="000567EB">
        <w:trPr>
          <w:trHeight w:val="297"/>
        </w:trPr>
        <w:tc>
          <w:tcPr>
            <w:tcW w:w="990" w:type="dxa"/>
            <w:tcBorders>
              <w:top w:val="nil"/>
              <w:left w:val="single" w:sz="4" w:space="0" w:color="auto"/>
              <w:bottom w:val="single" w:sz="4" w:space="0" w:color="auto"/>
              <w:right w:val="single" w:sz="4" w:space="0" w:color="auto"/>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w:t>
            </w:r>
          </w:p>
        </w:tc>
        <w:tc>
          <w:tcPr>
            <w:tcW w:w="450" w:type="dxa"/>
            <w:tcBorders>
              <w:top w:val="nil"/>
              <w:left w:val="nil"/>
              <w:bottom w:val="single" w:sz="4" w:space="0" w:color="auto"/>
              <w:right w:val="nil"/>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w:t>
            </w:r>
          </w:p>
        </w:tc>
        <w:tc>
          <w:tcPr>
            <w:tcW w:w="990" w:type="dxa"/>
            <w:tcBorders>
              <w:top w:val="nil"/>
              <w:left w:val="nil"/>
              <w:bottom w:val="single" w:sz="4" w:space="0" w:color="auto"/>
              <w:right w:val="nil"/>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w:t>
            </w:r>
          </w:p>
        </w:tc>
        <w:tc>
          <w:tcPr>
            <w:tcW w:w="540" w:type="dxa"/>
            <w:tcBorders>
              <w:top w:val="nil"/>
              <w:left w:val="single" w:sz="4" w:space="0" w:color="auto"/>
              <w:bottom w:val="single" w:sz="4" w:space="0" w:color="auto"/>
              <w:right w:val="nil"/>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w:t>
            </w:r>
          </w:p>
        </w:tc>
        <w:tc>
          <w:tcPr>
            <w:tcW w:w="900" w:type="dxa"/>
            <w:tcBorders>
              <w:top w:val="nil"/>
              <w:left w:val="nil"/>
              <w:bottom w:val="single" w:sz="4" w:space="0" w:color="auto"/>
              <w:right w:val="single" w:sz="4" w:space="0" w:color="auto"/>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w:t>
            </w:r>
          </w:p>
        </w:tc>
        <w:tc>
          <w:tcPr>
            <w:tcW w:w="990" w:type="dxa"/>
            <w:tcBorders>
              <w:top w:val="nil"/>
              <w:left w:val="nil"/>
              <w:bottom w:val="single" w:sz="4" w:space="0" w:color="auto"/>
              <w:right w:val="single" w:sz="4" w:space="0" w:color="auto"/>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 </w:t>
            </w:r>
          </w:p>
        </w:tc>
        <w:tc>
          <w:tcPr>
            <w:tcW w:w="1080" w:type="dxa"/>
            <w:tcBorders>
              <w:top w:val="nil"/>
              <w:left w:val="nil"/>
              <w:bottom w:val="single" w:sz="4" w:space="0" w:color="auto"/>
              <w:right w:val="nil"/>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Web:</w:t>
            </w:r>
          </w:p>
        </w:tc>
        <w:tc>
          <w:tcPr>
            <w:tcW w:w="990" w:type="dxa"/>
            <w:tcBorders>
              <w:top w:val="nil"/>
              <w:left w:val="nil"/>
              <w:bottom w:val="single" w:sz="4" w:space="0" w:color="auto"/>
              <w:right w:val="single" w:sz="4" w:space="0" w:color="auto"/>
            </w:tcBorders>
            <w:shd w:val="clear" w:color="000000" w:fill="D9D9D9"/>
            <w:noWrap/>
            <w:hideMark/>
          </w:tcPr>
          <w:p w:rsidR="00AF5085" w:rsidRPr="00883C55" w:rsidRDefault="00AF5085" w:rsidP="000567EB">
            <w:pPr>
              <w:spacing w:line="240" w:lineRule="auto"/>
              <w:jc w:val="center"/>
              <w:rPr>
                <w:b/>
                <w:bCs/>
                <w:color w:val="000000"/>
              </w:rPr>
            </w:pPr>
            <w:r w:rsidRPr="00883C55">
              <w:rPr>
                <w:b/>
                <w:bCs/>
                <w:color w:val="000000"/>
              </w:rPr>
              <w:t>Paper:</w:t>
            </w:r>
          </w:p>
        </w:tc>
        <w:tc>
          <w:tcPr>
            <w:tcW w:w="1080" w:type="dxa"/>
            <w:tcBorders>
              <w:top w:val="nil"/>
              <w:left w:val="nil"/>
              <w:bottom w:val="single" w:sz="4" w:space="0" w:color="auto"/>
              <w:right w:val="nil"/>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Web:</w:t>
            </w:r>
          </w:p>
        </w:tc>
        <w:tc>
          <w:tcPr>
            <w:tcW w:w="990" w:type="dxa"/>
            <w:tcBorders>
              <w:top w:val="nil"/>
              <w:left w:val="nil"/>
              <w:bottom w:val="single" w:sz="4" w:space="0" w:color="auto"/>
              <w:right w:val="single" w:sz="4" w:space="0" w:color="auto"/>
            </w:tcBorders>
            <w:shd w:val="clear" w:color="000000" w:fill="D9D9D9"/>
            <w:noWrap/>
            <w:hideMark/>
          </w:tcPr>
          <w:p w:rsidR="00AF5085" w:rsidRPr="00883C55" w:rsidRDefault="00AF5085" w:rsidP="000567EB">
            <w:pPr>
              <w:spacing w:line="240" w:lineRule="auto"/>
              <w:jc w:val="center"/>
              <w:rPr>
                <w:b/>
                <w:bCs/>
                <w:color w:val="000000"/>
              </w:rPr>
            </w:pPr>
            <w:r w:rsidRPr="00883C55">
              <w:rPr>
                <w:b/>
                <w:bCs/>
                <w:color w:val="000000"/>
              </w:rPr>
              <w:t>Paper:</w:t>
            </w:r>
          </w:p>
        </w:tc>
        <w:tc>
          <w:tcPr>
            <w:tcW w:w="1080" w:type="dxa"/>
            <w:tcBorders>
              <w:top w:val="nil"/>
              <w:left w:val="nil"/>
              <w:bottom w:val="single" w:sz="4" w:space="0" w:color="auto"/>
              <w:right w:val="nil"/>
            </w:tcBorders>
            <w:shd w:val="clear" w:color="000000" w:fill="D9D9D9"/>
            <w:hideMark/>
          </w:tcPr>
          <w:p w:rsidR="00AF5085" w:rsidRPr="00883C55" w:rsidRDefault="00AF5085" w:rsidP="000567EB">
            <w:pPr>
              <w:spacing w:line="240" w:lineRule="auto"/>
              <w:jc w:val="center"/>
              <w:rPr>
                <w:b/>
                <w:bCs/>
                <w:color w:val="000000"/>
              </w:rPr>
            </w:pPr>
            <w:r w:rsidRPr="00883C55">
              <w:rPr>
                <w:b/>
                <w:bCs/>
                <w:color w:val="000000"/>
              </w:rPr>
              <w:t>Web:</w:t>
            </w:r>
          </w:p>
        </w:tc>
        <w:tc>
          <w:tcPr>
            <w:tcW w:w="990" w:type="dxa"/>
            <w:tcBorders>
              <w:top w:val="nil"/>
              <w:left w:val="nil"/>
              <w:bottom w:val="single" w:sz="4" w:space="0" w:color="auto"/>
              <w:right w:val="single" w:sz="4" w:space="0" w:color="auto"/>
            </w:tcBorders>
            <w:shd w:val="clear" w:color="000000" w:fill="D9D9D9"/>
            <w:noWrap/>
            <w:hideMark/>
          </w:tcPr>
          <w:p w:rsidR="00AF5085" w:rsidRPr="00883C55" w:rsidRDefault="00AF5085" w:rsidP="000567EB">
            <w:pPr>
              <w:spacing w:line="240" w:lineRule="auto"/>
              <w:jc w:val="center"/>
              <w:rPr>
                <w:b/>
                <w:bCs/>
                <w:color w:val="000000"/>
              </w:rPr>
            </w:pPr>
            <w:r w:rsidRPr="00883C55">
              <w:rPr>
                <w:b/>
                <w:bCs/>
                <w:color w:val="000000"/>
              </w:rPr>
              <w:t>Paper:</w:t>
            </w:r>
          </w:p>
        </w:tc>
      </w:tr>
      <w:tr w:rsidR="00AF5085" w:rsidRPr="00883C55" w:rsidTr="000567EB">
        <w:trPr>
          <w:trHeight w:val="30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364,153</w:t>
            </w:r>
          </w:p>
        </w:tc>
        <w:tc>
          <w:tcPr>
            <w:tcW w:w="450" w:type="dxa"/>
            <w:vMerge w:val="restart"/>
            <w:tcBorders>
              <w:top w:val="nil"/>
              <w:left w:val="single" w:sz="4" w:space="0" w:color="auto"/>
              <w:bottom w:val="nil"/>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I:</w:t>
            </w:r>
          </w:p>
        </w:tc>
        <w:tc>
          <w:tcPr>
            <w:tcW w:w="990" w:type="dxa"/>
            <w:vMerge w:val="restart"/>
            <w:tcBorders>
              <w:top w:val="nil"/>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222,751 </w:t>
            </w:r>
          </w:p>
        </w:tc>
        <w:tc>
          <w:tcPr>
            <w:tcW w:w="540" w:type="dxa"/>
            <w:tcBorders>
              <w:top w:val="nil"/>
              <w:left w:val="nil"/>
              <w:bottom w:val="nil"/>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$0 </w:t>
            </w:r>
          </w:p>
        </w:tc>
        <w:tc>
          <w:tcPr>
            <w:tcW w:w="900" w:type="dxa"/>
            <w:tcBorders>
              <w:top w:val="nil"/>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 74,251 </w:t>
            </w:r>
          </w:p>
        </w:tc>
        <w:tc>
          <w:tcPr>
            <w:tcW w:w="990" w:type="dxa"/>
            <w:tcBorders>
              <w:top w:val="nil"/>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66,083 </w:t>
            </w:r>
          </w:p>
        </w:tc>
        <w:tc>
          <w:tcPr>
            <w:tcW w:w="1080" w:type="dxa"/>
            <w:tcBorders>
              <w:top w:val="nil"/>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27,755</w:t>
            </w:r>
          </w:p>
        </w:tc>
        <w:tc>
          <w:tcPr>
            <w:tcW w:w="990" w:type="dxa"/>
            <w:tcBorders>
              <w:top w:val="nil"/>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9,582</w:t>
            </w:r>
          </w:p>
        </w:tc>
        <w:tc>
          <w:tcPr>
            <w:tcW w:w="1080" w:type="dxa"/>
            <w:tcBorders>
              <w:top w:val="nil"/>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21,394</w:t>
            </w:r>
          </w:p>
        </w:tc>
        <w:tc>
          <w:tcPr>
            <w:tcW w:w="990" w:type="dxa"/>
            <w:tcBorders>
              <w:top w:val="nil"/>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7,386</w:t>
            </w:r>
          </w:p>
        </w:tc>
        <w:tc>
          <w:tcPr>
            <w:tcW w:w="1080" w:type="dxa"/>
            <w:tcBorders>
              <w:top w:val="nil"/>
              <w:left w:val="single" w:sz="4" w:space="0" w:color="auto"/>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20,324</w:t>
            </w:r>
          </w:p>
        </w:tc>
        <w:tc>
          <w:tcPr>
            <w:tcW w:w="990" w:type="dxa"/>
            <w:tcBorders>
              <w:top w:val="nil"/>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1,846</w:t>
            </w:r>
          </w:p>
        </w:tc>
      </w:tr>
      <w:tr w:rsidR="00AF5085" w:rsidRPr="00883C55" w:rsidTr="000567EB">
        <w:trPr>
          <w:trHeight w:val="300"/>
        </w:trPr>
        <w:tc>
          <w:tcPr>
            <w:tcW w:w="990" w:type="dxa"/>
            <w:vMerge/>
            <w:tcBorders>
              <w:top w:val="nil"/>
              <w:left w:val="single" w:sz="4" w:space="0" w:color="auto"/>
              <w:bottom w:val="single" w:sz="4" w:space="0" w:color="000000"/>
              <w:right w:val="single" w:sz="4" w:space="0" w:color="auto"/>
            </w:tcBorders>
            <w:vAlign w:val="center"/>
            <w:hideMark/>
          </w:tcPr>
          <w:p w:rsidR="00AF5085" w:rsidRPr="00883C55" w:rsidRDefault="00AF5085" w:rsidP="000567EB">
            <w:pPr>
              <w:spacing w:line="240" w:lineRule="auto"/>
              <w:jc w:val="right"/>
              <w:rPr>
                <w:color w:val="000000"/>
              </w:rPr>
            </w:pPr>
          </w:p>
        </w:tc>
        <w:tc>
          <w:tcPr>
            <w:tcW w:w="450" w:type="dxa"/>
            <w:vMerge/>
            <w:tcBorders>
              <w:top w:val="nil"/>
              <w:left w:val="single" w:sz="4" w:space="0" w:color="auto"/>
              <w:bottom w:val="nil"/>
              <w:right w:val="nil"/>
            </w:tcBorders>
            <w:vAlign w:val="center"/>
            <w:hideMark/>
          </w:tcPr>
          <w:p w:rsidR="00AF5085" w:rsidRPr="00883C55" w:rsidRDefault="00AF5085" w:rsidP="000567EB">
            <w:pPr>
              <w:spacing w:line="240" w:lineRule="auto"/>
              <w:jc w:val="right"/>
              <w:rPr>
                <w:color w:val="000000"/>
              </w:rPr>
            </w:pPr>
          </w:p>
        </w:tc>
        <w:tc>
          <w:tcPr>
            <w:tcW w:w="990" w:type="dxa"/>
            <w:vMerge/>
            <w:tcBorders>
              <w:top w:val="nil"/>
              <w:left w:val="nil"/>
              <w:bottom w:val="nil"/>
              <w:right w:val="single" w:sz="4" w:space="0" w:color="auto"/>
            </w:tcBorders>
            <w:vAlign w:val="center"/>
            <w:hideMark/>
          </w:tcPr>
          <w:p w:rsidR="00AF5085" w:rsidRPr="00883C55" w:rsidRDefault="00AF5085" w:rsidP="000567EB">
            <w:pPr>
              <w:spacing w:line="240" w:lineRule="auto"/>
              <w:jc w:val="right"/>
              <w:rPr>
                <w:color w:val="000000"/>
              </w:rPr>
            </w:pPr>
          </w:p>
        </w:tc>
        <w:tc>
          <w:tcPr>
            <w:tcW w:w="54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$2 </w:t>
            </w:r>
          </w:p>
        </w:tc>
        <w:tc>
          <w:tcPr>
            <w:tcW w:w="90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 74,250 </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66,083 </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29,737</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9,086</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22,921</w:t>
            </w:r>
          </w:p>
        </w:tc>
        <w:tc>
          <w:tcPr>
            <w:tcW w:w="99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7,004</w:t>
            </w:r>
          </w:p>
        </w:tc>
        <w:tc>
          <w:tcPr>
            <w:tcW w:w="1080" w:type="dxa"/>
            <w:tcBorders>
              <w:top w:val="single" w:sz="4" w:space="0" w:color="auto"/>
              <w:left w:val="single" w:sz="4" w:space="0" w:color="auto"/>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21,775</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1,751</w:t>
            </w:r>
          </w:p>
        </w:tc>
      </w:tr>
      <w:tr w:rsidR="00AF5085" w:rsidRPr="00883C55" w:rsidTr="000567EB">
        <w:trPr>
          <w:trHeight w:val="300"/>
        </w:trPr>
        <w:tc>
          <w:tcPr>
            <w:tcW w:w="990" w:type="dxa"/>
            <w:vMerge/>
            <w:tcBorders>
              <w:top w:val="nil"/>
              <w:left w:val="single" w:sz="4" w:space="0" w:color="auto"/>
              <w:bottom w:val="single" w:sz="4" w:space="0" w:color="000000"/>
              <w:right w:val="single" w:sz="4" w:space="0" w:color="auto"/>
            </w:tcBorders>
            <w:vAlign w:val="center"/>
            <w:hideMark/>
          </w:tcPr>
          <w:p w:rsidR="00AF5085" w:rsidRPr="00883C55" w:rsidRDefault="00AF5085" w:rsidP="000567EB">
            <w:pPr>
              <w:spacing w:line="240" w:lineRule="auto"/>
              <w:jc w:val="right"/>
              <w:rPr>
                <w:color w:val="000000"/>
              </w:rPr>
            </w:pPr>
          </w:p>
        </w:tc>
        <w:tc>
          <w:tcPr>
            <w:tcW w:w="450" w:type="dxa"/>
            <w:vMerge/>
            <w:tcBorders>
              <w:top w:val="nil"/>
              <w:left w:val="single" w:sz="4" w:space="0" w:color="auto"/>
              <w:bottom w:val="nil"/>
              <w:right w:val="nil"/>
            </w:tcBorders>
            <w:vAlign w:val="center"/>
            <w:hideMark/>
          </w:tcPr>
          <w:p w:rsidR="00AF5085" w:rsidRPr="00883C55" w:rsidRDefault="00AF5085" w:rsidP="000567EB">
            <w:pPr>
              <w:spacing w:line="240" w:lineRule="auto"/>
              <w:jc w:val="right"/>
              <w:rPr>
                <w:color w:val="000000"/>
              </w:rPr>
            </w:pPr>
          </w:p>
        </w:tc>
        <w:tc>
          <w:tcPr>
            <w:tcW w:w="990" w:type="dxa"/>
            <w:vMerge/>
            <w:tcBorders>
              <w:top w:val="nil"/>
              <w:left w:val="nil"/>
              <w:bottom w:val="nil"/>
              <w:right w:val="single" w:sz="4" w:space="0" w:color="auto"/>
            </w:tcBorders>
            <w:vAlign w:val="center"/>
            <w:hideMark/>
          </w:tcPr>
          <w:p w:rsidR="00AF5085" w:rsidRPr="00883C55" w:rsidRDefault="00AF5085" w:rsidP="000567EB">
            <w:pPr>
              <w:spacing w:line="240" w:lineRule="auto"/>
              <w:jc w:val="right"/>
              <w:rPr>
                <w:color w:val="000000"/>
              </w:rPr>
            </w:pPr>
          </w:p>
        </w:tc>
        <w:tc>
          <w:tcPr>
            <w:tcW w:w="54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$5 </w:t>
            </w:r>
          </w:p>
        </w:tc>
        <w:tc>
          <w:tcPr>
            <w:tcW w:w="90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 74,250 </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66,083 </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31,720</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8,591</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24,449</w:t>
            </w:r>
          </w:p>
        </w:tc>
        <w:tc>
          <w:tcPr>
            <w:tcW w:w="99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6,622</w:t>
            </w:r>
          </w:p>
        </w:tc>
        <w:tc>
          <w:tcPr>
            <w:tcW w:w="1080" w:type="dxa"/>
            <w:tcBorders>
              <w:top w:val="single" w:sz="4" w:space="0" w:color="auto"/>
              <w:left w:val="single" w:sz="4" w:space="0" w:color="auto"/>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23,227</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1,655</w:t>
            </w:r>
          </w:p>
        </w:tc>
      </w:tr>
      <w:tr w:rsidR="00AF5085" w:rsidRPr="00883C55" w:rsidTr="000567EB">
        <w:trPr>
          <w:trHeight w:val="300"/>
        </w:trPr>
        <w:tc>
          <w:tcPr>
            <w:tcW w:w="990" w:type="dxa"/>
            <w:vMerge/>
            <w:tcBorders>
              <w:top w:val="nil"/>
              <w:left w:val="single" w:sz="4" w:space="0" w:color="auto"/>
              <w:bottom w:val="single" w:sz="4" w:space="0" w:color="000000"/>
              <w:right w:val="single" w:sz="4" w:space="0" w:color="auto"/>
            </w:tcBorders>
            <w:vAlign w:val="center"/>
            <w:hideMark/>
          </w:tcPr>
          <w:p w:rsidR="00AF5085" w:rsidRPr="00883C55" w:rsidRDefault="00AF5085" w:rsidP="000567EB">
            <w:pPr>
              <w:spacing w:line="240" w:lineRule="auto"/>
              <w:jc w:val="right"/>
              <w:rPr>
                <w:color w:val="000000"/>
              </w:rPr>
            </w:pPr>
          </w:p>
        </w:tc>
        <w:tc>
          <w:tcPr>
            <w:tcW w:w="45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II:</w:t>
            </w:r>
          </w:p>
        </w:tc>
        <w:tc>
          <w:tcPr>
            <w:tcW w:w="99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141,402 </w:t>
            </w:r>
          </w:p>
        </w:tc>
        <w:tc>
          <w:tcPr>
            <w:tcW w:w="54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$0 </w:t>
            </w:r>
          </w:p>
        </w:tc>
        <w:tc>
          <w:tcPr>
            <w:tcW w:w="90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 47,134 </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41,949 </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17,619</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6,083</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1,795</w:t>
            </w:r>
          </w:p>
        </w:tc>
        <w:tc>
          <w:tcPr>
            <w:tcW w:w="99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620</w:t>
            </w:r>
          </w:p>
        </w:tc>
        <w:tc>
          <w:tcPr>
            <w:tcW w:w="1080" w:type="dxa"/>
            <w:tcBorders>
              <w:top w:val="single" w:sz="4" w:space="0" w:color="auto"/>
              <w:left w:val="single" w:sz="4" w:space="0" w:color="auto"/>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1,705</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155</w:t>
            </w:r>
          </w:p>
        </w:tc>
      </w:tr>
      <w:tr w:rsidR="00AF5085" w:rsidRPr="00883C55" w:rsidTr="000567EB">
        <w:trPr>
          <w:trHeight w:val="300"/>
        </w:trPr>
        <w:tc>
          <w:tcPr>
            <w:tcW w:w="990" w:type="dxa"/>
            <w:vMerge/>
            <w:tcBorders>
              <w:top w:val="nil"/>
              <w:left w:val="single" w:sz="4" w:space="0" w:color="auto"/>
              <w:bottom w:val="single" w:sz="4" w:space="0" w:color="000000"/>
              <w:right w:val="single" w:sz="4" w:space="0" w:color="auto"/>
            </w:tcBorders>
            <w:vAlign w:val="center"/>
            <w:hideMark/>
          </w:tcPr>
          <w:p w:rsidR="00AF5085" w:rsidRPr="00883C55" w:rsidRDefault="00AF5085" w:rsidP="000567EB">
            <w:pPr>
              <w:spacing w:line="240" w:lineRule="auto"/>
              <w:jc w:val="right"/>
              <w:rPr>
                <w:color w:val="000000"/>
              </w:rPr>
            </w:pPr>
          </w:p>
        </w:tc>
        <w:tc>
          <w:tcPr>
            <w:tcW w:w="450" w:type="dxa"/>
            <w:vMerge/>
            <w:tcBorders>
              <w:top w:val="single" w:sz="4" w:space="0" w:color="auto"/>
              <w:left w:val="single" w:sz="4" w:space="0" w:color="auto"/>
              <w:bottom w:val="single" w:sz="4" w:space="0" w:color="000000"/>
              <w:right w:val="nil"/>
            </w:tcBorders>
            <w:vAlign w:val="center"/>
            <w:hideMark/>
          </w:tcPr>
          <w:p w:rsidR="00AF5085" w:rsidRPr="00883C55" w:rsidRDefault="00AF5085" w:rsidP="000567EB">
            <w:pPr>
              <w:spacing w:line="240" w:lineRule="auto"/>
              <w:jc w:val="right"/>
              <w:rPr>
                <w:color w:val="000000"/>
              </w:rPr>
            </w:pPr>
          </w:p>
        </w:tc>
        <w:tc>
          <w:tcPr>
            <w:tcW w:w="990" w:type="dxa"/>
            <w:vMerge/>
            <w:tcBorders>
              <w:top w:val="single" w:sz="4" w:space="0" w:color="auto"/>
              <w:left w:val="nil"/>
              <w:bottom w:val="single" w:sz="4" w:space="0" w:color="000000"/>
              <w:right w:val="single" w:sz="4" w:space="0" w:color="auto"/>
            </w:tcBorders>
            <w:vAlign w:val="center"/>
            <w:hideMark/>
          </w:tcPr>
          <w:p w:rsidR="00AF5085" w:rsidRPr="00883C55" w:rsidRDefault="00AF5085" w:rsidP="000567EB">
            <w:pPr>
              <w:spacing w:line="240" w:lineRule="auto"/>
              <w:jc w:val="right"/>
              <w:rPr>
                <w:color w:val="000000"/>
              </w:rPr>
            </w:pPr>
          </w:p>
        </w:tc>
        <w:tc>
          <w:tcPr>
            <w:tcW w:w="54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$2 </w:t>
            </w:r>
          </w:p>
        </w:tc>
        <w:tc>
          <w:tcPr>
            <w:tcW w:w="90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 47,134 </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41,949 </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18,877</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5,768</w:t>
            </w:r>
          </w:p>
        </w:tc>
        <w:tc>
          <w:tcPr>
            <w:tcW w:w="108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1,923</w:t>
            </w:r>
          </w:p>
        </w:tc>
        <w:tc>
          <w:tcPr>
            <w:tcW w:w="990" w:type="dxa"/>
            <w:tcBorders>
              <w:top w:val="single" w:sz="4" w:space="0" w:color="auto"/>
              <w:left w:val="nil"/>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588</w:t>
            </w:r>
          </w:p>
        </w:tc>
        <w:tc>
          <w:tcPr>
            <w:tcW w:w="1080" w:type="dxa"/>
            <w:tcBorders>
              <w:top w:val="single" w:sz="4" w:space="0" w:color="auto"/>
              <w:left w:val="single" w:sz="4" w:space="0" w:color="auto"/>
              <w:bottom w:val="nil"/>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1,827</w:t>
            </w:r>
          </w:p>
        </w:tc>
        <w:tc>
          <w:tcPr>
            <w:tcW w:w="990" w:type="dxa"/>
            <w:tcBorders>
              <w:top w:val="single" w:sz="4" w:space="0" w:color="auto"/>
              <w:left w:val="nil"/>
              <w:bottom w:val="nil"/>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147</w:t>
            </w:r>
          </w:p>
        </w:tc>
      </w:tr>
      <w:tr w:rsidR="00AF5085" w:rsidRPr="00883C55" w:rsidTr="000567EB">
        <w:trPr>
          <w:trHeight w:val="300"/>
        </w:trPr>
        <w:tc>
          <w:tcPr>
            <w:tcW w:w="990" w:type="dxa"/>
            <w:vMerge/>
            <w:tcBorders>
              <w:top w:val="nil"/>
              <w:left w:val="single" w:sz="4" w:space="0" w:color="auto"/>
              <w:bottom w:val="single" w:sz="4" w:space="0" w:color="000000"/>
              <w:right w:val="single" w:sz="4" w:space="0" w:color="auto"/>
            </w:tcBorders>
            <w:vAlign w:val="center"/>
            <w:hideMark/>
          </w:tcPr>
          <w:p w:rsidR="00AF5085" w:rsidRPr="00883C55" w:rsidRDefault="00AF5085" w:rsidP="000567EB">
            <w:pPr>
              <w:spacing w:line="240" w:lineRule="auto"/>
              <w:jc w:val="right"/>
              <w:rPr>
                <w:color w:val="000000"/>
              </w:rPr>
            </w:pPr>
          </w:p>
        </w:tc>
        <w:tc>
          <w:tcPr>
            <w:tcW w:w="450" w:type="dxa"/>
            <w:vMerge/>
            <w:tcBorders>
              <w:top w:val="single" w:sz="4" w:space="0" w:color="auto"/>
              <w:left w:val="single" w:sz="4" w:space="0" w:color="auto"/>
              <w:bottom w:val="single" w:sz="4" w:space="0" w:color="000000"/>
              <w:right w:val="nil"/>
            </w:tcBorders>
            <w:vAlign w:val="center"/>
            <w:hideMark/>
          </w:tcPr>
          <w:p w:rsidR="00AF5085" w:rsidRPr="00883C55" w:rsidRDefault="00AF5085" w:rsidP="000567EB">
            <w:pPr>
              <w:spacing w:line="240" w:lineRule="auto"/>
              <w:jc w:val="right"/>
              <w:rPr>
                <w:color w:val="000000"/>
              </w:rPr>
            </w:pPr>
          </w:p>
        </w:tc>
        <w:tc>
          <w:tcPr>
            <w:tcW w:w="990" w:type="dxa"/>
            <w:vMerge/>
            <w:tcBorders>
              <w:top w:val="single" w:sz="4" w:space="0" w:color="auto"/>
              <w:left w:val="nil"/>
              <w:bottom w:val="single" w:sz="4" w:space="0" w:color="000000"/>
              <w:right w:val="single" w:sz="4" w:space="0" w:color="auto"/>
            </w:tcBorders>
            <w:vAlign w:val="center"/>
            <w:hideMark/>
          </w:tcPr>
          <w:p w:rsidR="00AF5085" w:rsidRPr="00883C55" w:rsidRDefault="00AF5085" w:rsidP="000567EB">
            <w:pPr>
              <w:spacing w:line="240" w:lineRule="auto"/>
              <w:jc w:val="right"/>
              <w:rPr>
                <w:color w:val="000000"/>
              </w:rPr>
            </w:pPr>
          </w:p>
        </w:tc>
        <w:tc>
          <w:tcPr>
            <w:tcW w:w="540" w:type="dxa"/>
            <w:tcBorders>
              <w:top w:val="single" w:sz="4" w:space="0" w:color="auto"/>
              <w:left w:val="nil"/>
              <w:bottom w:val="single" w:sz="4" w:space="0" w:color="auto"/>
              <w:right w:val="nil"/>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$5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 47,134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F5085" w:rsidRPr="00883C55" w:rsidRDefault="00AF5085" w:rsidP="000567EB">
            <w:pPr>
              <w:spacing w:line="240" w:lineRule="auto"/>
              <w:jc w:val="right"/>
              <w:rPr>
                <w:color w:val="000000"/>
              </w:rPr>
            </w:pPr>
            <w:r w:rsidRPr="00883C55">
              <w:rPr>
                <w:color w:val="000000"/>
              </w:rPr>
              <w:t xml:space="preserve">41,949 </w:t>
            </w:r>
          </w:p>
        </w:tc>
        <w:tc>
          <w:tcPr>
            <w:tcW w:w="1080" w:type="dxa"/>
            <w:tcBorders>
              <w:top w:val="single" w:sz="4" w:space="0" w:color="auto"/>
              <w:left w:val="nil"/>
              <w:bottom w:val="single" w:sz="4" w:space="0" w:color="auto"/>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20,136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5,453</w:t>
            </w:r>
          </w:p>
        </w:tc>
        <w:tc>
          <w:tcPr>
            <w:tcW w:w="1080" w:type="dxa"/>
            <w:tcBorders>
              <w:top w:val="single" w:sz="4" w:space="0" w:color="auto"/>
              <w:left w:val="nil"/>
              <w:bottom w:val="single" w:sz="4" w:space="0" w:color="auto"/>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2,051</w:t>
            </w:r>
          </w:p>
        </w:tc>
        <w:tc>
          <w:tcPr>
            <w:tcW w:w="990" w:type="dxa"/>
            <w:tcBorders>
              <w:top w:val="single" w:sz="4" w:space="0" w:color="auto"/>
              <w:left w:val="nil"/>
              <w:bottom w:val="single" w:sz="4" w:space="0" w:color="auto"/>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556</w:t>
            </w:r>
          </w:p>
        </w:tc>
        <w:tc>
          <w:tcPr>
            <w:tcW w:w="1080" w:type="dxa"/>
            <w:tcBorders>
              <w:top w:val="single" w:sz="4" w:space="0" w:color="auto"/>
              <w:left w:val="single" w:sz="4" w:space="0" w:color="auto"/>
              <w:bottom w:val="single" w:sz="4" w:space="0" w:color="auto"/>
              <w:right w:val="nil"/>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1,949</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F5085" w:rsidRPr="00883C55" w:rsidRDefault="00AF5085" w:rsidP="000567EB">
            <w:pPr>
              <w:spacing w:line="240" w:lineRule="auto"/>
              <w:ind w:firstLineChars="100" w:firstLine="220"/>
              <w:jc w:val="right"/>
              <w:rPr>
                <w:color w:val="000000"/>
              </w:rPr>
            </w:pPr>
            <w:r w:rsidRPr="00883C55">
              <w:rPr>
                <w:color w:val="000000"/>
              </w:rPr>
              <w:t>139</w:t>
            </w:r>
          </w:p>
        </w:tc>
      </w:tr>
      <w:tr w:rsidR="00AF5085" w:rsidRPr="00883C55" w:rsidTr="000567EB">
        <w:trPr>
          <w:trHeight w:val="300"/>
        </w:trPr>
        <w:tc>
          <w:tcPr>
            <w:tcW w:w="387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F5085" w:rsidRPr="00883C55" w:rsidRDefault="00AF5085" w:rsidP="000567EB">
            <w:pPr>
              <w:spacing w:line="240" w:lineRule="auto"/>
              <w:rPr>
                <w:color w:val="000000"/>
              </w:rPr>
            </w:pPr>
            <w:r w:rsidRPr="00883C55">
              <w:rPr>
                <w:color w:val="000000"/>
              </w:rPr>
              <w:t>Totals</w:t>
            </w:r>
          </w:p>
        </w:tc>
        <w:tc>
          <w:tcPr>
            <w:tcW w:w="990" w:type="dxa"/>
            <w:tcBorders>
              <w:top w:val="nil"/>
              <w:left w:val="nil"/>
              <w:bottom w:val="single" w:sz="4" w:space="0" w:color="auto"/>
              <w:right w:val="single" w:sz="4" w:space="0" w:color="auto"/>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324,096 </w:t>
            </w:r>
          </w:p>
        </w:tc>
        <w:tc>
          <w:tcPr>
            <w:tcW w:w="1080" w:type="dxa"/>
            <w:tcBorders>
              <w:top w:val="nil"/>
              <w:left w:val="nil"/>
              <w:bottom w:val="single" w:sz="4" w:space="0" w:color="auto"/>
              <w:right w:val="nil"/>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w:t>
            </w:r>
          </w:p>
        </w:tc>
        <w:tc>
          <w:tcPr>
            <w:tcW w:w="990" w:type="dxa"/>
            <w:tcBorders>
              <w:top w:val="nil"/>
              <w:left w:val="nil"/>
              <w:bottom w:val="single" w:sz="4" w:space="0" w:color="auto"/>
              <w:right w:val="single" w:sz="4" w:space="0" w:color="auto"/>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 190,406 </w:t>
            </w:r>
          </w:p>
        </w:tc>
        <w:tc>
          <w:tcPr>
            <w:tcW w:w="1080" w:type="dxa"/>
            <w:tcBorders>
              <w:top w:val="nil"/>
              <w:left w:val="nil"/>
              <w:bottom w:val="single" w:sz="4" w:space="0" w:color="auto"/>
              <w:right w:val="nil"/>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w:t>
            </w:r>
          </w:p>
        </w:tc>
        <w:tc>
          <w:tcPr>
            <w:tcW w:w="990" w:type="dxa"/>
            <w:tcBorders>
              <w:top w:val="nil"/>
              <w:left w:val="nil"/>
              <w:bottom w:val="single" w:sz="4" w:space="0" w:color="auto"/>
              <w:right w:val="single" w:sz="4" w:space="0" w:color="auto"/>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97,307 </w:t>
            </w:r>
          </w:p>
        </w:tc>
        <w:tc>
          <w:tcPr>
            <w:tcW w:w="2070"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     76,500 </w:t>
            </w:r>
          </w:p>
        </w:tc>
      </w:tr>
      <w:tr w:rsidR="00AF5085" w:rsidRPr="00883C55" w:rsidTr="000567EB">
        <w:trPr>
          <w:trHeight w:val="300"/>
        </w:trPr>
        <w:tc>
          <w:tcPr>
            <w:tcW w:w="387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F5085" w:rsidRPr="00883C55" w:rsidRDefault="00AF5085" w:rsidP="000567EB">
            <w:pPr>
              <w:spacing w:line="240" w:lineRule="auto"/>
              <w:rPr>
                <w:color w:val="000000"/>
              </w:rPr>
            </w:pPr>
            <w:r w:rsidRPr="00883C55">
              <w:rPr>
                <w:color w:val="000000"/>
              </w:rPr>
              <w:t>per State</w:t>
            </w:r>
          </w:p>
        </w:tc>
        <w:tc>
          <w:tcPr>
            <w:tcW w:w="990" w:type="dxa"/>
            <w:tcBorders>
              <w:top w:val="nil"/>
              <w:left w:val="nil"/>
              <w:bottom w:val="single" w:sz="4" w:space="0" w:color="auto"/>
              <w:right w:val="single" w:sz="4" w:space="0" w:color="auto"/>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6,355 </w:t>
            </w:r>
          </w:p>
        </w:tc>
        <w:tc>
          <w:tcPr>
            <w:tcW w:w="1080" w:type="dxa"/>
            <w:tcBorders>
              <w:top w:val="nil"/>
              <w:left w:val="nil"/>
              <w:bottom w:val="single" w:sz="4" w:space="0" w:color="auto"/>
              <w:right w:val="nil"/>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w:t>
            </w:r>
          </w:p>
        </w:tc>
        <w:tc>
          <w:tcPr>
            <w:tcW w:w="990" w:type="dxa"/>
            <w:tcBorders>
              <w:top w:val="nil"/>
              <w:left w:val="nil"/>
              <w:bottom w:val="single" w:sz="4" w:space="0" w:color="auto"/>
              <w:right w:val="single" w:sz="4" w:space="0" w:color="auto"/>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 3,733 </w:t>
            </w:r>
          </w:p>
        </w:tc>
        <w:tc>
          <w:tcPr>
            <w:tcW w:w="1080" w:type="dxa"/>
            <w:tcBorders>
              <w:top w:val="nil"/>
              <w:left w:val="nil"/>
              <w:bottom w:val="single" w:sz="4" w:space="0" w:color="auto"/>
              <w:right w:val="nil"/>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w:t>
            </w:r>
          </w:p>
        </w:tc>
        <w:tc>
          <w:tcPr>
            <w:tcW w:w="990" w:type="dxa"/>
            <w:tcBorders>
              <w:top w:val="nil"/>
              <w:left w:val="nil"/>
              <w:bottom w:val="single" w:sz="4" w:space="0" w:color="auto"/>
              <w:right w:val="single" w:sz="4" w:space="0" w:color="auto"/>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1,908 </w:t>
            </w:r>
          </w:p>
        </w:tc>
        <w:tc>
          <w:tcPr>
            <w:tcW w:w="2070"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AF5085" w:rsidRPr="00883C55" w:rsidRDefault="00AF5085" w:rsidP="000567EB">
            <w:pPr>
              <w:spacing w:line="240" w:lineRule="auto"/>
              <w:jc w:val="right"/>
              <w:rPr>
                <w:color w:val="000000"/>
              </w:rPr>
            </w:pPr>
            <w:r w:rsidRPr="00883C55">
              <w:rPr>
                <w:color w:val="000000"/>
              </w:rPr>
              <w:t xml:space="preserve">1,500 </w:t>
            </w:r>
          </w:p>
        </w:tc>
      </w:tr>
    </w:tbl>
    <w:p w:rsidR="00AF5085" w:rsidRPr="00883C55"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The incentives used in June 2016 were included with the first web-invite introductory letter mailed to sampled households and were split into thirds with $0, $2, and $5 cash monetary incentives offered.  There have been no further incentives offered. </w:t>
      </w:r>
    </w:p>
    <w:p w:rsidR="00AF5085" w:rsidRPr="00883C55" w:rsidRDefault="00AF5085" w:rsidP="00AF5085">
      <w:pPr>
        <w:spacing w:line="240" w:lineRule="auto"/>
        <w:rPr>
          <w:rFonts w:eastAsia="Times New Roman" w:cs="Times New Roman"/>
          <w:color w:val="000000"/>
        </w:rPr>
      </w:pPr>
      <w:r w:rsidRPr="00883C55">
        <w:rPr>
          <w:rFonts w:eastAsia="Times New Roman" w:cs="Times New Roman"/>
          <w:color w:val="000000"/>
        </w:rPr>
        <w:t xml:space="preserve">The initial invitation letter began </w:t>
      </w:r>
      <w:r w:rsidR="006C4860">
        <w:rPr>
          <w:rFonts w:eastAsia="Times New Roman" w:cs="Times New Roman"/>
          <w:color w:val="000000"/>
        </w:rPr>
        <w:t xml:space="preserve">as a </w:t>
      </w:r>
      <w:r w:rsidR="006C4860" w:rsidRPr="00883C55">
        <w:rPr>
          <w:rFonts w:eastAsia="Times New Roman" w:cs="Times New Roman"/>
          <w:color w:val="000000"/>
        </w:rPr>
        <w:t>mail out</w:t>
      </w:r>
      <w:r w:rsidRPr="00883C55">
        <w:rPr>
          <w:rFonts w:eastAsia="Times New Roman" w:cs="Times New Roman"/>
          <w:color w:val="000000"/>
        </w:rPr>
        <w:t xml:space="preserve"> on June 10, 2016 to all mailable addresses in the sample.  </w:t>
      </w:r>
      <w:r w:rsidRPr="00883C55">
        <w:rPr>
          <w:rFonts w:eastAsia="Times New Roman" w:cs="Times New Roman"/>
          <w:b/>
          <w:color w:val="000000"/>
        </w:rPr>
        <w:t>Table 2</w:t>
      </w:r>
      <w:r w:rsidRPr="00883C55">
        <w:rPr>
          <w:rFonts w:eastAsia="Times New Roman" w:cs="Times New Roman"/>
          <w:color w:val="000000"/>
        </w:rPr>
        <w:t xml:space="preserve"> below details the number of households in the final sample by initial incentive treatment.  </w:t>
      </w:r>
    </w:p>
    <w:p w:rsidR="00AF5085" w:rsidRPr="00883C55" w:rsidRDefault="00AF5085" w:rsidP="00AF5085">
      <w:pPr>
        <w:spacing w:line="240" w:lineRule="auto"/>
      </w:pPr>
      <w:r w:rsidRPr="00883C55">
        <w:lastRenderedPageBreak/>
        <w:t xml:space="preserve">Addresses that received an incentive were more likely to respond in the first month (see “As of July 16”), with the size of the effect proportional to the size of the incentive. Once the incentive’s initial effect was observed, the remaining non-responding households did not show a continued impact from the incentive treatment (see “Since July 16”). </w:t>
      </w:r>
    </w:p>
    <w:p w:rsidR="00AF5085" w:rsidRPr="00883C55" w:rsidRDefault="00AF5085" w:rsidP="00AF5085">
      <w:pPr>
        <w:spacing w:after="0" w:line="240" w:lineRule="auto"/>
        <w:rPr>
          <w:rFonts w:eastAsia="Times New Roman" w:cs="Times New Roman"/>
          <w:b/>
          <w:color w:val="000000"/>
          <w:lang w:val="en"/>
        </w:rPr>
      </w:pPr>
      <w:r w:rsidRPr="00883C55">
        <w:rPr>
          <w:rFonts w:eastAsia="Times New Roman" w:cs="Times New Roman"/>
          <w:b/>
          <w:color w:val="000000"/>
          <w:lang w:val="en"/>
        </w:rPr>
        <w:t>Table 2.  NSCH Response Rates – June 2016 Incentive</w:t>
      </w:r>
    </w:p>
    <w:p w:rsidR="00AF5085" w:rsidRPr="00883C55" w:rsidRDefault="00AF5085" w:rsidP="00AF5085">
      <w:pPr>
        <w:spacing w:after="0" w:line="240" w:lineRule="auto"/>
        <w:rPr>
          <w:rFonts w:eastAsia="Times New Roman" w:cs="Times New Roman"/>
          <w:b/>
          <w:color w:val="000000"/>
          <w:lang w:val="en"/>
        </w:rPr>
      </w:pPr>
    </w:p>
    <w:tbl>
      <w:tblPr>
        <w:tblW w:w="6489" w:type="dxa"/>
        <w:jc w:val="center"/>
        <w:tblLook w:val="04A0" w:firstRow="1" w:lastRow="0" w:firstColumn="1" w:lastColumn="0" w:noHBand="0" w:noVBand="1"/>
      </w:tblPr>
      <w:tblGrid>
        <w:gridCol w:w="2320"/>
        <w:gridCol w:w="1283"/>
        <w:gridCol w:w="900"/>
        <w:gridCol w:w="993"/>
        <w:gridCol w:w="993"/>
      </w:tblGrid>
      <w:tr w:rsidR="00AF5085" w:rsidRPr="00883C55" w:rsidTr="000567EB">
        <w:trPr>
          <w:trHeight w:val="144"/>
          <w:jc w:val="center"/>
        </w:trPr>
        <w:tc>
          <w:tcPr>
            <w:tcW w:w="2320" w:type="dxa"/>
            <w:tcBorders>
              <w:top w:val="single" w:sz="4" w:space="0" w:color="auto"/>
              <w:left w:val="single" w:sz="4" w:space="0" w:color="auto"/>
              <w:bottom w:val="nil"/>
              <w:right w:val="nil"/>
            </w:tcBorders>
            <w:shd w:val="clear" w:color="auto" w:fill="F2DBDB" w:themeFill="accent2" w:themeFillTint="33"/>
            <w:noWrap/>
            <w:vAlign w:val="bottom"/>
            <w:hideMark/>
          </w:tcPr>
          <w:p w:rsidR="00AF5085" w:rsidRPr="00883C55" w:rsidRDefault="00AF5085" w:rsidP="000567EB">
            <w:pPr>
              <w:spacing w:after="0" w:line="240" w:lineRule="auto"/>
              <w:rPr>
                <w:rFonts w:eastAsia="Times New Roman" w:cs="Times New Roman"/>
                <w:color w:val="000000"/>
              </w:rPr>
            </w:pPr>
          </w:p>
        </w:tc>
        <w:tc>
          <w:tcPr>
            <w:tcW w:w="1283" w:type="dxa"/>
            <w:tcBorders>
              <w:top w:val="single" w:sz="4" w:space="0" w:color="auto"/>
              <w:left w:val="nil"/>
              <w:right w:val="nil"/>
            </w:tcBorders>
            <w:shd w:val="clear" w:color="auto" w:fill="F2DBDB" w:themeFill="accent2" w:themeFillTint="33"/>
          </w:tcPr>
          <w:p w:rsidR="00AF5085" w:rsidRPr="00883C55" w:rsidRDefault="00AF5085" w:rsidP="000567EB">
            <w:pPr>
              <w:spacing w:after="0" w:line="240" w:lineRule="auto"/>
              <w:jc w:val="center"/>
              <w:rPr>
                <w:rFonts w:eastAsia="Times New Roman" w:cs="Times New Roman"/>
                <w:b/>
                <w:bCs/>
                <w:color w:val="000000"/>
              </w:rPr>
            </w:pPr>
          </w:p>
        </w:tc>
        <w:tc>
          <w:tcPr>
            <w:tcW w:w="2886" w:type="dxa"/>
            <w:gridSpan w:val="3"/>
            <w:tcBorders>
              <w:top w:val="single" w:sz="4" w:space="0" w:color="auto"/>
              <w:left w:val="nil"/>
              <w:bottom w:val="single" w:sz="8" w:space="0" w:color="auto"/>
              <w:right w:val="single" w:sz="4" w:space="0" w:color="auto"/>
            </w:tcBorders>
            <w:shd w:val="clear" w:color="auto" w:fill="F2DBDB" w:themeFill="accent2" w:themeFillTint="33"/>
            <w:noWrap/>
            <w:vAlign w:val="center"/>
            <w:hideMark/>
          </w:tcPr>
          <w:p w:rsidR="00AF5085" w:rsidRPr="00883C55" w:rsidRDefault="00AF5085" w:rsidP="000567EB">
            <w:pPr>
              <w:spacing w:after="0" w:line="240" w:lineRule="auto"/>
              <w:jc w:val="center"/>
              <w:rPr>
                <w:rFonts w:eastAsia="Times New Roman" w:cs="Times New Roman"/>
                <w:b/>
                <w:bCs/>
                <w:color w:val="000000"/>
              </w:rPr>
            </w:pPr>
            <w:r w:rsidRPr="00883C55">
              <w:rPr>
                <w:rFonts w:eastAsia="Times New Roman" w:cs="Times New Roman"/>
                <w:b/>
                <w:bCs/>
                <w:color w:val="000000"/>
              </w:rPr>
              <w:t>Incentive</w:t>
            </w:r>
          </w:p>
        </w:tc>
      </w:tr>
      <w:tr w:rsidR="00AF5085" w:rsidRPr="00883C55" w:rsidTr="000567EB">
        <w:trPr>
          <w:trHeight w:val="144"/>
          <w:jc w:val="center"/>
        </w:trPr>
        <w:tc>
          <w:tcPr>
            <w:tcW w:w="2320" w:type="dxa"/>
            <w:tcBorders>
              <w:top w:val="nil"/>
              <w:left w:val="single" w:sz="4" w:space="0" w:color="auto"/>
              <w:bottom w:val="single" w:sz="8" w:space="0" w:color="auto"/>
              <w:right w:val="nil"/>
            </w:tcBorders>
            <w:shd w:val="clear" w:color="auto" w:fill="F2DBDB" w:themeFill="accent2" w:themeFillTint="33"/>
            <w:noWrap/>
            <w:vAlign w:val="center"/>
            <w:hideMark/>
          </w:tcPr>
          <w:p w:rsidR="00AF5085" w:rsidRPr="00883C55" w:rsidRDefault="00AF5085" w:rsidP="000567EB">
            <w:pPr>
              <w:spacing w:after="0" w:line="240" w:lineRule="auto"/>
              <w:rPr>
                <w:rFonts w:eastAsia="Times New Roman" w:cs="Times New Roman"/>
                <w:color w:val="000000"/>
              </w:rPr>
            </w:pPr>
            <w:r w:rsidRPr="00883C55">
              <w:rPr>
                <w:rFonts w:eastAsia="Times New Roman" w:cs="Times New Roman"/>
                <w:color w:val="000000"/>
              </w:rPr>
              <w:t> </w:t>
            </w:r>
          </w:p>
        </w:tc>
        <w:tc>
          <w:tcPr>
            <w:tcW w:w="1283" w:type="dxa"/>
            <w:tcBorders>
              <w:top w:val="nil"/>
              <w:left w:val="nil"/>
              <w:bottom w:val="single" w:sz="8" w:space="0" w:color="auto"/>
              <w:right w:val="nil"/>
            </w:tcBorders>
            <w:shd w:val="clear" w:color="auto" w:fill="F2DBDB" w:themeFill="accent2" w:themeFillTint="33"/>
          </w:tcPr>
          <w:p w:rsidR="00AF5085" w:rsidRPr="00883C55" w:rsidRDefault="00AF5085" w:rsidP="000567EB">
            <w:pPr>
              <w:spacing w:after="0" w:line="240" w:lineRule="auto"/>
              <w:jc w:val="right"/>
              <w:rPr>
                <w:rFonts w:eastAsia="Times New Roman" w:cs="Times New Roman"/>
                <w:color w:val="000000"/>
              </w:rPr>
            </w:pPr>
            <w:r w:rsidRPr="00883C55">
              <w:rPr>
                <w:rFonts w:eastAsia="Times New Roman" w:cs="Times New Roman"/>
                <w:color w:val="000000"/>
              </w:rPr>
              <w:t>Total</w:t>
            </w:r>
          </w:p>
        </w:tc>
        <w:tc>
          <w:tcPr>
            <w:tcW w:w="900" w:type="dxa"/>
            <w:tcBorders>
              <w:top w:val="nil"/>
              <w:left w:val="nil"/>
              <w:bottom w:val="single" w:sz="8" w:space="0" w:color="auto"/>
              <w:right w:val="nil"/>
            </w:tcBorders>
            <w:shd w:val="clear" w:color="auto" w:fill="F2DBDB" w:themeFill="accent2" w:themeFillTint="33"/>
            <w:noWrap/>
            <w:vAlign w:val="center"/>
            <w:hideMark/>
          </w:tcPr>
          <w:p w:rsidR="00AF5085" w:rsidRPr="00883C55" w:rsidRDefault="00AF5085" w:rsidP="000567EB">
            <w:pPr>
              <w:spacing w:after="0" w:line="240" w:lineRule="auto"/>
              <w:jc w:val="right"/>
              <w:rPr>
                <w:rFonts w:eastAsia="Times New Roman" w:cs="Times New Roman"/>
                <w:color w:val="000000"/>
              </w:rPr>
            </w:pPr>
            <w:r w:rsidRPr="00883C55">
              <w:rPr>
                <w:rFonts w:eastAsia="Times New Roman" w:cs="Times New Roman"/>
                <w:color w:val="000000"/>
              </w:rPr>
              <w:t xml:space="preserve">$0 </w:t>
            </w:r>
          </w:p>
        </w:tc>
        <w:tc>
          <w:tcPr>
            <w:tcW w:w="993" w:type="dxa"/>
            <w:tcBorders>
              <w:top w:val="nil"/>
              <w:left w:val="nil"/>
              <w:bottom w:val="single" w:sz="8" w:space="0" w:color="auto"/>
              <w:right w:val="nil"/>
            </w:tcBorders>
            <w:shd w:val="clear" w:color="auto" w:fill="F2DBDB" w:themeFill="accent2" w:themeFillTint="33"/>
            <w:noWrap/>
            <w:vAlign w:val="center"/>
            <w:hideMark/>
          </w:tcPr>
          <w:p w:rsidR="00AF5085" w:rsidRPr="00883C55" w:rsidRDefault="00AF5085" w:rsidP="000567EB">
            <w:pPr>
              <w:spacing w:after="0" w:line="240" w:lineRule="auto"/>
              <w:jc w:val="right"/>
              <w:rPr>
                <w:rFonts w:eastAsia="Times New Roman" w:cs="Times New Roman"/>
                <w:color w:val="000000"/>
              </w:rPr>
            </w:pPr>
            <w:r w:rsidRPr="00883C55">
              <w:rPr>
                <w:rFonts w:eastAsia="Times New Roman" w:cs="Times New Roman"/>
                <w:color w:val="000000"/>
              </w:rPr>
              <w:t xml:space="preserve">$2 </w:t>
            </w:r>
          </w:p>
        </w:tc>
        <w:tc>
          <w:tcPr>
            <w:tcW w:w="993" w:type="dxa"/>
            <w:tcBorders>
              <w:top w:val="nil"/>
              <w:left w:val="nil"/>
              <w:bottom w:val="single" w:sz="8" w:space="0" w:color="auto"/>
              <w:right w:val="single" w:sz="4" w:space="0" w:color="auto"/>
            </w:tcBorders>
            <w:shd w:val="clear" w:color="auto" w:fill="F2DBDB" w:themeFill="accent2" w:themeFillTint="33"/>
            <w:noWrap/>
            <w:vAlign w:val="center"/>
            <w:hideMark/>
          </w:tcPr>
          <w:p w:rsidR="00AF5085" w:rsidRPr="00883C55" w:rsidRDefault="00AF5085" w:rsidP="000567EB">
            <w:pPr>
              <w:spacing w:after="0" w:line="240" w:lineRule="auto"/>
              <w:jc w:val="right"/>
              <w:rPr>
                <w:rFonts w:eastAsia="Times New Roman" w:cs="Times New Roman"/>
                <w:color w:val="000000"/>
              </w:rPr>
            </w:pPr>
            <w:r w:rsidRPr="00883C55">
              <w:rPr>
                <w:rFonts w:eastAsia="Times New Roman" w:cs="Times New Roman"/>
                <w:color w:val="000000"/>
              </w:rPr>
              <w:t xml:space="preserve">$5 </w:t>
            </w:r>
          </w:p>
        </w:tc>
      </w:tr>
      <w:tr w:rsidR="00AF5085" w:rsidRPr="00883C55" w:rsidTr="000567EB">
        <w:trPr>
          <w:trHeight w:val="313"/>
          <w:jc w:val="center"/>
        </w:trPr>
        <w:tc>
          <w:tcPr>
            <w:tcW w:w="2320" w:type="dxa"/>
            <w:tcBorders>
              <w:top w:val="nil"/>
              <w:left w:val="single" w:sz="4" w:space="0" w:color="auto"/>
              <w:bottom w:val="nil"/>
              <w:right w:val="nil"/>
            </w:tcBorders>
            <w:shd w:val="clear" w:color="auto" w:fill="auto"/>
            <w:noWrap/>
            <w:hideMark/>
          </w:tcPr>
          <w:p w:rsidR="00AF5085" w:rsidRPr="00883C55" w:rsidRDefault="00AF5085" w:rsidP="000567EB">
            <w:pPr>
              <w:spacing w:line="240" w:lineRule="auto"/>
            </w:pPr>
            <w:r w:rsidRPr="00883C55">
              <w:t>Sample</w:t>
            </w:r>
          </w:p>
        </w:tc>
        <w:tc>
          <w:tcPr>
            <w:tcW w:w="1283" w:type="dxa"/>
            <w:tcBorders>
              <w:top w:val="nil"/>
              <w:left w:val="nil"/>
              <w:bottom w:val="nil"/>
              <w:right w:val="nil"/>
            </w:tcBorders>
          </w:tcPr>
          <w:p w:rsidR="00AF5085" w:rsidRPr="00883C55" w:rsidRDefault="00AF5085" w:rsidP="000567EB">
            <w:pPr>
              <w:spacing w:line="240" w:lineRule="auto"/>
              <w:jc w:val="right"/>
            </w:pPr>
            <w:r w:rsidRPr="00883C55">
              <w:t>364150</w:t>
            </w:r>
          </w:p>
        </w:tc>
        <w:tc>
          <w:tcPr>
            <w:tcW w:w="900" w:type="dxa"/>
            <w:tcBorders>
              <w:top w:val="nil"/>
              <w:left w:val="nil"/>
              <w:bottom w:val="nil"/>
              <w:right w:val="nil"/>
            </w:tcBorders>
            <w:shd w:val="clear" w:color="auto" w:fill="auto"/>
            <w:noWrap/>
            <w:hideMark/>
          </w:tcPr>
          <w:p w:rsidR="00AF5085" w:rsidRPr="00883C55" w:rsidRDefault="00AF5085" w:rsidP="000567EB">
            <w:pPr>
              <w:spacing w:line="240" w:lineRule="auto"/>
              <w:jc w:val="right"/>
            </w:pPr>
            <w:r w:rsidRPr="00883C55">
              <w:t>121346</w:t>
            </w:r>
          </w:p>
        </w:tc>
        <w:tc>
          <w:tcPr>
            <w:tcW w:w="993" w:type="dxa"/>
            <w:tcBorders>
              <w:top w:val="nil"/>
              <w:left w:val="nil"/>
              <w:bottom w:val="nil"/>
              <w:right w:val="nil"/>
            </w:tcBorders>
            <w:shd w:val="clear" w:color="auto" w:fill="auto"/>
            <w:noWrap/>
            <w:hideMark/>
          </w:tcPr>
          <w:p w:rsidR="00AF5085" w:rsidRPr="00883C55" w:rsidRDefault="00AF5085" w:rsidP="000567EB">
            <w:pPr>
              <w:spacing w:line="240" w:lineRule="auto"/>
              <w:jc w:val="right"/>
            </w:pPr>
            <w:r w:rsidRPr="00883C55">
              <w:t>121420</w:t>
            </w:r>
          </w:p>
        </w:tc>
        <w:tc>
          <w:tcPr>
            <w:tcW w:w="993" w:type="dxa"/>
            <w:tcBorders>
              <w:top w:val="nil"/>
              <w:left w:val="nil"/>
              <w:bottom w:val="nil"/>
              <w:right w:val="single" w:sz="4" w:space="0" w:color="auto"/>
            </w:tcBorders>
            <w:shd w:val="clear" w:color="auto" w:fill="auto"/>
            <w:noWrap/>
            <w:hideMark/>
          </w:tcPr>
          <w:p w:rsidR="00AF5085" w:rsidRPr="00883C55" w:rsidRDefault="00AF5085" w:rsidP="000567EB">
            <w:pPr>
              <w:spacing w:line="240" w:lineRule="auto"/>
              <w:jc w:val="right"/>
            </w:pPr>
            <w:r w:rsidRPr="00883C55">
              <w:t>121384</w:t>
            </w:r>
          </w:p>
        </w:tc>
      </w:tr>
      <w:tr w:rsidR="00AF5085" w:rsidRPr="00883C55" w:rsidTr="000567EB">
        <w:trPr>
          <w:trHeight w:val="144"/>
          <w:jc w:val="center"/>
        </w:trPr>
        <w:tc>
          <w:tcPr>
            <w:tcW w:w="2320" w:type="dxa"/>
            <w:tcBorders>
              <w:top w:val="nil"/>
              <w:left w:val="single" w:sz="4" w:space="0" w:color="auto"/>
              <w:bottom w:val="nil"/>
              <w:right w:val="nil"/>
            </w:tcBorders>
            <w:shd w:val="clear" w:color="auto" w:fill="auto"/>
            <w:noWrap/>
          </w:tcPr>
          <w:p w:rsidR="00AF5085" w:rsidRPr="00883C55" w:rsidRDefault="00AF5085" w:rsidP="000567EB">
            <w:pPr>
              <w:spacing w:line="240" w:lineRule="auto"/>
            </w:pPr>
            <w:r w:rsidRPr="00883C55">
              <w:t>Total Screener Returns</w:t>
            </w:r>
          </w:p>
        </w:tc>
        <w:tc>
          <w:tcPr>
            <w:tcW w:w="1283" w:type="dxa"/>
            <w:tcBorders>
              <w:top w:val="nil"/>
              <w:left w:val="nil"/>
              <w:bottom w:val="nil"/>
              <w:right w:val="nil"/>
            </w:tcBorders>
          </w:tcPr>
          <w:p w:rsidR="00AF5085" w:rsidRPr="00883C55" w:rsidRDefault="00AF5085" w:rsidP="000567EB">
            <w:pPr>
              <w:spacing w:line="240" w:lineRule="auto"/>
              <w:jc w:val="right"/>
            </w:pPr>
            <w:r w:rsidRPr="00883C55">
              <w:t>129755</w:t>
            </w:r>
          </w:p>
        </w:tc>
        <w:tc>
          <w:tcPr>
            <w:tcW w:w="900"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40149</w:t>
            </w:r>
          </w:p>
        </w:tc>
        <w:tc>
          <w:tcPr>
            <w:tcW w:w="993"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43599</w:t>
            </w:r>
          </w:p>
        </w:tc>
        <w:tc>
          <w:tcPr>
            <w:tcW w:w="993" w:type="dxa"/>
            <w:tcBorders>
              <w:top w:val="nil"/>
              <w:left w:val="nil"/>
              <w:bottom w:val="nil"/>
              <w:right w:val="single" w:sz="4" w:space="0" w:color="auto"/>
            </w:tcBorders>
            <w:shd w:val="clear" w:color="auto" w:fill="auto"/>
            <w:noWrap/>
          </w:tcPr>
          <w:p w:rsidR="00AF5085" w:rsidRPr="00883C55" w:rsidRDefault="00AF5085" w:rsidP="000567EB">
            <w:pPr>
              <w:spacing w:line="240" w:lineRule="auto"/>
              <w:jc w:val="right"/>
            </w:pPr>
            <w:r w:rsidRPr="00883C55">
              <w:t>46007</w:t>
            </w:r>
          </w:p>
        </w:tc>
      </w:tr>
      <w:tr w:rsidR="00AF5085" w:rsidRPr="00883C55" w:rsidTr="000567EB">
        <w:trPr>
          <w:trHeight w:val="144"/>
          <w:jc w:val="center"/>
        </w:trPr>
        <w:tc>
          <w:tcPr>
            <w:tcW w:w="2320" w:type="dxa"/>
            <w:tcBorders>
              <w:top w:val="nil"/>
              <w:left w:val="single" w:sz="4" w:space="0" w:color="auto"/>
              <w:bottom w:val="nil"/>
              <w:right w:val="nil"/>
            </w:tcBorders>
            <w:shd w:val="clear" w:color="auto" w:fill="auto"/>
            <w:noWrap/>
          </w:tcPr>
          <w:p w:rsidR="00AF5085" w:rsidRPr="00883C55" w:rsidRDefault="00AF5085" w:rsidP="000567EB">
            <w:pPr>
              <w:spacing w:line="240" w:lineRule="auto"/>
            </w:pPr>
            <w:r w:rsidRPr="00883C55">
              <w:t xml:space="preserve">    % of sample</w:t>
            </w:r>
          </w:p>
        </w:tc>
        <w:tc>
          <w:tcPr>
            <w:tcW w:w="1283" w:type="dxa"/>
            <w:tcBorders>
              <w:top w:val="nil"/>
              <w:left w:val="nil"/>
              <w:bottom w:val="nil"/>
              <w:right w:val="nil"/>
            </w:tcBorders>
          </w:tcPr>
          <w:p w:rsidR="00AF5085" w:rsidRPr="00883C55" w:rsidRDefault="00AF5085" w:rsidP="000567EB">
            <w:pPr>
              <w:spacing w:line="240" w:lineRule="auto"/>
              <w:jc w:val="right"/>
            </w:pPr>
            <w:r w:rsidRPr="00883C55">
              <w:t>35.63%</w:t>
            </w:r>
          </w:p>
        </w:tc>
        <w:tc>
          <w:tcPr>
            <w:tcW w:w="900"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33.09%</w:t>
            </w:r>
          </w:p>
        </w:tc>
        <w:tc>
          <w:tcPr>
            <w:tcW w:w="993"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35.91%</w:t>
            </w:r>
          </w:p>
        </w:tc>
        <w:tc>
          <w:tcPr>
            <w:tcW w:w="993" w:type="dxa"/>
            <w:tcBorders>
              <w:top w:val="nil"/>
              <w:left w:val="nil"/>
              <w:bottom w:val="nil"/>
              <w:right w:val="single" w:sz="4" w:space="0" w:color="auto"/>
            </w:tcBorders>
            <w:shd w:val="clear" w:color="auto" w:fill="auto"/>
            <w:noWrap/>
          </w:tcPr>
          <w:p w:rsidR="00AF5085" w:rsidRPr="00883C55" w:rsidRDefault="00AF5085" w:rsidP="000567EB">
            <w:pPr>
              <w:spacing w:line="240" w:lineRule="auto"/>
              <w:jc w:val="right"/>
            </w:pPr>
            <w:r w:rsidRPr="00883C55">
              <w:t>37.90%</w:t>
            </w:r>
          </w:p>
        </w:tc>
      </w:tr>
      <w:tr w:rsidR="00AF5085" w:rsidRPr="00883C55" w:rsidTr="000567EB">
        <w:trPr>
          <w:trHeight w:val="144"/>
          <w:jc w:val="center"/>
        </w:trPr>
        <w:tc>
          <w:tcPr>
            <w:tcW w:w="2320" w:type="dxa"/>
            <w:tcBorders>
              <w:top w:val="nil"/>
              <w:left w:val="single" w:sz="4" w:space="0" w:color="auto"/>
              <w:bottom w:val="nil"/>
              <w:right w:val="nil"/>
            </w:tcBorders>
            <w:shd w:val="clear" w:color="auto" w:fill="auto"/>
            <w:noWrap/>
          </w:tcPr>
          <w:p w:rsidR="00AF5085" w:rsidRPr="00883C55" w:rsidRDefault="00AF5085" w:rsidP="000567EB">
            <w:pPr>
              <w:spacing w:line="240" w:lineRule="auto"/>
            </w:pPr>
            <w:r w:rsidRPr="00883C55">
              <w:t xml:space="preserve">      As of July 16</w:t>
            </w:r>
          </w:p>
        </w:tc>
        <w:tc>
          <w:tcPr>
            <w:tcW w:w="1283" w:type="dxa"/>
            <w:tcBorders>
              <w:top w:val="nil"/>
              <w:left w:val="nil"/>
              <w:bottom w:val="nil"/>
              <w:right w:val="nil"/>
            </w:tcBorders>
          </w:tcPr>
          <w:p w:rsidR="00AF5085" w:rsidRPr="00883C55" w:rsidRDefault="00AF5085" w:rsidP="000567EB">
            <w:pPr>
              <w:spacing w:line="240" w:lineRule="auto"/>
              <w:jc w:val="right"/>
            </w:pPr>
            <w:r w:rsidRPr="00883C55">
              <w:t>38970</w:t>
            </w:r>
          </w:p>
        </w:tc>
        <w:tc>
          <w:tcPr>
            <w:tcW w:w="900"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8679</w:t>
            </w:r>
          </w:p>
        </w:tc>
        <w:tc>
          <w:tcPr>
            <w:tcW w:w="993"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13286</w:t>
            </w:r>
          </w:p>
        </w:tc>
        <w:tc>
          <w:tcPr>
            <w:tcW w:w="993" w:type="dxa"/>
            <w:tcBorders>
              <w:top w:val="nil"/>
              <w:left w:val="nil"/>
              <w:bottom w:val="nil"/>
              <w:right w:val="single" w:sz="4" w:space="0" w:color="auto"/>
            </w:tcBorders>
            <w:shd w:val="clear" w:color="auto" w:fill="auto"/>
            <w:noWrap/>
          </w:tcPr>
          <w:p w:rsidR="00AF5085" w:rsidRPr="00883C55" w:rsidRDefault="00AF5085" w:rsidP="000567EB">
            <w:pPr>
              <w:spacing w:line="240" w:lineRule="auto"/>
              <w:jc w:val="right"/>
            </w:pPr>
            <w:r w:rsidRPr="00883C55">
              <w:t>17005</w:t>
            </w:r>
          </w:p>
        </w:tc>
      </w:tr>
      <w:tr w:rsidR="00AF5085" w:rsidRPr="00883C55" w:rsidTr="000567EB">
        <w:trPr>
          <w:trHeight w:val="144"/>
          <w:jc w:val="center"/>
        </w:trPr>
        <w:tc>
          <w:tcPr>
            <w:tcW w:w="2320" w:type="dxa"/>
            <w:tcBorders>
              <w:top w:val="nil"/>
              <w:left w:val="single" w:sz="4" w:space="0" w:color="auto"/>
              <w:bottom w:val="nil"/>
              <w:right w:val="nil"/>
            </w:tcBorders>
            <w:shd w:val="clear" w:color="auto" w:fill="auto"/>
            <w:noWrap/>
          </w:tcPr>
          <w:p w:rsidR="00AF5085" w:rsidRPr="00883C55" w:rsidRDefault="00AF5085" w:rsidP="000567EB">
            <w:pPr>
              <w:spacing w:line="240" w:lineRule="auto"/>
            </w:pPr>
            <w:r w:rsidRPr="00883C55">
              <w:t xml:space="preserve">          % of sample</w:t>
            </w:r>
          </w:p>
        </w:tc>
        <w:tc>
          <w:tcPr>
            <w:tcW w:w="1283" w:type="dxa"/>
            <w:tcBorders>
              <w:top w:val="nil"/>
              <w:left w:val="nil"/>
              <w:bottom w:val="nil"/>
              <w:right w:val="nil"/>
            </w:tcBorders>
          </w:tcPr>
          <w:p w:rsidR="00AF5085" w:rsidRPr="00883C55" w:rsidRDefault="00AF5085" w:rsidP="000567EB">
            <w:pPr>
              <w:spacing w:line="240" w:lineRule="auto"/>
              <w:jc w:val="right"/>
            </w:pPr>
            <w:r w:rsidRPr="00883C55">
              <w:t>10.70%</w:t>
            </w:r>
          </w:p>
        </w:tc>
        <w:tc>
          <w:tcPr>
            <w:tcW w:w="900"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7.15%</w:t>
            </w:r>
          </w:p>
        </w:tc>
        <w:tc>
          <w:tcPr>
            <w:tcW w:w="993"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10.94%</w:t>
            </w:r>
          </w:p>
        </w:tc>
        <w:tc>
          <w:tcPr>
            <w:tcW w:w="993" w:type="dxa"/>
            <w:tcBorders>
              <w:top w:val="nil"/>
              <w:left w:val="nil"/>
              <w:bottom w:val="nil"/>
              <w:right w:val="single" w:sz="4" w:space="0" w:color="auto"/>
            </w:tcBorders>
            <w:shd w:val="clear" w:color="auto" w:fill="auto"/>
            <w:noWrap/>
          </w:tcPr>
          <w:p w:rsidR="00AF5085" w:rsidRPr="00883C55" w:rsidRDefault="00AF5085" w:rsidP="000567EB">
            <w:pPr>
              <w:spacing w:line="240" w:lineRule="auto"/>
              <w:jc w:val="right"/>
            </w:pPr>
            <w:r w:rsidRPr="00883C55">
              <w:t>14.01%</w:t>
            </w:r>
          </w:p>
        </w:tc>
      </w:tr>
      <w:tr w:rsidR="00AF5085" w:rsidRPr="00883C55" w:rsidTr="000567EB">
        <w:trPr>
          <w:trHeight w:val="144"/>
          <w:jc w:val="center"/>
        </w:trPr>
        <w:tc>
          <w:tcPr>
            <w:tcW w:w="2320" w:type="dxa"/>
            <w:tcBorders>
              <w:top w:val="nil"/>
              <w:left w:val="single" w:sz="4" w:space="0" w:color="auto"/>
              <w:bottom w:val="nil"/>
              <w:right w:val="nil"/>
            </w:tcBorders>
            <w:shd w:val="clear" w:color="auto" w:fill="auto"/>
            <w:noWrap/>
          </w:tcPr>
          <w:p w:rsidR="00AF5085" w:rsidRPr="00883C55" w:rsidRDefault="00AF5085" w:rsidP="000567EB">
            <w:pPr>
              <w:spacing w:line="240" w:lineRule="auto"/>
            </w:pPr>
            <w:r w:rsidRPr="00883C55">
              <w:t xml:space="preserve">      Since July 16</w:t>
            </w:r>
          </w:p>
        </w:tc>
        <w:tc>
          <w:tcPr>
            <w:tcW w:w="1283" w:type="dxa"/>
            <w:tcBorders>
              <w:top w:val="nil"/>
              <w:left w:val="nil"/>
              <w:bottom w:val="nil"/>
              <w:right w:val="nil"/>
            </w:tcBorders>
          </w:tcPr>
          <w:p w:rsidR="00AF5085" w:rsidRPr="00883C55" w:rsidRDefault="00AF5085" w:rsidP="000567EB">
            <w:pPr>
              <w:spacing w:line="240" w:lineRule="auto"/>
              <w:jc w:val="right"/>
            </w:pPr>
            <w:r w:rsidRPr="00883C55">
              <w:t>90785</w:t>
            </w:r>
          </w:p>
        </w:tc>
        <w:tc>
          <w:tcPr>
            <w:tcW w:w="900"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31470</w:t>
            </w:r>
          </w:p>
        </w:tc>
        <w:tc>
          <w:tcPr>
            <w:tcW w:w="993" w:type="dxa"/>
            <w:tcBorders>
              <w:top w:val="nil"/>
              <w:left w:val="nil"/>
              <w:bottom w:val="nil"/>
              <w:right w:val="nil"/>
            </w:tcBorders>
            <w:shd w:val="clear" w:color="auto" w:fill="auto"/>
            <w:noWrap/>
          </w:tcPr>
          <w:p w:rsidR="00AF5085" w:rsidRPr="00883C55" w:rsidRDefault="00AF5085" w:rsidP="000567EB">
            <w:pPr>
              <w:spacing w:line="240" w:lineRule="auto"/>
              <w:jc w:val="right"/>
            </w:pPr>
            <w:r w:rsidRPr="00883C55">
              <w:t>30313</w:t>
            </w:r>
          </w:p>
        </w:tc>
        <w:tc>
          <w:tcPr>
            <w:tcW w:w="993" w:type="dxa"/>
            <w:tcBorders>
              <w:top w:val="nil"/>
              <w:left w:val="nil"/>
              <w:bottom w:val="nil"/>
              <w:right w:val="single" w:sz="4" w:space="0" w:color="auto"/>
            </w:tcBorders>
            <w:shd w:val="clear" w:color="auto" w:fill="auto"/>
            <w:noWrap/>
          </w:tcPr>
          <w:p w:rsidR="00AF5085" w:rsidRPr="00883C55" w:rsidRDefault="00AF5085" w:rsidP="000567EB">
            <w:pPr>
              <w:spacing w:line="240" w:lineRule="auto"/>
              <w:jc w:val="right"/>
            </w:pPr>
            <w:r w:rsidRPr="00883C55">
              <w:t>29002</w:t>
            </w:r>
          </w:p>
        </w:tc>
      </w:tr>
      <w:tr w:rsidR="00AF5085" w:rsidRPr="00883C55" w:rsidTr="000567EB">
        <w:trPr>
          <w:trHeight w:val="144"/>
          <w:jc w:val="center"/>
        </w:trPr>
        <w:tc>
          <w:tcPr>
            <w:tcW w:w="2320" w:type="dxa"/>
            <w:tcBorders>
              <w:top w:val="nil"/>
              <w:left w:val="single" w:sz="4" w:space="0" w:color="auto"/>
              <w:bottom w:val="nil"/>
              <w:right w:val="nil"/>
            </w:tcBorders>
            <w:shd w:val="clear" w:color="auto" w:fill="auto"/>
            <w:noWrap/>
            <w:hideMark/>
          </w:tcPr>
          <w:p w:rsidR="00AF5085" w:rsidRPr="00883C55" w:rsidRDefault="00AF5085" w:rsidP="000567EB">
            <w:pPr>
              <w:spacing w:line="240" w:lineRule="auto"/>
            </w:pPr>
            <w:r w:rsidRPr="00883C55">
              <w:t xml:space="preserve">          % of remaining</w:t>
            </w:r>
          </w:p>
        </w:tc>
        <w:tc>
          <w:tcPr>
            <w:tcW w:w="1283" w:type="dxa"/>
            <w:tcBorders>
              <w:top w:val="nil"/>
              <w:left w:val="nil"/>
              <w:bottom w:val="nil"/>
              <w:right w:val="nil"/>
            </w:tcBorders>
          </w:tcPr>
          <w:p w:rsidR="00AF5085" w:rsidRPr="00883C55" w:rsidRDefault="00AF5085" w:rsidP="000567EB">
            <w:pPr>
              <w:spacing w:line="240" w:lineRule="auto"/>
              <w:jc w:val="right"/>
            </w:pPr>
            <w:r w:rsidRPr="00883C55">
              <w:t>27.92%</w:t>
            </w:r>
          </w:p>
        </w:tc>
        <w:tc>
          <w:tcPr>
            <w:tcW w:w="900" w:type="dxa"/>
            <w:tcBorders>
              <w:top w:val="nil"/>
              <w:left w:val="nil"/>
              <w:bottom w:val="nil"/>
              <w:right w:val="nil"/>
            </w:tcBorders>
            <w:shd w:val="clear" w:color="auto" w:fill="auto"/>
            <w:noWrap/>
            <w:hideMark/>
          </w:tcPr>
          <w:p w:rsidR="00AF5085" w:rsidRPr="00883C55" w:rsidRDefault="00AF5085" w:rsidP="000567EB">
            <w:pPr>
              <w:spacing w:line="240" w:lineRule="auto"/>
              <w:jc w:val="right"/>
            </w:pPr>
            <w:r w:rsidRPr="00883C55">
              <w:t>27.93%</w:t>
            </w:r>
          </w:p>
        </w:tc>
        <w:tc>
          <w:tcPr>
            <w:tcW w:w="993" w:type="dxa"/>
            <w:tcBorders>
              <w:top w:val="nil"/>
              <w:left w:val="nil"/>
              <w:bottom w:val="nil"/>
              <w:right w:val="nil"/>
            </w:tcBorders>
            <w:shd w:val="clear" w:color="auto" w:fill="auto"/>
            <w:noWrap/>
            <w:hideMark/>
          </w:tcPr>
          <w:p w:rsidR="00AF5085" w:rsidRPr="00883C55" w:rsidRDefault="00AF5085" w:rsidP="000567EB">
            <w:pPr>
              <w:spacing w:line="240" w:lineRule="auto"/>
              <w:jc w:val="right"/>
            </w:pPr>
            <w:r w:rsidRPr="00883C55">
              <w:t>28.03%</w:t>
            </w:r>
          </w:p>
        </w:tc>
        <w:tc>
          <w:tcPr>
            <w:tcW w:w="993" w:type="dxa"/>
            <w:tcBorders>
              <w:top w:val="nil"/>
              <w:left w:val="nil"/>
              <w:bottom w:val="nil"/>
              <w:right w:val="single" w:sz="4" w:space="0" w:color="auto"/>
            </w:tcBorders>
            <w:shd w:val="clear" w:color="auto" w:fill="auto"/>
            <w:noWrap/>
            <w:hideMark/>
          </w:tcPr>
          <w:p w:rsidR="00AF5085" w:rsidRPr="00883C55" w:rsidRDefault="00AF5085" w:rsidP="000567EB">
            <w:pPr>
              <w:spacing w:line="240" w:lineRule="auto"/>
              <w:jc w:val="right"/>
            </w:pPr>
            <w:r w:rsidRPr="00883C55">
              <w:t>27.79%</w:t>
            </w:r>
          </w:p>
        </w:tc>
      </w:tr>
      <w:tr w:rsidR="00AF5085" w:rsidRPr="00883C55" w:rsidTr="000567EB">
        <w:trPr>
          <w:trHeight w:val="144"/>
          <w:jc w:val="center"/>
        </w:trPr>
        <w:tc>
          <w:tcPr>
            <w:tcW w:w="2320" w:type="dxa"/>
            <w:tcBorders>
              <w:top w:val="nil"/>
              <w:left w:val="single" w:sz="4" w:space="0" w:color="auto"/>
              <w:bottom w:val="nil"/>
              <w:right w:val="nil"/>
            </w:tcBorders>
            <w:shd w:val="clear" w:color="auto" w:fill="auto"/>
            <w:noWrap/>
            <w:hideMark/>
          </w:tcPr>
          <w:p w:rsidR="00AF5085" w:rsidRPr="00883C55" w:rsidRDefault="00AF5085" w:rsidP="000567EB">
            <w:pPr>
              <w:spacing w:line="240" w:lineRule="auto"/>
            </w:pPr>
            <w:r w:rsidRPr="00883C55">
              <w:t>% Web Topical Returns</w:t>
            </w:r>
          </w:p>
        </w:tc>
        <w:tc>
          <w:tcPr>
            <w:tcW w:w="1283" w:type="dxa"/>
            <w:tcBorders>
              <w:top w:val="nil"/>
              <w:left w:val="nil"/>
              <w:bottom w:val="nil"/>
              <w:right w:val="nil"/>
            </w:tcBorders>
            <w:shd w:val="clear" w:color="auto" w:fill="auto"/>
          </w:tcPr>
          <w:p w:rsidR="00AF5085" w:rsidRPr="00883C55" w:rsidRDefault="00AF5085" w:rsidP="000567EB">
            <w:pPr>
              <w:spacing w:line="240" w:lineRule="auto"/>
              <w:jc w:val="right"/>
            </w:pPr>
            <w:r w:rsidRPr="00883C55">
              <w:t>10.56%</w:t>
            </w:r>
          </w:p>
        </w:tc>
        <w:tc>
          <w:tcPr>
            <w:tcW w:w="900" w:type="dxa"/>
            <w:tcBorders>
              <w:top w:val="nil"/>
              <w:left w:val="nil"/>
              <w:bottom w:val="nil"/>
              <w:right w:val="nil"/>
            </w:tcBorders>
            <w:shd w:val="clear" w:color="auto" w:fill="auto"/>
            <w:noWrap/>
            <w:hideMark/>
          </w:tcPr>
          <w:p w:rsidR="00AF5085" w:rsidRPr="00883C55" w:rsidRDefault="00AF5085" w:rsidP="000567EB">
            <w:pPr>
              <w:spacing w:line="240" w:lineRule="auto"/>
              <w:jc w:val="right"/>
            </w:pPr>
            <w:r w:rsidRPr="00883C55">
              <w:t>8.90%</w:t>
            </w:r>
          </w:p>
        </w:tc>
        <w:tc>
          <w:tcPr>
            <w:tcW w:w="993" w:type="dxa"/>
            <w:tcBorders>
              <w:top w:val="nil"/>
              <w:left w:val="nil"/>
              <w:bottom w:val="nil"/>
              <w:right w:val="nil"/>
            </w:tcBorders>
            <w:shd w:val="clear" w:color="auto" w:fill="auto"/>
            <w:noWrap/>
            <w:hideMark/>
          </w:tcPr>
          <w:p w:rsidR="00AF5085" w:rsidRPr="00883C55" w:rsidRDefault="00AF5085" w:rsidP="000567EB">
            <w:pPr>
              <w:spacing w:line="240" w:lineRule="auto"/>
              <w:jc w:val="right"/>
            </w:pPr>
            <w:r w:rsidRPr="00883C55">
              <w:t>10.55%</w:t>
            </w:r>
          </w:p>
        </w:tc>
        <w:tc>
          <w:tcPr>
            <w:tcW w:w="993" w:type="dxa"/>
            <w:tcBorders>
              <w:top w:val="nil"/>
              <w:left w:val="nil"/>
              <w:bottom w:val="nil"/>
              <w:right w:val="single" w:sz="4" w:space="0" w:color="auto"/>
            </w:tcBorders>
            <w:shd w:val="clear" w:color="auto" w:fill="auto"/>
            <w:noWrap/>
            <w:hideMark/>
          </w:tcPr>
          <w:p w:rsidR="00AF5085" w:rsidRPr="00883C55" w:rsidRDefault="00AF5085" w:rsidP="000567EB">
            <w:pPr>
              <w:spacing w:line="240" w:lineRule="auto"/>
              <w:jc w:val="right"/>
            </w:pPr>
            <w:r w:rsidRPr="00883C55">
              <w:t>12.22%</w:t>
            </w:r>
          </w:p>
        </w:tc>
      </w:tr>
      <w:tr w:rsidR="00AF5085" w:rsidRPr="00883C55" w:rsidTr="000567EB">
        <w:trPr>
          <w:trHeight w:val="144"/>
          <w:jc w:val="center"/>
        </w:trPr>
        <w:tc>
          <w:tcPr>
            <w:tcW w:w="2320" w:type="dxa"/>
            <w:tcBorders>
              <w:top w:val="nil"/>
              <w:left w:val="single" w:sz="4" w:space="0" w:color="auto"/>
              <w:bottom w:val="single" w:sz="4" w:space="0" w:color="auto"/>
              <w:right w:val="nil"/>
            </w:tcBorders>
            <w:shd w:val="clear" w:color="auto" w:fill="auto"/>
            <w:noWrap/>
            <w:hideMark/>
          </w:tcPr>
          <w:p w:rsidR="00AF5085" w:rsidRPr="00883C55" w:rsidRDefault="00AF5085" w:rsidP="000567EB">
            <w:pPr>
              <w:spacing w:line="240" w:lineRule="auto"/>
            </w:pPr>
            <w:r w:rsidRPr="00883C55">
              <w:t>% Total Topical Returns</w:t>
            </w:r>
          </w:p>
        </w:tc>
        <w:tc>
          <w:tcPr>
            <w:tcW w:w="1283" w:type="dxa"/>
            <w:tcBorders>
              <w:top w:val="nil"/>
              <w:left w:val="nil"/>
              <w:bottom w:val="single" w:sz="4" w:space="0" w:color="auto"/>
              <w:right w:val="nil"/>
            </w:tcBorders>
            <w:shd w:val="clear" w:color="auto" w:fill="auto"/>
          </w:tcPr>
          <w:p w:rsidR="00AF5085" w:rsidRPr="00883C55" w:rsidRDefault="00AF5085" w:rsidP="000567EB">
            <w:pPr>
              <w:spacing w:line="240" w:lineRule="auto"/>
              <w:jc w:val="right"/>
            </w:pPr>
            <w:r w:rsidRPr="00883C55">
              <w:t>11.54%</w:t>
            </w:r>
          </w:p>
        </w:tc>
        <w:tc>
          <w:tcPr>
            <w:tcW w:w="900" w:type="dxa"/>
            <w:tcBorders>
              <w:top w:val="nil"/>
              <w:left w:val="nil"/>
              <w:bottom w:val="single" w:sz="4" w:space="0" w:color="auto"/>
              <w:right w:val="nil"/>
            </w:tcBorders>
            <w:shd w:val="clear" w:color="auto" w:fill="auto"/>
            <w:noWrap/>
            <w:hideMark/>
          </w:tcPr>
          <w:p w:rsidR="00AF5085" w:rsidRPr="00883C55" w:rsidRDefault="00AF5085" w:rsidP="000567EB">
            <w:pPr>
              <w:spacing w:line="240" w:lineRule="auto"/>
              <w:jc w:val="right"/>
            </w:pPr>
            <w:r w:rsidRPr="00883C55">
              <w:t>9.95%</w:t>
            </w:r>
          </w:p>
        </w:tc>
        <w:tc>
          <w:tcPr>
            <w:tcW w:w="993" w:type="dxa"/>
            <w:tcBorders>
              <w:top w:val="nil"/>
              <w:left w:val="nil"/>
              <w:bottom w:val="single" w:sz="4" w:space="0" w:color="auto"/>
              <w:right w:val="nil"/>
            </w:tcBorders>
            <w:shd w:val="clear" w:color="auto" w:fill="auto"/>
            <w:noWrap/>
            <w:hideMark/>
          </w:tcPr>
          <w:p w:rsidR="00AF5085" w:rsidRPr="00883C55" w:rsidRDefault="00AF5085" w:rsidP="000567EB">
            <w:pPr>
              <w:spacing w:line="240" w:lineRule="auto"/>
              <w:jc w:val="right"/>
            </w:pPr>
            <w:r w:rsidRPr="00883C55">
              <w:t>11.51%</w:t>
            </w:r>
          </w:p>
        </w:tc>
        <w:tc>
          <w:tcPr>
            <w:tcW w:w="993" w:type="dxa"/>
            <w:tcBorders>
              <w:top w:val="nil"/>
              <w:left w:val="nil"/>
              <w:bottom w:val="single" w:sz="4" w:space="0" w:color="auto"/>
              <w:right w:val="single" w:sz="4" w:space="0" w:color="auto"/>
            </w:tcBorders>
            <w:shd w:val="clear" w:color="auto" w:fill="auto"/>
            <w:noWrap/>
            <w:hideMark/>
          </w:tcPr>
          <w:p w:rsidR="00AF5085" w:rsidRPr="00883C55" w:rsidRDefault="00AF5085" w:rsidP="000567EB">
            <w:pPr>
              <w:spacing w:line="240" w:lineRule="auto"/>
              <w:jc w:val="right"/>
            </w:pPr>
            <w:r w:rsidRPr="00883C55">
              <w:t>13.16%</w:t>
            </w:r>
          </w:p>
        </w:tc>
      </w:tr>
    </w:tbl>
    <w:p w:rsidR="00AF5085" w:rsidRPr="00883C55" w:rsidRDefault="00AF5085" w:rsidP="00AF5085">
      <w:pPr>
        <w:spacing w:after="0" w:line="240" w:lineRule="auto"/>
        <w:rPr>
          <w:rFonts w:eastAsia="Times New Roman" w:cs="Times New Roman"/>
          <w:b/>
          <w:color w:val="000000"/>
          <w:lang w:val="en"/>
        </w:rPr>
      </w:pPr>
    </w:p>
    <w:p w:rsidR="00AF5085" w:rsidRPr="00883C55"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With current daily web screener return rates indicating that we should expect limited further progress by web, and with the current percent returned between 33% and 38%, significantly below the expected 57% to 61%, the sponsor of the survey has asked for options to incentivize respondents to return more paper topical interviews. Together, we are focusing on procedures that could both help reduce the effect of high non-response, and provide critical information for planning the 2017 NSCH.  </w:t>
      </w:r>
    </w:p>
    <w:p w:rsidR="00AF5085" w:rsidRPr="00883C55"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In the 2015 pretest, a $10 incentive was used to improve response and attempt to reduce bias in the completion of the paper topical interview.  We proposed following that procedure, and </w:t>
      </w:r>
      <w:r w:rsidR="006C4860" w:rsidRPr="00883C55">
        <w:rPr>
          <w:rFonts w:eastAsia="Times New Roman" w:cs="Times New Roman"/>
          <w:color w:val="000000"/>
        </w:rPr>
        <w:t>testing incentives</w:t>
      </w:r>
      <w:r w:rsidRPr="00883C55">
        <w:rPr>
          <w:rFonts w:eastAsia="Times New Roman" w:cs="Times New Roman"/>
          <w:color w:val="000000"/>
        </w:rPr>
        <w:t xml:space="preserve"> at the topical stage to see if $10 (and lesser amounts) could be effective in increasing the response to the topical interview.  The third topical paper mailing was the next available questionnaire mail-out.  We are proposing to identify the response benefit associated with including $0, $2, $5, and $10 cash monetary incentives and a Thank You note in the material being sent to respondents in the third mailing. That would require the use of the remaining available incentive funds of about $91,795, but is expected </w:t>
      </w:r>
      <w:r w:rsidR="006C4860" w:rsidRPr="00883C55">
        <w:rPr>
          <w:rFonts w:eastAsia="Times New Roman" w:cs="Times New Roman"/>
          <w:color w:val="000000"/>
        </w:rPr>
        <w:t>to increase</w:t>
      </w:r>
      <w:r w:rsidRPr="00883C55">
        <w:rPr>
          <w:rFonts w:eastAsia="Times New Roman" w:cs="Times New Roman"/>
          <w:color w:val="000000"/>
        </w:rPr>
        <w:t xml:space="preserve"> response (estimates in </w:t>
      </w:r>
      <w:r w:rsidRPr="00883C55">
        <w:rPr>
          <w:rFonts w:eastAsia="Times New Roman" w:cs="Times New Roman"/>
          <w:b/>
          <w:color w:val="000000"/>
        </w:rPr>
        <w:t>Table 4</w:t>
      </w:r>
      <w:r w:rsidRPr="00883C55">
        <w:rPr>
          <w:rFonts w:eastAsia="Times New Roman" w:cs="Times New Roman"/>
          <w:color w:val="000000"/>
        </w:rPr>
        <w:t xml:space="preserve">), and provide valuable information for us to use in planning the 2017 NSCH to develop and refine a cost-effective data collection strategy. There is no increase in the respondent burden, as this was a planned mailing.  The only change to this mailing is adding the monetary incentive. Below is a table of the expected mail-out distribution.  This distribution produces power estimates (see </w:t>
      </w:r>
      <w:r w:rsidRPr="00883C55">
        <w:rPr>
          <w:rFonts w:eastAsia="Times New Roman" w:cs="Times New Roman"/>
          <w:b/>
          <w:color w:val="000000"/>
        </w:rPr>
        <w:t>Table 3</w:t>
      </w:r>
      <w:r w:rsidRPr="00883C55">
        <w:rPr>
          <w:rFonts w:eastAsia="Times New Roman" w:cs="Times New Roman"/>
          <w:color w:val="000000"/>
        </w:rPr>
        <w:t xml:space="preserve"> below) above .8 for all comparisons.</w:t>
      </w:r>
    </w:p>
    <w:p w:rsidR="00AF5085" w:rsidRPr="00883C55" w:rsidRDefault="00AF5085" w:rsidP="00AF5085">
      <w:pPr>
        <w:rPr>
          <w:rFonts w:eastAsia="Times New Roman" w:cs="Times New Roman"/>
          <w:b/>
          <w:color w:val="000000"/>
        </w:rPr>
      </w:pPr>
      <w:r w:rsidRPr="00883C55">
        <w:rPr>
          <w:rFonts w:eastAsia="Times New Roman" w:cs="Times New Roman"/>
          <w:b/>
          <w:color w:val="000000"/>
        </w:rPr>
        <w:br w:type="page"/>
      </w:r>
    </w:p>
    <w:p w:rsidR="00AF5085" w:rsidRPr="00883C55" w:rsidRDefault="00AF5085" w:rsidP="00AF5085">
      <w:pPr>
        <w:spacing w:before="100" w:beforeAutospacing="1" w:after="100" w:afterAutospacing="1" w:line="240" w:lineRule="auto"/>
        <w:rPr>
          <w:rFonts w:eastAsia="Times New Roman" w:cs="Times New Roman"/>
          <w:b/>
          <w:color w:val="000000"/>
        </w:rPr>
      </w:pPr>
      <w:r w:rsidRPr="00883C55">
        <w:rPr>
          <w:rFonts w:eastAsia="Times New Roman" w:cs="Times New Roman"/>
          <w:b/>
          <w:color w:val="000000"/>
        </w:rPr>
        <w:lastRenderedPageBreak/>
        <w:t>Table 3. Expected NSCH Mail-Out – Incentivized Topical Questionnaire</w:t>
      </w:r>
    </w:p>
    <w:tbl>
      <w:tblPr>
        <w:tblStyle w:val="TableGrid"/>
        <w:tblW w:w="0" w:type="auto"/>
        <w:tblInd w:w="108" w:type="dxa"/>
        <w:tblLook w:val="04A0" w:firstRow="1" w:lastRow="0" w:firstColumn="1" w:lastColumn="0" w:noHBand="0" w:noVBand="1"/>
      </w:tblPr>
      <w:tblGrid>
        <w:gridCol w:w="2547"/>
        <w:gridCol w:w="1500"/>
        <w:gridCol w:w="1942"/>
        <w:gridCol w:w="3253"/>
      </w:tblGrid>
      <w:tr w:rsidR="00AF5085" w:rsidRPr="00883C55" w:rsidTr="000567EB">
        <w:tc>
          <w:tcPr>
            <w:tcW w:w="2610" w:type="dxa"/>
            <w:shd w:val="clear" w:color="auto" w:fill="F2DBDB" w:themeFill="accent2" w:themeFillTint="33"/>
          </w:tcPr>
          <w:p w:rsidR="00AF5085" w:rsidRPr="00883C55" w:rsidRDefault="00AF5085" w:rsidP="000567EB">
            <w:pPr>
              <w:spacing w:before="100" w:beforeAutospacing="1" w:after="100" w:afterAutospacing="1"/>
              <w:rPr>
                <w:rFonts w:eastAsia="Times New Roman" w:cs="Times New Roman"/>
                <w:color w:val="000000"/>
              </w:rPr>
            </w:pPr>
          </w:p>
        </w:tc>
        <w:tc>
          <w:tcPr>
            <w:tcW w:w="1530" w:type="dxa"/>
            <w:shd w:val="clear" w:color="auto" w:fill="F2DBDB" w:themeFill="accent2" w:themeFillTint="33"/>
          </w:tcPr>
          <w:p w:rsidR="00AF5085" w:rsidRPr="00883C55" w:rsidRDefault="00AF5085" w:rsidP="000567EB">
            <w:pPr>
              <w:spacing w:before="100" w:beforeAutospacing="1" w:after="100" w:afterAutospacing="1"/>
              <w:jc w:val="center"/>
              <w:rPr>
                <w:rFonts w:eastAsia="Times New Roman" w:cs="Times New Roman"/>
                <w:i/>
                <w:color w:val="000000"/>
              </w:rPr>
            </w:pPr>
            <w:r w:rsidRPr="00883C55">
              <w:rPr>
                <w:rFonts w:eastAsia="Times New Roman" w:cs="Times New Roman"/>
                <w:i/>
                <w:color w:val="000000"/>
              </w:rPr>
              <w:t>Total</w:t>
            </w:r>
          </w:p>
        </w:tc>
        <w:tc>
          <w:tcPr>
            <w:tcW w:w="1980" w:type="dxa"/>
            <w:shd w:val="clear" w:color="auto" w:fill="F2DBDB" w:themeFill="accent2" w:themeFillTint="33"/>
          </w:tcPr>
          <w:p w:rsidR="00AF5085" w:rsidRPr="00883C55" w:rsidRDefault="00AF5085" w:rsidP="000567EB">
            <w:pPr>
              <w:spacing w:before="100" w:beforeAutospacing="1" w:after="100" w:afterAutospacing="1"/>
              <w:jc w:val="center"/>
              <w:rPr>
                <w:rFonts w:eastAsia="Times New Roman" w:cs="Times New Roman"/>
                <w:i/>
                <w:color w:val="000000"/>
              </w:rPr>
            </w:pPr>
            <w:r w:rsidRPr="00883C55">
              <w:rPr>
                <w:rFonts w:eastAsia="Times New Roman" w:cs="Times New Roman"/>
                <w:i/>
                <w:color w:val="000000"/>
              </w:rPr>
              <w:t>First time topical recipients</w:t>
            </w:r>
          </w:p>
        </w:tc>
        <w:tc>
          <w:tcPr>
            <w:tcW w:w="3348" w:type="dxa"/>
            <w:shd w:val="clear" w:color="auto" w:fill="F2DBDB" w:themeFill="accent2" w:themeFillTint="33"/>
          </w:tcPr>
          <w:p w:rsidR="00AF5085" w:rsidRPr="00883C55" w:rsidRDefault="00AF5085" w:rsidP="000567EB">
            <w:pPr>
              <w:spacing w:before="100" w:beforeAutospacing="1" w:after="100" w:afterAutospacing="1"/>
              <w:jc w:val="center"/>
              <w:rPr>
                <w:rFonts w:eastAsia="Times New Roman" w:cs="Times New Roman"/>
                <w:i/>
                <w:color w:val="000000"/>
              </w:rPr>
            </w:pPr>
            <w:r w:rsidRPr="00883C55">
              <w:rPr>
                <w:rFonts w:eastAsia="Times New Roman" w:cs="Times New Roman"/>
                <w:i/>
                <w:color w:val="000000"/>
              </w:rPr>
              <w:t>Second and Third time topical recipients</w:t>
            </w:r>
          </w:p>
        </w:tc>
      </w:tr>
      <w:tr w:rsidR="00AF5085" w:rsidRPr="00883C55" w:rsidTr="000567EB">
        <w:tc>
          <w:tcPr>
            <w:tcW w:w="261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Total estimated mailing</w:t>
            </w:r>
          </w:p>
        </w:tc>
        <w:tc>
          <w:tcPr>
            <w:tcW w:w="153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19,369</w:t>
            </w:r>
          </w:p>
        </w:tc>
        <w:tc>
          <w:tcPr>
            <w:tcW w:w="198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9,417</w:t>
            </w:r>
          </w:p>
        </w:tc>
        <w:tc>
          <w:tcPr>
            <w:tcW w:w="3348"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9,952</w:t>
            </w:r>
          </w:p>
        </w:tc>
      </w:tr>
      <w:tr w:rsidR="00AF5085" w:rsidRPr="00883C55" w:rsidTr="000567EB">
        <w:tc>
          <w:tcPr>
            <w:tcW w:w="261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Control Group (0$)</w:t>
            </w:r>
          </w:p>
        </w:tc>
        <w:tc>
          <w:tcPr>
            <w:tcW w:w="153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2,274</w:t>
            </w:r>
          </w:p>
        </w:tc>
        <w:tc>
          <w:tcPr>
            <w:tcW w:w="198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1,105</w:t>
            </w:r>
          </w:p>
        </w:tc>
        <w:tc>
          <w:tcPr>
            <w:tcW w:w="3348"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1,169</w:t>
            </w:r>
          </w:p>
        </w:tc>
      </w:tr>
      <w:tr w:rsidR="00AF5085" w:rsidRPr="00883C55" w:rsidTr="000567EB">
        <w:tc>
          <w:tcPr>
            <w:tcW w:w="261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$2 Group</w:t>
            </w:r>
          </w:p>
        </w:tc>
        <w:tc>
          <w:tcPr>
            <w:tcW w:w="153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6,620</w:t>
            </w:r>
          </w:p>
        </w:tc>
        <w:tc>
          <w:tcPr>
            <w:tcW w:w="198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3,219</w:t>
            </w:r>
          </w:p>
        </w:tc>
        <w:tc>
          <w:tcPr>
            <w:tcW w:w="3348"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3,401</w:t>
            </w:r>
          </w:p>
        </w:tc>
      </w:tr>
      <w:tr w:rsidR="00AF5085" w:rsidRPr="00883C55" w:rsidTr="000567EB">
        <w:tc>
          <w:tcPr>
            <w:tcW w:w="261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$5 Group</w:t>
            </w:r>
          </w:p>
        </w:tc>
        <w:tc>
          <w:tcPr>
            <w:tcW w:w="153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5,239</w:t>
            </w:r>
          </w:p>
        </w:tc>
        <w:tc>
          <w:tcPr>
            <w:tcW w:w="198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2,548</w:t>
            </w:r>
          </w:p>
        </w:tc>
        <w:tc>
          <w:tcPr>
            <w:tcW w:w="3348"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2,691</w:t>
            </w:r>
          </w:p>
        </w:tc>
      </w:tr>
      <w:tr w:rsidR="00AF5085" w:rsidRPr="00883C55" w:rsidTr="000567EB">
        <w:tc>
          <w:tcPr>
            <w:tcW w:w="261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$10 Group</w:t>
            </w:r>
          </w:p>
        </w:tc>
        <w:tc>
          <w:tcPr>
            <w:tcW w:w="153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5,236</w:t>
            </w:r>
          </w:p>
        </w:tc>
        <w:tc>
          <w:tcPr>
            <w:tcW w:w="1980"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2,545</w:t>
            </w:r>
          </w:p>
        </w:tc>
        <w:tc>
          <w:tcPr>
            <w:tcW w:w="3348" w:type="dxa"/>
          </w:tcPr>
          <w:p w:rsidR="00AF5085" w:rsidRPr="00883C55" w:rsidRDefault="00AF5085" w:rsidP="000567EB">
            <w:pPr>
              <w:spacing w:before="100" w:beforeAutospacing="1" w:after="100" w:afterAutospacing="1"/>
              <w:jc w:val="center"/>
              <w:rPr>
                <w:rFonts w:eastAsia="Times New Roman" w:cs="Times New Roman"/>
                <w:color w:val="000000"/>
              </w:rPr>
            </w:pPr>
            <w:r w:rsidRPr="00883C55">
              <w:rPr>
                <w:rFonts w:eastAsia="Times New Roman" w:cs="Times New Roman"/>
                <w:color w:val="000000"/>
              </w:rPr>
              <w:t>2,691</w:t>
            </w:r>
          </w:p>
        </w:tc>
      </w:tr>
    </w:tbl>
    <w:p w:rsidR="00AF5085" w:rsidRPr="00883C55"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Initial estimates below in </w:t>
      </w:r>
      <w:r w:rsidRPr="00883C55">
        <w:rPr>
          <w:rFonts w:eastAsia="Times New Roman" w:cs="Times New Roman"/>
          <w:b/>
          <w:color w:val="000000"/>
        </w:rPr>
        <w:t>Table 4</w:t>
      </w:r>
      <w:r w:rsidRPr="00883C55">
        <w:rPr>
          <w:rFonts w:eastAsia="Times New Roman" w:cs="Times New Roman"/>
          <w:color w:val="000000"/>
        </w:rPr>
        <w:t xml:space="preserve"> are based on the mail-out in </w:t>
      </w:r>
      <w:r w:rsidRPr="00883C55">
        <w:rPr>
          <w:rFonts w:eastAsia="Times New Roman" w:cs="Times New Roman"/>
          <w:b/>
          <w:color w:val="000000"/>
        </w:rPr>
        <w:t>Table 3</w:t>
      </w:r>
      <w:r w:rsidRPr="00883C55">
        <w:rPr>
          <w:rFonts w:eastAsia="Times New Roman" w:cs="Times New Roman"/>
          <w:color w:val="000000"/>
        </w:rPr>
        <w:t xml:space="preserve">, with 19,369 topical questionnaires.  The distributions above have been increased for the $5 and $10 groups to improve their power.  The estimated response rates below in </w:t>
      </w:r>
      <w:r w:rsidRPr="00883C55">
        <w:rPr>
          <w:rFonts w:eastAsia="Times New Roman" w:cs="Times New Roman"/>
          <w:b/>
          <w:color w:val="000000"/>
        </w:rPr>
        <w:t>Table 4</w:t>
      </w:r>
      <w:r w:rsidRPr="00883C55">
        <w:rPr>
          <w:rFonts w:eastAsia="Times New Roman" w:cs="Times New Roman"/>
          <w:color w:val="000000"/>
        </w:rPr>
        <w:t xml:space="preserve"> are our most conservative estimates and trying to detect a very small difference (3% point) between groups. </w:t>
      </w:r>
    </w:p>
    <w:p w:rsidR="00AF5085" w:rsidRPr="00883C55" w:rsidRDefault="00AF5085" w:rsidP="00AF5085">
      <w:pPr>
        <w:spacing w:after="0" w:line="240" w:lineRule="auto"/>
        <w:rPr>
          <w:rFonts w:eastAsia="Times New Roman" w:cs="Times New Roman"/>
          <w:b/>
          <w:color w:val="000000"/>
        </w:rPr>
      </w:pPr>
      <w:r w:rsidRPr="00883C55">
        <w:rPr>
          <w:rFonts w:eastAsia="Times New Roman" w:cs="Times New Roman"/>
          <w:b/>
          <w:color w:val="000000"/>
          <w:lang w:val="en"/>
        </w:rPr>
        <w:t>Table 4. Estimated NSCH Response Rates – Incentivized Topical Questionnaire</w:t>
      </w:r>
    </w:p>
    <w:p w:rsidR="00AF5085" w:rsidRPr="00883C55" w:rsidRDefault="00AF5085" w:rsidP="00AF5085">
      <w:pPr>
        <w:spacing w:after="0" w:line="240" w:lineRule="auto"/>
        <w:rPr>
          <w:rFonts w:eastAsia="Times New Roman" w:cs="Times New Roman"/>
          <w:color w:val="000000"/>
        </w:rPr>
      </w:pPr>
      <w:r w:rsidRPr="00883C55">
        <w:rPr>
          <w:rFonts w:eastAsia="Times New Roman" w:cs="Times New Roman"/>
          <w:color w:val="000000"/>
          <w:lang w:val="en"/>
        </w:rPr>
        <w:t> </w:t>
      </w:r>
    </w:p>
    <w:tbl>
      <w:tblPr>
        <w:tblStyle w:val="TableGrid"/>
        <w:tblW w:w="9720" w:type="dxa"/>
        <w:tblInd w:w="108" w:type="dxa"/>
        <w:tblLook w:val="04A0" w:firstRow="1" w:lastRow="0" w:firstColumn="1" w:lastColumn="0" w:noHBand="0" w:noVBand="1"/>
      </w:tblPr>
      <w:tblGrid>
        <w:gridCol w:w="1890"/>
        <w:gridCol w:w="1791"/>
        <w:gridCol w:w="1817"/>
        <w:gridCol w:w="1242"/>
        <w:gridCol w:w="1408"/>
        <w:gridCol w:w="1572"/>
      </w:tblGrid>
      <w:tr w:rsidR="00AF5085" w:rsidRPr="00883C55" w:rsidTr="000567EB">
        <w:tc>
          <w:tcPr>
            <w:tcW w:w="1890" w:type="dxa"/>
            <w:shd w:val="clear" w:color="auto" w:fill="F2DBDB" w:themeFill="accent2" w:themeFillTint="33"/>
          </w:tcPr>
          <w:p w:rsidR="00AF5085" w:rsidRPr="00883C55" w:rsidRDefault="00AF5085" w:rsidP="000567EB">
            <w:pPr>
              <w:rPr>
                <w:rFonts w:eastAsia="Times New Roman" w:cs="Times New Roman"/>
                <w:color w:val="000000"/>
              </w:rPr>
            </w:pPr>
          </w:p>
        </w:tc>
        <w:tc>
          <w:tcPr>
            <w:tcW w:w="1791" w:type="dxa"/>
            <w:shd w:val="clear" w:color="auto" w:fill="F2DBDB" w:themeFill="accent2" w:themeFillTint="33"/>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Expected Response Rate to third topical mailing, no incentive (%)</w:t>
            </w:r>
          </w:p>
        </w:tc>
        <w:tc>
          <w:tcPr>
            <w:tcW w:w="1817" w:type="dxa"/>
            <w:shd w:val="clear" w:color="auto" w:fill="F2DBDB" w:themeFill="accent2" w:themeFillTint="33"/>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Expected Response Rate Difference due to Incentive (%)</w:t>
            </w:r>
          </w:p>
        </w:tc>
        <w:tc>
          <w:tcPr>
            <w:tcW w:w="1242" w:type="dxa"/>
            <w:shd w:val="clear" w:color="auto" w:fill="F2DBDB" w:themeFill="accent2" w:themeFillTint="33"/>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Expected Response Rate (%)</w:t>
            </w:r>
          </w:p>
        </w:tc>
        <w:tc>
          <w:tcPr>
            <w:tcW w:w="1408" w:type="dxa"/>
            <w:shd w:val="clear" w:color="auto" w:fill="F2DBDB" w:themeFill="accent2" w:themeFillTint="33"/>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Estimated Number of Mailings</w:t>
            </w:r>
          </w:p>
        </w:tc>
        <w:tc>
          <w:tcPr>
            <w:tcW w:w="1572" w:type="dxa"/>
            <w:shd w:val="clear" w:color="auto" w:fill="F2DBDB" w:themeFill="accent2" w:themeFillTint="33"/>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Estimated Additional Topicals Received Above a 25.2% Response</w:t>
            </w:r>
          </w:p>
        </w:tc>
      </w:tr>
      <w:tr w:rsidR="00AF5085" w:rsidRPr="00883C55" w:rsidTr="000567EB">
        <w:tc>
          <w:tcPr>
            <w:tcW w:w="189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Total</w:t>
            </w:r>
          </w:p>
        </w:tc>
        <w:tc>
          <w:tcPr>
            <w:tcW w:w="1791" w:type="dxa"/>
          </w:tcPr>
          <w:p w:rsidR="00AF5085" w:rsidRPr="00883C55" w:rsidRDefault="00AF5085" w:rsidP="000567EB">
            <w:pPr>
              <w:jc w:val="center"/>
              <w:rPr>
                <w:rFonts w:eastAsia="Times New Roman" w:cs="Times New Roman"/>
                <w:color w:val="000000"/>
              </w:rPr>
            </w:pPr>
          </w:p>
        </w:tc>
        <w:tc>
          <w:tcPr>
            <w:tcW w:w="1817" w:type="dxa"/>
          </w:tcPr>
          <w:p w:rsidR="00AF5085" w:rsidRPr="00883C55" w:rsidRDefault="00AF5085" w:rsidP="000567EB">
            <w:pPr>
              <w:jc w:val="center"/>
              <w:rPr>
                <w:rFonts w:eastAsia="Times New Roman" w:cs="Times New Roman"/>
                <w:color w:val="000000"/>
              </w:rPr>
            </w:pPr>
          </w:p>
        </w:tc>
        <w:tc>
          <w:tcPr>
            <w:tcW w:w="124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w:t>
            </w:r>
          </w:p>
        </w:tc>
        <w:tc>
          <w:tcPr>
            <w:tcW w:w="1408"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19,369</w:t>
            </w:r>
          </w:p>
        </w:tc>
        <w:tc>
          <w:tcPr>
            <w:tcW w:w="1572" w:type="dxa"/>
          </w:tcPr>
          <w:p w:rsidR="00AF5085" w:rsidRPr="00883C55" w:rsidRDefault="00AF5085" w:rsidP="000567EB">
            <w:pPr>
              <w:jc w:val="center"/>
              <w:rPr>
                <w:rFonts w:eastAsia="Times New Roman" w:cs="Times New Roman"/>
                <w:color w:val="000000"/>
              </w:rPr>
            </w:pPr>
          </w:p>
        </w:tc>
      </w:tr>
      <w:tr w:rsidR="00AF5085" w:rsidRPr="00883C55" w:rsidTr="000567EB">
        <w:tc>
          <w:tcPr>
            <w:tcW w:w="189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Control Group (0$)</w:t>
            </w:r>
          </w:p>
        </w:tc>
        <w:tc>
          <w:tcPr>
            <w:tcW w:w="1791"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25.2</w:t>
            </w:r>
          </w:p>
        </w:tc>
        <w:tc>
          <w:tcPr>
            <w:tcW w:w="1817"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0</w:t>
            </w:r>
          </w:p>
        </w:tc>
        <w:tc>
          <w:tcPr>
            <w:tcW w:w="124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25.2</w:t>
            </w:r>
          </w:p>
        </w:tc>
        <w:tc>
          <w:tcPr>
            <w:tcW w:w="1408"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2,274</w:t>
            </w:r>
          </w:p>
        </w:tc>
        <w:tc>
          <w:tcPr>
            <w:tcW w:w="157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0</w:t>
            </w:r>
          </w:p>
        </w:tc>
      </w:tr>
      <w:tr w:rsidR="00AF5085" w:rsidRPr="00883C55" w:rsidTr="000567EB">
        <w:tc>
          <w:tcPr>
            <w:tcW w:w="189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$2 Group</w:t>
            </w:r>
          </w:p>
        </w:tc>
        <w:tc>
          <w:tcPr>
            <w:tcW w:w="1791"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25.2</w:t>
            </w:r>
          </w:p>
        </w:tc>
        <w:tc>
          <w:tcPr>
            <w:tcW w:w="1817"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3.0</w:t>
            </w:r>
          </w:p>
        </w:tc>
        <w:tc>
          <w:tcPr>
            <w:tcW w:w="124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28.2</w:t>
            </w:r>
          </w:p>
        </w:tc>
        <w:tc>
          <w:tcPr>
            <w:tcW w:w="1408"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6,620</w:t>
            </w:r>
          </w:p>
        </w:tc>
        <w:tc>
          <w:tcPr>
            <w:tcW w:w="157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199 (+11.9%)</w:t>
            </w:r>
          </w:p>
        </w:tc>
      </w:tr>
      <w:tr w:rsidR="00AF5085" w:rsidRPr="00883C55" w:rsidTr="000567EB">
        <w:tc>
          <w:tcPr>
            <w:tcW w:w="189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$5 Group</w:t>
            </w:r>
          </w:p>
        </w:tc>
        <w:tc>
          <w:tcPr>
            <w:tcW w:w="1791"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25.2</w:t>
            </w:r>
          </w:p>
        </w:tc>
        <w:tc>
          <w:tcPr>
            <w:tcW w:w="1817"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6.0</w:t>
            </w:r>
          </w:p>
        </w:tc>
        <w:tc>
          <w:tcPr>
            <w:tcW w:w="124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31.2</w:t>
            </w:r>
          </w:p>
        </w:tc>
        <w:tc>
          <w:tcPr>
            <w:tcW w:w="1408"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5,239</w:t>
            </w:r>
          </w:p>
        </w:tc>
        <w:tc>
          <w:tcPr>
            <w:tcW w:w="157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314 (+23.8%)</w:t>
            </w:r>
          </w:p>
        </w:tc>
      </w:tr>
      <w:tr w:rsidR="00AF5085" w:rsidRPr="00883C55" w:rsidTr="000567EB">
        <w:tc>
          <w:tcPr>
            <w:tcW w:w="1890" w:type="dxa"/>
          </w:tcPr>
          <w:p w:rsidR="00AF5085" w:rsidRPr="00883C55" w:rsidRDefault="00AF5085" w:rsidP="000567EB">
            <w:pPr>
              <w:spacing w:before="100" w:beforeAutospacing="1" w:after="100" w:afterAutospacing="1"/>
              <w:rPr>
                <w:rFonts w:eastAsia="Times New Roman" w:cs="Times New Roman"/>
                <w:i/>
                <w:color w:val="000000"/>
              </w:rPr>
            </w:pPr>
            <w:r w:rsidRPr="00883C55">
              <w:rPr>
                <w:rFonts w:eastAsia="Times New Roman" w:cs="Times New Roman"/>
                <w:i/>
                <w:color w:val="000000"/>
              </w:rPr>
              <w:t>$10 Group</w:t>
            </w:r>
          </w:p>
        </w:tc>
        <w:tc>
          <w:tcPr>
            <w:tcW w:w="1791"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25.2</w:t>
            </w:r>
          </w:p>
        </w:tc>
        <w:tc>
          <w:tcPr>
            <w:tcW w:w="1817"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9.0</w:t>
            </w:r>
          </w:p>
        </w:tc>
        <w:tc>
          <w:tcPr>
            <w:tcW w:w="124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34.2</w:t>
            </w:r>
          </w:p>
        </w:tc>
        <w:tc>
          <w:tcPr>
            <w:tcW w:w="1408"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5,236</w:t>
            </w:r>
          </w:p>
        </w:tc>
        <w:tc>
          <w:tcPr>
            <w:tcW w:w="1572" w:type="dxa"/>
          </w:tcPr>
          <w:p w:rsidR="00AF5085" w:rsidRPr="00883C55" w:rsidRDefault="00AF5085" w:rsidP="000567EB">
            <w:pPr>
              <w:jc w:val="center"/>
              <w:rPr>
                <w:rFonts w:eastAsia="Times New Roman" w:cs="Times New Roman"/>
                <w:color w:val="000000"/>
              </w:rPr>
            </w:pPr>
            <w:r w:rsidRPr="00883C55">
              <w:rPr>
                <w:rFonts w:eastAsia="Times New Roman" w:cs="Times New Roman"/>
                <w:color w:val="000000"/>
              </w:rPr>
              <w:t>471 (+35.7%)</w:t>
            </w:r>
          </w:p>
        </w:tc>
      </w:tr>
    </w:tbl>
    <w:p w:rsidR="00AF5085" w:rsidRPr="00883C55" w:rsidRDefault="00AF5085" w:rsidP="00AF5085">
      <w:pPr>
        <w:spacing w:after="0" w:line="240" w:lineRule="auto"/>
        <w:rPr>
          <w:rFonts w:eastAsia="Times New Roman" w:cs="Times New Roman"/>
          <w:color w:val="000000"/>
        </w:rPr>
      </w:pPr>
    </w:p>
    <w:p w:rsidR="00AF5085" w:rsidRPr="00883C55" w:rsidRDefault="00AF5085" w:rsidP="00AF5085">
      <w:pPr>
        <w:spacing w:after="0" w:line="240" w:lineRule="auto"/>
        <w:rPr>
          <w:rFonts w:eastAsia="Times New Roman" w:cs="Times New Roman"/>
          <w:b/>
          <w:color w:val="000000"/>
        </w:rPr>
      </w:pPr>
      <w:r w:rsidRPr="00883C55">
        <w:rPr>
          <w:rFonts w:eastAsia="Times New Roman" w:cs="Times New Roman"/>
          <w:b/>
          <w:color w:val="000000"/>
        </w:rPr>
        <w:t>Table 5. Power Calculations</w:t>
      </w:r>
    </w:p>
    <w:p w:rsidR="00AF5085" w:rsidRPr="00883C55" w:rsidRDefault="00AF5085" w:rsidP="00AF5085">
      <w:pPr>
        <w:spacing w:after="0" w:line="240" w:lineRule="auto"/>
        <w:rPr>
          <w:rFonts w:eastAsia="Times New Roman" w:cs="Times New Roman"/>
          <w:color w:val="000000"/>
        </w:rPr>
      </w:pPr>
    </w:p>
    <w:tbl>
      <w:tblPr>
        <w:tblpPr w:leftFromText="180" w:rightFromText="180" w:topFromText="100" w:bottomFromText="100" w:vertAnchor="text" w:tblpX="108"/>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8"/>
        <w:gridCol w:w="1620"/>
        <w:gridCol w:w="1782"/>
      </w:tblGrid>
      <w:tr w:rsidR="00AF5085" w:rsidRPr="00883C55" w:rsidTr="000567EB">
        <w:tc>
          <w:tcPr>
            <w:tcW w:w="307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AF5085" w:rsidRPr="00883C55" w:rsidRDefault="00AF5085" w:rsidP="000567EB">
            <w:pPr>
              <w:spacing w:after="0" w:line="240" w:lineRule="auto"/>
              <w:rPr>
                <w:rFonts w:eastAsia="Times New Roman" w:cs="Times New Roman"/>
                <w:shd w:val="clear" w:color="auto" w:fill="D9D9D9"/>
              </w:rPr>
            </w:pPr>
            <w:r w:rsidRPr="00883C55">
              <w:rPr>
                <w:rFonts w:eastAsia="Times New Roman" w:cs="Times New Roman"/>
                <w:shd w:val="clear" w:color="auto" w:fill="D9D9D9"/>
              </w:rPr>
              <w:t> </w:t>
            </w:r>
          </w:p>
        </w:tc>
        <w:tc>
          <w:tcPr>
            <w:tcW w:w="1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AF5085" w:rsidRPr="00883C55" w:rsidRDefault="00AF5085" w:rsidP="000567EB">
            <w:pPr>
              <w:spacing w:after="0" w:line="240" w:lineRule="auto"/>
              <w:jc w:val="center"/>
              <w:rPr>
                <w:rFonts w:eastAsia="Times New Roman" w:cs="Times New Roman"/>
                <w:shd w:val="clear" w:color="auto" w:fill="D9D9D9"/>
              </w:rPr>
            </w:pPr>
            <w:r w:rsidRPr="00883C55">
              <w:rPr>
                <w:rFonts w:eastAsia="Times New Roman" w:cs="Times New Roman"/>
                <w:shd w:val="clear" w:color="auto" w:fill="D9D9D9"/>
              </w:rPr>
              <w:t>p=0.05</w:t>
            </w:r>
          </w:p>
        </w:tc>
        <w:tc>
          <w:tcPr>
            <w:tcW w:w="17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AF5085" w:rsidRPr="00883C55" w:rsidRDefault="00AF5085" w:rsidP="000567EB">
            <w:pPr>
              <w:spacing w:after="0" w:line="240" w:lineRule="auto"/>
              <w:jc w:val="center"/>
              <w:rPr>
                <w:rFonts w:eastAsia="Times New Roman" w:cs="Times New Roman"/>
                <w:shd w:val="clear" w:color="auto" w:fill="D9D9D9"/>
              </w:rPr>
            </w:pPr>
            <w:r w:rsidRPr="00883C55">
              <w:rPr>
                <w:rFonts w:eastAsia="Times New Roman" w:cs="Times New Roman"/>
                <w:shd w:val="clear" w:color="auto" w:fill="D9D9D9"/>
              </w:rPr>
              <w:t>p=0.10</w:t>
            </w:r>
          </w:p>
        </w:tc>
      </w:tr>
      <w:tr w:rsidR="00AF5085" w:rsidRPr="00883C55" w:rsidTr="000567E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rPr>
                <w:rFonts w:eastAsia="Times New Roman" w:cs="Times New Roman"/>
              </w:rPr>
            </w:pPr>
            <w:r w:rsidRPr="00883C55">
              <w:rPr>
                <w:rFonts w:eastAsia="Times New Roman" w:cs="Times New Roman"/>
              </w:rPr>
              <w:t>Control ($0) vs $2</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 xml:space="preserve">  0.791*</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0.870</w:t>
            </w:r>
          </w:p>
        </w:tc>
      </w:tr>
      <w:tr w:rsidR="00AF5085" w:rsidRPr="00883C55" w:rsidTr="000567E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rPr>
                <w:rFonts w:eastAsia="Times New Roman" w:cs="Times New Roman"/>
              </w:rPr>
            </w:pPr>
            <w:r w:rsidRPr="00883C55">
              <w:rPr>
                <w:rFonts w:eastAsia="Times New Roman" w:cs="Times New Roman"/>
              </w:rPr>
              <w:t>Control ($0) vs $5</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 xml:space="preserve"> ≈1.000</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 xml:space="preserve">   ≈1.000**</w:t>
            </w:r>
          </w:p>
        </w:tc>
      </w:tr>
      <w:tr w:rsidR="00AF5085" w:rsidRPr="00883C55" w:rsidTr="000567E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rPr>
                <w:rFonts w:eastAsia="Times New Roman" w:cs="Times New Roman"/>
              </w:rPr>
            </w:pPr>
            <w:r w:rsidRPr="00883C55">
              <w:rPr>
                <w:rFonts w:eastAsia="Times New Roman" w:cs="Times New Roman"/>
              </w:rPr>
              <w:t>Control ($0) vs $10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≈1.000</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≈1.000</w:t>
            </w:r>
          </w:p>
        </w:tc>
      </w:tr>
      <w:tr w:rsidR="00AF5085" w:rsidRPr="00883C55" w:rsidTr="000567E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rPr>
                <w:rFonts w:eastAsia="Times New Roman" w:cs="Times New Roman"/>
              </w:rPr>
            </w:pPr>
            <w:r w:rsidRPr="00883C55">
              <w:rPr>
                <w:rFonts w:eastAsia="Times New Roman" w:cs="Times New Roman"/>
              </w:rPr>
              <w:t>$2 vs $5</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0.943</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0.971</w:t>
            </w:r>
          </w:p>
        </w:tc>
      </w:tr>
      <w:tr w:rsidR="00AF5085" w:rsidRPr="00883C55" w:rsidTr="000567E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rPr>
                <w:rFonts w:eastAsia="Times New Roman" w:cs="Times New Roman"/>
              </w:rPr>
            </w:pPr>
            <w:r w:rsidRPr="00883C55">
              <w:rPr>
                <w:rFonts w:eastAsia="Times New Roman" w:cs="Times New Roman"/>
              </w:rPr>
              <w:t>$2 vs $10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≈1.000</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≈1.000</w:t>
            </w:r>
          </w:p>
        </w:tc>
      </w:tr>
      <w:tr w:rsidR="00AF5085" w:rsidRPr="00883C55" w:rsidTr="000567EB">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rPr>
                <w:rFonts w:eastAsia="Times New Roman" w:cs="Times New Roman"/>
              </w:rPr>
            </w:pPr>
            <w:r w:rsidRPr="00883C55">
              <w:rPr>
                <w:rFonts w:eastAsia="Times New Roman" w:cs="Times New Roman"/>
              </w:rPr>
              <w:t>$5 vs $10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 xml:space="preserve"> 0.902</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F5085" w:rsidRPr="00883C55" w:rsidRDefault="00AF5085" w:rsidP="000567EB">
            <w:pPr>
              <w:spacing w:after="0" w:line="240" w:lineRule="auto"/>
              <w:jc w:val="center"/>
              <w:rPr>
                <w:rFonts w:cs="Times New Roman"/>
              </w:rPr>
            </w:pPr>
            <w:r w:rsidRPr="00883C55">
              <w:rPr>
                <w:rFonts w:cs="Times New Roman"/>
              </w:rPr>
              <w:t xml:space="preserve"> 0.946</w:t>
            </w:r>
          </w:p>
        </w:tc>
      </w:tr>
    </w:tbl>
    <w:p w:rsidR="00AF5085" w:rsidRPr="00883C55" w:rsidRDefault="00AF5085" w:rsidP="00AF5085">
      <w:pPr>
        <w:spacing w:after="0" w:line="240" w:lineRule="auto"/>
        <w:rPr>
          <w:rFonts w:eastAsia="Times New Roman" w:cs="Times New Roman"/>
          <w:color w:val="000000"/>
        </w:rPr>
      </w:pPr>
      <w:r w:rsidRPr="00883C55">
        <w:rPr>
          <w:rFonts w:eastAsia="Times New Roman" w:cs="Times New Roman"/>
          <w:color w:val="000000"/>
        </w:rPr>
        <w:t> </w:t>
      </w:r>
    </w:p>
    <w:p w:rsidR="00AF5085" w:rsidRPr="00883C55" w:rsidRDefault="00AF5085" w:rsidP="00AF5085">
      <w:pPr>
        <w:spacing w:after="0" w:line="240" w:lineRule="auto"/>
        <w:rPr>
          <w:rFonts w:eastAsia="Times New Roman" w:cs="Times New Roman"/>
          <w:color w:val="000000"/>
        </w:rPr>
      </w:pPr>
    </w:p>
    <w:p w:rsidR="00AF5085" w:rsidRPr="00883C55" w:rsidRDefault="00AF5085" w:rsidP="00AF5085">
      <w:pPr>
        <w:spacing w:after="0" w:line="240" w:lineRule="auto"/>
        <w:rPr>
          <w:rFonts w:eastAsia="Times New Roman" w:cs="Times New Roman"/>
          <w:color w:val="000000"/>
        </w:rPr>
      </w:pPr>
      <w:r w:rsidRPr="00883C55">
        <w:rPr>
          <w:rFonts w:eastAsia="Times New Roman" w:cs="Times New Roman"/>
          <w:color w:val="000000"/>
        </w:rPr>
        <w:t> </w:t>
      </w:r>
    </w:p>
    <w:p w:rsidR="00AF5085" w:rsidRPr="00883C55" w:rsidRDefault="00AF5085" w:rsidP="00AF5085">
      <w:pPr>
        <w:spacing w:after="0" w:line="240" w:lineRule="auto"/>
        <w:rPr>
          <w:rFonts w:eastAsia="Times New Roman" w:cs="Times New Roman"/>
          <w:color w:val="000000"/>
        </w:rPr>
      </w:pPr>
      <w:r w:rsidRPr="00883C55">
        <w:rPr>
          <w:rFonts w:eastAsia="Times New Roman" w:cs="Times New Roman"/>
          <w:color w:val="000000"/>
        </w:rPr>
        <w:t> </w:t>
      </w:r>
    </w:p>
    <w:p w:rsidR="00AF5085" w:rsidRPr="00883C55" w:rsidRDefault="00AF5085" w:rsidP="00AF5085">
      <w:pPr>
        <w:spacing w:after="0" w:line="240" w:lineRule="auto"/>
        <w:rPr>
          <w:rFonts w:eastAsia="Times New Roman" w:cs="Times New Roman"/>
          <w:color w:val="000000"/>
        </w:rPr>
      </w:pPr>
    </w:p>
    <w:p w:rsidR="00AF5085" w:rsidRPr="00883C55" w:rsidRDefault="00AF5085" w:rsidP="00AF5085">
      <w:pPr>
        <w:spacing w:after="0" w:line="240" w:lineRule="auto"/>
        <w:rPr>
          <w:rFonts w:eastAsia="Times New Roman" w:cs="Times New Roman"/>
          <w:color w:val="000000"/>
        </w:rPr>
      </w:pPr>
    </w:p>
    <w:p w:rsidR="00AF5085" w:rsidRPr="00883C55" w:rsidRDefault="00AF5085" w:rsidP="00AF5085">
      <w:pPr>
        <w:spacing w:before="100" w:beforeAutospacing="1" w:after="100" w:afterAutospacing="1" w:line="240" w:lineRule="auto"/>
        <w:rPr>
          <w:rFonts w:eastAsia="Times New Roman" w:cs="Times New Roman"/>
          <w:color w:val="000000"/>
        </w:rPr>
      </w:pPr>
    </w:p>
    <w:p w:rsidR="00AF5085" w:rsidRPr="00883C55" w:rsidRDefault="00AF5085" w:rsidP="00AF5085">
      <w:pPr>
        <w:pStyle w:val="form-control-static"/>
        <w:rPr>
          <w:rFonts w:asciiTheme="minorHAnsi" w:hAnsiTheme="minorHAnsi" w:cs="Arial"/>
          <w:color w:val="333333"/>
          <w:sz w:val="22"/>
          <w:szCs w:val="22"/>
          <w:lang w:val="en"/>
        </w:rPr>
      </w:pPr>
      <w:r w:rsidRPr="00883C55">
        <w:rPr>
          <w:rFonts w:asciiTheme="minorHAnsi" w:hAnsiTheme="minorHAnsi"/>
          <w:sz w:val="22"/>
          <w:szCs w:val="22"/>
        </w:rPr>
        <w:t xml:space="preserve">* </w:t>
      </w:r>
      <w:r w:rsidRPr="00883C55">
        <w:rPr>
          <w:rFonts w:asciiTheme="minorHAnsi" w:hAnsiTheme="minorHAnsi"/>
          <w:color w:val="333333"/>
          <w:sz w:val="22"/>
          <w:szCs w:val="22"/>
          <w:lang w:val="en"/>
        </w:rPr>
        <w:t>With 2,274 households receiving $0 incentive and 6,620 households receiving $2 incentive, there will be a 79% chance of detecting a significant difference</w:t>
      </w:r>
      <w:r w:rsidRPr="00883C55">
        <w:rPr>
          <w:rFonts w:asciiTheme="minorHAnsi" w:hAnsiTheme="minorHAnsi" w:cs="Arial"/>
          <w:color w:val="333333"/>
          <w:sz w:val="22"/>
          <w:szCs w:val="22"/>
          <w:lang w:val="en"/>
        </w:rPr>
        <w:t xml:space="preserve">.  </w:t>
      </w:r>
    </w:p>
    <w:p w:rsidR="00AF5085" w:rsidRPr="00883C55" w:rsidRDefault="00AF5085" w:rsidP="00AF5085">
      <w:pPr>
        <w:pStyle w:val="form-control-static"/>
        <w:rPr>
          <w:rFonts w:asciiTheme="minorHAnsi" w:hAnsiTheme="minorHAnsi"/>
          <w:b/>
          <w:color w:val="333333"/>
          <w:sz w:val="22"/>
          <w:szCs w:val="22"/>
          <w:lang w:val="en"/>
        </w:rPr>
      </w:pPr>
      <w:r w:rsidRPr="00883C55">
        <w:rPr>
          <w:rFonts w:asciiTheme="minorHAnsi" w:hAnsiTheme="minorHAnsi"/>
          <w:b/>
          <w:color w:val="333333"/>
          <w:sz w:val="22"/>
          <w:szCs w:val="22"/>
          <w:lang w:val="en"/>
        </w:rPr>
        <w:t>Stated differently, a power of 0.791 means that 79% of the time a significant difference will be detected, with a 5% probability of a false positive result.</w:t>
      </w:r>
    </w:p>
    <w:p w:rsidR="00AF5085" w:rsidRPr="00883C55" w:rsidRDefault="00AF5085" w:rsidP="00AF5085">
      <w:pPr>
        <w:pStyle w:val="form-control-static"/>
        <w:rPr>
          <w:rFonts w:asciiTheme="minorHAnsi" w:hAnsiTheme="minorHAnsi" w:cs="Arial"/>
          <w:color w:val="333333"/>
          <w:sz w:val="22"/>
          <w:szCs w:val="22"/>
          <w:lang w:val="en"/>
        </w:rPr>
      </w:pPr>
    </w:p>
    <w:p w:rsidR="0065504E" w:rsidRPr="00AF5085" w:rsidRDefault="00AF5085" w:rsidP="00AF5085">
      <w:pPr>
        <w:pStyle w:val="form-control-static"/>
        <w:rPr>
          <w:rFonts w:asciiTheme="minorHAnsi" w:hAnsiTheme="minorHAnsi"/>
          <w:sz w:val="22"/>
          <w:szCs w:val="22"/>
        </w:rPr>
      </w:pPr>
      <w:r w:rsidRPr="00883C55">
        <w:rPr>
          <w:rFonts w:asciiTheme="minorHAnsi" w:hAnsiTheme="minorHAnsi"/>
          <w:sz w:val="22"/>
          <w:szCs w:val="22"/>
        </w:rPr>
        <w:t xml:space="preserve">** </w:t>
      </w:r>
      <w:r w:rsidRPr="00883C55">
        <w:rPr>
          <w:rFonts w:asciiTheme="minorHAnsi" w:hAnsiTheme="minorHAnsi"/>
          <w:color w:val="333333"/>
          <w:sz w:val="22"/>
          <w:szCs w:val="22"/>
          <w:lang w:val="en"/>
        </w:rPr>
        <w:t>With 2,274 households receiving $0 incentive and 5,239 households receiving $5 incentive, there will be a 100% chance of detecting a significant difference</w:t>
      </w:r>
      <w:r w:rsidRPr="00883C55">
        <w:rPr>
          <w:rFonts w:asciiTheme="minorHAnsi" w:hAnsiTheme="minorHAnsi" w:cs="Arial"/>
          <w:color w:val="333333"/>
          <w:sz w:val="22"/>
          <w:szCs w:val="22"/>
          <w:lang w:val="en"/>
        </w:rPr>
        <w:t xml:space="preserve">. </w:t>
      </w:r>
    </w:p>
    <w:sectPr w:rsidR="0065504E" w:rsidRPr="00AF5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85"/>
    <w:rsid w:val="0000098C"/>
    <w:rsid w:val="000065FD"/>
    <w:rsid w:val="00006B2B"/>
    <w:rsid w:val="0001032E"/>
    <w:rsid w:val="00011A1A"/>
    <w:rsid w:val="00012050"/>
    <w:rsid w:val="000144B4"/>
    <w:rsid w:val="000257E5"/>
    <w:rsid w:val="00051F31"/>
    <w:rsid w:val="00055773"/>
    <w:rsid w:val="00056742"/>
    <w:rsid w:val="00057F92"/>
    <w:rsid w:val="0006303B"/>
    <w:rsid w:val="000704D9"/>
    <w:rsid w:val="00074C8F"/>
    <w:rsid w:val="00085C3C"/>
    <w:rsid w:val="000A0A5E"/>
    <w:rsid w:val="000A76A5"/>
    <w:rsid w:val="000B3107"/>
    <w:rsid w:val="000B65AB"/>
    <w:rsid w:val="000C4A51"/>
    <w:rsid w:val="000D3690"/>
    <w:rsid w:val="000F1C63"/>
    <w:rsid w:val="000F687D"/>
    <w:rsid w:val="0010084F"/>
    <w:rsid w:val="00112A6F"/>
    <w:rsid w:val="001149DE"/>
    <w:rsid w:val="00116471"/>
    <w:rsid w:val="00117A84"/>
    <w:rsid w:val="00117BA7"/>
    <w:rsid w:val="001212D3"/>
    <w:rsid w:val="00121973"/>
    <w:rsid w:val="00127E99"/>
    <w:rsid w:val="00134628"/>
    <w:rsid w:val="00157967"/>
    <w:rsid w:val="001639FD"/>
    <w:rsid w:val="00163E10"/>
    <w:rsid w:val="001716EF"/>
    <w:rsid w:val="0017373F"/>
    <w:rsid w:val="00174AFD"/>
    <w:rsid w:val="0018233A"/>
    <w:rsid w:val="00191E05"/>
    <w:rsid w:val="00195E60"/>
    <w:rsid w:val="001A2236"/>
    <w:rsid w:val="001B7E8B"/>
    <w:rsid w:val="001C3952"/>
    <w:rsid w:val="001D49B5"/>
    <w:rsid w:val="001D78B2"/>
    <w:rsid w:val="001E17C8"/>
    <w:rsid w:val="001E50CA"/>
    <w:rsid w:val="001E58D5"/>
    <w:rsid w:val="00210179"/>
    <w:rsid w:val="002126D9"/>
    <w:rsid w:val="00227F60"/>
    <w:rsid w:val="00231D2F"/>
    <w:rsid w:val="002364A7"/>
    <w:rsid w:val="00244073"/>
    <w:rsid w:val="0025324F"/>
    <w:rsid w:val="002613F4"/>
    <w:rsid w:val="00264E68"/>
    <w:rsid w:val="002706BC"/>
    <w:rsid w:val="00272578"/>
    <w:rsid w:val="002730F5"/>
    <w:rsid w:val="00274791"/>
    <w:rsid w:val="00275410"/>
    <w:rsid w:val="00281508"/>
    <w:rsid w:val="0029052A"/>
    <w:rsid w:val="002A0CF3"/>
    <w:rsid w:val="002B10C1"/>
    <w:rsid w:val="002C3F64"/>
    <w:rsid w:val="002D1485"/>
    <w:rsid w:val="002D2C18"/>
    <w:rsid w:val="002E37E0"/>
    <w:rsid w:val="00305735"/>
    <w:rsid w:val="003066C8"/>
    <w:rsid w:val="0031180C"/>
    <w:rsid w:val="00325AA7"/>
    <w:rsid w:val="00340A98"/>
    <w:rsid w:val="0034112C"/>
    <w:rsid w:val="003451AC"/>
    <w:rsid w:val="00345BC2"/>
    <w:rsid w:val="00346452"/>
    <w:rsid w:val="003474AD"/>
    <w:rsid w:val="00351C1C"/>
    <w:rsid w:val="00356BA5"/>
    <w:rsid w:val="00377275"/>
    <w:rsid w:val="00382FEF"/>
    <w:rsid w:val="003A668C"/>
    <w:rsid w:val="003C2AEA"/>
    <w:rsid w:val="003D0BA8"/>
    <w:rsid w:val="003D1327"/>
    <w:rsid w:val="003E6AD9"/>
    <w:rsid w:val="003F2E44"/>
    <w:rsid w:val="004051A1"/>
    <w:rsid w:val="004052F5"/>
    <w:rsid w:val="0043366C"/>
    <w:rsid w:val="0044147C"/>
    <w:rsid w:val="00445C61"/>
    <w:rsid w:val="00452054"/>
    <w:rsid w:val="004520B8"/>
    <w:rsid w:val="004552D0"/>
    <w:rsid w:val="0047454D"/>
    <w:rsid w:val="004773A4"/>
    <w:rsid w:val="00484460"/>
    <w:rsid w:val="00484BFA"/>
    <w:rsid w:val="004A7327"/>
    <w:rsid w:val="004A7A28"/>
    <w:rsid w:val="004B5ED9"/>
    <w:rsid w:val="004C5D6C"/>
    <w:rsid w:val="004C7FE0"/>
    <w:rsid w:val="004D62C6"/>
    <w:rsid w:val="004E145D"/>
    <w:rsid w:val="004F18B1"/>
    <w:rsid w:val="004F56EF"/>
    <w:rsid w:val="005404B9"/>
    <w:rsid w:val="005406C3"/>
    <w:rsid w:val="00542587"/>
    <w:rsid w:val="00554C0D"/>
    <w:rsid w:val="0055579B"/>
    <w:rsid w:val="0055706A"/>
    <w:rsid w:val="005579DE"/>
    <w:rsid w:val="00560E2D"/>
    <w:rsid w:val="0056356B"/>
    <w:rsid w:val="00564716"/>
    <w:rsid w:val="005714D2"/>
    <w:rsid w:val="005722C8"/>
    <w:rsid w:val="00576D65"/>
    <w:rsid w:val="00593053"/>
    <w:rsid w:val="005A6A1B"/>
    <w:rsid w:val="005D662D"/>
    <w:rsid w:val="005E1625"/>
    <w:rsid w:val="005E3246"/>
    <w:rsid w:val="005F3F33"/>
    <w:rsid w:val="006003B8"/>
    <w:rsid w:val="006116D6"/>
    <w:rsid w:val="006411E0"/>
    <w:rsid w:val="00641AFA"/>
    <w:rsid w:val="00646B82"/>
    <w:rsid w:val="00647765"/>
    <w:rsid w:val="0065504E"/>
    <w:rsid w:val="0066751A"/>
    <w:rsid w:val="00680471"/>
    <w:rsid w:val="0068521E"/>
    <w:rsid w:val="0068595F"/>
    <w:rsid w:val="006A0C61"/>
    <w:rsid w:val="006A535C"/>
    <w:rsid w:val="006B4BFE"/>
    <w:rsid w:val="006C156E"/>
    <w:rsid w:val="006C4860"/>
    <w:rsid w:val="006C6D25"/>
    <w:rsid w:val="007039AE"/>
    <w:rsid w:val="00705802"/>
    <w:rsid w:val="00707A3D"/>
    <w:rsid w:val="0072096E"/>
    <w:rsid w:val="007227B6"/>
    <w:rsid w:val="00726E05"/>
    <w:rsid w:val="00727DB6"/>
    <w:rsid w:val="0073515A"/>
    <w:rsid w:val="00736D32"/>
    <w:rsid w:val="00740D72"/>
    <w:rsid w:val="007713F8"/>
    <w:rsid w:val="00772161"/>
    <w:rsid w:val="007753C9"/>
    <w:rsid w:val="007820D1"/>
    <w:rsid w:val="00793D9B"/>
    <w:rsid w:val="007950F6"/>
    <w:rsid w:val="007B3C96"/>
    <w:rsid w:val="007C5755"/>
    <w:rsid w:val="007C7CBC"/>
    <w:rsid w:val="007D16ED"/>
    <w:rsid w:val="007D1923"/>
    <w:rsid w:val="00813388"/>
    <w:rsid w:val="00822314"/>
    <w:rsid w:val="00822997"/>
    <w:rsid w:val="008306EE"/>
    <w:rsid w:val="008450B1"/>
    <w:rsid w:val="00846F48"/>
    <w:rsid w:val="00852D84"/>
    <w:rsid w:val="00856400"/>
    <w:rsid w:val="008649AE"/>
    <w:rsid w:val="008A0119"/>
    <w:rsid w:val="008A408A"/>
    <w:rsid w:val="008B40DC"/>
    <w:rsid w:val="008B73AC"/>
    <w:rsid w:val="008C07FE"/>
    <w:rsid w:val="008C5697"/>
    <w:rsid w:val="008E2E82"/>
    <w:rsid w:val="008F2A0C"/>
    <w:rsid w:val="00900924"/>
    <w:rsid w:val="00916C92"/>
    <w:rsid w:val="00922971"/>
    <w:rsid w:val="00923094"/>
    <w:rsid w:val="00926E99"/>
    <w:rsid w:val="009277BC"/>
    <w:rsid w:val="00944ED7"/>
    <w:rsid w:val="009517DD"/>
    <w:rsid w:val="00963A67"/>
    <w:rsid w:val="00965732"/>
    <w:rsid w:val="00970FD3"/>
    <w:rsid w:val="009747AE"/>
    <w:rsid w:val="00976235"/>
    <w:rsid w:val="00987FAF"/>
    <w:rsid w:val="0099108D"/>
    <w:rsid w:val="00991368"/>
    <w:rsid w:val="009A5F6E"/>
    <w:rsid w:val="009B0133"/>
    <w:rsid w:val="009B6AF5"/>
    <w:rsid w:val="009C4C45"/>
    <w:rsid w:val="009C518B"/>
    <w:rsid w:val="009D0CA5"/>
    <w:rsid w:val="009F0F31"/>
    <w:rsid w:val="009F2303"/>
    <w:rsid w:val="009F3656"/>
    <w:rsid w:val="009F5987"/>
    <w:rsid w:val="009F6411"/>
    <w:rsid w:val="00A02E76"/>
    <w:rsid w:val="00A040C1"/>
    <w:rsid w:val="00A1190F"/>
    <w:rsid w:val="00A1620B"/>
    <w:rsid w:val="00A2121B"/>
    <w:rsid w:val="00A21550"/>
    <w:rsid w:val="00A24190"/>
    <w:rsid w:val="00A33746"/>
    <w:rsid w:val="00A6523D"/>
    <w:rsid w:val="00A73653"/>
    <w:rsid w:val="00A86484"/>
    <w:rsid w:val="00A969C1"/>
    <w:rsid w:val="00AA04D1"/>
    <w:rsid w:val="00AB2FD4"/>
    <w:rsid w:val="00AC5BEF"/>
    <w:rsid w:val="00AD0B09"/>
    <w:rsid w:val="00AD4997"/>
    <w:rsid w:val="00AE01A0"/>
    <w:rsid w:val="00AE0A99"/>
    <w:rsid w:val="00AE4D6E"/>
    <w:rsid w:val="00AF5085"/>
    <w:rsid w:val="00AF640B"/>
    <w:rsid w:val="00B04CDD"/>
    <w:rsid w:val="00B11FE0"/>
    <w:rsid w:val="00B31313"/>
    <w:rsid w:val="00B45700"/>
    <w:rsid w:val="00B461F8"/>
    <w:rsid w:val="00B570BC"/>
    <w:rsid w:val="00B66A63"/>
    <w:rsid w:val="00B673B5"/>
    <w:rsid w:val="00B70124"/>
    <w:rsid w:val="00B76D1A"/>
    <w:rsid w:val="00B80058"/>
    <w:rsid w:val="00B81855"/>
    <w:rsid w:val="00B94EF1"/>
    <w:rsid w:val="00BA7283"/>
    <w:rsid w:val="00BB1DEA"/>
    <w:rsid w:val="00BB5754"/>
    <w:rsid w:val="00BB7D12"/>
    <w:rsid w:val="00BC643D"/>
    <w:rsid w:val="00BC683E"/>
    <w:rsid w:val="00BC7E81"/>
    <w:rsid w:val="00BD0E8E"/>
    <w:rsid w:val="00BE7766"/>
    <w:rsid w:val="00BF4D06"/>
    <w:rsid w:val="00BF6080"/>
    <w:rsid w:val="00C067B9"/>
    <w:rsid w:val="00C10F67"/>
    <w:rsid w:val="00C25FEC"/>
    <w:rsid w:val="00C371E7"/>
    <w:rsid w:val="00C4003B"/>
    <w:rsid w:val="00C64A49"/>
    <w:rsid w:val="00C83986"/>
    <w:rsid w:val="00C92E1B"/>
    <w:rsid w:val="00CB5BAC"/>
    <w:rsid w:val="00CC3D3C"/>
    <w:rsid w:val="00CD29C8"/>
    <w:rsid w:val="00CD52F3"/>
    <w:rsid w:val="00CE2B51"/>
    <w:rsid w:val="00CE4AA4"/>
    <w:rsid w:val="00CE5C9C"/>
    <w:rsid w:val="00CE779E"/>
    <w:rsid w:val="00D07793"/>
    <w:rsid w:val="00D2649C"/>
    <w:rsid w:val="00D32728"/>
    <w:rsid w:val="00D429B6"/>
    <w:rsid w:val="00D52119"/>
    <w:rsid w:val="00D54996"/>
    <w:rsid w:val="00D5530A"/>
    <w:rsid w:val="00D57B55"/>
    <w:rsid w:val="00D62E33"/>
    <w:rsid w:val="00D9473F"/>
    <w:rsid w:val="00DB53F9"/>
    <w:rsid w:val="00DC0AAE"/>
    <w:rsid w:val="00DC2E70"/>
    <w:rsid w:val="00DD1357"/>
    <w:rsid w:val="00DD2C47"/>
    <w:rsid w:val="00DE56C3"/>
    <w:rsid w:val="00DF1E7A"/>
    <w:rsid w:val="00DF4C32"/>
    <w:rsid w:val="00DF647B"/>
    <w:rsid w:val="00DF6C05"/>
    <w:rsid w:val="00E05E9F"/>
    <w:rsid w:val="00E061EB"/>
    <w:rsid w:val="00E06349"/>
    <w:rsid w:val="00E06D2E"/>
    <w:rsid w:val="00E07FA4"/>
    <w:rsid w:val="00E12D87"/>
    <w:rsid w:val="00E301DA"/>
    <w:rsid w:val="00E30428"/>
    <w:rsid w:val="00E45387"/>
    <w:rsid w:val="00E562C5"/>
    <w:rsid w:val="00E63B7B"/>
    <w:rsid w:val="00E66388"/>
    <w:rsid w:val="00E713E1"/>
    <w:rsid w:val="00E90706"/>
    <w:rsid w:val="00EC4991"/>
    <w:rsid w:val="00EC4C48"/>
    <w:rsid w:val="00ED031D"/>
    <w:rsid w:val="00ED2FF4"/>
    <w:rsid w:val="00ED3418"/>
    <w:rsid w:val="00ED7B14"/>
    <w:rsid w:val="00EE3165"/>
    <w:rsid w:val="00EE65AE"/>
    <w:rsid w:val="00EF3038"/>
    <w:rsid w:val="00F06A21"/>
    <w:rsid w:val="00F17F32"/>
    <w:rsid w:val="00F343EF"/>
    <w:rsid w:val="00F36022"/>
    <w:rsid w:val="00F36E09"/>
    <w:rsid w:val="00F4525A"/>
    <w:rsid w:val="00F524AF"/>
    <w:rsid w:val="00F56D0F"/>
    <w:rsid w:val="00F57580"/>
    <w:rsid w:val="00F81BB9"/>
    <w:rsid w:val="00F82685"/>
    <w:rsid w:val="00F90472"/>
    <w:rsid w:val="00F92458"/>
    <w:rsid w:val="00F978EE"/>
    <w:rsid w:val="00FA4898"/>
    <w:rsid w:val="00FB2AF0"/>
    <w:rsid w:val="00FB32C5"/>
    <w:rsid w:val="00FC0DE3"/>
    <w:rsid w:val="00FC2457"/>
    <w:rsid w:val="00FC371D"/>
    <w:rsid w:val="00FD1361"/>
    <w:rsid w:val="00FD552F"/>
    <w:rsid w:val="00FF1118"/>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B3C6"/>
  <w15:docId w15:val="{D647A641-6259-4039-950C-4DB882F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AF50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 Norman</dc:creator>
  <cp:lastModifiedBy>Dumas, Sheleen (Federal)</cp:lastModifiedBy>
  <cp:revision>3</cp:revision>
  <dcterms:created xsi:type="dcterms:W3CDTF">2016-12-08T15:22:00Z</dcterms:created>
  <dcterms:modified xsi:type="dcterms:W3CDTF">2016-12-08T15:22:00Z</dcterms:modified>
</cp:coreProperties>
</file>