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5C" w:rsidRDefault="0004335C"/>
    <w:p w:rsidR="0004335C" w:rsidRDefault="0004335C">
      <w:pPr>
        <w:ind w:firstLine="6480"/>
      </w:pPr>
      <w:r>
        <w:t>2140-</w:t>
      </w:r>
      <w:r w:rsidR="00612260">
        <w:t>0020</w:t>
      </w:r>
    </w:p>
    <w:p w:rsidR="0004335C" w:rsidRDefault="00AB336B">
      <w:pPr>
        <w:ind w:firstLine="6480"/>
      </w:pPr>
      <w:r>
        <w:t>Octo</w:t>
      </w:r>
      <w:r w:rsidR="00E05F14">
        <w:t>ber</w:t>
      </w:r>
      <w:r w:rsidR="00594078">
        <w:t xml:space="preserve"> </w:t>
      </w:r>
      <w:r w:rsidR="00B40C41">
        <w:t>201</w:t>
      </w:r>
      <w:r w:rsidR="00A46228">
        <w:t>6</w:t>
      </w:r>
    </w:p>
    <w:p w:rsidR="0004335C" w:rsidRDefault="0004335C"/>
    <w:p w:rsidR="0004335C" w:rsidRDefault="0004335C"/>
    <w:p w:rsidR="001D2D2B" w:rsidRDefault="001D2D2B" w:rsidP="00AB336B">
      <w:pPr>
        <w:widowControl/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SUPPORTING STATEMENT</w:t>
      </w:r>
    </w:p>
    <w:p w:rsidR="001D2D2B" w:rsidRDefault="001D2D2B" w:rsidP="00AB336B">
      <w:pPr>
        <w:widowControl/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FOR REQUEST OF OMB APPROVAL</w:t>
      </w:r>
    </w:p>
    <w:p w:rsidR="001D2D2B" w:rsidRDefault="001D2D2B" w:rsidP="00AB336B">
      <w:pPr>
        <w:widowControl/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UNDER THE PAPERWORK REDUCTION ACT</w:t>
      </w:r>
      <w:r w:rsidR="003E68EC">
        <w:rPr>
          <w:b/>
          <w:bCs/>
        </w:rPr>
        <w:t xml:space="preserve"> AND 5 C.F.R</w:t>
      </w:r>
      <w:r w:rsidR="003E68EC" w:rsidRPr="00FD406F">
        <w:rPr>
          <w:b/>
          <w:bCs/>
        </w:rPr>
        <w:t xml:space="preserve">. </w:t>
      </w:r>
      <w:r w:rsidR="003E68EC" w:rsidRPr="00FD406F">
        <w:rPr>
          <w:b/>
        </w:rPr>
        <w:t xml:space="preserve">§ </w:t>
      </w:r>
      <w:r w:rsidR="003E68EC" w:rsidRPr="00FD406F">
        <w:rPr>
          <w:b/>
          <w:bCs/>
        </w:rPr>
        <w:t>1320</w:t>
      </w:r>
    </w:p>
    <w:p w:rsidR="001D2D2B" w:rsidRDefault="001D2D2B" w:rsidP="001D2D2B">
      <w:pPr>
        <w:widowControl/>
        <w:rPr>
          <w:b/>
          <w:bCs/>
        </w:rPr>
      </w:pPr>
    </w:p>
    <w:p w:rsidR="001D2D2B" w:rsidRDefault="001D2D2B" w:rsidP="001D2D2B">
      <w:pPr>
        <w:widowControl/>
        <w:ind w:firstLine="720"/>
      </w:pPr>
      <w:r>
        <w:t>The Surface Transportation Board (STB or Board), requests a three-year extension of approval of the regulations governing the filing by parties before the Board of Arbitration Option Notices.</w:t>
      </w:r>
    </w:p>
    <w:p w:rsidR="0004335C" w:rsidRDefault="0004335C"/>
    <w:p w:rsidR="0004335C" w:rsidRDefault="0004335C" w:rsidP="00FB3F7F">
      <w:pPr>
        <w:rPr>
          <w:b/>
          <w:bCs/>
          <w:u w:val="single"/>
        </w:rPr>
      </w:pPr>
      <w:r>
        <w:rPr>
          <w:b/>
          <w:bCs/>
        </w:rPr>
        <w:t xml:space="preserve">A.  </w:t>
      </w:r>
      <w:r>
        <w:rPr>
          <w:b/>
          <w:bCs/>
          <w:u w:val="single"/>
        </w:rPr>
        <w:t>Justification</w:t>
      </w:r>
      <w:r w:rsidRPr="00E05F14">
        <w:rPr>
          <w:b/>
          <w:bCs/>
        </w:rPr>
        <w:t>:</w:t>
      </w:r>
    </w:p>
    <w:p w:rsidR="0004335C" w:rsidRDefault="0004335C" w:rsidP="00FB3F7F">
      <w:pPr>
        <w:rPr>
          <w:b/>
          <w:bCs/>
          <w:u w:val="single"/>
        </w:rPr>
      </w:pPr>
    </w:p>
    <w:p w:rsidR="005762D2" w:rsidRDefault="0004335C" w:rsidP="003E47F3">
      <w:pPr>
        <w:ind w:firstLine="720"/>
      </w:pPr>
      <w:r>
        <w:t xml:space="preserve">1.  </w:t>
      </w:r>
      <w:r w:rsidR="003E68EC">
        <w:rPr>
          <w:u w:val="single"/>
        </w:rPr>
        <w:t>Need for Information in Collection</w:t>
      </w:r>
      <w:r w:rsidR="00FC4786">
        <w:t xml:space="preserve">.  </w:t>
      </w:r>
      <w:r w:rsidR="003E47F3" w:rsidRPr="00B95271">
        <w:t>Under 49 C.F.R. § 1108.3, rail carriers may agree to participate in the Board’s arbitration program by filing a notice with the Board to "opt in."  Once a rail carrier is participating in the Board’s arbitration program, it may discontinue its participation by filing a notice to “opt out” with the Board, which would become effective 90 days after its filing.</w:t>
      </w:r>
      <w:r w:rsidR="003E47F3">
        <w:t xml:space="preserve">  </w:t>
      </w:r>
      <w:r w:rsidR="005762D2">
        <w:t xml:space="preserve">  </w:t>
      </w:r>
    </w:p>
    <w:p w:rsidR="00D56C27" w:rsidRDefault="00D56C27" w:rsidP="00D56C27">
      <w:pPr>
        <w:ind w:firstLine="720"/>
      </w:pPr>
    </w:p>
    <w:p w:rsidR="00FF36F8" w:rsidRPr="00773560" w:rsidRDefault="00D56C27" w:rsidP="00D56C27">
      <w:pPr>
        <w:ind w:firstLine="720"/>
      </w:pPr>
      <w:r w:rsidRPr="00D56C27">
        <w:t>The Board has authority to collect information from rail carriers under 49 U.S.C. §</w:t>
      </w:r>
      <w:r>
        <w:t> </w:t>
      </w:r>
      <w:r w:rsidRPr="00D56C27">
        <w:t xml:space="preserve">11145(a). </w:t>
      </w:r>
      <w:r>
        <w:t xml:space="preserve"> </w:t>
      </w:r>
      <w:r w:rsidRPr="00D56C27">
        <w:t>Failu</w:t>
      </w:r>
      <w:r w:rsidR="003E47F3">
        <w:t>re to collect this information c</w:t>
      </w:r>
      <w:r w:rsidRPr="00D56C27">
        <w:t xml:space="preserve">ould </w:t>
      </w:r>
      <w:r w:rsidR="003E47F3">
        <w:t>impede the Board’s</w:t>
      </w:r>
      <w:r w:rsidRPr="00D56C27">
        <w:t xml:space="preserve"> arbitration program.</w:t>
      </w:r>
      <w:r w:rsidR="0004335C">
        <w:tab/>
      </w:r>
    </w:p>
    <w:p w:rsidR="0004335C" w:rsidRDefault="0004335C" w:rsidP="00FB3F7F"/>
    <w:p w:rsidR="00B11089" w:rsidRDefault="0004335C" w:rsidP="00432BF7">
      <w:pPr>
        <w:ind w:firstLine="720"/>
      </w:pPr>
      <w:r>
        <w:t xml:space="preserve">2.  </w:t>
      </w:r>
      <w:r w:rsidR="00D17458">
        <w:rPr>
          <w:u w:val="single"/>
        </w:rPr>
        <w:t>Use of Data Collected</w:t>
      </w:r>
      <w:r w:rsidR="00FC4786">
        <w:t xml:space="preserve">.  </w:t>
      </w:r>
      <w:r w:rsidR="00432BF7">
        <w:t xml:space="preserve">The </w:t>
      </w:r>
      <w:r w:rsidR="00432BF7" w:rsidRPr="00CD5591">
        <w:t>opt-in</w:t>
      </w:r>
      <w:r w:rsidR="00186849">
        <w:t xml:space="preserve"> (and opt-out)</w:t>
      </w:r>
      <w:r w:rsidR="00432BF7" w:rsidRPr="00CD5591">
        <w:t xml:space="preserve"> notices</w:t>
      </w:r>
      <w:r w:rsidR="00432BF7">
        <w:t xml:space="preserve"> will be used to inform the Board</w:t>
      </w:r>
      <w:r w:rsidR="009B3573">
        <w:t>,</w:t>
      </w:r>
      <w:r w:rsidR="00432BF7">
        <w:t xml:space="preserve"> and other interested persons</w:t>
      </w:r>
      <w:r w:rsidR="009B3573">
        <w:t>,</w:t>
      </w:r>
      <w:r w:rsidR="00432BF7">
        <w:t xml:space="preserve"> which rail carriers have agreed to participate in the proposed arbitration program.  </w:t>
      </w:r>
    </w:p>
    <w:p w:rsidR="00B11089" w:rsidRDefault="00B11089">
      <w:pPr>
        <w:ind w:firstLine="720"/>
      </w:pPr>
    </w:p>
    <w:p w:rsidR="0004335C" w:rsidRDefault="0004335C" w:rsidP="00FB3F7F">
      <w:pPr>
        <w:ind w:firstLine="720"/>
      </w:pPr>
      <w:r>
        <w:t xml:space="preserve">3.  </w:t>
      </w:r>
      <w:r w:rsidR="00BF2FE6" w:rsidRPr="00E05F14">
        <w:rPr>
          <w:u w:val="single"/>
        </w:rPr>
        <w:t>Reduction through Improved Technology</w:t>
      </w:r>
      <w:r w:rsidR="00FC4786">
        <w:t xml:space="preserve">.  </w:t>
      </w:r>
      <w:r w:rsidR="00C10B78" w:rsidRPr="00C10B78">
        <w:t>This collection may be filed electronically by use of the E-filing option on the Board’s website.</w:t>
      </w:r>
    </w:p>
    <w:p w:rsidR="0004335C" w:rsidRDefault="0004335C" w:rsidP="00FB3F7F"/>
    <w:p w:rsidR="0004335C" w:rsidRDefault="0004335C" w:rsidP="00D56C27">
      <w:pPr>
        <w:ind w:firstLine="720"/>
      </w:pPr>
      <w:r>
        <w:t xml:space="preserve">4.  </w:t>
      </w:r>
      <w:r w:rsidR="00FC4786" w:rsidRPr="00FC4786">
        <w:rPr>
          <w:u w:val="single"/>
        </w:rPr>
        <w:t xml:space="preserve">Identification of </w:t>
      </w:r>
      <w:r w:rsidR="00CE3140">
        <w:rPr>
          <w:u w:val="single"/>
        </w:rPr>
        <w:t>D</w:t>
      </w:r>
      <w:r w:rsidR="00FC4786" w:rsidRPr="00FC4786">
        <w:rPr>
          <w:u w:val="single"/>
        </w:rPr>
        <w:t>uplication</w:t>
      </w:r>
      <w:r w:rsidR="00FC4786">
        <w:t xml:space="preserve">.  </w:t>
      </w:r>
      <w:r>
        <w:t xml:space="preserve">No other </w:t>
      </w:r>
      <w:r w:rsidR="00FA48B6">
        <w:t>f</w:t>
      </w:r>
      <w:r>
        <w:t>ederal agency collects the information in th</w:t>
      </w:r>
      <w:r w:rsidR="00447FB5">
        <w:t xml:space="preserve">is collection, </w:t>
      </w:r>
      <w:r w:rsidR="00327CAA">
        <w:t xml:space="preserve">which is information from rail carriers regarding their willingness to participate in the Board’s arbitration program, </w:t>
      </w:r>
      <w:r>
        <w:t xml:space="preserve">nor is this information available from any other source.  Therefore, there will be no duplication of information.  </w:t>
      </w:r>
    </w:p>
    <w:p w:rsidR="0004335C" w:rsidRDefault="0004335C" w:rsidP="00C33233">
      <w:pPr>
        <w:spacing w:before="100" w:beforeAutospacing="1" w:after="100" w:afterAutospacing="1"/>
        <w:ind w:firstLine="720"/>
      </w:pPr>
      <w:r>
        <w:t xml:space="preserve">5.  </w:t>
      </w:r>
      <w:r w:rsidR="003E47F3">
        <w:rPr>
          <w:u w:val="single"/>
        </w:rPr>
        <w:t xml:space="preserve">Minimizing Burden for </w:t>
      </w:r>
      <w:r w:rsidR="00FB2C51">
        <w:rPr>
          <w:u w:val="single"/>
        </w:rPr>
        <w:t>S</w:t>
      </w:r>
      <w:r w:rsidR="00FC4786" w:rsidRPr="00FA48B6">
        <w:rPr>
          <w:u w:val="single"/>
        </w:rPr>
        <w:t xml:space="preserve">mall </w:t>
      </w:r>
      <w:r w:rsidR="00FB2C51">
        <w:rPr>
          <w:u w:val="single"/>
        </w:rPr>
        <w:t>B</w:t>
      </w:r>
      <w:r w:rsidR="00FC4786" w:rsidRPr="00FA48B6">
        <w:rPr>
          <w:u w:val="single"/>
        </w:rPr>
        <w:t>usiness</w:t>
      </w:r>
      <w:r w:rsidR="00FC4786">
        <w:t xml:space="preserve">.  </w:t>
      </w:r>
      <w:r w:rsidR="00C33233" w:rsidRPr="00C33233">
        <w:rPr>
          <w:color w:val="000000"/>
        </w:rPr>
        <w:t xml:space="preserve">The </w:t>
      </w:r>
      <w:r w:rsidR="003E47F3">
        <w:rPr>
          <w:color w:val="000000"/>
        </w:rPr>
        <w:t>notice</w:t>
      </w:r>
      <w:r w:rsidR="00327CAA">
        <w:rPr>
          <w:color w:val="000000"/>
        </w:rPr>
        <w:t xml:space="preserve"> will not</w:t>
      </w:r>
      <w:r w:rsidR="00C33233" w:rsidRPr="00C33233">
        <w:rPr>
          <w:color w:val="000000"/>
        </w:rPr>
        <w:t xml:space="preserve"> have a significant economic impact on a substantial number of small entities within the meaning of </w:t>
      </w:r>
      <w:r w:rsidR="00C33233">
        <w:rPr>
          <w:color w:val="000000"/>
        </w:rPr>
        <w:t xml:space="preserve">the Regulatory Flexibility Act.  </w:t>
      </w:r>
      <w:r w:rsidR="0022261E">
        <w:rPr>
          <w:color w:val="000000"/>
        </w:rPr>
        <w:t xml:space="preserve">The arbitration program provides </w:t>
      </w:r>
      <w:r w:rsidR="00C33233" w:rsidRPr="00C33233">
        <w:rPr>
          <w:color w:val="000000"/>
        </w:rPr>
        <w:t xml:space="preserve">faster resolution of </w:t>
      </w:r>
      <w:r w:rsidR="00C33233">
        <w:rPr>
          <w:color w:val="000000"/>
        </w:rPr>
        <w:t xml:space="preserve">disputes before the Board at a lower cost than </w:t>
      </w:r>
      <w:r w:rsidR="00C33233" w:rsidRPr="00C33233">
        <w:rPr>
          <w:color w:val="000000"/>
        </w:rPr>
        <w:t xml:space="preserve">could </w:t>
      </w:r>
      <w:r w:rsidR="00C33233">
        <w:rPr>
          <w:color w:val="000000"/>
        </w:rPr>
        <w:t xml:space="preserve">be </w:t>
      </w:r>
      <w:r w:rsidR="00C33233" w:rsidRPr="00C33233">
        <w:rPr>
          <w:color w:val="000000"/>
        </w:rPr>
        <w:t>obtain</w:t>
      </w:r>
      <w:r w:rsidR="00C33233">
        <w:rPr>
          <w:color w:val="000000"/>
        </w:rPr>
        <w:t>ed</w:t>
      </w:r>
      <w:r w:rsidR="00C33233" w:rsidRPr="00C33233">
        <w:rPr>
          <w:color w:val="000000"/>
        </w:rPr>
        <w:t xml:space="preserve"> through use of the Board’s existing formal adjudicatory procedures</w:t>
      </w:r>
      <w:r w:rsidR="00C33233">
        <w:rPr>
          <w:color w:val="000000"/>
        </w:rPr>
        <w:t>.</w:t>
      </w:r>
      <w:r w:rsidR="00C33233" w:rsidRPr="00C33233">
        <w:rPr>
          <w:color w:val="000000"/>
        </w:rPr>
        <w:t xml:space="preserve"> </w:t>
      </w:r>
    </w:p>
    <w:p w:rsidR="0004335C" w:rsidRDefault="0004335C" w:rsidP="00FC4786">
      <w:pPr>
        <w:ind w:firstLine="720"/>
      </w:pPr>
      <w:r w:rsidRPr="00C33233">
        <w:t xml:space="preserve">6.  </w:t>
      </w:r>
      <w:r w:rsidR="003E47F3">
        <w:rPr>
          <w:u w:val="single"/>
        </w:rPr>
        <w:t xml:space="preserve">Consequences if Collection </w:t>
      </w:r>
      <w:proofErr w:type="gramStart"/>
      <w:r w:rsidR="003E47F3">
        <w:rPr>
          <w:u w:val="single"/>
        </w:rPr>
        <w:t>no</w:t>
      </w:r>
      <w:r w:rsidR="00AA1289">
        <w:rPr>
          <w:u w:val="single"/>
        </w:rPr>
        <w:t>t</w:t>
      </w:r>
      <w:proofErr w:type="gramEnd"/>
      <w:r w:rsidR="003E47F3">
        <w:rPr>
          <w:u w:val="single"/>
        </w:rPr>
        <w:t xml:space="preserve"> Conducted or </w:t>
      </w:r>
      <w:r w:rsidR="00AA1289">
        <w:rPr>
          <w:u w:val="single"/>
        </w:rPr>
        <w:t xml:space="preserve">Conducted </w:t>
      </w:r>
      <w:r w:rsidR="003E47F3">
        <w:rPr>
          <w:u w:val="single"/>
        </w:rPr>
        <w:t>Less Frequently</w:t>
      </w:r>
      <w:r w:rsidR="00FC4786">
        <w:t xml:space="preserve">.  </w:t>
      </w:r>
      <w:r>
        <w:t xml:space="preserve">Without this collection, the Board </w:t>
      </w:r>
      <w:r w:rsidR="003E47F3">
        <w:t>would suffer some detriment to its</w:t>
      </w:r>
      <w:r w:rsidR="00C33233">
        <w:t xml:space="preserve"> arbitration program</w:t>
      </w:r>
      <w:r w:rsidR="003E47F3">
        <w:t xml:space="preserve">, which would harm </w:t>
      </w:r>
      <w:r w:rsidR="00327CAA">
        <w:t xml:space="preserve">stakeholders, rail carriers and shippers, </w:t>
      </w:r>
      <w:r w:rsidR="003E47F3">
        <w:t xml:space="preserve">who </w:t>
      </w:r>
      <w:r w:rsidR="00327CAA">
        <w:t xml:space="preserve">would not have </w:t>
      </w:r>
      <w:r w:rsidR="00024E16">
        <w:t>this simple access to a</w:t>
      </w:r>
      <w:r w:rsidR="00327CAA">
        <w:t xml:space="preserve"> less costly dispute resolution program</w:t>
      </w:r>
      <w:r w:rsidR="00C33233" w:rsidRPr="005E5D9A">
        <w:t xml:space="preserve">.  </w:t>
      </w:r>
      <w:r w:rsidR="00C33233" w:rsidRPr="00293B4B">
        <w:t> </w:t>
      </w:r>
    </w:p>
    <w:p w:rsidR="0004335C" w:rsidRDefault="0004335C" w:rsidP="00FB3F7F"/>
    <w:p w:rsidR="0004335C" w:rsidRDefault="0004335C" w:rsidP="00FB3F7F">
      <w:pPr>
        <w:ind w:firstLine="720"/>
      </w:pPr>
      <w:r>
        <w:t xml:space="preserve">7.  </w:t>
      </w:r>
      <w:r w:rsidR="00FC4786" w:rsidRPr="00FC4786">
        <w:rPr>
          <w:u w:val="single"/>
        </w:rPr>
        <w:t xml:space="preserve">Special </w:t>
      </w:r>
      <w:r w:rsidR="00817638">
        <w:rPr>
          <w:u w:val="single"/>
        </w:rPr>
        <w:t>C</w:t>
      </w:r>
      <w:r w:rsidR="00FC4786" w:rsidRPr="00FC4786">
        <w:rPr>
          <w:u w:val="single"/>
        </w:rPr>
        <w:t>ircumstances</w:t>
      </w:r>
      <w:r w:rsidR="00FC4786">
        <w:t xml:space="preserve">.  </w:t>
      </w:r>
      <w:r w:rsidR="00863D5A" w:rsidRPr="00863D5A">
        <w:t xml:space="preserve"> </w:t>
      </w:r>
      <w:r w:rsidR="00863D5A">
        <w:t>No special circumstances apply to this collection.</w:t>
      </w:r>
    </w:p>
    <w:p w:rsidR="0004335C" w:rsidRDefault="0004335C" w:rsidP="00FB3F7F"/>
    <w:p w:rsidR="0004335C" w:rsidRDefault="0004335C" w:rsidP="00FB3F7F">
      <w:pPr>
        <w:ind w:firstLine="720"/>
      </w:pPr>
      <w:r>
        <w:t xml:space="preserve">8.  </w:t>
      </w:r>
      <w:r w:rsidR="003E47F3">
        <w:rPr>
          <w:u w:val="single"/>
        </w:rPr>
        <w:t xml:space="preserve">Consultation </w:t>
      </w:r>
      <w:r w:rsidR="00902D76">
        <w:rPr>
          <w:u w:val="single"/>
        </w:rPr>
        <w:t>with O</w:t>
      </w:r>
      <w:r w:rsidR="003E47F3">
        <w:rPr>
          <w:u w:val="single"/>
        </w:rPr>
        <w:t>utside Agency</w:t>
      </w:r>
      <w:r w:rsidR="00FC4786">
        <w:t xml:space="preserve">.  </w:t>
      </w:r>
      <w:r w:rsidR="00A46228">
        <w:t xml:space="preserve">The Board published a 60-day notice requesting comments on this collection at </w:t>
      </w:r>
      <w:r w:rsidR="00A46228">
        <w:rPr>
          <w:rFonts w:cs="Shruti"/>
        </w:rPr>
        <w:t xml:space="preserve">81 </w:t>
      </w:r>
      <w:r w:rsidR="00A46228" w:rsidRPr="0075549B">
        <w:rPr>
          <w:rFonts w:cs="Shruti"/>
        </w:rPr>
        <w:t>Fed</w:t>
      </w:r>
      <w:r w:rsidR="00A46228" w:rsidRPr="004E6EF8">
        <w:rPr>
          <w:rFonts w:cs="Shruti"/>
        </w:rPr>
        <w:t xml:space="preserve">. </w:t>
      </w:r>
      <w:r w:rsidR="00A46228" w:rsidRPr="0075549B">
        <w:rPr>
          <w:rFonts w:cs="Shruti"/>
        </w:rPr>
        <w:t>Reg</w:t>
      </w:r>
      <w:r w:rsidR="00A46228" w:rsidRPr="004B0B89">
        <w:rPr>
          <w:rFonts w:cs="Shruti"/>
        </w:rPr>
        <w:t>.</w:t>
      </w:r>
      <w:r w:rsidR="00A46228">
        <w:rPr>
          <w:rFonts w:cs="Shruti"/>
        </w:rPr>
        <w:t xml:space="preserve"> 26,303 (May 2, 2016).  </w:t>
      </w:r>
      <w:r w:rsidR="00A46228">
        <w:t xml:space="preserve">No comments were received.  The Board has also published a 30-day notice that comments about this collection be sent to OMB.  </w:t>
      </w:r>
      <w:r w:rsidR="00A46228" w:rsidRPr="009040A9">
        <w:rPr>
          <w:u w:val="single"/>
        </w:rPr>
        <w:t>See</w:t>
      </w:r>
      <w:r w:rsidR="00A46228">
        <w:t xml:space="preserve"> 81 </w:t>
      </w:r>
      <w:r w:rsidR="00A46228" w:rsidRPr="008132C0">
        <w:t>Fed. Reg</w:t>
      </w:r>
      <w:r w:rsidR="008132C0">
        <w:t>.</w:t>
      </w:r>
      <w:r w:rsidR="00A46228" w:rsidRPr="008132C0">
        <w:t xml:space="preserve"> </w:t>
      </w:r>
      <w:r w:rsidR="008132C0">
        <w:t>70,</w:t>
      </w:r>
      <w:bookmarkStart w:id="0" w:name="_GoBack"/>
      <w:bookmarkEnd w:id="0"/>
      <w:r w:rsidR="008132C0">
        <w:t xml:space="preserve">479 </w:t>
      </w:r>
      <w:r w:rsidR="00A46228" w:rsidRPr="008132C0">
        <w:t>(</w:t>
      </w:r>
      <w:r w:rsidR="008132C0">
        <w:t>Oct</w:t>
      </w:r>
      <w:r w:rsidR="00024E16" w:rsidRPr="008132C0">
        <w:t>.</w:t>
      </w:r>
      <w:r w:rsidR="008132C0">
        <w:t xml:space="preserve"> 12,</w:t>
      </w:r>
      <w:r w:rsidR="00A46228" w:rsidRPr="008132C0">
        <w:t xml:space="preserve"> 2016).</w:t>
      </w:r>
    </w:p>
    <w:p w:rsidR="0004335C" w:rsidRDefault="0004335C" w:rsidP="00FB3F7F"/>
    <w:p w:rsidR="00A21958" w:rsidRDefault="0004335C" w:rsidP="00C777D0">
      <w:pPr>
        <w:spacing w:before="120" w:after="120"/>
        <w:ind w:firstLine="720"/>
        <w:contextualSpacing/>
      </w:pPr>
      <w:r>
        <w:t xml:space="preserve">9.  </w:t>
      </w:r>
      <w:r w:rsidR="00FC4786" w:rsidRPr="00FC4786">
        <w:rPr>
          <w:u w:val="single"/>
        </w:rPr>
        <w:t>Payments o</w:t>
      </w:r>
      <w:r w:rsidR="00A21958">
        <w:rPr>
          <w:u w:val="single"/>
        </w:rPr>
        <w:t>r</w:t>
      </w:r>
      <w:r w:rsidR="00FC4786" w:rsidRPr="00FC4786">
        <w:rPr>
          <w:u w:val="single"/>
        </w:rPr>
        <w:t xml:space="preserve"> </w:t>
      </w:r>
      <w:r w:rsidR="00A21958">
        <w:rPr>
          <w:u w:val="single"/>
        </w:rPr>
        <w:t>G</w:t>
      </w:r>
      <w:r w:rsidR="00FC4786" w:rsidRPr="00FC4786">
        <w:rPr>
          <w:u w:val="single"/>
        </w:rPr>
        <w:t>ifts</w:t>
      </w:r>
      <w:r w:rsidR="00FC4786">
        <w:t xml:space="preserve">.  </w:t>
      </w:r>
      <w:r w:rsidR="00A21958">
        <w:t>The Board does not provide any payment or gifts for this collection.</w:t>
      </w:r>
    </w:p>
    <w:p w:rsidR="0004335C" w:rsidRDefault="0004335C" w:rsidP="00A21958">
      <w:pPr>
        <w:ind w:firstLine="720"/>
      </w:pPr>
    </w:p>
    <w:p w:rsidR="0004335C" w:rsidRDefault="0004335C" w:rsidP="00FB3F7F">
      <w:pPr>
        <w:ind w:firstLine="720"/>
      </w:pPr>
      <w:r>
        <w:t xml:space="preserve">10.  </w:t>
      </w:r>
      <w:r w:rsidR="00FC4786" w:rsidRPr="00FC4786">
        <w:rPr>
          <w:u w:val="single"/>
        </w:rPr>
        <w:t xml:space="preserve">Assurance of </w:t>
      </w:r>
      <w:r w:rsidR="00C777D0">
        <w:rPr>
          <w:u w:val="single"/>
        </w:rPr>
        <w:t>C</w:t>
      </w:r>
      <w:r w:rsidR="00FC4786" w:rsidRPr="00FC4786">
        <w:rPr>
          <w:u w:val="single"/>
        </w:rPr>
        <w:t>onfidentiality</w:t>
      </w:r>
      <w:r w:rsidR="00FC4786">
        <w:t xml:space="preserve">.  </w:t>
      </w:r>
      <w:r w:rsidRPr="009806DB">
        <w:rPr>
          <w:rFonts w:cs="Shruti"/>
        </w:rPr>
        <w:t>All information collected through this report is available to the public.</w:t>
      </w:r>
      <w:r>
        <w:t xml:space="preserve">  </w:t>
      </w:r>
    </w:p>
    <w:p w:rsidR="0004335C" w:rsidRDefault="0004335C" w:rsidP="00FB3F7F"/>
    <w:p w:rsidR="0004335C" w:rsidRDefault="0004335C" w:rsidP="00FB3F7F">
      <w:pPr>
        <w:ind w:firstLine="720"/>
      </w:pPr>
      <w:r>
        <w:t xml:space="preserve">11.  </w:t>
      </w:r>
      <w:r w:rsidR="003E47F3">
        <w:rPr>
          <w:u w:val="single"/>
        </w:rPr>
        <w:t>Se</w:t>
      </w:r>
      <w:r w:rsidR="00FC4786" w:rsidRPr="00FC4786">
        <w:rPr>
          <w:u w:val="single"/>
        </w:rPr>
        <w:t xml:space="preserve">nsitive </w:t>
      </w:r>
      <w:r w:rsidR="00C777D0">
        <w:rPr>
          <w:u w:val="single"/>
        </w:rPr>
        <w:t>I</w:t>
      </w:r>
      <w:r w:rsidR="00FC4786" w:rsidRPr="00FC4786">
        <w:rPr>
          <w:u w:val="single"/>
        </w:rPr>
        <w:t>nformation</w:t>
      </w:r>
      <w:r w:rsidR="00FC4786">
        <w:t xml:space="preserve">.  </w:t>
      </w:r>
      <w:r w:rsidR="00C777D0" w:rsidRPr="00C777D0">
        <w:t>This collection contains no information of a sensitive nature.</w:t>
      </w:r>
    </w:p>
    <w:p w:rsidR="0004335C" w:rsidRDefault="0004335C" w:rsidP="00FB3F7F"/>
    <w:p w:rsidR="00C179AF" w:rsidRDefault="0004335C" w:rsidP="00A00310">
      <w:pPr>
        <w:ind w:firstLine="720"/>
      </w:pPr>
      <w:r>
        <w:t xml:space="preserve">12.  </w:t>
      </w:r>
      <w:r w:rsidR="00C777D0">
        <w:rPr>
          <w:u w:val="single"/>
        </w:rPr>
        <w:t>Estimated Burden Hours</w:t>
      </w:r>
      <w:r w:rsidR="00FC4786">
        <w:t>.</w:t>
      </w:r>
      <w:r w:rsidR="00C179AF">
        <w:t xml:space="preserve">  The following information pertains to the estimate of burden hours associated with this collection:</w:t>
      </w:r>
      <w:r w:rsidR="00FC4786">
        <w:t xml:space="preserve">  </w:t>
      </w:r>
    </w:p>
    <w:p w:rsidR="007644DF" w:rsidRDefault="007644DF" w:rsidP="00A00310">
      <w:pPr>
        <w:ind w:firstLine="720"/>
      </w:pPr>
    </w:p>
    <w:p w:rsidR="00585893" w:rsidRDefault="00585893" w:rsidP="00E05F14">
      <w:pPr>
        <w:ind w:left="720" w:firstLine="720"/>
      </w:pPr>
      <w:r>
        <w:t xml:space="preserve">(1)  </w:t>
      </w:r>
      <w:r>
        <w:rPr>
          <w:u w:val="single"/>
        </w:rPr>
        <w:t>Number of respondents</w:t>
      </w:r>
      <w:r>
        <w:t>.</w:t>
      </w:r>
      <w:r w:rsidR="00024E16">
        <w:t xml:space="preserve"> One</w:t>
      </w:r>
    </w:p>
    <w:p w:rsidR="00585893" w:rsidRDefault="00585893" w:rsidP="00A00310">
      <w:pPr>
        <w:ind w:firstLine="720"/>
      </w:pPr>
    </w:p>
    <w:p w:rsidR="00585893" w:rsidRDefault="00585893" w:rsidP="00E05F14">
      <w:pPr>
        <w:ind w:left="720" w:firstLine="720"/>
      </w:pPr>
      <w:r>
        <w:t xml:space="preserve">(2)  </w:t>
      </w:r>
      <w:r>
        <w:rPr>
          <w:u w:val="single"/>
        </w:rPr>
        <w:t>Frequency of response</w:t>
      </w:r>
      <w:r>
        <w:t>.</w:t>
      </w:r>
      <w:r w:rsidR="002E2AA1">
        <w:t xml:space="preserve">  On occasion.  Since the “opt-in” notice was initiated in 2013, only a limited number of notices have been filed.  Staff estimates</w:t>
      </w:r>
      <w:r w:rsidR="00186849">
        <w:t xml:space="preserve"> that one notice will be filed per</w:t>
      </w:r>
      <w:r w:rsidR="002E2AA1">
        <w:t xml:space="preserve"> year.</w:t>
      </w:r>
    </w:p>
    <w:p w:rsidR="00585893" w:rsidRDefault="00585893" w:rsidP="00A00310">
      <w:pPr>
        <w:ind w:firstLine="720"/>
      </w:pPr>
    </w:p>
    <w:p w:rsidR="00585893" w:rsidRPr="00AA7CF7" w:rsidRDefault="00585893" w:rsidP="00E05F14">
      <w:pPr>
        <w:ind w:left="720" w:firstLine="720"/>
      </w:pPr>
      <w:r>
        <w:t xml:space="preserve">(3)  </w:t>
      </w:r>
      <w:r w:rsidR="00C179AF">
        <w:rPr>
          <w:u w:val="single"/>
        </w:rPr>
        <w:t xml:space="preserve">Annual hour burden per respondent </w:t>
      </w:r>
      <w:r w:rsidR="00C179AF" w:rsidRPr="002834B2">
        <w:rPr>
          <w:u w:val="single"/>
        </w:rPr>
        <w:t>and total for all respondents</w:t>
      </w:r>
      <w:r w:rsidR="00C179AF" w:rsidRPr="00E05F14">
        <w:t>.</w:t>
      </w:r>
      <w:r w:rsidR="007644DF">
        <w:t xml:space="preserve"> 0.5 hours (1 submission X 0.5 hours estimated per response).  </w:t>
      </w:r>
    </w:p>
    <w:p w:rsidR="0004335C" w:rsidRDefault="0004335C" w:rsidP="00FB3F7F"/>
    <w:p w:rsidR="007A23DD" w:rsidRDefault="0004335C" w:rsidP="007A23DD">
      <w:pPr>
        <w:spacing w:before="120" w:after="120"/>
        <w:ind w:firstLine="720"/>
        <w:contextualSpacing/>
      </w:pPr>
      <w:r>
        <w:t xml:space="preserve">13.  </w:t>
      </w:r>
      <w:r w:rsidR="007A23DD">
        <w:rPr>
          <w:u w:val="single"/>
        </w:rPr>
        <w:t>Estimated Total Annual Cost to Respondents</w:t>
      </w:r>
      <w:r w:rsidR="00F1584C">
        <w:t>.</w:t>
      </w:r>
      <w:r>
        <w:t xml:space="preserve">  </w:t>
      </w:r>
      <w:r w:rsidR="007A23DD" w:rsidRPr="002834B2">
        <w:t>There are no non-hour costs associated with this collection.</w:t>
      </w:r>
    </w:p>
    <w:p w:rsidR="0004335C" w:rsidRDefault="0004335C" w:rsidP="00E05F14">
      <w:pPr>
        <w:ind w:firstLine="720"/>
      </w:pPr>
    </w:p>
    <w:p w:rsidR="0004335C" w:rsidRDefault="0004335C" w:rsidP="001B4A05">
      <w:pPr>
        <w:ind w:firstLine="720"/>
      </w:pPr>
      <w:r>
        <w:t xml:space="preserve">14.  </w:t>
      </w:r>
      <w:r w:rsidR="001E19EE">
        <w:rPr>
          <w:u w:val="single"/>
        </w:rPr>
        <w:t>Annualized Cost to the Federal Government</w:t>
      </w:r>
      <w:r w:rsidR="00F1584C">
        <w:t>.</w:t>
      </w:r>
      <w:r w:rsidRPr="00D56C27">
        <w:t xml:space="preserve">  </w:t>
      </w:r>
      <w:r w:rsidR="002F2693" w:rsidRPr="00D56C27">
        <w:t xml:space="preserve">We estimate that the </w:t>
      </w:r>
      <w:r w:rsidR="00C35217">
        <w:t xml:space="preserve">maximum </w:t>
      </w:r>
      <w:r w:rsidR="002F2693" w:rsidRPr="00D56C27">
        <w:t xml:space="preserve">cost to the </w:t>
      </w:r>
      <w:r w:rsidR="00B01B99" w:rsidRPr="00D56C27">
        <w:t>Board</w:t>
      </w:r>
      <w:r w:rsidR="002F2693" w:rsidRPr="00D56C27">
        <w:t xml:space="preserve"> of entering the </w:t>
      </w:r>
      <w:r w:rsidR="00B01B99" w:rsidRPr="00D56C27">
        <w:t xml:space="preserve">notices </w:t>
      </w:r>
      <w:r w:rsidR="002F2693" w:rsidRPr="00D56C27">
        <w:t xml:space="preserve">into </w:t>
      </w:r>
      <w:r w:rsidR="00B01B99" w:rsidRPr="00D56C27">
        <w:t xml:space="preserve">the Board’s e-Library under the appropriate docket </w:t>
      </w:r>
      <w:r w:rsidR="002F2693" w:rsidRPr="00D56C27">
        <w:t xml:space="preserve">and posting the searchable pdf's to the website </w:t>
      </w:r>
      <w:r w:rsidR="005D17D4" w:rsidRPr="00202C45">
        <w:t>is one</w:t>
      </w:r>
      <w:r w:rsidR="005D17D4">
        <w:t>-half</w:t>
      </w:r>
      <w:r w:rsidR="005D17D4" w:rsidRPr="00202C45">
        <w:t xml:space="preserve"> hour by the staff (GS-</w:t>
      </w:r>
      <w:r w:rsidR="005D17D4">
        <w:t>11</w:t>
      </w:r>
      <w:r w:rsidR="005D17D4" w:rsidRPr="00202C45">
        <w:t xml:space="preserve"> level) at $</w:t>
      </w:r>
      <w:r w:rsidR="005D17D4">
        <w:t xml:space="preserve">45.71 </w:t>
      </w:r>
      <w:r w:rsidR="005D17D4" w:rsidRPr="00004177">
        <w:t>per hour (201</w:t>
      </w:r>
      <w:r w:rsidR="005D17D4">
        <w:t>6</w:t>
      </w:r>
      <w:r w:rsidR="005D17D4" w:rsidRPr="00004177">
        <w:t xml:space="preserve"> level).  Based on an estimated one filing annually, the estimated annualized cost to the Board is </w:t>
      </w:r>
      <w:r w:rsidR="005D17D4">
        <w:t>$22.85</w:t>
      </w:r>
      <w:r w:rsidR="002F2693" w:rsidRPr="00D56C27">
        <w:t>.</w:t>
      </w:r>
      <w:r w:rsidR="00F27838" w:rsidRPr="00D56C27">
        <w:t xml:space="preserve"> </w:t>
      </w:r>
    </w:p>
    <w:p w:rsidR="0004335C" w:rsidRDefault="0004335C" w:rsidP="00FB3F7F"/>
    <w:p w:rsidR="00940442" w:rsidRDefault="00940442" w:rsidP="00940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firstLine="720"/>
        <w:sectPr w:rsidR="00940442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940442" w:rsidRDefault="00940442" w:rsidP="00940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firstLine="720"/>
      </w:pPr>
      <w:r>
        <w:t xml:space="preserve">15.  </w:t>
      </w:r>
      <w:r>
        <w:rPr>
          <w:u w:val="single"/>
        </w:rPr>
        <w:t>Explanation of Program Changes or Adjustments</w:t>
      </w:r>
      <w:r w:rsidRPr="0082122C">
        <w:t xml:space="preserve">.  </w:t>
      </w:r>
      <w:r>
        <w:t>This ICR reflects actual experience where fewer respondents have filed “opt-in” notices than was anticipated</w:t>
      </w:r>
      <w:r w:rsidRPr="007B2A1F">
        <w:rPr>
          <w:sz w:val="23"/>
          <w:szCs w:val="23"/>
        </w:rPr>
        <w:t xml:space="preserve">.  </w:t>
      </w:r>
    </w:p>
    <w:p w:rsidR="00940442" w:rsidRDefault="00940442" w:rsidP="00940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940442" w:rsidRDefault="00940442" w:rsidP="00940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firstLine="720"/>
      </w:pPr>
      <w:r>
        <w:t xml:space="preserve">16.  </w:t>
      </w:r>
      <w:r>
        <w:rPr>
          <w:u w:val="single"/>
        </w:rPr>
        <w:t>Plans for tabulation and publication</w:t>
      </w:r>
      <w:r>
        <w:t>.  This collection is posted on the Board’s website.</w:t>
      </w:r>
    </w:p>
    <w:p w:rsidR="00940442" w:rsidRDefault="00940442" w:rsidP="00940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firstLine="720"/>
      </w:pPr>
    </w:p>
    <w:p w:rsidR="00940442" w:rsidRDefault="00940442" w:rsidP="00940442">
      <w:pPr>
        <w:ind w:firstLine="720"/>
      </w:pPr>
      <w:r>
        <w:t xml:space="preserve">17.  </w:t>
      </w:r>
      <w:r w:rsidRPr="00E842D1">
        <w:rPr>
          <w:u w:val="single"/>
        </w:rPr>
        <w:t>Display of expiration date for OMB approval</w:t>
      </w:r>
      <w:r w:rsidRPr="00347493">
        <w:t xml:space="preserve">.  </w:t>
      </w:r>
      <w:r>
        <w:t xml:space="preserve">No form is used for this collection.  </w:t>
      </w:r>
      <w:r w:rsidRPr="009040A9">
        <w:t>The instructions for this collection are found at 49 C.F.R. § 1152.10.</w:t>
      </w:r>
      <w:r>
        <w:t xml:space="preserve">  Once the collection is approved, the Board will display the control number and expiration date of the collection by </w:t>
      </w:r>
      <w:r>
        <w:lastRenderedPageBreak/>
        <w:t xml:space="preserve">publishing a special notice in the </w:t>
      </w:r>
      <w:r w:rsidRPr="00F92478">
        <w:t>Federal Register</w:t>
      </w:r>
      <w:r>
        <w:t xml:space="preserve"> stating the control number and expiration date of the collection as provided in 5 C.F.R. </w:t>
      </w:r>
      <w:r w:rsidRPr="00FB3866">
        <w:t>§ 1320.3(f)(3).</w:t>
      </w:r>
    </w:p>
    <w:p w:rsidR="00940442" w:rsidRDefault="00940442" w:rsidP="00940442">
      <w:pPr>
        <w:ind w:firstLine="720"/>
      </w:pPr>
    </w:p>
    <w:p w:rsidR="00940442" w:rsidRDefault="00940442" w:rsidP="00940442">
      <w:pPr>
        <w:rPr>
          <w:b/>
          <w:bCs/>
          <w:u w:val="single"/>
        </w:rPr>
      </w:pPr>
      <w:r>
        <w:tab/>
        <w:t xml:space="preserve">18.  </w:t>
      </w:r>
      <w:r w:rsidRPr="002C248B">
        <w:rPr>
          <w:u w:val="single"/>
        </w:rPr>
        <w:t>Exceptions to Certification Statement</w:t>
      </w:r>
      <w:r>
        <w:t xml:space="preserve">.  </w:t>
      </w:r>
      <w:r w:rsidR="001E19EE">
        <w:t>Not applicable.</w:t>
      </w:r>
    </w:p>
    <w:p w:rsidR="00940442" w:rsidRDefault="00940442" w:rsidP="00940442">
      <w:pPr>
        <w:rPr>
          <w:b/>
          <w:bCs/>
          <w:u w:val="single"/>
        </w:rPr>
      </w:pPr>
    </w:p>
    <w:p w:rsidR="00940442" w:rsidRDefault="00940442" w:rsidP="00940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940442" w:rsidRPr="00E05F14" w:rsidRDefault="00940442" w:rsidP="00940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  <w:r w:rsidRPr="00E05F14">
        <w:rPr>
          <w:b/>
        </w:rPr>
        <w:t xml:space="preserve">B.  </w:t>
      </w:r>
      <w:r w:rsidRPr="00E05F14">
        <w:rPr>
          <w:b/>
          <w:u w:val="single"/>
        </w:rPr>
        <w:t>Collection of Information for Employing Statistical Methods</w:t>
      </w:r>
      <w:r w:rsidRPr="00E05F14">
        <w:rPr>
          <w:b/>
        </w:rPr>
        <w:t>.</w:t>
      </w:r>
    </w:p>
    <w:p w:rsidR="00940442" w:rsidRDefault="00940442" w:rsidP="00940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940442" w:rsidRDefault="00AA7CF7" w:rsidP="00940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 w:rsidR="00940442">
        <w:t xml:space="preserve">Not applicable.  </w:t>
      </w:r>
    </w:p>
    <w:p w:rsidR="0004335C" w:rsidRDefault="0004335C" w:rsidP="00940442">
      <w:pPr>
        <w:rPr>
          <w:b/>
          <w:bCs/>
        </w:rPr>
      </w:pPr>
    </w:p>
    <w:sectPr w:rsidR="0004335C" w:rsidSect="00C35217">
      <w:footerReference w:type="default" r:id="rId6"/>
      <w:type w:val="continuous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F4" w:rsidRDefault="00F167F4" w:rsidP="00C35217">
      <w:r>
        <w:separator/>
      </w:r>
    </w:p>
  </w:endnote>
  <w:endnote w:type="continuationSeparator" w:id="0">
    <w:p w:rsidR="00F167F4" w:rsidRDefault="00F167F4" w:rsidP="00C3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086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62D2" w:rsidRDefault="005762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2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762D2" w:rsidRDefault="0057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F4" w:rsidRDefault="00F167F4" w:rsidP="00C35217">
      <w:r>
        <w:separator/>
      </w:r>
    </w:p>
  </w:footnote>
  <w:footnote w:type="continuationSeparator" w:id="0">
    <w:p w:rsidR="00F167F4" w:rsidRDefault="00F167F4" w:rsidP="00C35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B5"/>
    <w:rsid w:val="000239DE"/>
    <w:rsid w:val="00024E16"/>
    <w:rsid w:val="00025E6B"/>
    <w:rsid w:val="0003015F"/>
    <w:rsid w:val="00036099"/>
    <w:rsid w:val="000406A7"/>
    <w:rsid w:val="0004335C"/>
    <w:rsid w:val="000451D8"/>
    <w:rsid w:val="00051F53"/>
    <w:rsid w:val="00077ADF"/>
    <w:rsid w:val="000876F8"/>
    <w:rsid w:val="0009337C"/>
    <w:rsid w:val="000956B9"/>
    <w:rsid w:val="000A5FB5"/>
    <w:rsid w:val="000B7D22"/>
    <w:rsid w:val="000C3A85"/>
    <w:rsid w:val="000C3CA3"/>
    <w:rsid w:val="000D60C8"/>
    <w:rsid w:val="000F1C3F"/>
    <w:rsid w:val="00123F4D"/>
    <w:rsid w:val="00157420"/>
    <w:rsid w:val="001575E2"/>
    <w:rsid w:val="00174CFC"/>
    <w:rsid w:val="00186849"/>
    <w:rsid w:val="001903E8"/>
    <w:rsid w:val="00196F88"/>
    <w:rsid w:val="001A00B0"/>
    <w:rsid w:val="001A4E92"/>
    <w:rsid w:val="001B3AF2"/>
    <w:rsid w:val="001B4A05"/>
    <w:rsid w:val="001C102A"/>
    <w:rsid w:val="001D2D2B"/>
    <w:rsid w:val="001E19EE"/>
    <w:rsid w:val="001E2CE1"/>
    <w:rsid w:val="001F51C0"/>
    <w:rsid w:val="002208AF"/>
    <w:rsid w:val="0022261E"/>
    <w:rsid w:val="00224F8B"/>
    <w:rsid w:val="00242D98"/>
    <w:rsid w:val="00260588"/>
    <w:rsid w:val="00293B4B"/>
    <w:rsid w:val="002A307F"/>
    <w:rsid w:val="002A5C7F"/>
    <w:rsid w:val="002E2AA1"/>
    <w:rsid w:val="002F2693"/>
    <w:rsid w:val="0031751F"/>
    <w:rsid w:val="00323245"/>
    <w:rsid w:val="00327CAA"/>
    <w:rsid w:val="00335B13"/>
    <w:rsid w:val="00347493"/>
    <w:rsid w:val="003626B6"/>
    <w:rsid w:val="0037436E"/>
    <w:rsid w:val="00377A91"/>
    <w:rsid w:val="003872C8"/>
    <w:rsid w:val="003A13A6"/>
    <w:rsid w:val="003A16D1"/>
    <w:rsid w:val="003C46DF"/>
    <w:rsid w:val="003C6386"/>
    <w:rsid w:val="003E47F3"/>
    <w:rsid w:val="003E68EC"/>
    <w:rsid w:val="003F0073"/>
    <w:rsid w:val="003F1A00"/>
    <w:rsid w:val="00415266"/>
    <w:rsid w:val="00415982"/>
    <w:rsid w:val="00432BF7"/>
    <w:rsid w:val="004471B5"/>
    <w:rsid w:val="00447FB5"/>
    <w:rsid w:val="0045507D"/>
    <w:rsid w:val="0046706E"/>
    <w:rsid w:val="004A776C"/>
    <w:rsid w:val="004E39CF"/>
    <w:rsid w:val="00525C23"/>
    <w:rsid w:val="005465BA"/>
    <w:rsid w:val="005565A5"/>
    <w:rsid w:val="00573698"/>
    <w:rsid w:val="005762D2"/>
    <w:rsid w:val="005770D1"/>
    <w:rsid w:val="00585893"/>
    <w:rsid w:val="00594078"/>
    <w:rsid w:val="005A3C88"/>
    <w:rsid w:val="005C0AB7"/>
    <w:rsid w:val="005C26E2"/>
    <w:rsid w:val="005C27E5"/>
    <w:rsid w:val="005C76FF"/>
    <w:rsid w:val="005D17D4"/>
    <w:rsid w:val="00605138"/>
    <w:rsid w:val="00612260"/>
    <w:rsid w:val="00627D41"/>
    <w:rsid w:val="00635A9F"/>
    <w:rsid w:val="00670621"/>
    <w:rsid w:val="0068615E"/>
    <w:rsid w:val="00687B85"/>
    <w:rsid w:val="006B2D0E"/>
    <w:rsid w:val="006D5599"/>
    <w:rsid w:val="00724A38"/>
    <w:rsid w:val="00750D0E"/>
    <w:rsid w:val="007518F7"/>
    <w:rsid w:val="007644DF"/>
    <w:rsid w:val="00773560"/>
    <w:rsid w:val="007743D0"/>
    <w:rsid w:val="0078681E"/>
    <w:rsid w:val="007A23DD"/>
    <w:rsid w:val="007B2EAB"/>
    <w:rsid w:val="007B5D7C"/>
    <w:rsid w:val="007C769A"/>
    <w:rsid w:val="007E4E66"/>
    <w:rsid w:val="00800960"/>
    <w:rsid w:val="00807E51"/>
    <w:rsid w:val="008132C0"/>
    <w:rsid w:val="00817638"/>
    <w:rsid w:val="008244FD"/>
    <w:rsid w:val="00830858"/>
    <w:rsid w:val="0084125E"/>
    <w:rsid w:val="00841B0A"/>
    <w:rsid w:val="008630CF"/>
    <w:rsid w:val="00863D5A"/>
    <w:rsid w:val="0087126C"/>
    <w:rsid w:val="00892416"/>
    <w:rsid w:val="008C7E6C"/>
    <w:rsid w:val="008D5D39"/>
    <w:rsid w:val="008E5B48"/>
    <w:rsid w:val="008F6584"/>
    <w:rsid w:val="00902D76"/>
    <w:rsid w:val="009301F0"/>
    <w:rsid w:val="00940442"/>
    <w:rsid w:val="0095041A"/>
    <w:rsid w:val="00970AEE"/>
    <w:rsid w:val="009806DB"/>
    <w:rsid w:val="00980CC8"/>
    <w:rsid w:val="009A2D7F"/>
    <w:rsid w:val="009B3573"/>
    <w:rsid w:val="009B61CA"/>
    <w:rsid w:val="009C364D"/>
    <w:rsid w:val="009E680A"/>
    <w:rsid w:val="009F349B"/>
    <w:rsid w:val="00A00310"/>
    <w:rsid w:val="00A02689"/>
    <w:rsid w:val="00A21958"/>
    <w:rsid w:val="00A322DC"/>
    <w:rsid w:val="00A46228"/>
    <w:rsid w:val="00A50B3B"/>
    <w:rsid w:val="00A777A5"/>
    <w:rsid w:val="00AA1289"/>
    <w:rsid w:val="00AA7CF7"/>
    <w:rsid w:val="00AB2BFB"/>
    <w:rsid w:val="00AB2CEB"/>
    <w:rsid w:val="00AB336B"/>
    <w:rsid w:val="00AB7397"/>
    <w:rsid w:val="00B01B99"/>
    <w:rsid w:val="00B11089"/>
    <w:rsid w:val="00B221B7"/>
    <w:rsid w:val="00B40C41"/>
    <w:rsid w:val="00B67C35"/>
    <w:rsid w:val="00B95036"/>
    <w:rsid w:val="00BB3A09"/>
    <w:rsid w:val="00BF2FE6"/>
    <w:rsid w:val="00C10B78"/>
    <w:rsid w:val="00C179AF"/>
    <w:rsid w:val="00C25530"/>
    <w:rsid w:val="00C2751C"/>
    <w:rsid w:val="00C33233"/>
    <w:rsid w:val="00C35217"/>
    <w:rsid w:val="00C777D0"/>
    <w:rsid w:val="00CA433D"/>
    <w:rsid w:val="00CB0E97"/>
    <w:rsid w:val="00CB4E93"/>
    <w:rsid w:val="00CC0E2A"/>
    <w:rsid w:val="00CD0130"/>
    <w:rsid w:val="00CD5591"/>
    <w:rsid w:val="00CD6051"/>
    <w:rsid w:val="00CE3140"/>
    <w:rsid w:val="00D02BDC"/>
    <w:rsid w:val="00D075F6"/>
    <w:rsid w:val="00D17458"/>
    <w:rsid w:val="00D46FF7"/>
    <w:rsid w:val="00D47C12"/>
    <w:rsid w:val="00D56C27"/>
    <w:rsid w:val="00D63230"/>
    <w:rsid w:val="00D652DE"/>
    <w:rsid w:val="00DB6D4D"/>
    <w:rsid w:val="00DC5A98"/>
    <w:rsid w:val="00DD4927"/>
    <w:rsid w:val="00DE0DFD"/>
    <w:rsid w:val="00E05F14"/>
    <w:rsid w:val="00E16B30"/>
    <w:rsid w:val="00E26716"/>
    <w:rsid w:val="00E37859"/>
    <w:rsid w:val="00E406A3"/>
    <w:rsid w:val="00E53BD4"/>
    <w:rsid w:val="00E54713"/>
    <w:rsid w:val="00E724DC"/>
    <w:rsid w:val="00E733A9"/>
    <w:rsid w:val="00E80B7B"/>
    <w:rsid w:val="00E95E91"/>
    <w:rsid w:val="00E960DC"/>
    <w:rsid w:val="00EF3282"/>
    <w:rsid w:val="00F001C8"/>
    <w:rsid w:val="00F1584C"/>
    <w:rsid w:val="00F167F4"/>
    <w:rsid w:val="00F27838"/>
    <w:rsid w:val="00F72AB3"/>
    <w:rsid w:val="00F91B7F"/>
    <w:rsid w:val="00FA48B6"/>
    <w:rsid w:val="00FB2C51"/>
    <w:rsid w:val="00FB3F7F"/>
    <w:rsid w:val="00FC4786"/>
    <w:rsid w:val="00FD17E6"/>
    <w:rsid w:val="00FF1836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10751"/>
  <w15:docId w15:val="{080A8E56-8047-4D07-8FC1-7BC9BDE8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72AB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324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C35"/>
    <w:rPr>
      <w:rFonts w:cs="Times New Roman"/>
      <w:sz w:val="2"/>
    </w:rPr>
  </w:style>
  <w:style w:type="character" w:styleId="FootnoteReference">
    <w:name w:val="footnote reference"/>
    <w:basedOn w:val="DefaultParagraphFont"/>
    <w:uiPriority w:val="99"/>
    <w:rsid w:val="00F72AB3"/>
    <w:rPr>
      <w:rFonts w:cs="Times New Roman"/>
    </w:rPr>
  </w:style>
  <w:style w:type="character" w:styleId="Hyperlink">
    <w:name w:val="Hyperlink"/>
    <w:basedOn w:val="DefaultParagraphFont"/>
    <w:uiPriority w:val="99"/>
    <w:rsid w:val="00FB3F7F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A2D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2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7C3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7C35"/>
    <w:rPr>
      <w:rFonts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2D0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93B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2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2140-0009</vt:lpstr>
    </vt:vector>
  </TitlesOfParts>
  <Company>Surface Transportation Board</Company>
  <LinksUpToDate>false</LinksUpToDate>
  <CharactersWithSpaces>4873</CharactersWithSpaces>
  <SharedDoc>false</SharedDoc>
  <HLinks>
    <vt:vector size="6" baseType="variant">
      <vt:variant>
        <vt:i4>131127</vt:i4>
      </vt:variant>
      <vt:variant>
        <vt:i4>0</vt:i4>
      </vt:variant>
      <vt:variant>
        <vt:i4>0</vt:i4>
      </vt:variant>
      <vt:variant>
        <vt:i4>5</vt:i4>
      </vt:variant>
      <vt:variant>
        <vt:lpwstr>http://www.stb.dot.gov/stb/industry/econ_reports.html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2140-0009</dc:title>
  <dc:creator>levittm</dc:creator>
  <cp:lastModifiedBy>Elizabeth Cochran</cp:lastModifiedBy>
  <cp:revision>2</cp:revision>
  <cp:lastPrinted>2013-05-16T21:05:00Z</cp:lastPrinted>
  <dcterms:created xsi:type="dcterms:W3CDTF">2016-10-20T14:27:00Z</dcterms:created>
  <dcterms:modified xsi:type="dcterms:W3CDTF">2016-10-20T14:27:00Z</dcterms:modified>
</cp:coreProperties>
</file>