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483FF70" w14:textId="77777777" w:rsidR="00164BC5" w:rsidRPr="000B4D89" w:rsidRDefault="008D2ADD" w:rsidP="000B4D89">
      <w:pPr>
        <w:pStyle w:val="NoSpacing"/>
        <w:jc w:val="center"/>
        <w:rPr>
          <w:rFonts w:ascii="Times New Roman" w:hAnsi="Times New Roman"/>
          <w:b/>
          <w:sz w:val="24"/>
          <w:szCs w:val="24"/>
        </w:rPr>
      </w:pPr>
      <w:r w:rsidRPr="000B4D89">
        <w:rPr>
          <w:rFonts w:ascii="Times New Roman" w:hAnsi="Times New Roman"/>
          <w:b/>
          <w:sz w:val="24"/>
          <w:szCs w:val="24"/>
          <w:lang w:val="en-CA"/>
        </w:rPr>
        <w:fldChar w:fldCharType="begin"/>
      </w:r>
      <w:r w:rsidR="00164BC5" w:rsidRPr="000B4D89">
        <w:rPr>
          <w:rFonts w:ascii="Times New Roman" w:hAnsi="Times New Roman"/>
          <w:b/>
          <w:sz w:val="24"/>
          <w:szCs w:val="24"/>
          <w:lang w:val="en-CA"/>
        </w:rPr>
        <w:instrText xml:space="preserve"> SEQ CHAPTER \h \r 1</w:instrText>
      </w:r>
      <w:r w:rsidRPr="000B4D89">
        <w:rPr>
          <w:rFonts w:ascii="Times New Roman" w:hAnsi="Times New Roman"/>
          <w:b/>
          <w:sz w:val="24"/>
          <w:szCs w:val="24"/>
          <w:lang w:val="en-CA"/>
        </w:rPr>
        <w:fldChar w:fldCharType="end"/>
      </w:r>
      <w:r w:rsidR="00164BC5" w:rsidRPr="000B4D89">
        <w:rPr>
          <w:rFonts w:ascii="Times New Roman" w:hAnsi="Times New Roman"/>
          <w:b/>
          <w:sz w:val="24"/>
          <w:szCs w:val="24"/>
        </w:rPr>
        <w:t>Supporting Statement for a Request for OMB Review under</w:t>
      </w:r>
    </w:p>
    <w:p w14:paraId="16EB4B86" w14:textId="77777777" w:rsidR="00164BC5" w:rsidRPr="000B4D89" w:rsidRDefault="00164BC5" w:rsidP="000B4D89">
      <w:pPr>
        <w:pStyle w:val="NoSpacing"/>
        <w:jc w:val="center"/>
        <w:rPr>
          <w:rFonts w:ascii="Times New Roman" w:hAnsi="Times New Roman"/>
          <w:b/>
          <w:sz w:val="24"/>
          <w:szCs w:val="24"/>
        </w:rPr>
      </w:pPr>
      <w:r w:rsidRPr="000B4D89">
        <w:rPr>
          <w:rFonts w:ascii="Times New Roman" w:hAnsi="Times New Roman"/>
          <w:b/>
          <w:sz w:val="24"/>
          <w:szCs w:val="24"/>
        </w:rPr>
        <w:t>the Paperwork Reduction Act</w:t>
      </w:r>
    </w:p>
    <w:p w14:paraId="5BBD135E" w14:textId="77777777" w:rsidR="00164BC5" w:rsidRPr="000B4D89" w:rsidRDefault="00164BC5" w:rsidP="000B4D89">
      <w:pPr>
        <w:pStyle w:val="NoSpacing"/>
        <w:rPr>
          <w:rFonts w:ascii="Times New Roman" w:hAnsi="Times New Roman"/>
          <w:b/>
          <w:sz w:val="24"/>
          <w:szCs w:val="24"/>
        </w:rPr>
      </w:pPr>
    </w:p>
    <w:p w14:paraId="7F9CE61F"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1</w:t>
      </w:r>
      <w:r w:rsidRPr="000B4D89">
        <w:rPr>
          <w:rFonts w:ascii="Times New Roman" w:hAnsi="Times New Roman"/>
          <w:b/>
          <w:sz w:val="24"/>
          <w:szCs w:val="24"/>
        </w:rPr>
        <w:tab/>
        <w:t>IDENTIFICATION OF THE INFORMATION COLLECTION</w:t>
      </w:r>
    </w:p>
    <w:p w14:paraId="41351F75" w14:textId="77777777" w:rsidR="00164BC5" w:rsidRPr="000B4D89" w:rsidRDefault="00164BC5" w:rsidP="000B4D89">
      <w:pPr>
        <w:pStyle w:val="NoSpacing"/>
        <w:rPr>
          <w:rFonts w:ascii="Times New Roman" w:hAnsi="Times New Roman"/>
          <w:b/>
          <w:sz w:val="24"/>
          <w:szCs w:val="24"/>
        </w:rPr>
      </w:pPr>
    </w:p>
    <w:p w14:paraId="2E04B06F" w14:textId="6AC8C9A2"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t>1(a)</w:t>
      </w:r>
      <w:r w:rsidRPr="000B4D89">
        <w:rPr>
          <w:rFonts w:ascii="Times New Roman" w:hAnsi="Times New Roman"/>
          <w:b/>
          <w:sz w:val="24"/>
          <w:szCs w:val="24"/>
        </w:rPr>
        <w:tab/>
        <w:t>Title and Number of the Information Collection</w:t>
      </w:r>
    </w:p>
    <w:p w14:paraId="04F15F81" w14:textId="77777777" w:rsidR="00164BC5" w:rsidRPr="000B4D89" w:rsidRDefault="00164BC5" w:rsidP="000B4D89">
      <w:pPr>
        <w:pStyle w:val="NoSpacing"/>
        <w:rPr>
          <w:rFonts w:ascii="Times New Roman" w:hAnsi="Times New Roman"/>
          <w:b/>
          <w:sz w:val="24"/>
          <w:szCs w:val="24"/>
        </w:rPr>
      </w:pPr>
    </w:p>
    <w:p w14:paraId="3AE98EC9"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r>
      <w:r w:rsidRPr="000B4D89">
        <w:rPr>
          <w:rFonts w:ascii="Times New Roman" w:hAnsi="Times New Roman"/>
          <w:b/>
          <w:sz w:val="24"/>
          <w:szCs w:val="24"/>
        </w:rPr>
        <w:tab/>
        <w:t>Title:</w:t>
      </w:r>
      <w:r w:rsidRPr="000B4D89">
        <w:rPr>
          <w:rFonts w:ascii="Times New Roman" w:hAnsi="Times New Roman"/>
          <w:b/>
          <w:sz w:val="24"/>
          <w:szCs w:val="24"/>
        </w:rPr>
        <w:tab/>
        <w:t>Notification of Chemical Exports - TSCA Section 12(b)</w:t>
      </w:r>
    </w:p>
    <w:p w14:paraId="2D179454" w14:textId="77777777" w:rsidR="00164BC5" w:rsidRPr="000B4D89" w:rsidRDefault="00164BC5" w:rsidP="000B4D89">
      <w:pPr>
        <w:pStyle w:val="NoSpacing"/>
        <w:rPr>
          <w:rFonts w:ascii="Times New Roman" w:hAnsi="Times New Roman"/>
          <w:b/>
          <w:sz w:val="24"/>
          <w:szCs w:val="24"/>
        </w:rPr>
      </w:pPr>
    </w:p>
    <w:p w14:paraId="7CA23626" w14:textId="6F9B22A9"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r>
      <w:r w:rsidRPr="000B4D89">
        <w:rPr>
          <w:rFonts w:ascii="Times New Roman" w:hAnsi="Times New Roman"/>
          <w:b/>
          <w:sz w:val="24"/>
          <w:szCs w:val="24"/>
        </w:rPr>
        <w:tab/>
        <w:t>EPA ICR No.:  0795.1</w:t>
      </w:r>
      <w:r w:rsidR="008C08B8" w:rsidRPr="000B4D89">
        <w:rPr>
          <w:rFonts w:ascii="Times New Roman" w:hAnsi="Times New Roman"/>
          <w:b/>
          <w:sz w:val="24"/>
          <w:szCs w:val="24"/>
        </w:rPr>
        <w:t>5</w:t>
      </w:r>
      <w:r w:rsidRPr="000B4D89">
        <w:rPr>
          <w:rFonts w:ascii="Times New Roman" w:hAnsi="Times New Roman"/>
          <w:b/>
          <w:sz w:val="24"/>
          <w:szCs w:val="24"/>
        </w:rPr>
        <w:tab/>
        <w:t>OMB Control No.:  2070-0030</w:t>
      </w:r>
    </w:p>
    <w:p w14:paraId="760455A0" w14:textId="77777777" w:rsidR="00164BC5" w:rsidRPr="000B4D89" w:rsidRDefault="00164BC5" w:rsidP="000B4D89">
      <w:pPr>
        <w:pStyle w:val="NoSpacing"/>
        <w:rPr>
          <w:rFonts w:ascii="Times New Roman" w:hAnsi="Times New Roman"/>
          <w:b/>
          <w:sz w:val="24"/>
          <w:szCs w:val="24"/>
        </w:rPr>
      </w:pPr>
    </w:p>
    <w:p w14:paraId="1F55C4DA"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b/>
          <w:sz w:val="24"/>
          <w:szCs w:val="24"/>
        </w:rPr>
        <w:tab/>
        <w:t>1(b)</w:t>
      </w:r>
      <w:r w:rsidRPr="000B4D89">
        <w:rPr>
          <w:rFonts w:ascii="Times New Roman" w:hAnsi="Times New Roman"/>
          <w:b/>
          <w:sz w:val="24"/>
          <w:szCs w:val="24"/>
        </w:rPr>
        <w:tab/>
        <w:t>Short Characterization</w:t>
      </w:r>
    </w:p>
    <w:p w14:paraId="386D9E10" w14:textId="77777777" w:rsidR="00164BC5" w:rsidRPr="000B4D89" w:rsidRDefault="00164BC5" w:rsidP="000B4D89">
      <w:pPr>
        <w:pStyle w:val="NoSpacing"/>
        <w:rPr>
          <w:rFonts w:ascii="Times New Roman" w:hAnsi="Times New Roman"/>
          <w:sz w:val="24"/>
          <w:szCs w:val="24"/>
        </w:rPr>
      </w:pPr>
    </w:p>
    <w:p w14:paraId="60558E7F"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Section 12(b) of the Toxic Substances Control Act (TSCA) states, in part, that any person who exports or intends to export to a foreign country a chemical substance or mixture for which submission of data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the notice and of EPA’s regulatory action with respect to the substance.</w:t>
      </w:r>
    </w:p>
    <w:p w14:paraId="4D48914D" w14:textId="77777777" w:rsidR="00164BC5" w:rsidRPr="000B4D89" w:rsidRDefault="00164BC5" w:rsidP="000B4D89">
      <w:pPr>
        <w:pStyle w:val="NoSpacing"/>
        <w:rPr>
          <w:rFonts w:ascii="Times New Roman" w:hAnsi="Times New Roman"/>
          <w:sz w:val="24"/>
          <w:szCs w:val="24"/>
        </w:rPr>
      </w:pPr>
    </w:p>
    <w:p w14:paraId="73FB17C7"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On December 16, 1980, EPA promulgated a rule implementing TSCA section 12(b) (45 </w:t>
      </w:r>
      <w:r w:rsidRPr="000B4D89">
        <w:rPr>
          <w:rFonts w:ascii="Times New Roman" w:hAnsi="Times New Roman"/>
          <w:sz w:val="24"/>
          <w:szCs w:val="24"/>
          <w:u w:val="single"/>
        </w:rPr>
        <w:t>FR</w:t>
      </w:r>
      <w:r w:rsidRPr="000B4D89">
        <w:rPr>
          <w:rFonts w:ascii="Times New Roman" w:hAnsi="Times New Roman"/>
          <w:sz w:val="24"/>
          <w:szCs w:val="24"/>
        </w:rPr>
        <w:t xml:space="preserve"> 82844).  This final rule requires exporters to submit an annual notice for each country to which a chemical subject to TSCA section 12(b) requirements is exported.  EPA amended the regulations in July 1993 and November 2006 to reduce the overall burden of the statutory mandate on exporters (58 </w:t>
      </w:r>
      <w:r w:rsidRPr="000B4D89">
        <w:rPr>
          <w:rFonts w:ascii="Times New Roman" w:hAnsi="Times New Roman"/>
          <w:sz w:val="24"/>
          <w:szCs w:val="24"/>
          <w:u w:val="single"/>
        </w:rPr>
        <w:t>FR</w:t>
      </w:r>
      <w:r w:rsidRPr="000B4D89">
        <w:rPr>
          <w:rFonts w:ascii="Times New Roman" w:hAnsi="Times New Roman"/>
          <w:sz w:val="24"/>
          <w:szCs w:val="24"/>
        </w:rPr>
        <w:t xml:space="preserve"> 40242, July 27, 1993; 71 </w:t>
      </w:r>
      <w:r w:rsidRPr="000B4D89">
        <w:rPr>
          <w:rFonts w:ascii="Times New Roman" w:hAnsi="Times New Roman"/>
          <w:sz w:val="24"/>
          <w:szCs w:val="24"/>
          <w:u w:val="single"/>
        </w:rPr>
        <w:t>FR</w:t>
      </w:r>
      <w:r w:rsidRPr="000B4D89">
        <w:rPr>
          <w:rFonts w:ascii="Times New Roman" w:hAnsi="Times New Roman"/>
          <w:sz w:val="24"/>
          <w:szCs w:val="24"/>
        </w:rPr>
        <w:t xml:space="preserve"> 66324, Nov. 14, 2006). Among other things, the amendments reduced the notification requirements for exporters of chemicals subject to certain actions under TSCA sections 4 and 5 from an annual notification to a one-time notification for the first export to a particular country. Exports of chemicals subject to TSCA sections 5(f), 6, and 7 actions still require submission of annual export notifications to EPA, however. The 2006 amendments also set </w:t>
      </w:r>
      <w:r w:rsidRPr="000B4D89">
        <w:rPr>
          <w:rFonts w:ascii="Times New Roman" w:hAnsi="Times New Roman"/>
          <w:i/>
          <w:sz w:val="24"/>
          <w:szCs w:val="24"/>
        </w:rPr>
        <w:t>de minimus</w:t>
      </w:r>
      <w:r w:rsidRPr="000B4D89">
        <w:rPr>
          <w:rFonts w:ascii="Times New Roman" w:hAnsi="Times New Roman"/>
          <w:sz w:val="24"/>
          <w:szCs w:val="24"/>
        </w:rPr>
        <w:t xml:space="preserve"> concentration levels below which notification would not be required and clarified that a single export notification may refer to more than one section of TSCA where the exported chemical is the subject of multiple TSCA actions. These rules are codified at 40 CFR Part 707, Subpart D.</w:t>
      </w:r>
    </w:p>
    <w:p w14:paraId="02CC2136" w14:textId="77777777" w:rsidR="00164BC5" w:rsidRPr="000B4D89" w:rsidRDefault="00164BC5" w:rsidP="000B4D89">
      <w:pPr>
        <w:pStyle w:val="NoSpacing"/>
        <w:rPr>
          <w:rFonts w:ascii="Times New Roman" w:hAnsi="Times New Roman"/>
          <w:sz w:val="24"/>
          <w:szCs w:val="24"/>
        </w:rPr>
      </w:pPr>
    </w:p>
    <w:p w14:paraId="6C22C817"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export notice must include five easily ascertainable items: the name and address of the exporter, the name of the chemical, the country of import, the date of export or intended export, and the section of TSCA under which EPA has taken action (section 4, 5, 6 or 7).  There are currently over 1,000 substances or categories of substances that have been regulated or proposed to be regulated under the applicable sections of TSCA.</w:t>
      </w:r>
    </w:p>
    <w:p w14:paraId="0D631265" w14:textId="77777777" w:rsidR="00164BC5" w:rsidRPr="000B4D89" w:rsidRDefault="00164BC5" w:rsidP="000B4D89">
      <w:pPr>
        <w:pStyle w:val="NoSpacing"/>
        <w:rPr>
          <w:rFonts w:ascii="Times New Roman" w:hAnsi="Times New Roman"/>
          <w:sz w:val="24"/>
          <w:szCs w:val="24"/>
        </w:rPr>
      </w:pPr>
    </w:p>
    <w:p w14:paraId="2CC576CC"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In an effort to further reduce the information collection burden for TSCA section 12(b) export notification, EPA's Office of Pollution Prevention and Toxics (OPPT) developed and made available to the public on its website in 2001 a list of chemical substances subject to TSCA section 12(b) export notification requirements (see “Current List of Chemical Substances Subject to TSCA Section12(b) Export Notification Requirements” at: </w:t>
      </w:r>
      <w:hyperlink r:id="rId9" w:history="1">
        <w:r w:rsidRPr="000B4D89">
          <w:rPr>
            <w:rStyle w:val="Hyperlink"/>
            <w:rFonts w:ascii="Times New Roman" w:hAnsi="Times New Roman"/>
            <w:sz w:val="24"/>
            <w:szCs w:val="24"/>
          </w:rPr>
          <w:t>http://www.epa.gov/oppt/import-export/pubs/12_b_listFinal_08-21-2012.pdf</w:t>
        </w:r>
      </w:hyperlink>
      <w:r w:rsidRPr="000B4D89">
        <w:rPr>
          <w:rFonts w:ascii="Times New Roman" w:hAnsi="Times New Roman"/>
          <w:sz w:val="24"/>
          <w:szCs w:val="24"/>
        </w:rPr>
        <w:t xml:space="preserve">).  In addition, OPPT made available in 2001 a comprehensive listing of the “sunset” dates for chemical substances subject to TSCA section 4 actions (i.e., the dates on which the TSCA section 4 testing, reimbursement, and reporting requirements and/or TSCA section 4-triggered TSCA section 12(b) export notification requirements have terminated (“sunset”) or have been calculated to sunset) (see “Sunset Date/Status of TSCA Section 4 Testing, Reimbursement, and Reporting Requirements and </w:t>
      </w:r>
      <w:r w:rsidRPr="000B4D89">
        <w:rPr>
          <w:rFonts w:ascii="Times New Roman" w:hAnsi="Times New Roman"/>
          <w:sz w:val="24"/>
          <w:szCs w:val="24"/>
        </w:rPr>
        <w:lastRenderedPageBreak/>
        <w:t xml:space="preserve">TSCA Section 4-Triggered TSCA Section 12(b) Export Notification Requirements” at: </w:t>
      </w:r>
      <w:hyperlink r:id="rId10" w:history="1">
        <w:r w:rsidRPr="000B4D89">
          <w:rPr>
            <w:rStyle w:val="Hyperlink"/>
            <w:rFonts w:ascii="Times New Roman" w:hAnsi="Times New Roman"/>
            <w:sz w:val="24"/>
            <w:szCs w:val="24"/>
          </w:rPr>
          <w:t>http://www.epa.gov/opptintr/chemtest/pubs/sunsettable.html</w:t>
        </w:r>
      </w:hyperlink>
      <w:r w:rsidRPr="000B4D89">
        <w:rPr>
          <w:rFonts w:ascii="Times New Roman" w:hAnsi="Times New Roman"/>
          <w:sz w:val="24"/>
          <w:szCs w:val="24"/>
        </w:rPr>
        <w:t>).  EPA believes that these lists, long recommended by industry, serve as useful tools to assist industry in complying with TSCA and have resulted in an overall reduction of the information collection burden.</w:t>
      </w:r>
    </w:p>
    <w:p w14:paraId="2E6B3C3D" w14:textId="77777777" w:rsidR="00164BC5" w:rsidRPr="000B4D89" w:rsidRDefault="00164BC5" w:rsidP="000B4D89">
      <w:pPr>
        <w:pStyle w:val="NoSpacing"/>
        <w:rPr>
          <w:rFonts w:ascii="Times New Roman" w:hAnsi="Times New Roman"/>
          <w:sz w:val="24"/>
          <w:szCs w:val="24"/>
        </w:rPr>
      </w:pPr>
    </w:p>
    <w:p w14:paraId="62F2B89D" w14:textId="5EB33AFD"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Finally, this paragraph identifies EPA actions that are anticipated to occur during the collection period that could affect the information requirements and burden.  During the collection period covered by this ICR renewal</w:t>
      </w:r>
      <w:r w:rsidR="006531CF">
        <w:rPr>
          <w:rFonts w:ascii="Times New Roman" w:hAnsi="Times New Roman"/>
          <w:sz w:val="24"/>
          <w:szCs w:val="24"/>
        </w:rPr>
        <w:t>/reinstatement</w:t>
      </w:r>
      <w:r w:rsidRPr="000B4D89">
        <w:rPr>
          <w:rFonts w:ascii="Times New Roman" w:hAnsi="Times New Roman"/>
          <w:sz w:val="24"/>
          <w:szCs w:val="24"/>
        </w:rPr>
        <w:t>, a number of actions under TSCA sections 4, 5, and 6 are anticipated that will trigger export notification under TSCA section 12(b).  Of course, should any of these anticipated actions impact this ICR, EPA will follow appropriate procedures to amend this ICR, as appropriate.</w:t>
      </w:r>
    </w:p>
    <w:p w14:paraId="14A151AE" w14:textId="77777777" w:rsidR="00164BC5" w:rsidRPr="000B4D89" w:rsidRDefault="00164BC5" w:rsidP="000B4D89">
      <w:pPr>
        <w:pStyle w:val="NoSpacing"/>
        <w:rPr>
          <w:rFonts w:ascii="Times New Roman" w:hAnsi="Times New Roman"/>
          <w:sz w:val="24"/>
          <w:szCs w:val="24"/>
        </w:rPr>
      </w:pPr>
    </w:p>
    <w:p w14:paraId="0BC7303E" w14:textId="77777777" w:rsidR="00164BC5" w:rsidRPr="000B4D89" w:rsidRDefault="00164BC5" w:rsidP="000B4D89">
      <w:pPr>
        <w:pStyle w:val="NoSpacing"/>
        <w:rPr>
          <w:rFonts w:ascii="Times New Roman" w:hAnsi="Times New Roman"/>
          <w:sz w:val="24"/>
          <w:szCs w:val="24"/>
        </w:rPr>
      </w:pPr>
    </w:p>
    <w:p w14:paraId="73927E8E"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2</w:t>
      </w:r>
      <w:r w:rsidRPr="000B4D89">
        <w:rPr>
          <w:rFonts w:ascii="Times New Roman" w:hAnsi="Times New Roman"/>
          <w:b/>
          <w:sz w:val="24"/>
          <w:szCs w:val="24"/>
        </w:rPr>
        <w:tab/>
        <w:t>NEED FOR AND USE OF THE COLLECTION</w:t>
      </w:r>
    </w:p>
    <w:p w14:paraId="560E0B17" w14:textId="77777777" w:rsidR="00164BC5" w:rsidRPr="000B4D89" w:rsidRDefault="00164BC5" w:rsidP="000B4D89">
      <w:pPr>
        <w:pStyle w:val="NoSpacing"/>
        <w:rPr>
          <w:rFonts w:ascii="Times New Roman" w:hAnsi="Times New Roman"/>
          <w:b/>
          <w:sz w:val="24"/>
          <w:szCs w:val="24"/>
        </w:rPr>
      </w:pPr>
    </w:p>
    <w:p w14:paraId="73CC54C8"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b/>
          <w:sz w:val="24"/>
          <w:szCs w:val="24"/>
        </w:rPr>
        <w:tab/>
        <w:t>2(a)</w:t>
      </w:r>
      <w:r w:rsidRPr="000B4D89">
        <w:rPr>
          <w:rFonts w:ascii="Times New Roman" w:hAnsi="Times New Roman"/>
          <w:b/>
          <w:sz w:val="24"/>
          <w:szCs w:val="24"/>
        </w:rPr>
        <w:tab/>
        <w:t>Need/Authority for the Collection</w:t>
      </w:r>
    </w:p>
    <w:p w14:paraId="00DD7E49" w14:textId="77777777" w:rsidR="00164BC5" w:rsidRPr="000B4D89" w:rsidRDefault="00164BC5" w:rsidP="000B4D89">
      <w:pPr>
        <w:pStyle w:val="NoSpacing"/>
        <w:rPr>
          <w:rFonts w:ascii="Times New Roman" w:hAnsi="Times New Roman"/>
          <w:sz w:val="24"/>
          <w:szCs w:val="24"/>
        </w:rPr>
      </w:pPr>
    </w:p>
    <w:p w14:paraId="4C427349"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TSCA section 12(b) requires exporters to submit a notice for each country to which a chemical subject to TSCA section 12(b) requirements is exported.  Specifically, TSCA section 12(b) states, in part, that any person who exports or intends to export to a foreign country a chemical substance or mixture for which submission of data is required under TSCA section 4 or 5(b), or for which a rule, action or order has been proposed or promulgated under TSCA section 5, 6, or 7, shall notify the EPA Administrator of such export or intent to export.  The Administrator in turn will notify the government of the importing country of the notice and of EPA’s regulatory action with respect to the substance.  See Attachment 1 for exact language of TSCA section 12(b), 15 U.S.C. 2611(b).</w:t>
      </w:r>
    </w:p>
    <w:p w14:paraId="2C4D9D46" w14:textId="77777777" w:rsidR="00164BC5" w:rsidRPr="000B4D89" w:rsidRDefault="00164BC5" w:rsidP="000B4D89">
      <w:pPr>
        <w:pStyle w:val="NoSpacing"/>
        <w:rPr>
          <w:rFonts w:ascii="Times New Roman" w:hAnsi="Times New Roman"/>
          <w:sz w:val="24"/>
          <w:szCs w:val="24"/>
        </w:rPr>
      </w:pPr>
    </w:p>
    <w:p w14:paraId="38975EFF"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Regulations implementing the statutory mandate in TSCA section 12(b) appear in 40 CFR Part 707, Subpart D, and include the following additional provisions: </w:t>
      </w:r>
    </w:p>
    <w:p w14:paraId="22242AF0" w14:textId="77777777" w:rsidR="00164BC5" w:rsidRPr="000B4D89" w:rsidRDefault="00164BC5" w:rsidP="000B4D89">
      <w:pPr>
        <w:pStyle w:val="NoSpacing"/>
        <w:rPr>
          <w:rFonts w:ascii="Times New Roman" w:hAnsi="Times New Roman"/>
          <w:sz w:val="24"/>
          <w:szCs w:val="24"/>
        </w:rPr>
      </w:pPr>
    </w:p>
    <w:p w14:paraId="60900BE8"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No notice of export will be required for articles, except PCB articles, unless the Agency so requires in the context of individual TSCA section 5, 6, or 7 actions.</w:t>
      </w:r>
    </w:p>
    <w:p w14:paraId="1125B181" w14:textId="77777777" w:rsidR="00164BC5" w:rsidRPr="000B4D89" w:rsidRDefault="00164BC5" w:rsidP="000B4D89">
      <w:pPr>
        <w:pStyle w:val="NoSpacing"/>
        <w:rPr>
          <w:rFonts w:ascii="Times New Roman" w:hAnsi="Times New Roman"/>
          <w:sz w:val="24"/>
          <w:szCs w:val="24"/>
        </w:rPr>
      </w:pPr>
    </w:p>
    <w:p w14:paraId="6E175CC1"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Any person who exports or intends to export polychlorinated biphenyls (PCBs) or PCB articles, for any purpose other than disposal, shall notify EPA of such intent or exportation under TSCA section 12(b).  PCBs and PCB articles have the definitions published in 40 CFR 761.3.</w:t>
      </w:r>
    </w:p>
    <w:p w14:paraId="114E4F7A" w14:textId="77777777" w:rsidR="00164BC5" w:rsidRPr="000B4D89" w:rsidRDefault="00164BC5" w:rsidP="000B4D89">
      <w:pPr>
        <w:pStyle w:val="NoSpacing"/>
        <w:rPr>
          <w:rFonts w:ascii="Times New Roman" w:hAnsi="Times New Roman"/>
          <w:sz w:val="24"/>
          <w:szCs w:val="24"/>
        </w:rPr>
      </w:pPr>
    </w:p>
    <w:p w14:paraId="044BBC70"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Any person who would be prohibited by a TSCA section 5 or 6 regulation from exporting a chemical substance or mixture, but who is granted an exemption by EPA to export that chemical substance or mixture, shall notify EPA under TSCA section 12(b) of such intent to export or exportation.</w:t>
      </w:r>
    </w:p>
    <w:p w14:paraId="6888C23E"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An exporter will be subject to possible enforcement action (including penalties) for not complying with the applicable provisions of TSCA section 12(b).</w:t>
      </w:r>
    </w:p>
    <w:p w14:paraId="6190AF25" w14:textId="77777777" w:rsidR="00164BC5" w:rsidRPr="000B4D89" w:rsidRDefault="00164BC5" w:rsidP="000B4D89">
      <w:pPr>
        <w:pStyle w:val="NoSpacing"/>
        <w:rPr>
          <w:rFonts w:ascii="Times New Roman" w:hAnsi="Times New Roman"/>
          <w:sz w:val="24"/>
          <w:szCs w:val="24"/>
        </w:rPr>
      </w:pPr>
    </w:p>
    <w:p w14:paraId="069C0A7E"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full text of 40 CFR part 707 is provided in Attachment 2.</w:t>
      </w:r>
    </w:p>
    <w:p w14:paraId="2B4B3467" w14:textId="77777777" w:rsidR="00164BC5" w:rsidRPr="000B4D89" w:rsidRDefault="00164BC5" w:rsidP="000B4D89">
      <w:pPr>
        <w:pStyle w:val="NoSpacing"/>
        <w:rPr>
          <w:rFonts w:ascii="Times New Roman" w:hAnsi="Times New Roman"/>
          <w:sz w:val="24"/>
          <w:szCs w:val="24"/>
        </w:rPr>
      </w:pPr>
    </w:p>
    <w:p w14:paraId="7F2628D5" w14:textId="77777777" w:rsidR="00375BC7" w:rsidRPr="000B4D89" w:rsidRDefault="00375BC7" w:rsidP="000B4D89">
      <w:pPr>
        <w:pStyle w:val="NoSpacing"/>
        <w:rPr>
          <w:rFonts w:ascii="Times New Roman" w:hAnsi="Times New Roman"/>
          <w:sz w:val="24"/>
          <w:szCs w:val="24"/>
        </w:rPr>
      </w:pPr>
      <w:r w:rsidRPr="000B4D89">
        <w:rPr>
          <w:rFonts w:ascii="Times New Roman" w:hAnsi="Times New Roman"/>
          <w:sz w:val="24"/>
          <w:szCs w:val="24"/>
        </w:rPr>
        <w:br w:type="page"/>
      </w:r>
    </w:p>
    <w:p w14:paraId="75F97647"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lastRenderedPageBreak/>
        <w:tab/>
      </w:r>
      <w:r w:rsidRPr="000B4D89">
        <w:rPr>
          <w:rFonts w:ascii="Times New Roman" w:hAnsi="Times New Roman"/>
          <w:b/>
          <w:sz w:val="24"/>
          <w:szCs w:val="24"/>
        </w:rPr>
        <w:t>2(b)</w:t>
      </w:r>
      <w:r w:rsidRPr="000B4D89">
        <w:rPr>
          <w:rFonts w:ascii="Times New Roman" w:hAnsi="Times New Roman"/>
          <w:b/>
          <w:sz w:val="24"/>
          <w:szCs w:val="24"/>
        </w:rPr>
        <w:tab/>
        <w:t>Use/Users of the Data</w:t>
      </w:r>
    </w:p>
    <w:p w14:paraId="7E3B6837" w14:textId="77777777" w:rsidR="00164BC5" w:rsidRPr="000B4D89" w:rsidRDefault="00164BC5" w:rsidP="000B4D89">
      <w:pPr>
        <w:pStyle w:val="NoSpacing"/>
        <w:rPr>
          <w:rFonts w:ascii="Times New Roman" w:hAnsi="Times New Roman"/>
          <w:sz w:val="24"/>
          <w:szCs w:val="24"/>
        </w:rPr>
      </w:pPr>
    </w:p>
    <w:p w14:paraId="481A11DF"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As required by TSCA section 12(b), the Administrator will use the information collected under this ICR to furnish the required notice to the government of the importing country.  The importing country typically uses the information provided to ensure that chemicals imported into their country comply with their laws and regulations.</w:t>
      </w:r>
    </w:p>
    <w:p w14:paraId="2B2C76A6" w14:textId="77777777" w:rsidR="00164BC5" w:rsidRPr="000B4D89" w:rsidRDefault="00164BC5" w:rsidP="000B4D89">
      <w:pPr>
        <w:pStyle w:val="NoSpacing"/>
        <w:rPr>
          <w:rFonts w:ascii="Times New Roman" w:hAnsi="Times New Roman"/>
          <w:sz w:val="24"/>
          <w:szCs w:val="24"/>
        </w:rPr>
      </w:pPr>
    </w:p>
    <w:p w14:paraId="63D08197" w14:textId="77777777" w:rsidR="00164BC5" w:rsidRPr="000B4D89" w:rsidRDefault="00164BC5" w:rsidP="000B4D89">
      <w:pPr>
        <w:pStyle w:val="NoSpacing"/>
        <w:rPr>
          <w:rFonts w:ascii="Times New Roman" w:hAnsi="Times New Roman"/>
          <w:sz w:val="24"/>
          <w:szCs w:val="24"/>
        </w:rPr>
      </w:pPr>
    </w:p>
    <w:p w14:paraId="51085C0A"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3</w:t>
      </w:r>
      <w:r w:rsidRPr="000B4D89">
        <w:rPr>
          <w:rFonts w:ascii="Times New Roman" w:hAnsi="Times New Roman"/>
          <w:b/>
          <w:sz w:val="24"/>
          <w:szCs w:val="24"/>
        </w:rPr>
        <w:tab/>
        <w:t>NON-DUPLICATION, CONSULTATIONS, AND OTHER COLLECTION CRITERIA</w:t>
      </w:r>
    </w:p>
    <w:p w14:paraId="48BFD1D6" w14:textId="77777777" w:rsidR="00164BC5" w:rsidRPr="000B4D89" w:rsidRDefault="00164BC5" w:rsidP="000B4D89">
      <w:pPr>
        <w:pStyle w:val="NoSpacing"/>
        <w:rPr>
          <w:rFonts w:ascii="Times New Roman" w:hAnsi="Times New Roman"/>
          <w:b/>
          <w:sz w:val="24"/>
          <w:szCs w:val="24"/>
        </w:rPr>
      </w:pPr>
    </w:p>
    <w:p w14:paraId="01E1CF4B" w14:textId="77777777" w:rsidR="00164BC5" w:rsidRPr="000B4D89" w:rsidRDefault="00164BC5" w:rsidP="000B4D89">
      <w:pPr>
        <w:pStyle w:val="NoSpacing"/>
        <w:ind w:firstLine="720"/>
        <w:rPr>
          <w:rFonts w:ascii="Times New Roman" w:hAnsi="Times New Roman"/>
          <w:b/>
          <w:sz w:val="24"/>
          <w:szCs w:val="24"/>
        </w:rPr>
      </w:pPr>
      <w:r w:rsidRPr="000B4D89">
        <w:rPr>
          <w:rFonts w:ascii="Times New Roman" w:hAnsi="Times New Roman"/>
          <w:b/>
          <w:sz w:val="24"/>
          <w:szCs w:val="24"/>
        </w:rPr>
        <w:t>3(a)</w:t>
      </w:r>
      <w:r w:rsidRPr="000B4D89">
        <w:rPr>
          <w:rFonts w:ascii="Times New Roman" w:hAnsi="Times New Roman"/>
          <w:b/>
          <w:sz w:val="24"/>
          <w:szCs w:val="24"/>
        </w:rPr>
        <w:tab/>
        <w:t>Non-Duplication</w:t>
      </w:r>
    </w:p>
    <w:p w14:paraId="4EDA2DD6" w14:textId="77777777" w:rsidR="00164BC5" w:rsidRPr="000B4D89" w:rsidRDefault="00164BC5" w:rsidP="000B4D89">
      <w:pPr>
        <w:pStyle w:val="NoSpacing"/>
        <w:rPr>
          <w:rFonts w:ascii="Times New Roman" w:hAnsi="Times New Roman"/>
          <w:sz w:val="24"/>
          <w:szCs w:val="24"/>
        </w:rPr>
      </w:pPr>
    </w:p>
    <w:p w14:paraId="231D506D"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exporter submits one notice to EPA.  There is no duplication of this mandate or collection activity, and there are no viable alternate sources for the Agency to obtain the information necessary to satisfy the statutory mandate.</w:t>
      </w:r>
    </w:p>
    <w:p w14:paraId="36A31C5F" w14:textId="77777777" w:rsidR="00164BC5" w:rsidRPr="000B4D89" w:rsidRDefault="00164BC5" w:rsidP="000B4D89">
      <w:pPr>
        <w:pStyle w:val="NoSpacing"/>
        <w:rPr>
          <w:rFonts w:ascii="Times New Roman" w:hAnsi="Times New Roman"/>
          <w:sz w:val="24"/>
          <w:szCs w:val="24"/>
        </w:rPr>
      </w:pPr>
    </w:p>
    <w:p w14:paraId="2A8439E3"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Agency carefully considered alternatives to imposing a notification requirement on the chemical exporters, but no viable alternate sources were identified that would accomplish what the statue requires or provide the required information as specified in the statute.  Prior to promulgating the TSCA section 12(b) rule, EPA considered the possibility of using export data gathered by the Bureau of the Census in lieu of imposing notification requirements in a TSCA section 12(b) rule.  However, several problems with the Census data continue to make such an approach impractical.  These problems include, among others, the fact that Census data are often not chemical-specific; Census exempts certain shipments and exporters that are not exempt from TSCA section 12(b) notifications; and Census data would not be available for up to eight weeks following export, a delay that would prevent EPA from providing an importing government the timely notice required by TSCA section 12(b).</w:t>
      </w:r>
    </w:p>
    <w:p w14:paraId="2DAD76FB" w14:textId="77777777" w:rsidR="00164BC5" w:rsidRPr="000B4D89" w:rsidRDefault="00164BC5" w:rsidP="000B4D89">
      <w:pPr>
        <w:pStyle w:val="NoSpacing"/>
        <w:rPr>
          <w:rFonts w:ascii="Times New Roman" w:hAnsi="Times New Roman"/>
          <w:sz w:val="24"/>
          <w:szCs w:val="24"/>
        </w:rPr>
      </w:pPr>
    </w:p>
    <w:p w14:paraId="72BA59E4"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In addition, the Agency’s activities are not duplicative of any other agency’s actions.  Importing countries do not receive such notifications from any other sources.</w:t>
      </w:r>
    </w:p>
    <w:p w14:paraId="72177071" w14:textId="77777777" w:rsidR="00164BC5" w:rsidRPr="000B4D89" w:rsidRDefault="00164BC5" w:rsidP="000B4D89">
      <w:pPr>
        <w:pStyle w:val="NoSpacing"/>
        <w:rPr>
          <w:rFonts w:ascii="Times New Roman" w:hAnsi="Times New Roman"/>
          <w:sz w:val="24"/>
          <w:szCs w:val="24"/>
        </w:rPr>
      </w:pPr>
    </w:p>
    <w:p w14:paraId="08419F8E"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3(b)</w:t>
      </w:r>
      <w:r w:rsidRPr="000B4D89">
        <w:rPr>
          <w:rFonts w:ascii="Times New Roman" w:hAnsi="Times New Roman"/>
          <w:b/>
          <w:sz w:val="24"/>
          <w:szCs w:val="24"/>
        </w:rPr>
        <w:tab/>
        <w:t>Public Notice Required Prior to ICR Submission to OMB</w:t>
      </w:r>
    </w:p>
    <w:p w14:paraId="5892D1D7" w14:textId="77777777" w:rsidR="00164BC5" w:rsidRPr="000B4D89" w:rsidRDefault="00164BC5" w:rsidP="000B4D89">
      <w:pPr>
        <w:pStyle w:val="NoSpacing"/>
        <w:rPr>
          <w:rFonts w:ascii="Times New Roman" w:hAnsi="Times New Roman"/>
          <w:sz w:val="24"/>
          <w:szCs w:val="24"/>
        </w:rPr>
      </w:pPr>
    </w:p>
    <w:p w14:paraId="13891B58" w14:textId="1CEAE4D0"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008D2ADD" w:rsidRPr="000B4D89">
        <w:rPr>
          <w:rFonts w:ascii="Times New Roman" w:hAnsi="Times New Roman"/>
          <w:sz w:val="24"/>
          <w:szCs w:val="24"/>
          <w:lang w:val="en-CA"/>
        </w:rPr>
        <w:fldChar w:fldCharType="begin"/>
      </w:r>
      <w:r w:rsidRPr="000B4D89">
        <w:rPr>
          <w:rFonts w:ascii="Times New Roman" w:hAnsi="Times New Roman"/>
          <w:sz w:val="24"/>
          <w:szCs w:val="24"/>
          <w:lang w:val="en-CA"/>
        </w:rPr>
        <w:instrText xml:space="preserve"> SEQ CHAPTER \h \r 1</w:instrText>
      </w:r>
      <w:r w:rsidR="008D2ADD" w:rsidRPr="000B4D89">
        <w:rPr>
          <w:rFonts w:ascii="Times New Roman" w:hAnsi="Times New Roman"/>
          <w:sz w:val="24"/>
          <w:szCs w:val="24"/>
          <w:lang w:val="en-CA"/>
        </w:rPr>
        <w:fldChar w:fldCharType="end"/>
      </w:r>
      <w:r w:rsidRPr="000B4D89">
        <w:rPr>
          <w:rFonts w:ascii="Times New Roman" w:hAnsi="Times New Roman"/>
          <w:sz w:val="24"/>
          <w:szCs w:val="24"/>
        </w:rPr>
        <w:t xml:space="preserve"> </w:t>
      </w:r>
      <w:r w:rsidR="00753D6A" w:rsidRPr="00753D6A">
        <w:rPr>
          <w:rFonts w:ascii="Times New Roman" w:hAnsi="Times New Roman"/>
          <w:sz w:val="24"/>
          <w:szCs w:val="24"/>
          <w:lang w:val="en-CA"/>
        </w:rPr>
        <w:t>In proposing to renew</w:t>
      </w:r>
      <w:r w:rsidR="006531CF">
        <w:rPr>
          <w:rFonts w:ascii="Times New Roman" w:hAnsi="Times New Roman"/>
          <w:sz w:val="24"/>
          <w:szCs w:val="24"/>
          <w:lang w:val="en-CA"/>
        </w:rPr>
        <w:t>/reinstate</w:t>
      </w:r>
      <w:r w:rsidR="00753D6A" w:rsidRPr="00753D6A">
        <w:rPr>
          <w:rFonts w:ascii="Times New Roman" w:hAnsi="Times New Roman"/>
          <w:sz w:val="24"/>
          <w:szCs w:val="24"/>
          <w:lang w:val="en-CA"/>
        </w:rPr>
        <w:t xml:space="preserve"> this ICR, EPA provided a 60-day public notice and comment period that ended on December </w:t>
      </w:r>
      <w:r w:rsidR="00753D6A">
        <w:rPr>
          <w:rFonts w:ascii="Times New Roman" w:hAnsi="Times New Roman"/>
          <w:sz w:val="24"/>
          <w:szCs w:val="24"/>
          <w:lang w:val="en-CA"/>
        </w:rPr>
        <w:t>28</w:t>
      </w:r>
      <w:r w:rsidR="00753D6A" w:rsidRPr="00753D6A">
        <w:rPr>
          <w:rFonts w:ascii="Times New Roman" w:hAnsi="Times New Roman"/>
          <w:sz w:val="24"/>
          <w:szCs w:val="24"/>
          <w:lang w:val="en-CA"/>
        </w:rPr>
        <w:t xml:space="preserve">, 2015 (80 FR </w:t>
      </w:r>
      <w:r w:rsidR="00753D6A">
        <w:rPr>
          <w:rFonts w:ascii="Times New Roman" w:hAnsi="Times New Roman"/>
          <w:sz w:val="24"/>
          <w:szCs w:val="24"/>
          <w:lang w:val="en-CA"/>
        </w:rPr>
        <w:t>66000</w:t>
      </w:r>
      <w:r w:rsidR="00753D6A" w:rsidRPr="00753D6A">
        <w:rPr>
          <w:rFonts w:ascii="Times New Roman" w:hAnsi="Times New Roman"/>
          <w:sz w:val="24"/>
          <w:szCs w:val="24"/>
          <w:lang w:val="en-CA"/>
        </w:rPr>
        <w:t>, October 2</w:t>
      </w:r>
      <w:r w:rsidR="00753D6A">
        <w:rPr>
          <w:rFonts w:ascii="Times New Roman" w:hAnsi="Times New Roman"/>
          <w:sz w:val="24"/>
          <w:szCs w:val="24"/>
          <w:lang w:val="en-CA"/>
        </w:rPr>
        <w:t>8</w:t>
      </w:r>
      <w:r w:rsidR="00753D6A" w:rsidRPr="00753D6A">
        <w:rPr>
          <w:rFonts w:ascii="Times New Roman" w:hAnsi="Times New Roman"/>
          <w:sz w:val="24"/>
          <w:szCs w:val="24"/>
          <w:lang w:val="en-CA"/>
        </w:rPr>
        <w:t xml:space="preserve">, 2015). EPA received </w:t>
      </w:r>
      <w:r w:rsidR="00753D6A">
        <w:rPr>
          <w:rFonts w:ascii="Times New Roman" w:hAnsi="Times New Roman"/>
          <w:sz w:val="24"/>
          <w:szCs w:val="24"/>
          <w:lang w:val="en-CA"/>
        </w:rPr>
        <w:t>one</w:t>
      </w:r>
      <w:r w:rsidR="00753D6A" w:rsidRPr="00753D6A">
        <w:rPr>
          <w:rFonts w:ascii="Times New Roman" w:hAnsi="Times New Roman"/>
          <w:sz w:val="24"/>
          <w:szCs w:val="24"/>
          <w:lang w:val="en-CA"/>
        </w:rPr>
        <w:t xml:space="preserve"> comment, from </w:t>
      </w:r>
      <w:r w:rsidR="00753D6A">
        <w:rPr>
          <w:rFonts w:ascii="Times New Roman" w:hAnsi="Times New Roman"/>
          <w:sz w:val="24"/>
          <w:szCs w:val="24"/>
          <w:lang w:val="en-CA"/>
        </w:rPr>
        <w:t xml:space="preserve">the American Petroleum Institute (API), during the comment period. </w:t>
      </w:r>
      <w:r w:rsidR="00753D6A" w:rsidRPr="00753D6A">
        <w:rPr>
          <w:rFonts w:ascii="Times New Roman" w:hAnsi="Times New Roman"/>
          <w:sz w:val="24"/>
          <w:szCs w:val="24"/>
          <w:lang w:val="en-CA"/>
        </w:rPr>
        <w:t>A copy of the comment</w:t>
      </w:r>
      <w:r w:rsidR="00753D6A">
        <w:rPr>
          <w:rFonts w:ascii="Times New Roman" w:hAnsi="Times New Roman"/>
          <w:sz w:val="24"/>
          <w:szCs w:val="24"/>
          <w:lang w:val="en-CA"/>
        </w:rPr>
        <w:t xml:space="preserve"> </w:t>
      </w:r>
      <w:r w:rsidR="00753D6A" w:rsidRPr="00753D6A">
        <w:rPr>
          <w:rFonts w:ascii="Times New Roman" w:hAnsi="Times New Roman"/>
          <w:sz w:val="24"/>
          <w:szCs w:val="24"/>
          <w:lang w:val="en-CA"/>
        </w:rPr>
        <w:t>and</w:t>
      </w:r>
      <w:r w:rsidR="00753D6A">
        <w:rPr>
          <w:rFonts w:ascii="Times New Roman" w:hAnsi="Times New Roman"/>
          <w:sz w:val="24"/>
          <w:szCs w:val="24"/>
          <w:lang w:val="en-CA"/>
        </w:rPr>
        <w:t xml:space="preserve"> EPA’s response to the comment are included as Attachments 3 and 4, respectively</w:t>
      </w:r>
      <w:r w:rsidR="00753D6A" w:rsidRPr="00753D6A">
        <w:rPr>
          <w:rFonts w:ascii="Times New Roman" w:hAnsi="Times New Roman"/>
          <w:sz w:val="24"/>
          <w:szCs w:val="24"/>
          <w:lang w:val="en-CA"/>
        </w:rPr>
        <w:t>.</w:t>
      </w:r>
    </w:p>
    <w:p w14:paraId="0DEACA93" w14:textId="77777777" w:rsidR="00164BC5" w:rsidRPr="000B4D89" w:rsidRDefault="00164BC5" w:rsidP="000B4D89">
      <w:pPr>
        <w:pStyle w:val="NoSpacing"/>
        <w:rPr>
          <w:rFonts w:ascii="Times New Roman" w:hAnsi="Times New Roman"/>
          <w:sz w:val="24"/>
          <w:szCs w:val="24"/>
        </w:rPr>
      </w:pPr>
    </w:p>
    <w:p w14:paraId="036A2772" w14:textId="77777777" w:rsidR="00164BC5" w:rsidRPr="000B4D89" w:rsidRDefault="00164BC5" w:rsidP="000B4D89">
      <w:pPr>
        <w:pStyle w:val="NoSpacing"/>
        <w:ind w:firstLine="720"/>
        <w:rPr>
          <w:rFonts w:ascii="Times New Roman" w:hAnsi="Times New Roman"/>
          <w:b/>
          <w:sz w:val="24"/>
          <w:szCs w:val="24"/>
        </w:rPr>
      </w:pPr>
      <w:r w:rsidRPr="000B4D89">
        <w:rPr>
          <w:rFonts w:ascii="Times New Roman" w:hAnsi="Times New Roman"/>
          <w:b/>
          <w:sz w:val="24"/>
          <w:szCs w:val="24"/>
        </w:rPr>
        <w:t>3(c)</w:t>
      </w:r>
      <w:r w:rsidRPr="000B4D89">
        <w:rPr>
          <w:rFonts w:ascii="Times New Roman" w:hAnsi="Times New Roman"/>
          <w:b/>
          <w:sz w:val="24"/>
          <w:szCs w:val="24"/>
        </w:rPr>
        <w:tab/>
        <w:t>Consultations</w:t>
      </w:r>
    </w:p>
    <w:p w14:paraId="1A78032E" w14:textId="77777777" w:rsidR="00164BC5" w:rsidRPr="000B4D89" w:rsidRDefault="00164BC5" w:rsidP="000B4D89">
      <w:pPr>
        <w:pStyle w:val="NoSpacing"/>
        <w:rPr>
          <w:rFonts w:ascii="Times New Roman" w:hAnsi="Times New Roman"/>
          <w:sz w:val="24"/>
          <w:szCs w:val="24"/>
        </w:rPr>
      </w:pPr>
    </w:p>
    <w:p w14:paraId="091EA91F"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Prior to proposing the original 1980 guidance for the submission of TSCA section 12(b) notices, EPA held informal meetings with the Manufacturing Chemists Association (now the American Chemistry Council), and with representatives of the Swedish, Canadian and British governments.  Comments were also received from exporters, environmental groups and foreign governments during the public comment period for the proposal.  Prior to issuance of the final amendments to the export notification requirements in 1993, EPA also met with stakeholders to discuss TSCA section 12(b) requirements and the possible need for some changes to the 1980 rule.  EPA also received and considered comments from exporters, environmental groups and foreign governments during the public comment period for the proposed amendments.  Finally, EPA considered comments received on an amendment to the TSCA section 12(b) export notification requirements proposed in 2006.</w:t>
      </w:r>
    </w:p>
    <w:p w14:paraId="784AC095" w14:textId="77777777" w:rsidR="00164BC5" w:rsidRPr="000B4D89" w:rsidRDefault="00164BC5" w:rsidP="000B4D89">
      <w:pPr>
        <w:pStyle w:val="NoSpacing"/>
        <w:rPr>
          <w:rFonts w:ascii="Times New Roman" w:hAnsi="Times New Roman"/>
          <w:sz w:val="24"/>
          <w:szCs w:val="24"/>
        </w:rPr>
      </w:pPr>
    </w:p>
    <w:p w14:paraId="5D1CFC0F" w14:textId="05E37170" w:rsidR="00164BC5" w:rsidRDefault="00164BC5" w:rsidP="000B4D89">
      <w:pPr>
        <w:pStyle w:val="NoSpacing"/>
        <w:rPr>
          <w:rFonts w:ascii="Times New Roman" w:hAnsi="Times New Roman"/>
          <w:sz w:val="24"/>
          <w:szCs w:val="24"/>
          <w:lang w:val="en-CA"/>
        </w:rPr>
      </w:pPr>
      <w:r w:rsidRPr="000B4D89">
        <w:rPr>
          <w:rFonts w:ascii="Times New Roman" w:hAnsi="Times New Roman"/>
          <w:sz w:val="24"/>
          <w:szCs w:val="24"/>
        </w:rPr>
        <w:tab/>
      </w:r>
      <w:r w:rsidR="008D2ADD" w:rsidRPr="000B4D89">
        <w:rPr>
          <w:rFonts w:ascii="Times New Roman" w:hAnsi="Times New Roman"/>
          <w:sz w:val="24"/>
          <w:szCs w:val="24"/>
          <w:lang w:val="en-CA"/>
        </w:rPr>
        <w:fldChar w:fldCharType="begin"/>
      </w:r>
      <w:r w:rsidRPr="000B4D89">
        <w:rPr>
          <w:rFonts w:ascii="Times New Roman" w:hAnsi="Times New Roman"/>
          <w:sz w:val="24"/>
          <w:szCs w:val="24"/>
          <w:lang w:val="en-CA"/>
        </w:rPr>
        <w:instrText xml:space="preserve"> SEQ CHAPTER \h \r 1</w:instrText>
      </w:r>
      <w:r w:rsidR="008D2ADD" w:rsidRPr="000B4D89">
        <w:rPr>
          <w:rFonts w:ascii="Times New Roman" w:hAnsi="Times New Roman"/>
          <w:sz w:val="24"/>
          <w:szCs w:val="24"/>
          <w:lang w:val="en-CA"/>
        </w:rPr>
        <w:fldChar w:fldCharType="end"/>
      </w:r>
      <w:r w:rsidRPr="000B4D89">
        <w:rPr>
          <w:rFonts w:ascii="Times New Roman" w:hAnsi="Times New Roman"/>
          <w:sz w:val="24"/>
          <w:szCs w:val="24"/>
        </w:rPr>
        <w:t xml:space="preserve"> </w:t>
      </w:r>
      <w:r w:rsidR="00753D6A" w:rsidRPr="00753D6A">
        <w:rPr>
          <w:rFonts w:ascii="Times New Roman" w:hAnsi="Times New Roman"/>
          <w:sz w:val="24"/>
          <w:szCs w:val="24"/>
          <w:lang w:val="en-CA"/>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sidR="00753D6A" w:rsidRPr="00A511CE">
        <w:rPr>
          <w:rFonts w:ascii="Times New Roman" w:hAnsi="Times New Roman"/>
          <w:sz w:val="24"/>
          <w:szCs w:val="24"/>
          <w:lang w:val="en-CA"/>
        </w:rPr>
        <w:t>nine</w:t>
      </w:r>
      <w:r w:rsidR="00753D6A" w:rsidRPr="00753D6A">
        <w:rPr>
          <w:rFonts w:ascii="Times New Roman" w:hAnsi="Times New Roman"/>
          <w:sz w:val="24"/>
          <w:szCs w:val="24"/>
          <w:lang w:val="en-CA"/>
        </w:rPr>
        <w:t xml:space="preserve"> parties via e-mail. The individuals contacted were:</w:t>
      </w:r>
    </w:p>
    <w:p w14:paraId="01839096" w14:textId="77777777" w:rsidR="00753D6A" w:rsidRDefault="00753D6A" w:rsidP="000B4D89">
      <w:pPr>
        <w:pStyle w:val="NoSpacing"/>
        <w:rPr>
          <w:rFonts w:ascii="Times New Roman" w:hAnsi="Times New Roman"/>
          <w:sz w:val="24"/>
          <w:szCs w:val="24"/>
          <w:lang w:val="en-CA"/>
        </w:rPr>
      </w:pPr>
    </w:p>
    <w:p w14:paraId="2CAF6195" w14:textId="23F70EE8"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Scott Jensen</w:t>
      </w:r>
      <w:r>
        <w:rPr>
          <w:rFonts w:ascii="Times New Roman" w:hAnsi="Times New Roman"/>
          <w:sz w:val="24"/>
          <w:szCs w:val="24"/>
          <w:lang w:val="en-CA"/>
        </w:rPr>
        <w:t xml:space="preserve">, </w:t>
      </w:r>
      <w:r w:rsidRPr="00A511CE">
        <w:rPr>
          <w:rFonts w:ascii="Times New Roman" w:hAnsi="Times New Roman"/>
          <w:sz w:val="24"/>
          <w:szCs w:val="24"/>
          <w:lang w:val="en-CA"/>
        </w:rPr>
        <w:t xml:space="preserve">Chemical Safety, TSCA, etc. </w:t>
      </w:r>
    </w:p>
    <w:p w14:paraId="5F3F692B"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American Chemistry Council</w:t>
      </w:r>
    </w:p>
    <w:p w14:paraId="1EB280DF"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 xml:space="preserve">Email: Scott_Jensen@AmericanChemistry.com </w:t>
      </w:r>
    </w:p>
    <w:p w14:paraId="4106B438" w14:textId="77777777" w:rsidR="00A511CE" w:rsidRPr="00A511CE" w:rsidRDefault="00A511CE" w:rsidP="00A511CE">
      <w:pPr>
        <w:pStyle w:val="NoSpacing"/>
        <w:rPr>
          <w:rFonts w:ascii="Times New Roman" w:hAnsi="Times New Roman"/>
          <w:sz w:val="24"/>
          <w:szCs w:val="24"/>
          <w:lang w:val="en-CA"/>
        </w:rPr>
      </w:pPr>
    </w:p>
    <w:p w14:paraId="63103A4F" w14:textId="735478AB"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Jenny Gaines</w:t>
      </w:r>
      <w:r>
        <w:rPr>
          <w:rFonts w:ascii="Times New Roman" w:hAnsi="Times New Roman"/>
          <w:sz w:val="24"/>
          <w:szCs w:val="24"/>
          <w:lang w:val="en-CA"/>
        </w:rPr>
        <w:t xml:space="preserve">, </w:t>
      </w:r>
      <w:r w:rsidRPr="00A511CE">
        <w:rPr>
          <w:rFonts w:ascii="Times New Roman" w:hAnsi="Times New Roman"/>
          <w:sz w:val="24"/>
          <w:szCs w:val="24"/>
          <w:lang w:val="en-CA"/>
        </w:rPr>
        <w:t>Senior Manager, Communications</w:t>
      </w:r>
    </w:p>
    <w:p w14:paraId="0099D6D9"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SOCMA</w:t>
      </w:r>
    </w:p>
    <w:p w14:paraId="28D3F6C2"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Email: gainesj@socma.com</w:t>
      </w:r>
    </w:p>
    <w:p w14:paraId="66AE4598" w14:textId="77777777" w:rsidR="00A511CE" w:rsidRPr="00A511CE" w:rsidRDefault="00A511CE" w:rsidP="00A511CE">
      <w:pPr>
        <w:pStyle w:val="NoSpacing"/>
        <w:rPr>
          <w:rFonts w:ascii="Times New Roman" w:hAnsi="Times New Roman"/>
          <w:sz w:val="24"/>
          <w:szCs w:val="24"/>
          <w:lang w:val="en-CA"/>
        </w:rPr>
      </w:pPr>
    </w:p>
    <w:p w14:paraId="075EE08D" w14:textId="1E3F1C2C"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Dan Turner</w:t>
      </w:r>
      <w:r>
        <w:rPr>
          <w:rFonts w:ascii="Times New Roman" w:hAnsi="Times New Roman"/>
          <w:sz w:val="24"/>
          <w:szCs w:val="24"/>
          <w:lang w:val="en-CA"/>
        </w:rPr>
        <w:t xml:space="preserve">, </w:t>
      </w:r>
      <w:r w:rsidRPr="00A511CE">
        <w:rPr>
          <w:rFonts w:ascii="Times New Roman" w:hAnsi="Times New Roman"/>
          <w:sz w:val="24"/>
          <w:szCs w:val="24"/>
          <w:lang w:val="en-CA"/>
        </w:rPr>
        <w:t>Corporate Media Contact</w:t>
      </w:r>
    </w:p>
    <w:p w14:paraId="5DD9288F"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DuPont.com</w:t>
      </w:r>
    </w:p>
    <w:p w14:paraId="6EF5DDA6"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E-mail:  Daniel.a.Turner@dupont.com</w:t>
      </w:r>
    </w:p>
    <w:p w14:paraId="69451221" w14:textId="77777777" w:rsidR="00A511CE" w:rsidRPr="00A511CE" w:rsidRDefault="00A511CE" w:rsidP="00A511CE">
      <w:pPr>
        <w:pStyle w:val="NoSpacing"/>
        <w:rPr>
          <w:rFonts w:ascii="Times New Roman" w:hAnsi="Times New Roman"/>
          <w:sz w:val="24"/>
          <w:szCs w:val="24"/>
          <w:lang w:val="en-CA"/>
        </w:rPr>
      </w:pPr>
    </w:p>
    <w:p w14:paraId="28F6EFEE" w14:textId="0CE87419"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Eric Wohlschlegel</w:t>
      </w:r>
      <w:r>
        <w:rPr>
          <w:rFonts w:ascii="Times New Roman" w:hAnsi="Times New Roman"/>
          <w:sz w:val="24"/>
          <w:szCs w:val="24"/>
          <w:lang w:val="en-CA"/>
        </w:rPr>
        <w:t xml:space="preserve">, </w:t>
      </w:r>
      <w:r w:rsidRPr="00A511CE">
        <w:rPr>
          <w:rFonts w:ascii="Times New Roman" w:hAnsi="Times New Roman"/>
          <w:sz w:val="24"/>
          <w:szCs w:val="24"/>
          <w:lang w:val="en-CA"/>
        </w:rPr>
        <w:t>Director, Media Contacts</w:t>
      </w:r>
    </w:p>
    <w:p w14:paraId="245F45C5"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American Petroleum Institute</w:t>
      </w:r>
    </w:p>
    <w:p w14:paraId="760454E7"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 xml:space="preserve">E-mail: wohlschlegele@api.org </w:t>
      </w:r>
    </w:p>
    <w:p w14:paraId="1F3A26EB" w14:textId="77777777" w:rsidR="00A511CE" w:rsidRPr="00A511CE" w:rsidRDefault="00A511CE" w:rsidP="00A511CE">
      <w:pPr>
        <w:pStyle w:val="NoSpacing"/>
        <w:rPr>
          <w:rFonts w:ascii="Times New Roman" w:hAnsi="Times New Roman"/>
          <w:sz w:val="24"/>
          <w:szCs w:val="24"/>
          <w:lang w:val="en-CA"/>
        </w:rPr>
      </w:pPr>
    </w:p>
    <w:p w14:paraId="14F3C8BC"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Melissa Scanlan</w:t>
      </w:r>
    </w:p>
    <w:p w14:paraId="67689316"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Assoc. Dean of the Envtl. Law Program</w:t>
      </w:r>
    </w:p>
    <w:p w14:paraId="31DF9513"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Director, Environmental Law Center</w:t>
      </w:r>
    </w:p>
    <w:p w14:paraId="6966CAD3"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Vermont Law School</w:t>
      </w:r>
    </w:p>
    <w:p w14:paraId="277FE116"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 xml:space="preserve">E-mail: MSCANLAN@vermontlaw.edu </w:t>
      </w:r>
    </w:p>
    <w:p w14:paraId="6FEADA10" w14:textId="77777777" w:rsidR="00A511CE" w:rsidRPr="00A511CE" w:rsidRDefault="00A511CE" w:rsidP="00A511CE">
      <w:pPr>
        <w:pStyle w:val="NoSpacing"/>
        <w:rPr>
          <w:rFonts w:ascii="Times New Roman" w:hAnsi="Times New Roman"/>
          <w:sz w:val="24"/>
          <w:szCs w:val="24"/>
          <w:lang w:val="en-CA"/>
        </w:rPr>
      </w:pPr>
    </w:p>
    <w:p w14:paraId="1E7481FB" w14:textId="2E7C2E9F"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Stacy Cooks</w:t>
      </w:r>
      <w:r>
        <w:rPr>
          <w:rFonts w:ascii="Times New Roman" w:hAnsi="Times New Roman"/>
          <w:sz w:val="24"/>
          <w:szCs w:val="24"/>
          <w:lang w:val="en-CA"/>
        </w:rPr>
        <w:t xml:space="preserve">, </w:t>
      </w:r>
      <w:r w:rsidRPr="00A511CE">
        <w:rPr>
          <w:rFonts w:ascii="Times New Roman" w:hAnsi="Times New Roman"/>
          <w:sz w:val="24"/>
          <w:szCs w:val="24"/>
          <w:lang w:val="en-CA"/>
        </w:rPr>
        <w:t>External Affairs Coordinator</w:t>
      </w:r>
    </w:p>
    <w:p w14:paraId="76AB49E7"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Asthma &amp; Allergy Foundation of America</w:t>
      </w:r>
    </w:p>
    <w:p w14:paraId="243F2D50"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 xml:space="preserve">Email: stacy@aafa.org </w:t>
      </w:r>
    </w:p>
    <w:p w14:paraId="26BA1C6C" w14:textId="77777777" w:rsidR="00A511CE" w:rsidRPr="00A511CE" w:rsidRDefault="00A511CE" w:rsidP="00A511CE">
      <w:pPr>
        <w:pStyle w:val="NoSpacing"/>
        <w:rPr>
          <w:rFonts w:ascii="Times New Roman" w:hAnsi="Times New Roman"/>
          <w:sz w:val="24"/>
          <w:szCs w:val="24"/>
          <w:lang w:val="en-CA"/>
        </w:rPr>
      </w:pPr>
    </w:p>
    <w:p w14:paraId="743728AB" w14:textId="65E33BE9"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Sharyn Stein</w:t>
      </w:r>
      <w:r>
        <w:rPr>
          <w:rFonts w:ascii="Times New Roman" w:hAnsi="Times New Roman"/>
          <w:sz w:val="24"/>
          <w:szCs w:val="24"/>
          <w:lang w:val="en-CA"/>
        </w:rPr>
        <w:t xml:space="preserve">, </w:t>
      </w:r>
      <w:r w:rsidRPr="00A511CE">
        <w:rPr>
          <w:rFonts w:ascii="Times New Roman" w:hAnsi="Times New Roman"/>
          <w:sz w:val="24"/>
          <w:szCs w:val="24"/>
          <w:lang w:val="en-CA"/>
        </w:rPr>
        <w:t>General EDF media inquiries</w:t>
      </w:r>
    </w:p>
    <w:p w14:paraId="03202E66"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Environmental Defense</w:t>
      </w:r>
    </w:p>
    <w:p w14:paraId="04A09F5A"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Email: sstein@edf.org</w:t>
      </w:r>
    </w:p>
    <w:p w14:paraId="210DFE31" w14:textId="77777777" w:rsidR="00A511CE" w:rsidRPr="00A511CE" w:rsidRDefault="00A511CE" w:rsidP="00A511CE">
      <w:pPr>
        <w:pStyle w:val="NoSpacing"/>
        <w:rPr>
          <w:rFonts w:ascii="Times New Roman" w:hAnsi="Times New Roman"/>
          <w:sz w:val="24"/>
          <w:szCs w:val="24"/>
          <w:lang w:val="en-CA"/>
        </w:rPr>
      </w:pPr>
    </w:p>
    <w:p w14:paraId="3604E0AC" w14:textId="5F32AC89"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Ken Cook</w:t>
      </w:r>
      <w:r>
        <w:rPr>
          <w:rFonts w:ascii="Times New Roman" w:hAnsi="Times New Roman"/>
          <w:sz w:val="24"/>
          <w:szCs w:val="24"/>
          <w:lang w:val="en-CA"/>
        </w:rPr>
        <w:t xml:space="preserve">, </w:t>
      </w:r>
      <w:r w:rsidRPr="00A511CE">
        <w:rPr>
          <w:rFonts w:ascii="Times New Roman" w:hAnsi="Times New Roman"/>
          <w:sz w:val="24"/>
          <w:szCs w:val="24"/>
          <w:lang w:val="en-CA"/>
        </w:rPr>
        <w:t>President</w:t>
      </w:r>
    </w:p>
    <w:p w14:paraId="742BF472"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Environmental Working Group</w:t>
      </w:r>
    </w:p>
    <w:p w14:paraId="554DA65C"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E-mail: ken@ewg.org</w:t>
      </w:r>
    </w:p>
    <w:p w14:paraId="109D5810" w14:textId="77777777" w:rsidR="00A511CE" w:rsidRDefault="00A511CE" w:rsidP="00A511CE">
      <w:pPr>
        <w:pStyle w:val="NoSpacing"/>
        <w:rPr>
          <w:rFonts w:ascii="Times New Roman" w:hAnsi="Times New Roman"/>
          <w:sz w:val="24"/>
          <w:szCs w:val="24"/>
          <w:lang w:val="en-CA"/>
        </w:rPr>
      </w:pPr>
    </w:p>
    <w:p w14:paraId="101C61C6" w14:textId="6B4F033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David Goldston</w:t>
      </w:r>
      <w:r>
        <w:rPr>
          <w:rFonts w:ascii="Times New Roman" w:hAnsi="Times New Roman"/>
          <w:sz w:val="24"/>
          <w:szCs w:val="24"/>
          <w:lang w:val="en-CA"/>
        </w:rPr>
        <w:t xml:space="preserve">, </w:t>
      </w:r>
      <w:r w:rsidRPr="00A511CE">
        <w:rPr>
          <w:rFonts w:ascii="Times New Roman" w:hAnsi="Times New Roman"/>
          <w:sz w:val="24"/>
          <w:szCs w:val="24"/>
          <w:lang w:val="en-CA"/>
        </w:rPr>
        <w:t>Director, Government Affairs Program</w:t>
      </w:r>
    </w:p>
    <w:p w14:paraId="2BDF9B5C" w14:textId="77777777" w:rsidR="00A511CE" w:rsidRPr="00A511CE"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Natural Resources Defense Council</w:t>
      </w:r>
    </w:p>
    <w:p w14:paraId="6FF03406" w14:textId="3C57D544" w:rsidR="00753D6A" w:rsidRDefault="00A511CE" w:rsidP="00A511CE">
      <w:pPr>
        <w:pStyle w:val="NoSpacing"/>
        <w:ind w:firstLine="720"/>
        <w:rPr>
          <w:rFonts w:ascii="Times New Roman" w:hAnsi="Times New Roman"/>
          <w:sz w:val="24"/>
          <w:szCs w:val="24"/>
          <w:lang w:val="en-CA"/>
        </w:rPr>
      </w:pPr>
      <w:r w:rsidRPr="00A511CE">
        <w:rPr>
          <w:rFonts w:ascii="Times New Roman" w:hAnsi="Times New Roman"/>
          <w:sz w:val="24"/>
          <w:szCs w:val="24"/>
          <w:lang w:val="en-CA"/>
        </w:rPr>
        <w:t>Email: eheyd@nrdc.org</w:t>
      </w:r>
    </w:p>
    <w:p w14:paraId="7F4826CA" w14:textId="77777777" w:rsidR="00A511CE" w:rsidRDefault="00A511CE" w:rsidP="000B4D89">
      <w:pPr>
        <w:pStyle w:val="NoSpacing"/>
        <w:rPr>
          <w:rFonts w:ascii="Times New Roman" w:hAnsi="Times New Roman"/>
          <w:sz w:val="24"/>
          <w:szCs w:val="24"/>
        </w:rPr>
      </w:pPr>
    </w:p>
    <w:p w14:paraId="0513B5C8" w14:textId="5753A7E0" w:rsidR="00753D6A" w:rsidRPr="000B4D89" w:rsidRDefault="00753D6A" w:rsidP="000B4D89">
      <w:pPr>
        <w:pStyle w:val="NoSpacing"/>
        <w:rPr>
          <w:rFonts w:ascii="Times New Roman" w:hAnsi="Times New Roman"/>
          <w:sz w:val="24"/>
          <w:szCs w:val="24"/>
        </w:rPr>
      </w:pPr>
      <w:r>
        <w:rPr>
          <w:rFonts w:ascii="Times New Roman" w:hAnsi="Times New Roman"/>
          <w:sz w:val="24"/>
          <w:szCs w:val="24"/>
        </w:rPr>
        <w:tab/>
      </w:r>
      <w:r w:rsidRPr="00753D6A">
        <w:rPr>
          <w:rFonts w:ascii="Times New Roman" w:hAnsi="Times New Roman"/>
          <w:sz w:val="24"/>
          <w:szCs w:val="24"/>
        </w:rPr>
        <w:t xml:space="preserve">EPA received </w:t>
      </w:r>
      <w:r w:rsidRPr="00A511CE">
        <w:rPr>
          <w:rFonts w:ascii="Times New Roman" w:hAnsi="Times New Roman"/>
          <w:sz w:val="24"/>
          <w:szCs w:val="24"/>
        </w:rPr>
        <w:t>no responses</w:t>
      </w:r>
      <w:r w:rsidRPr="00753D6A">
        <w:rPr>
          <w:rFonts w:ascii="Times New Roman" w:hAnsi="Times New Roman"/>
          <w:sz w:val="24"/>
          <w:szCs w:val="24"/>
        </w:rPr>
        <w:t xml:space="preserve"> to its solicitation for consultations. A copy of EPA’s consultation e-mail to the above nine potential respond</w:t>
      </w:r>
      <w:r>
        <w:rPr>
          <w:rFonts w:ascii="Times New Roman" w:hAnsi="Times New Roman"/>
          <w:sz w:val="24"/>
          <w:szCs w:val="24"/>
        </w:rPr>
        <w:t>ents is included in Attachment 5</w:t>
      </w:r>
      <w:r w:rsidRPr="00753D6A">
        <w:rPr>
          <w:rFonts w:ascii="Times New Roman" w:hAnsi="Times New Roman"/>
          <w:sz w:val="24"/>
          <w:szCs w:val="24"/>
        </w:rPr>
        <w:t>.</w:t>
      </w:r>
    </w:p>
    <w:p w14:paraId="3BFEB9F8" w14:textId="77777777" w:rsidR="00164BC5" w:rsidRPr="000B4D89" w:rsidRDefault="00164BC5" w:rsidP="000B4D89">
      <w:pPr>
        <w:pStyle w:val="NoSpacing"/>
        <w:rPr>
          <w:rFonts w:ascii="Times New Roman" w:hAnsi="Times New Roman"/>
          <w:sz w:val="24"/>
          <w:szCs w:val="24"/>
        </w:rPr>
      </w:pPr>
    </w:p>
    <w:p w14:paraId="689C67B8" w14:textId="77777777" w:rsidR="00A511CE" w:rsidRDefault="00164BC5" w:rsidP="000B4D89">
      <w:pPr>
        <w:pStyle w:val="NoSpacing"/>
        <w:rPr>
          <w:rFonts w:ascii="Times New Roman" w:hAnsi="Times New Roman"/>
          <w:sz w:val="24"/>
          <w:szCs w:val="24"/>
        </w:rPr>
      </w:pPr>
      <w:r w:rsidRPr="000B4D89">
        <w:rPr>
          <w:rFonts w:ascii="Times New Roman" w:hAnsi="Times New Roman"/>
          <w:sz w:val="24"/>
          <w:szCs w:val="24"/>
        </w:rPr>
        <w:tab/>
      </w:r>
    </w:p>
    <w:p w14:paraId="725085B6" w14:textId="77777777" w:rsidR="00A511CE" w:rsidRDefault="00A511CE">
      <w:pPr>
        <w:autoSpaceDE/>
        <w:autoSpaceDN/>
        <w:adjustRightInd/>
        <w:spacing w:after="200" w:line="276" w:lineRule="auto"/>
        <w:rPr>
          <w:rFonts w:eastAsia="Calibri"/>
          <w:sz w:val="24"/>
          <w:szCs w:val="24"/>
        </w:rPr>
      </w:pPr>
      <w:r>
        <w:rPr>
          <w:sz w:val="24"/>
          <w:szCs w:val="24"/>
        </w:rPr>
        <w:br w:type="page"/>
      </w:r>
    </w:p>
    <w:p w14:paraId="363135DD" w14:textId="5343FD12" w:rsidR="00164BC5" w:rsidRPr="000B4D89" w:rsidRDefault="00164BC5" w:rsidP="00A511CE">
      <w:pPr>
        <w:pStyle w:val="NoSpacing"/>
        <w:ind w:firstLine="720"/>
        <w:rPr>
          <w:rFonts w:ascii="Times New Roman" w:hAnsi="Times New Roman"/>
          <w:b/>
          <w:sz w:val="24"/>
          <w:szCs w:val="24"/>
        </w:rPr>
      </w:pPr>
      <w:r w:rsidRPr="000B4D89">
        <w:rPr>
          <w:rFonts w:ascii="Times New Roman" w:hAnsi="Times New Roman"/>
          <w:b/>
          <w:sz w:val="24"/>
          <w:szCs w:val="24"/>
        </w:rPr>
        <w:t>3(d)</w:t>
      </w:r>
      <w:r w:rsidRPr="000B4D89">
        <w:rPr>
          <w:rFonts w:ascii="Times New Roman" w:hAnsi="Times New Roman"/>
          <w:b/>
          <w:sz w:val="24"/>
          <w:szCs w:val="24"/>
        </w:rPr>
        <w:tab/>
        <w:t>Effects of Less Frequent Collection</w:t>
      </w:r>
    </w:p>
    <w:p w14:paraId="240D5DCA" w14:textId="77777777" w:rsidR="000B4D89" w:rsidRPr="000B4D89" w:rsidRDefault="000B4D89" w:rsidP="000B4D89">
      <w:pPr>
        <w:pStyle w:val="NoSpacing"/>
        <w:rPr>
          <w:rFonts w:ascii="Times New Roman" w:hAnsi="Times New Roman"/>
          <w:sz w:val="24"/>
          <w:szCs w:val="24"/>
        </w:rPr>
      </w:pPr>
    </w:p>
    <w:p w14:paraId="18EC1FCD"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In 1993 and 2006, EPA amended the regulations to reduce the notification requirement for exporters of chemicals subject to actions under TSCA sections 4 and 5 from an annual notification to a one-time notification for the first export to a particular country. (58 </w:t>
      </w:r>
      <w:r w:rsidRPr="000B4D89">
        <w:rPr>
          <w:rFonts w:ascii="Times New Roman" w:hAnsi="Times New Roman"/>
          <w:sz w:val="24"/>
          <w:szCs w:val="24"/>
          <w:u w:val="single"/>
        </w:rPr>
        <w:t>FR</w:t>
      </w:r>
      <w:r w:rsidRPr="000B4D89">
        <w:rPr>
          <w:rFonts w:ascii="Times New Roman" w:hAnsi="Times New Roman"/>
          <w:sz w:val="24"/>
          <w:szCs w:val="24"/>
        </w:rPr>
        <w:t xml:space="preserve"> 40242, July 27, 1993; 71 </w:t>
      </w:r>
      <w:r w:rsidRPr="000B4D89">
        <w:rPr>
          <w:rFonts w:ascii="Times New Roman" w:hAnsi="Times New Roman"/>
          <w:sz w:val="24"/>
          <w:szCs w:val="24"/>
          <w:u w:val="single"/>
        </w:rPr>
        <w:t>FR</w:t>
      </w:r>
      <w:r w:rsidRPr="000B4D89">
        <w:rPr>
          <w:rFonts w:ascii="Times New Roman" w:hAnsi="Times New Roman"/>
          <w:sz w:val="24"/>
          <w:szCs w:val="24"/>
        </w:rPr>
        <w:t xml:space="preserve"> 66324, Nov. 14, 2006.) If the collection of information was conducted less frequently, the regulatory requirements would not be met.</w:t>
      </w:r>
    </w:p>
    <w:p w14:paraId="358CBE03" w14:textId="77777777" w:rsidR="00164BC5" w:rsidRPr="000B4D89" w:rsidRDefault="00164BC5" w:rsidP="000B4D89">
      <w:pPr>
        <w:pStyle w:val="NoSpacing"/>
        <w:rPr>
          <w:rFonts w:ascii="Times New Roman" w:hAnsi="Times New Roman"/>
          <w:sz w:val="24"/>
          <w:szCs w:val="24"/>
        </w:rPr>
      </w:pPr>
    </w:p>
    <w:p w14:paraId="736237F4" w14:textId="77777777" w:rsidR="00164BC5" w:rsidRPr="000B4D89" w:rsidRDefault="00164BC5" w:rsidP="000B4D89">
      <w:pPr>
        <w:pStyle w:val="NoSpacing"/>
        <w:ind w:firstLine="720"/>
        <w:rPr>
          <w:rFonts w:ascii="Times New Roman" w:hAnsi="Times New Roman"/>
          <w:b/>
          <w:sz w:val="24"/>
          <w:szCs w:val="24"/>
        </w:rPr>
      </w:pPr>
      <w:r w:rsidRPr="000B4D89">
        <w:rPr>
          <w:rFonts w:ascii="Times New Roman" w:hAnsi="Times New Roman"/>
          <w:b/>
          <w:sz w:val="24"/>
          <w:szCs w:val="24"/>
        </w:rPr>
        <w:t>3(e)</w:t>
      </w:r>
      <w:r w:rsidRPr="000B4D89">
        <w:rPr>
          <w:rFonts w:ascii="Times New Roman" w:hAnsi="Times New Roman"/>
          <w:b/>
          <w:sz w:val="24"/>
          <w:szCs w:val="24"/>
        </w:rPr>
        <w:tab/>
        <w:t>General Guidelines</w:t>
      </w:r>
    </w:p>
    <w:p w14:paraId="1A0974B1" w14:textId="77777777" w:rsidR="00164BC5" w:rsidRPr="000B4D89" w:rsidRDefault="00164BC5" w:rsidP="000B4D89">
      <w:pPr>
        <w:pStyle w:val="NoSpacing"/>
        <w:rPr>
          <w:rFonts w:ascii="Times New Roman" w:hAnsi="Times New Roman"/>
          <w:sz w:val="24"/>
          <w:szCs w:val="24"/>
        </w:rPr>
      </w:pPr>
    </w:p>
    <w:p w14:paraId="77CE7740"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This information collection is necessary to implement statutory requirements of section 12(b) of TSCA and is consistent with the requirements of 5 CFR 1320.6.</w:t>
      </w:r>
    </w:p>
    <w:p w14:paraId="46C1C0FE" w14:textId="77777777" w:rsidR="00164BC5" w:rsidRPr="000B4D89" w:rsidRDefault="00164BC5" w:rsidP="000B4D89">
      <w:pPr>
        <w:pStyle w:val="NoSpacing"/>
        <w:rPr>
          <w:rFonts w:ascii="Times New Roman" w:hAnsi="Times New Roman"/>
          <w:sz w:val="24"/>
          <w:szCs w:val="24"/>
        </w:rPr>
      </w:pPr>
    </w:p>
    <w:p w14:paraId="1215BC19"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3(f)</w:t>
      </w:r>
      <w:r w:rsidRPr="000B4D89">
        <w:rPr>
          <w:rFonts w:ascii="Times New Roman" w:hAnsi="Times New Roman"/>
          <w:b/>
          <w:sz w:val="24"/>
          <w:szCs w:val="24"/>
        </w:rPr>
        <w:tab/>
        <w:t>Confidentiality</w:t>
      </w:r>
    </w:p>
    <w:p w14:paraId="66DDCD2B" w14:textId="77777777" w:rsidR="00164BC5" w:rsidRPr="000B4D89" w:rsidRDefault="00164BC5" w:rsidP="000B4D89">
      <w:pPr>
        <w:pStyle w:val="NoSpacing"/>
        <w:rPr>
          <w:rFonts w:ascii="Times New Roman" w:hAnsi="Times New Roman"/>
          <w:sz w:val="24"/>
          <w:szCs w:val="24"/>
        </w:rPr>
      </w:pPr>
    </w:p>
    <w:p w14:paraId="6614CC67"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The respondent may claim all or part of a notice confidential. EPA will disclose information that is covered by a claim of confidentiality only to the extent permitted by, and in accordance with, the procedures in TSCA and 40 CFR </w:t>
      </w:r>
      <w:r w:rsidR="009D5C57" w:rsidRPr="000B4D89">
        <w:rPr>
          <w:rFonts w:ascii="Times New Roman" w:hAnsi="Times New Roman"/>
          <w:sz w:val="24"/>
          <w:szCs w:val="24"/>
        </w:rPr>
        <w:t>p</w:t>
      </w:r>
      <w:r w:rsidRPr="000B4D89">
        <w:rPr>
          <w:rFonts w:ascii="Times New Roman" w:hAnsi="Times New Roman"/>
          <w:sz w:val="24"/>
          <w:szCs w:val="24"/>
        </w:rPr>
        <w:t xml:space="preserve">art 2. In 2010, EPA initiated a broad effort to increase transparency and provide more valuable information to the public by identifying data collections under TSCA where information may have been claimed and treated as confidential in the past but is not in fact entitled to confidentiality under TSCA. (75 </w:t>
      </w:r>
      <w:r w:rsidRPr="000B4D89">
        <w:rPr>
          <w:rFonts w:ascii="Times New Roman" w:hAnsi="Times New Roman"/>
          <w:sz w:val="24"/>
          <w:szCs w:val="24"/>
          <w:u w:val="single"/>
        </w:rPr>
        <w:t>FR</w:t>
      </w:r>
      <w:r w:rsidRPr="000B4D89">
        <w:rPr>
          <w:rFonts w:ascii="Times New Roman" w:hAnsi="Times New Roman"/>
          <w:sz w:val="24"/>
          <w:szCs w:val="24"/>
        </w:rPr>
        <w:t xml:space="preserve"> 3462, Jan. 21, 2010; 75 </w:t>
      </w:r>
      <w:r w:rsidRPr="000B4D89">
        <w:rPr>
          <w:rFonts w:ascii="Times New Roman" w:hAnsi="Times New Roman"/>
          <w:sz w:val="24"/>
          <w:szCs w:val="24"/>
          <w:u w:val="single"/>
        </w:rPr>
        <w:t>FR</w:t>
      </w:r>
      <w:r w:rsidRPr="000B4D89">
        <w:rPr>
          <w:rFonts w:ascii="Times New Roman" w:hAnsi="Times New Roman"/>
          <w:sz w:val="24"/>
          <w:szCs w:val="24"/>
        </w:rPr>
        <w:t xml:space="preserve"> 29754, May 27, 2010.) Information submitted under specific reporting requirements of TSCA, or in support of TSCA, is subject to the provisions of section 14 of TSCA and to EPA's Regulations on the Confidentiality of Bu</w:t>
      </w:r>
      <w:r w:rsidR="009D5C57" w:rsidRPr="000B4D89">
        <w:rPr>
          <w:rFonts w:ascii="Times New Roman" w:hAnsi="Times New Roman"/>
          <w:sz w:val="24"/>
          <w:szCs w:val="24"/>
        </w:rPr>
        <w:t>siness Information (see 40 CFR p</w:t>
      </w:r>
      <w:r w:rsidRPr="000B4D89">
        <w:rPr>
          <w:rFonts w:ascii="Times New Roman" w:hAnsi="Times New Roman"/>
          <w:sz w:val="24"/>
          <w:szCs w:val="24"/>
        </w:rPr>
        <w:t>art 2). Failure to follow these procedures fully at the time of document submission to EPA is interpreted by the Agency as a waiver of confidentiality claims. Submitters may claim confidentiality for proprietary information, but should submit a detailed written explanation to substantiate all confidential business information (CBI) claims. Detailed written responses to 14 specific substantiation questions should be provided to substantiate confidentiality claim(s). Responses should be as specific as possible, with examples as appropriate, and should provide substantiation arguments for all types of information (e.g., sales, production/ importation volumes, chemical identity, company identity) claimed as confidential. However, notwithstanding any claim of confidentiality, the foreign government of the importing country will be notified of the export of the substance(s) in question.</w:t>
      </w:r>
    </w:p>
    <w:p w14:paraId="46F266D5" w14:textId="77777777" w:rsidR="00164BC5" w:rsidRPr="000B4D89" w:rsidRDefault="00164BC5" w:rsidP="000B4D89">
      <w:pPr>
        <w:pStyle w:val="NoSpacing"/>
        <w:rPr>
          <w:rFonts w:ascii="Times New Roman" w:hAnsi="Times New Roman"/>
          <w:sz w:val="24"/>
          <w:szCs w:val="24"/>
        </w:rPr>
      </w:pPr>
    </w:p>
    <w:p w14:paraId="5C5FC3EE"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3(g)</w:t>
      </w:r>
      <w:r w:rsidRPr="000B4D89">
        <w:rPr>
          <w:rFonts w:ascii="Times New Roman" w:hAnsi="Times New Roman"/>
          <w:b/>
          <w:sz w:val="24"/>
          <w:szCs w:val="24"/>
        </w:rPr>
        <w:tab/>
        <w:t>Sensitive Questions</w:t>
      </w:r>
    </w:p>
    <w:p w14:paraId="60EC7765" w14:textId="77777777" w:rsidR="00164BC5" w:rsidRPr="000B4D89" w:rsidRDefault="00164BC5" w:rsidP="000B4D89">
      <w:pPr>
        <w:pStyle w:val="NoSpacing"/>
        <w:rPr>
          <w:rFonts w:ascii="Times New Roman" w:hAnsi="Times New Roman"/>
          <w:sz w:val="24"/>
          <w:szCs w:val="24"/>
        </w:rPr>
      </w:pPr>
    </w:p>
    <w:p w14:paraId="6AAD5A25"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This section is not applicable.  The information requested is not sensitive in nature.</w:t>
      </w:r>
    </w:p>
    <w:p w14:paraId="17683255" w14:textId="77777777" w:rsidR="00164BC5" w:rsidRPr="000B4D89" w:rsidRDefault="00164BC5" w:rsidP="000B4D89">
      <w:pPr>
        <w:pStyle w:val="NoSpacing"/>
        <w:rPr>
          <w:rFonts w:ascii="Times New Roman" w:hAnsi="Times New Roman"/>
          <w:sz w:val="24"/>
          <w:szCs w:val="24"/>
        </w:rPr>
      </w:pPr>
    </w:p>
    <w:p w14:paraId="135FA825" w14:textId="77777777" w:rsidR="00164BC5" w:rsidRPr="000B4D89" w:rsidRDefault="00164BC5" w:rsidP="000B4D89">
      <w:pPr>
        <w:pStyle w:val="NoSpacing"/>
        <w:rPr>
          <w:rFonts w:ascii="Times New Roman" w:hAnsi="Times New Roman"/>
          <w:sz w:val="24"/>
          <w:szCs w:val="24"/>
        </w:rPr>
      </w:pPr>
    </w:p>
    <w:p w14:paraId="57C24EEF" w14:textId="2FD3C575" w:rsidR="00164BC5" w:rsidRPr="000B4D89" w:rsidRDefault="00164BC5" w:rsidP="000B4D89">
      <w:pPr>
        <w:pStyle w:val="NoSpacing"/>
        <w:ind w:left="720" w:hanging="720"/>
        <w:rPr>
          <w:rFonts w:ascii="Times New Roman" w:hAnsi="Times New Roman"/>
          <w:b/>
          <w:sz w:val="24"/>
          <w:szCs w:val="24"/>
        </w:rPr>
      </w:pPr>
      <w:r w:rsidRPr="000B4D89">
        <w:rPr>
          <w:rFonts w:ascii="Times New Roman" w:hAnsi="Times New Roman"/>
          <w:b/>
          <w:sz w:val="24"/>
          <w:szCs w:val="24"/>
        </w:rPr>
        <w:t>4</w:t>
      </w:r>
      <w:r w:rsidRPr="000B4D89">
        <w:rPr>
          <w:rFonts w:ascii="Times New Roman" w:hAnsi="Times New Roman"/>
          <w:b/>
          <w:sz w:val="24"/>
          <w:szCs w:val="24"/>
        </w:rPr>
        <w:tab/>
        <w:t>THE INFORMATION COLLECTED--AGENCY ACTIVITIES, COLLECTION METHODOLOGY, AND INFORMATION MANAGEMENT</w:t>
      </w:r>
    </w:p>
    <w:p w14:paraId="545B0934" w14:textId="77777777" w:rsidR="00164BC5" w:rsidRPr="000B4D89" w:rsidRDefault="00164BC5" w:rsidP="000B4D89">
      <w:pPr>
        <w:pStyle w:val="NoSpacing"/>
        <w:rPr>
          <w:rFonts w:ascii="Times New Roman" w:hAnsi="Times New Roman"/>
          <w:b/>
          <w:sz w:val="24"/>
          <w:szCs w:val="24"/>
        </w:rPr>
      </w:pPr>
    </w:p>
    <w:p w14:paraId="437CFCB0"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t>4(a)</w:t>
      </w:r>
      <w:r w:rsidRPr="000B4D89">
        <w:rPr>
          <w:rFonts w:ascii="Times New Roman" w:hAnsi="Times New Roman"/>
          <w:b/>
          <w:sz w:val="24"/>
          <w:szCs w:val="24"/>
        </w:rPr>
        <w:tab/>
        <w:t>Agency Activities</w:t>
      </w:r>
    </w:p>
    <w:p w14:paraId="2CF6BBE3" w14:textId="77777777" w:rsidR="00164BC5" w:rsidRPr="000B4D89" w:rsidRDefault="00164BC5" w:rsidP="000B4D89">
      <w:pPr>
        <w:pStyle w:val="NoSpacing"/>
        <w:rPr>
          <w:rFonts w:ascii="Times New Roman" w:hAnsi="Times New Roman"/>
          <w:sz w:val="24"/>
          <w:szCs w:val="24"/>
        </w:rPr>
      </w:pPr>
    </w:p>
    <w:p w14:paraId="1092C60A"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activities routinely conducted by EPA related to the receipt and processing of TSCA section 12(b) export notices include the following:</w:t>
      </w:r>
    </w:p>
    <w:p w14:paraId="69C4278D" w14:textId="77777777" w:rsidR="00164BC5" w:rsidRPr="000B4D89" w:rsidRDefault="00164BC5" w:rsidP="000B4D89">
      <w:pPr>
        <w:pStyle w:val="NoSpacing"/>
        <w:rPr>
          <w:rFonts w:ascii="Times New Roman" w:hAnsi="Times New Roman"/>
          <w:sz w:val="24"/>
          <w:szCs w:val="24"/>
        </w:rPr>
      </w:pPr>
    </w:p>
    <w:p w14:paraId="5D9ED4D9" w14:textId="0360CC25" w:rsidR="00D0079A"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o</w:t>
      </w:r>
      <w:r w:rsidRPr="000B4D89">
        <w:rPr>
          <w:rFonts w:ascii="Times New Roman" w:hAnsi="Times New Roman"/>
          <w:sz w:val="24"/>
          <w:szCs w:val="24"/>
        </w:rPr>
        <w:tab/>
      </w:r>
      <w:r w:rsidR="00B90F92" w:rsidRPr="000B4D89">
        <w:rPr>
          <w:rFonts w:ascii="Times New Roman" w:hAnsi="Times New Roman"/>
          <w:sz w:val="24"/>
          <w:szCs w:val="24"/>
        </w:rPr>
        <w:t>log in notices for tracking/reporting;</w:t>
      </w:r>
    </w:p>
    <w:p w14:paraId="252E35B9" w14:textId="581BA429" w:rsidR="00164BC5" w:rsidRPr="000B4D89" w:rsidRDefault="00B90F92" w:rsidP="000B4D89">
      <w:pPr>
        <w:pStyle w:val="NoSpacing"/>
        <w:ind w:firstLine="720"/>
        <w:rPr>
          <w:rFonts w:ascii="Times New Roman" w:hAnsi="Times New Roman"/>
          <w:sz w:val="24"/>
          <w:szCs w:val="24"/>
        </w:rPr>
      </w:pPr>
      <w:r w:rsidRPr="000B4D89">
        <w:rPr>
          <w:rFonts w:ascii="Times New Roman" w:hAnsi="Times New Roman"/>
          <w:sz w:val="24"/>
          <w:szCs w:val="24"/>
        </w:rPr>
        <w:t>o</w:t>
      </w:r>
      <w:r w:rsidRPr="000B4D89">
        <w:rPr>
          <w:rFonts w:ascii="Times New Roman" w:hAnsi="Times New Roman"/>
          <w:sz w:val="24"/>
          <w:szCs w:val="24"/>
        </w:rPr>
        <w:tab/>
      </w:r>
      <w:r w:rsidR="00164BC5" w:rsidRPr="000B4D89">
        <w:rPr>
          <w:rFonts w:ascii="Times New Roman" w:hAnsi="Times New Roman"/>
          <w:sz w:val="24"/>
          <w:szCs w:val="24"/>
        </w:rPr>
        <w:t>review export notices for compliance;</w:t>
      </w:r>
    </w:p>
    <w:p w14:paraId="6B098038" w14:textId="05296A9A" w:rsidR="00B90F92" w:rsidRPr="000B4D89" w:rsidRDefault="00B90F92" w:rsidP="000B4D89">
      <w:pPr>
        <w:pStyle w:val="NoSpacing"/>
        <w:rPr>
          <w:rFonts w:ascii="Times New Roman" w:hAnsi="Times New Roman"/>
          <w:sz w:val="24"/>
          <w:szCs w:val="24"/>
        </w:rPr>
      </w:pPr>
      <w:r w:rsidRPr="000B4D89">
        <w:rPr>
          <w:rFonts w:ascii="Times New Roman" w:hAnsi="Times New Roman"/>
          <w:sz w:val="24"/>
          <w:szCs w:val="24"/>
        </w:rPr>
        <w:tab/>
        <w:t>o</w:t>
      </w:r>
      <w:r w:rsidRPr="000B4D89">
        <w:rPr>
          <w:rFonts w:ascii="Times New Roman" w:hAnsi="Times New Roman"/>
          <w:sz w:val="24"/>
          <w:szCs w:val="24"/>
        </w:rPr>
        <w:tab/>
        <w:t>prepare letters with supporting d</w:t>
      </w:r>
      <w:r w:rsidR="00DC7655" w:rsidRPr="000B4D89">
        <w:rPr>
          <w:rFonts w:ascii="Times New Roman" w:hAnsi="Times New Roman"/>
          <w:sz w:val="24"/>
          <w:szCs w:val="24"/>
        </w:rPr>
        <w:t>ocuments to foreign governments;</w:t>
      </w:r>
    </w:p>
    <w:p w14:paraId="78CFCA74" w14:textId="003E0573"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o</w:t>
      </w:r>
      <w:r w:rsidRPr="000B4D89">
        <w:rPr>
          <w:rFonts w:ascii="Times New Roman" w:hAnsi="Times New Roman"/>
          <w:sz w:val="24"/>
          <w:szCs w:val="24"/>
        </w:rPr>
        <w:tab/>
        <w:t xml:space="preserve">respond to follow-up inquiries from </w:t>
      </w:r>
      <w:r w:rsidR="00B90F92" w:rsidRPr="000B4D89">
        <w:rPr>
          <w:rFonts w:ascii="Times New Roman" w:hAnsi="Times New Roman"/>
          <w:sz w:val="24"/>
          <w:szCs w:val="24"/>
        </w:rPr>
        <w:t xml:space="preserve">industry and </w:t>
      </w:r>
      <w:r w:rsidRPr="000B4D89">
        <w:rPr>
          <w:rFonts w:ascii="Times New Roman" w:hAnsi="Times New Roman"/>
          <w:sz w:val="24"/>
          <w:szCs w:val="24"/>
        </w:rPr>
        <w:t>foreign governments;</w:t>
      </w:r>
      <w:r w:rsidR="00DC7655" w:rsidRPr="000B4D89">
        <w:rPr>
          <w:rFonts w:ascii="Times New Roman" w:hAnsi="Times New Roman"/>
          <w:sz w:val="24"/>
          <w:szCs w:val="24"/>
        </w:rPr>
        <w:t xml:space="preserve"> and</w:t>
      </w:r>
    </w:p>
    <w:p w14:paraId="5696B295" w14:textId="69F47F1E"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o</w:t>
      </w:r>
      <w:r w:rsidRPr="000B4D89">
        <w:rPr>
          <w:rFonts w:ascii="Times New Roman" w:hAnsi="Times New Roman"/>
          <w:sz w:val="24"/>
          <w:szCs w:val="24"/>
        </w:rPr>
        <w:tab/>
        <w:t>consult with companies on complying with the TSCA section 12(b) rule</w:t>
      </w:r>
      <w:r w:rsidR="00DC7655" w:rsidRPr="000B4D89">
        <w:rPr>
          <w:rFonts w:ascii="Times New Roman" w:hAnsi="Times New Roman"/>
          <w:sz w:val="24"/>
          <w:szCs w:val="24"/>
        </w:rPr>
        <w:t>.</w:t>
      </w:r>
    </w:p>
    <w:p w14:paraId="6EC512B8" w14:textId="77777777" w:rsidR="00B90F92" w:rsidRPr="000B4D89" w:rsidRDefault="00B90F92" w:rsidP="000B4D89">
      <w:pPr>
        <w:pStyle w:val="NoSpacing"/>
        <w:rPr>
          <w:rFonts w:ascii="Times New Roman" w:hAnsi="Times New Roman"/>
          <w:sz w:val="24"/>
          <w:szCs w:val="24"/>
        </w:rPr>
      </w:pPr>
    </w:p>
    <w:p w14:paraId="6E12EC2A" w14:textId="2F451276"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4(b)</w:t>
      </w:r>
      <w:r w:rsidRPr="000B4D89">
        <w:rPr>
          <w:rFonts w:ascii="Times New Roman" w:hAnsi="Times New Roman"/>
          <w:b/>
          <w:sz w:val="24"/>
          <w:szCs w:val="24"/>
        </w:rPr>
        <w:tab/>
        <w:t>Collection Methodology and Management</w:t>
      </w:r>
    </w:p>
    <w:p w14:paraId="66FAF673" w14:textId="77777777" w:rsidR="00164BC5" w:rsidRPr="000B4D89" w:rsidRDefault="00164BC5" w:rsidP="000B4D89">
      <w:pPr>
        <w:pStyle w:val="NoSpacing"/>
        <w:rPr>
          <w:rFonts w:ascii="Times New Roman" w:hAnsi="Times New Roman"/>
          <w:sz w:val="24"/>
          <w:szCs w:val="24"/>
        </w:rPr>
      </w:pPr>
    </w:p>
    <w:p w14:paraId="44CD88E5"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The collection methodology is event-based, i.e., the respondent’s decision to export a chemical subject to TSCA section 12(b).  With the exception of TSCA section 4 chemicals, an exporter must submit, on an annual basis, one TSCA section 12(b) notice for each country to which a chemical subject to TSCA section 12(b) is exported.  For TSCA section 4 chemicals, an exporter must only submit a TSCA section 12(b) notice for the first export or intended export to a particular country. The TSCA section 12(b) notice must be postmarked within seven days after the respondent accepts a definite contractual obligation or no later than the date of export.  </w:t>
      </w:r>
    </w:p>
    <w:p w14:paraId="1C09A158" w14:textId="77777777" w:rsidR="00164BC5" w:rsidRPr="000B4D89" w:rsidRDefault="00164BC5" w:rsidP="000B4D89">
      <w:pPr>
        <w:pStyle w:val="NoSpacing"/>
        <w:rPr>
          <w:rFonts w:ascii="Times New Roman" w:hAnsi="Times New Roman"/>
          <w:sz w:val="24"/>
          <w:szCs w:val="24"/>
        </w:rPr>
      </w:pPr>
    </w:p>
    <w:p w14:paraId="387F72E1"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TSCA section 12(b) export notifications are received by EPA’s Information Management Division (IMD) in OPPT.  IMD notifies appropriate foreign governments of the export of the specific TSCA-regulated chemicals to their country in accordance with the mandate in TSCA section 12(b) and the regulations at 40 CFR part 707, Subpart D.</w:t>
      </w:r>
    </w:p>
    <w:p w14:paraId="0C66E746" w14:textId="77777777" w:rsidR="00164BC5" w:rsidRPr="000B4D89" w:rsidRDefault="00164BC5" w:rsidP="000B4D89">
      <w:pPr>
        <w:pStyle w:val="NoSpacing"/>
        <w:rPr>
          <w:rFonts w:ascii="Times New Roman" w:hAnsi="Times New Roman"/>
          <w:sz w:val="24"/>
          <w:szCs w:val="24"/>
        </w:rPr>
      </w:pPr>
    </w:p>
    <w:p w14:paraId="62C3317C" w14:textId="21B30ADF"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following is a brief overview of the Agency’s handling and tracking process for these notices:</w:t>
      </w:r>
    </w:p>
    <w:p w14:paraId="754E3FB4" w14:textId="77777777" w:rsidR="00164BC5" w:rsidRDefault="00164BC5" w:rsidP="000B4D89">
      <w:pPr>
        <w:pStyle w:val="NoSpacing"/>
        <w:rPr>
          <w:rFonts w:ascii="Times New Roman" w:hAnsi="Times New Roman"/>
          <w:sz w:val="24"/>
          <w:szCs w:val="24"/>
        </w:rPr>
      </w:pPr>
    </w:p>
    <w:p w14:paraId="47DC419A" w14:textId="048AB6FE" w:rsidR="00164BC5" w:rsidRPr="000B4D89" w:rsidRDefault="00D07928" w:rsidP="00AD436B">
      <w:pPr>
        <w:pStyle w:val="NoSpacing"/>
        <w:ind w:firstLine="720"/>
        <w:rPr>
          <w:rFonts w:ascii="Times New Roman" w:hAnsi="Times New Roman"/>
          <w:sz w:val="24"/>
          <w:szCs w:val="24"/>
        </w:rPr>
      </w:pPr>
      <w:r>
        <w:rPr>
          <w:rFonts w:ascii="Times New Roman" w:hAnsi="Times New Roman"/>
          <w:sz w:val="24"/>
          <w:szCs w:val="24"/>
        </w:rPr>
        <w:t xml:space="preserve">1)  </w:t>
      </w:r>
      <w:r w:rsidR="00164BC5" w:rsidRPr="000B4D89">
        <w:rPr>
          <w:rFonts w:ascii="Times New Roman" w:hAnsi="Times New Roman"/>
          <w:sz w:val="24"/>
          <w:szCs w:val="24"/>
        </w:rPr>
        <w:t>All incoming notices are received in OPPT’s Confidential Business Information Center (CBIC), which is managed by OPPT’s Information Management Division (IMD).</w:t>
      </w:r>
    </w:p>
    <w:p w14:paraId="31B9BE97" w14:textId="77777777" w:rsidR="00164BC5" w:rsidRPr="000B4D89" w:rsidRDefault="00164BC5" w:rsidP="000B4D89">
      <w:pPr>
        <w:pStyle w:val="NoSpacing"/>
        <w:rPr>
          <w:rFonts w:ascii="Times New Roman" w:hAnsi="Times New Roman"/>
          <w:sz w:val="24"/>
          <w:szCs w:val="24"/>
        </w:rPr>
      </w:pPr>
    </w:p>
    <w:p w14:paraId="5B477E07" w14:textId="482C9BEC" w:rsidR="00164BC5" w:rsidRPr="000B4D89" w:rsidRDefault="00D07928" w:rsidP="00AD436B">
      <w:pPr>
        <w:pStyle w:val="NoSpacing"/>
        <w:ind w:firstLine="720"/>
        <w:rPr>
          <w:rFonts w:ascii="Times New Roman" w:hAnsi="Times New Roman"/>
          <w:sz w:val="24"/>
          <w:szCs w:val="24"/>
        </w:rPr>
      </w:pPr>
      <w:r>
        <w:rPr>
          <w:rFonts w:ascii="Times New Roman" w:hAnsi="Times New Roman"/>
          <w:sz w:val="24"/>
          <w:szCs w:val="24"/>
        </w:rPr>
        <w:t xml:space="preserve">2)  </w:t>
      </w:r>
      <w:r w:rsidR="00164BC5" w:rsidRPr="000B4D89">
        <w:rPr>
          <w:rFonts w:ascii="Times New Roman" w:hAnsi="Times New Roman"/>
          <w:sz w:val="24"/>
          <w:szCs w:val="24"/>
        </w:rPr>
        <w:t xml:space="preserve">The </w:t>
      </w:r>
      <w:r w:rsidR="0085319E" w:rsidRPr="000B4D89">
        <w:rPr>
          <w:rFonts w:ascii="Times New Roman" w:hAnsi="Times New Roman"/>
          <w:sz w:val="24"/>
          <w:szCs w:val="24"/>
        </w:rPr>
        <w:t xml:space="preserve">CBIC enters all </w:t>
      </w:r>
      <w:r w:rsidR="00D61E67" w:rsidRPr="000B4D89">
        <w:rPr>
          <w:rFonts w:ascii="Times New Roman" w:hAnsi="Times New Roman"/>
          <w:sz w:val="24"/>
          <w:szCs w:val="24"/>
        </w:rPr>
        <w:t xml:space="preserve">hardcopy </w:t>
      </w:r>
      <w:r w:rsidR="0085319E" w:rsidRPr="000B4D89">
        <w:rPr>
          <w:rFonts w:ascii="Times New Roman" w:hAnsi="Times New Roman"/>
          <w:sz w:val="24"/>
          <w:szCs w:val="24"/>
        </w:rPr>
        <w:t>12b</w:t>
      </w:r>
      <w:r w:rsidR="00D61E67" w:rsidRPr="000B4D89">
        <w:rPr>
          <w:rFonts w:ascii="Times New Roman" w:hAnsi="Times New Roman"/>
          <w:sz w:val="24"/>
          <w:szCs w:val="24"/>
        </w:rPr>
        <w:t>’s</w:t>
      </w:r>
      <w:r w:rsidR="0085319E" w:rsidRPr="000B4D89">
        <w:rPr>
          <w:rFonts w:ascii="Times New Roman" w:hAnsi="Times New Roman"/>
          <w:sz w:val="24"/>
          <w:szCs w:val="24"/>
        </w:rPr>
        <w:t>, both CBI and NON-CBI</w:t>
      </w:r>
      <w:r w:rsidR="00164BC5" w:rsidRPr="000B4D89">
        <w:rPr>
          <w:rFonts w:ascii="Times New Roman" w:hAnsi="Times New Roman"/>
          <w:sz w:val="24"/>
          <w:szCs w:val="24"/>
        </w:rPr>
        <w:t xml:space="preserve"> records</w:t>
      </w:r>
      <w:r w:rsidR="0085319E" w:rsidRPr="000B4D89">
        <w:rPr>
          <w:rFonts w:ascii="Times New Roman" w:hAnsi="Times New Roman"/>
          <w:sz w:val="24"/>
          <w:szCs w:val="24"/>
        </w:rPr>
        <w:t xml:space="preserve"> by scanning</w:t>
      </w:r>
      <w:r w:rsidR="00164BC5" w:rsidRPr="000B4D89">
        <w:rPr>
          <w:rFonts w:ascii="Times New Roman" w:hAnsi="Times New Roman"/>
          <w:sz w:val="24"/>
          <w:szCs w:val="24"/>
        </w:rPr>
        <w:t xml:space="preserve"> the company and chemical information, enters it into the database, and prepares the notification letter and explanatory materials (e.g., </w:t>
      </w:r>
      <w:r w:rsidR="00164BC5" w:rsidRPr="000B4D89">
        <w:rPr>
          <w:rFonts w:ascii="Times New Roman" w:hAnsi="Times New Roman"/>
          <w:sz w:val="24"/>
          <w:szCs w:val="24"/>
          <w:u w:val="single"/>
        </w:rPr>
        <w:t>Federal Register</w:t>
      </w:r>
      <w:r w:rsidR="00164BC5" w:rsidRPr="000B4D89">
        <w:rPr>
          <w:rFonts w:ascii="Times New Roman" w:hAnsi="Times New Roman"/>
          <w:sz w:val="24"/>
          <w:szCs w:val="24"/>
        </w:rPr>
        <w:t xml:space="preserve"> notice, TSCA section 5(e) consent order)</w:t>
      </w:r>
      <w:r w:rsidR="0085319E" w:rsidRPr="000B4D89">
        <w:rPr>
          <w:rFonts w:ascii="Times New Roman" w:hAnsi="Times New Roman"/>
          <w:sz w:val="24"/>
          <w:szCs w:val="24"/>
        </w:rPr>
        <w:t xml:space="preserve"> via the Export Notification Tracking System (ENTS)</w:t>
      </w:r>
      <w:r w:rsidR="00164BC5" w:rsidRPr="000B4D89">
        <w:rPr>
          <w:rFonts w:ascii="Times New Roman" w:hAnsi="Times New Roman"/>
          <w:sz w:val="24"/>
          <w:szCs w:val="24"/>
        </w:rPr>
        <w:t xml:space="preserve">.  For CBI packages, CBIC </w:t>
      </w:r>
      <w:r w:rsidR="0085319E" w:rsidRPr="000B4D89">
        <w:rPr>
          <w:rFonts w:ascii="Times New Roman" w:hAnsi="Times New Roman"/>
          <w:sz w:val="24"/>
          <w:szCs w:val="24"/>
        </w:rPr>
        <w:t xml:space="preserve">via IMD/RDMB </w:t>
      </w:r>
      <w:r w:rsidR="00164BC5" w:rsidRPr="000B4D89">
        <w:rPr>
          <w:rFonts w:ascii="Times New Roman" w:hAnsi="Times New Roman"/>
          <w:sz w:val="24"/>
          <w:szCs w:val="24"/>
        </w:rPr>
        <w:t xml:space="preserve">sends the notification and explanatory information to the embassy/foreign authority of the country to which the subject chemical is being exported.  </w:t>
      </w:r>
    </w:p>
    <w:p w14:paraId="60BAC3AF" w14:textId="77777777" w:rsidR="00164BC5" w:rsidRPr="000B4D89" w:rsidRDefault="00164BC5" w:rsidP="000B4D89">
      <w:pPr>
        <w:pStyle w:val="NoSpacing"/>
        <w:rPr>
          <w:rFonts w:ascii="Times New Roman" w:hAnsi="Times New Roman"/>
          <w:sz w:val="24"/>
          <w:szCs w:val="24"/>
        </w:rPr>
      </w:pPr>
    </w:p>
    <w:p w14:paraId="77F1F50D" w14:textId="63877896" w:rsidR="00164BC5" w:rsidRPr="000B4D89" w:rsidRDefault="00D07928" w:rsidP="00AD436B">
      <w:pPr>
        <w:pStyle w:val="NoSpacing"/>
        <w:ind w:firstLine="720"/>
        <w:rPr>
          <w:rFonts w:ascii="Times New Roman" w:hAnsi="Times New Roman"/>
          <w:sz w:val="24"/>
          <w:szCs w:val="24"/>
        </w:rPr>
      </w:pPr>
      <w:r>
        <w:rPr>
          <w:rFonts w:ascii="Times New Roman" w:hAnsi="Times New Roman"/>
          <w:sz w:val="24"/>
          <w:szCs w:val="24"/>
        </w:rPr>
        <w:t xml:space="preserve">3)  </w:t>
      </w:r>
      <w:r w:rsidR="00164BC5" w:rsidRPr="000B4D89">
        <w:rPr>
          <w:rFonts w:ascii="Times New Roman" w:hAnsi="Times New Roman"/>
          <w:sz w:val="24"/>
          <w:szCs w:val="24"/>
        </w:rPr>
        <w:t xml:space="preserve">If the receiving country requests further information, the request comes directly to </w:t>
      </w:r>
      <w:r w:rsidR="0032335C" w:rsidRPr="000B4D89">
        <w:rPr>
          <w:rFonts w:ascii="Times New Roman" w:hAnsi="Times New Roman"/>
          <w:sz w:val="24"/>
          <w:szCs w:val="24"/>
        </w:rPr>
        <w:t xml:space="preserve">either the CBIC or </w:t>
      </w:r>
      <w:r w:rsidR="00164BC5" w:rsidRPr="000B4D89">
        <w:rPr>
          <w:rFonts w:ascii="Times New Roman" w:hAnsi="Times New Roman"/>
          <w:sz w:val="24"/>
          <w:szCs w:val="24"/>
        </w:rPr>
        <w:t>IMD</w:t>
      </w:r>
      <w:r w:rsidR="0032335C" w:rsidRPr="000B4D89">
        <w:rPr>
          <w:rFonts w:ascii="Times New Roman" w:hAnsi="Times New Roman"/>
          <w:sz w:val="24"/>
          <w:szCs w:val="24"/>
        </w:rPr>
        <w:t>, depending on the communications media, i.e., phone call, email, for hardcopy document, and RDMB</w:t>
      </w:r>
      <w:r w:rsidR="002F6BAC" w:rsidRPr="000B4D89">
        <w:rPr>
          <w:rFonts w:ascii="Times New Roman" w:hAnsi="Times New Roman"/>
          <w:sz w:val="24"/>
          <w:szCs w:val="24"/>
        </w:rPr>
        <w:t>and IMD/RDBM</w:t>
      </w:r>
      <w:r w:rsidR="00164BC5" w:rsidRPr="000B4D89">
        <w:rPr>
          <w:rFonts w:ascii="Times New Roman" w:hAnsi="Times New Roman"/>
          <w:sz w:val="24"/>
          <w:szCs w:val="24"/>
        </w:rPr>
        <w:t xml:space="preserve"> obtains and/or generates the needed information, and sends the package back to the requesting country’s embassy or authority.</w:t>
      </w:r>
    </w:p>
    <w:p w14:paraId="1852E3D1" w14:textId="77777777" w:rsidR="00164BC5" w:rsidRPr="000B4D89" w:rsidRDefault="00164BC5" w:rsidP="000B4D89">
      <w:pPr>
        <w:pStyle w:val="NoSpacing"/>
        <w:rPr>
          <w:rFonts w:ascii="Times New Roman" w:hAnsi="Times New Roman"/>
          <w:sz w:val="24"/>
          <w:szCs w:val="24"/>
        </w:rPr>
      </w:pPr>
    </w:p>
    <w:p w14:paraId="3EFA9893" w14:textId="0753C1C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Export Notification Tracking System (ENTS)</w:t>
      </w:r>
      <w:r w:rsidR="00D64D56" w:rsidRPr="000B4D89">
        <w:rPr>
          <w:rFonts w:ascii="Times New Roman" w:hAnsi="Times New Roman"/>
          <w:sz w:val="24"/>
          <w:szCs w:val="24"/>
        </w:rPr>
        <w:t xml:space="preserve"> </w:t>
      </w:r>
      <w:r w:rsidR="0085319E" w:rsidRPr="000B4D89">
        <w:rPr>
          <w:rFonts w:ascii="Times New Roman" w:hAnsi="Times New Roman"/>
          <w:sz w:val="24"/>
          <w:szCs w:val="24"/>
        </w:rPr>
        <w:t xml:space="preserve">is maintained by OPPT/IMD </w:t>
      </w:r>
      <w:r w:rsidR="00D64D56" w:rsidRPr="000B4D89">
        <w:rPr>
          <w:rFonts w:ascii="Times New Roman" w:hAnsi="Times New Roman"/>
          <w:sz w:val="24"/>
          <w:szCs w:val="24"/>
        </w:rPr>
        <w:t>contains</w:t>
      </w:r>
      <w:r w:rsidRPr="000B4D89">
        <w:rPr>
          <w:rFonts w:ascii="Times New Roman" w:hAnsi="Times New Roman"/>
          <w:sz w:val="24"/>
          <w:szCs w:val="24"/>
        </w:rPr>
        <w:t xml:space="preserve"> approximately 162,000 records dating back to 1989</w:t>
      </w:r>
      <w:r w:rsidR="00AB7D89" w:rsidRPr="000B4D89">
        <w:rPr>
          <w:rFonts w:ascii="Times New Roman" w:hAnsi="Times New Roman"/>
          <w:sz w:val="24"/>
          <w:szCs w:val="24"/>
        </w:rPr>
        <w:t xml:space="preserve">. </w:t>
      </w:r>
      <w:r w:rsidRPr="000B4D89">
        <w:rPr>
          <w:rFonts w:ascii="Times New Roman" w:hAnsi="Times New Roman"/>
          <w:sz w:val="24"/>
          <w:szCs w:val="24"/>
        </w:rPr>
        <w:t>The ENTS database is modified daily with new incoming records of chemical exports to foreign countries. Updates also incorporate regulatory changes affecting the chemicals that are subject to EPA’s TSCA section 12(b) export notification rule at 40 CFR 707.</w:t>
      </w:r>
    </w:p>
    <w:p w14:paraId="382934F7" w14:textId="77777777" w:rsidR="006406D7" w:rsidRPr="000B4D89" w:rsidRDefault="006406D7" w:rsidP="000B4D89">
      <w:pPr>
        <w:pStyle w:val="NoSpacing"/>
        <w:rPr>
          <w:rFonts w:ascii="Times New Roman" w:hAnsi="Times New Roman"/>
          <w:sz w:val="24"/>
          <w:szCs w:val="24"/>
        </w:rPr>
      </w:pPr>
    </w:p>
    <w:p w14:paraId="019CCBA3" w14:textId="57C14463"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EPA is continuing to explore the feasibility of developing and implementing an optional electronic data reporting system for the ease of respondents, which could result in a significant burden reduction. The projected reporting system is designed to be a user-friendly interface for parties engaged </w:t>
      </w:r>
      <w:r w:rsidR="00900BE3">
        <w:rPr>
          <w:rFonts w:ascii="Times New Roman" w:hAnsi="Times New Roman"/>
          <w:sz w:val="24"/>
          <w:szCs w:val="24"/>
        </w:rPr>
        <w:t>in reporting under TSCA section</w:t>
      </w:r>
      <w:r w:rsidRPr="000B4D89">
        <w:rPr>
          <w:rFonts w:ascii="Times New Roman" w:hAnsi="Times New Roman"/>
          <w:sz w:val="24"/>
          <w:szCs w:val="24"/>
        </w:rPr>
        <w:t xml:space="preserve"> 12(b).  Thus, the submission of information to EPA will be less expensive, faster, and more efficient once this technology is fully applied.</w:t>
      </w:r>
    </w:p>
    <w:p w14:paraId="5BC08E1B" w14:textId="77777777" w:rsidR="0000313B" w:rsidRPr="000B4D89" w:rsidRDefault="0000313B" w:rsidP="000B4D89">
      <w:pPr>
        <w:pStyle w:val="NoSpacing"/>
        <w:rPr>
          <w:rFonts w:ascii="Times New Roman" w:hAnsi="Times New Roman"/>
          <w:sz w:val="24"/>
          <w:szCs w:val="24"/>
        </w:rPr>
      </w:pPr>
    </w:p>
    <w:p w14:paraId="5DFE7F32" w14:textId="77777777" w:rsidR="00A511CE" w:rsidRDefault="00A511CE">
      <w:pPr>
        <w:autoSpaceDE/>
        <w:autoSpaceDN/>
        <w:adjustRightInd/>
        <w:spacing w:after="200" w:line="276" w:lineRule="auto"/>
        <w:rPr>
          <w:rFonts w:eastAsia="Calibri"/>
          <w:b/>
          <w:sz w:val="24"/>
          <w:szCs w:val="24"/>
        </w:rPr>
      </w:pPr>
      <w:r>
        <w:rPr>
          <w:b/>
          <w:sz w:val="24"/>
          <w:szCs w:val="24"/>
        </w:rPr>
        <w:br w:type="page"/>
      </w:r>
    </w:p>
    <w:p w14:paraId="777DA287" w14:textId="16267FB8" w:rsidR="00164BC5" w:rsidRPr="000B4D89" w:rsidRDefault="00164BC5" w:rsidP="000B4D89">
      <w:pPr>
        <w:pStyle w:val="NoSpacing"/>
        <w:ind w:firstLine="720"/>
        <w:rPr>
          <w:rFonts w:ascii="Times New Roman" w:hAnsi="Times New Roman"/>
          <w:b/>
          <w:sz w:val="24"/>
          <w:szCs w:val="24"/>
        </w:rPr>
      </w:pPr>
      <w:r w:rsidRPr="000B4D89">
        <w:rPr>
          <w:rFonts w:ascii="Times New Roman" w:hAnsi="Times New Roman"/>
          <w:b/>
          <w:sz w:val="24"/>
          <w:szCs w:val="24"/>
        </w:rPr>
        <w:t>4(c)</w:t>
      </w:r>
      <w:r w:rsidRPr="000B4D89">
        <w:rPr>
          <w:rFonts w:ascii="Times New Roman" w:hAnsi="Times New Roman"/>
          <w:b/>
          <w:sz w:val="24"/>
          <w:szCs w:val="24"/>
        </w:rPr>
        <w:tab/>
        <w:t>Small Entity Flexibility</w:t>
      </w:r>
    </w:p>
    <w:p w14:paraId="29D114CC" w14:textId="77777777" w:rsidR="00164BC5" w:rsidRPr="000B4D89" w:rsidRDefault="00164BC5" w:rsidP="000B4D89">
      <w:pPr>
        <w:pStyle w:val="NoSpacing"/>
        <w:rPr>
          <w:rFonts w:ascii="Times New Roman" w:hAnsi="Times New Roman"/>
          <w:sz w:val="24"/>
          <w:szCs w:val="24"/>
        </w:rPr>
      </w:pPr>
    </w:p>
    <w:p w14:paraId="5517A469" w14:textId="706389B4"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TSCA section 12(b) does not exempt small businesses.  However, most reporting has been by large companies, because they do most of the exporting.  In any case, the burden on any exporter is minimal, </w:t>
      </w:r>
      <w:r w:rsidR="0000313B" w:rsidRPr="000B4D89">
        <w:rPr>
          <w:rFonts w:ascii="Times New Roman" w:hAnsi="Times New Roman"/>
          <w:sz w:val="24"/>
          <w:szCs w:val="24"/>
        </w:rPr>
        <w:t xml:space="preserve">averaging </w:t>
      </w:r>
      <w:r w:rsidR="00BF7F7B" w:rsidRPr="000B4D89">
        <w:rPr>
          <w:rFonts w:ascii="Times New Roman" w:hAnsi="Times New Roman"/>
          <w:sz w:val="24"/>
          <w:szCs w:val="24"/>
        </w:rPr>
        <w:t xml:space="preserve">16.8 </w:t>
      </w:r>
      <w:r w:rsidR="0000313B" w:rsidRPr="000B4D89">
        <w:rPr>
          <w:rFonts w:ascii="Times New Roman" w:hAnsi="Times New Roman"/>
          <w:sz w:val="24"/>
          <w:szCs w:val="24"/>
        </w:rPr>
        <w:t xml:space="preserve">hours per firm with minimal </w:t>
      </w:r>
      <w:r w:rsidRPr="000B4D89">
        <w:rPr>
          <w:rFonts w:ascii="Times New Roman" w:hAnsi="Times New Roman"/>
          <w:sz w:val="24"/>
          <w:szCs w:val="24"/>
        </w:rPr>
        <w:t>mailing costs</w:t>
      </w:r>
      <w:r w:rsidR="00150932" w:rsidRPr="000B4D89">
        <w:rPr>
          <w:rFonts w:ascii="Times New Roman" w:hAnsi="Times New Roman"/>
          <w:sz w:val="24"/>
          <w:szCs w:val="24"/>
        </w:rPr>
        <w:t>,</w:t>
      </w:r>
      <w:r w:rsidRPr="000B4D89">
        <w:rPr>
          <w:rFonts w:ascii="Times New Roman" w:hAnsi="Times New Roman"/>
          <w:sz w:val="24"/>
          <w:szCs w:val="24"/>
        </w:rPr>
        <w:t xml:space="preserve"> </w:t>
      </w:r>
      <w:r w:rsidR="0000313B" w:rsidRPr="000B4D89">
        <w:rPr>
          <w:rFonts w:ascii="Times New Roman" w:hAnsi="Times New Roman"/>
          <w:sz w:val="24"/>
          <w:szCs w:val="24"/>
        </w:rPr>
        <w:t xml:space="preserve">yielding an associated cost of </w:t>
      </w:r>
      <w:r w:rsidR="00BF7F7B" w:rsidRPr="000B4D89">
        <w:rPr>
          <w:rFonts w:ascii="Times New Roman" w:hAnsi="Times New Roman"/>
          <w:sz w:val="24"/>
          <w:szCs w:val="24"/>
        </w:rPr>
        <w:t>$1,158</w:t>
      </w:r>
      <w:r w:rsidR="003F7AC5" w:rsidRPr="000B4D89">
        <w:rPr>
          <w:rFonts w:ascii="Times New Roman" w:hAnsi="Times New Roman"/>
          <w:sz w:val="24"/>
          <w:szCs w:val="24"/>
        </w:rPr>
        <w:t>.</w:t>
      </w:r>
      <w:r w:rsidR="00BF7F7B" w:rsidRPr="000B4D89">
        <w:rPr>
          <w:rFonts w:ascii="Times New Roman" w:hAnsi="Times New Roman"/>
          <w:sz w:val="24"/>
          <w:szCs w:val="24"/>
        </w:rPr>
        <w:t xml:space="preserve">83 </w:t>
      </w:r>
      <w:r w:rsidR="0000313B" w:rsidRPr="000B4D89">
        <w:rPr>
          <w:rFonts w:ascii="Times New Roman" w:hAnsi="Times New Roman"/>
          <w:sz w:val="24"/>
          <w:szCs w:val="24"/>
        </w:rPr>
        <w:t>per firm</w:t>
      </w:r>
      <w:r w:rsidR="006406D7" w:rsidRPr="000B4D89">
        <w:rPr>
          <w:rFonts w:ascii="Times New Roman" w:hAnsi="Times New Roman"/>
          <w:sz w:val="24"/>
          <w:szCs w:val="24"/>
        </w:rPr>
        <w:t xml:space="preserve"> (assuming 13 noti</w:t>
      </w:r>
      <w:r w:rsidR="003F7AC5" w:rsidRPr="000B4D89">
        <w:rPr>
          <w:rFonts w:ascii="Times New Roman" w:hAnsi="Times New Roman"/>
          <w:sz w:val="24"/>
          <w:szCs w:val="24"/>
        </w:rPr>
        <w:t>ces</w:t>
      </w:r>
      <w:r w:rsidR="006406D7" w:rsidRPr="000B4D89">
        <w:rPr>
          <w:rFonts w:ascii="Times New Roman" w:hAnsi="Times New Roman"/>
          <w:sz w:val="24"/>
          <w:szCs w:val="24"/>
        </w:rPr>
        <w:t xml:space="preserve"> per firm)</w:t>
      </w:r>
      <w:r w:rsidR="0000313B" w:rsidRPr="000B4D89">
        <w:rPr>
          <w:rFonts w:ascii="Times New Roman" w:hAnsi="Times New Roman"/>
          <w:sz w:val="24"/>
          <w:szCs w:val="24"/>
        </w:rPr>
        <w:t xml:space="preserve">. </w:t>
      </w:r>
    </w:p>
    <w:p w14:paraId="070B22DF" w14:textId="77777777" w:rsidR="00164BC5" w:rsidRPr="000B4D89" w:rsidRDefault="00164BC5" w:rsidP="000B4D89">
      <w:pPr>
        <w:pStyle w:val="NoSpacing"/>
        <w:rPr>
          <w:rFonts w:ascii="Times New Roman" w:hAnsi="Times New Roman"/>
          <w:sz w:val="24"/>
          <w:szCs w:val="24"/>
        </w:rPr>
      </w:pPr>
    </w:p>
    <w:p w14:paraId="51456681"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4(d)</w:t>
      </w:r>
      <w:r w:rsidRPr="000B4D89">
        <w:rPr>
          <w:rFonts w:ascii="Times New Roman" w:hAnsi="Times New Roman"/>
          <w:b/>
          <w:sz w:val="24"/>
          <w:szCs w:val="24"/>
        </w:rPr>
        <w:tab/>
        <w:t>Collection Schedule</w:t>
      </w:r>
    </w:p>
    <w:p w14:paraId="6E7A441E" w14:textId="77777777" w:rsidR="00164BC5" w:rsidRPr="000B4D89" w:rsidRDefault="00164BC5" w:rsidP="000B4D89">
      <w:pPr>
        <w:pStyle w:val="NoSpacing"/>
        <w:rPr>
          <w:rFonts w:ascii="Times New Roman" w:hAnsi="Times New Roman"/>
          <w:sz w:val="24"/>
          <w:szCs w:val="24"/>
        </w:rPr>
      </w:pPr>
    </w:p>
    <w:p w14:paraId="63942A42"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In general, there are basically two collection schedules related to the TSCA section 12(b) export notification requirements, i.e., a one-time collection and an annual collection.  On an annual basis, excluding TSCA section 4 chemicals, an exporter must submit only one TSCA section 12(b) notice for each country to which a chemical subject to TSCA section 12(b) is exported.  For TSCA section 4 chemicals, an exporter must only submit one TSCA section 12(b) notice for the first export or intended export to a particular country.</w:t>
      </w:r>
    </w:p>
    <w:p w14:paraId="46260D74" w14:textId="77777777" w:rsidR="00164BC5" w:rsidRPr="000B4D89" w:rsidRDefault="00164BC5" w:rsidP="000B4D89">
      <w:pPr>
        <w:pStyle w:val="NoSpacing"/>
        <w:rPr>
          <w:rFonts w:ascii="Times New Roman" w:hAnsi="Times New Roman"/>
          <w:sz w:val="24"/>
          <w:szCs w:val="24"/>
        </w:rPr>
      </w:pPr>
    </w:p>
    <w:p w14:paraId="3CDEEF10"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If the collection of information was conducted less frequently, the statutory requirements would not be met.</w:t>
      </w:r>
    </w:p>
    <w:p w14:paraId="4F85FD12" w14:textId="77777777" w:rsidR="00164BC5" w:rsidRPr="000B4D89" w:rsidRDefault="00164BC5" w:rsidP="000B4D89">
      <w:pPr>
        <w:pStyle w:val="NoSpacing"/>
        <w:rPr>
          <w:rFonts w:ascii="Times New Roman" w:hAnsi="Times New Roman"/>
          <w:sz w:val="24"/>
          <w:szCs w:val="24"/>
        </w:rPr>
      </w:pPr>
    </w:p>
    <w:p w14:paraId="624A8795" w14:textId="77777777" w:rsidR="00164BC5" w:rsidRPr="000B4D89" w:rsidRDefault="00164BC5" w:rsidP="000B4D89">
      <w:pPr>
        <w:pStyle w:val="NoSpacing"/>
        <w:rPr>
          <w:rFonts w:ascii="Times New Roman" w:hAnsi="Times New Roman"/>
          <w:sz w:val="24"/>
          <w:szCs w:val="24"/>
        </w:rPr>
      </w:pPr>
    </w:p>
    <w:p w14:paraId="60405C7B"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5</w:t>
      </w:r>
      <w:r w:rsidRPr="000B4D89">
        <w:rPr>
          <w:rFonts w:ascii="Times New Roman" w:hAnsi="Times New Roman"/>
          <w:b/>
          <w:sz w:val="24"/>
          <w:szCs w:val="24"/>
        </w:rPr>
        <w:tab/>
        <w:t>THE RESPONDENTS AND THE INFORMATION REQUESTED</w:t>
      </w:r>
    </w:p>
    <w:p w14:paraId="2028D678" w14:textId="77777777" w:rsidR="00164BC5" w:rsidRPr="000B4D89" w:rsidRDefault="00164BC5" w:rsidP="000B4D89">
      <w:pPr>
        <w:pStyle w:val="NoSpacing"/>
        <w:rPr>
          <w:rFonts w:ascii="Times New Roman" w:hAnsi="Times New Roman"/>
          <w:b/>
          <w:sz w:val="24"/>
          <w:szCs w:val="24"/>
        </w:rPr>
      </w:pPr>
    </w:p>
    <w:p w14:paraId="59B86FC4"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t>5(a)</w:t>
      </w:r>
      <w:r w:rsidRPr="000B4D89">
        <w:rPr>
          <w:rFonts w:ascii="Times New Roman" w:hAnsi="Times New Roman"/>
          <w:b/>
          <w:sz w:val="24"/>
          <w:szCs w:val="24"/>
        </w:rPr>
        <w:tab/>
        <w:t>Respondents/NAICS Codes</w:t>
      </w:r>
    </w:p>
    <w:p w14:paraId="13A4988F" w14:textId="77777777" w:rsidR="00164BC5" w:rsidRPr="000B4D89" w:rsidRDefault="00164BC5" w:rsidP="000B4D89">
      <w:pPr>
        <w:pStyle w:val="NoSpacing"/>
        <w:rPr>
          <w:rFonts w:ascii="Times New Roman" w:hAnsi="Times New Roman"/>
          <w:sz w:val="24"/>
          <w:szCs w:val="24"/>
        </w:rPr>
      </w:pPr>
    </w:p>
    <w:p w14:paraId="2C7D5E12" w14:textId="09685CEF"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Respondents to this collection are exporters of chemical substances, which are mostly chemicals companies classified under NAICS Codes 325 and 324.</w:t>
      </w:r>
    </w:p>
    <w:p w14:paraId="608EB440" w14:textId="77777777" w:rsidR="00164BC5" w:rsidRPr="000B4D89" w:rsidRDefault="00164BC5" w:rsidP="000B4D89">
      <w:pPr>
        <w:pStyle w:val="NoSpacing"/>
        <w:rPr>
          <w:rFonts w:ascii="Times New Roman" w:hAnsi="Times New Roman"/>
          <w:sz w:val="24"/>
          <w:szCs w:val="24"/>
        </w:rPr>
      </w:pPr>
    </w:p>
    <w:p w14:paraId="5DA5E1AD"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5(b)</w:t>
      </w:r>
      <w:r w:rsidRPr="000B4D89">
        <w:rPr>
          <w:rFonts w:ascii="Times New Roman" w:hAnsi="Times New Roman"/>
          <w:b/>
          <w:sz w:val="24"/>
          <w:szCs w:val="24"/>
        </w:rPr>
        <w:tab/>
        <w:t>Information Requested</w:t>
      </w:r>
    </w:p>
    <w:p w14:paraId="3FCF8F4D" w14:textId="77777777" w:rsidR="00164BC5" w:rsidRPr="000B4D89" w:rsidRDefault="00164BC5" w:rsidP="000B4D89">
      <w:pPr>
        <w:pStyle w:val="NoSpacing"/>
        <w:rPr>
          <w:rFonts w:ascii="Times New Roman" w:hAnsi="Times New Roman"/>
          <w:b/>
          <w:sz w:val="24"/>
          <w:szCs w:val="24"/>
        </w:rPr>
      </w:pPr>
    </w:p>
    <w:p w14:paraId="18B95491" w14:textId="66DD7904"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ab/>
      </w:r>
      <w:r w:rsidR="000B4D89">
        <w:rPr>
          <w:rFonts w:ascii="Times New Roman" w:hAnsi="Times New Roman"/>
          <w:b/>
          <w:sz w:val="24"/>
          <w:szCs w:val="24"/>
        </w:rPr>
        <w:tab/>
      </w:r>
      <w:r w:rsidRPr="000B4D89">
        <w:rPr>
          <w:rFonts w:ascii="Times New Roman" w:hAnsi="Times New Roman"/>
          <w:b/>
          <w:sz w:val="24"/>
          <w:szCs w:val="24"/>
        </w:rPr>
        <w:t>(i) Data Items</w:t>
      </w:r>
    </w:p>
    <w:p w14:paraId="18EDFF1E"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p>
    <w:p w14:paraId="7D60DD77"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Respondents are required to include the following information in their export notification: </w:t>
      </w:r>
    </w:p>
    <w:p w14:paraId="081D0795"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p>
    <w:p w14:paraId="5CB8A197" w14:textId="6BE28AEC"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 xml:space="preserve">the name and address of the exporter; </w:t>
      </w:r>
    </w:p>
    <w:p w14:paraId="321BFC1E" w14:textId="4CA8D574"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 xml:space="preserve">the name of the chemical; </w:t>
      </w:r>
    </w:p>
    <w:p w14:paraId="76A3D1B4" w14:textId="3247604A"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 xml:space="preserve">the country of import; </w:t>
      </w:r>
    </w:p>
    <w:p w14:paraId="05B0D92F" w14:textId="49853BFC"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the date of export or intended export; and</w:t>
      </w:r>
    </w:p>
    <w:p w14:paraId="6C889E0A" w14:textId="44C749CF" w:rsidR="00164BC5"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the TSCA section 4, 5, 6 or 7 action that triggers the notice.</w:t>
      </w:r>
    </w:p>
    <w:p w14:paraId="2C6774E6" w14:textId="77777777" w:rsidR="00B461F5" w:rsidRPr="000B4D89" w:rsidRDefault="00B461F5" w:rsidP="00B461F5">
      <w:pPr>
        <w:pStyle w:val="NoSpacing"/>
        <w:ind w:left="720"/>
        <w:rPr>
          <w:rFonts w:ascii="Times New Roman" w:hAnsi="Times New Roman"/>
          <w:sz w:val="24"/>
          <w:szCs w:val="24"/>
        </w:rPr>
      </w:pPr>
    </w:p>
    <w:p w14:paraId="07B4686D"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sz w:val="24"/>
          <w:szCs w:val="24"/>
        </w:rPr>
        <w:tab/>
      </w:r>
      <w:r w:rsidRPr="000B4D89">
        <w:rPr>
          <w:rFonts w:ascii="Times New Roman" w:hAnsi="Times New Roman"/>
          <w:b/>
          <w:sz w:val="24"/>
          <w:szCs w:val="24"/>
        </w:rPr>
        <w:t>(ii) Respondent Activities</w:t>
      </w:r>
    </w:p>
    <w:p w14:paraId="2F16E17C" w14:textId="77777777" w:rsidR="00164BC5" w:rsidRPr="000B4D89" w:rsidRDefault="00164BC5" w:rsidP="000B4D89">
      <w:pPr>
        <w:pStyle w:val="NoSpacing"/>
        <w:rPr>
          <w:rFonts w:ascii="Times New Roman" w:hAnsi="Times New Roman"/>
          <w:sz w:val="24"/>
          <w:szCs w:val="24"/>
        </w:rPr>
      </w:pPr>
    </w:p>
    <w:p w14:paraId="1BD51B41"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In providing the required TSCA section 12(b) export notification, the respondent (exporter) is likely to engage in the following activities:</w:t>
      </w:r>
    </w:p>
    <w:p w14:paraId="4A58CEA7" w14:textId="77777777" w:rsidR="000B4D89" w:rsidRDefault="000B4D89" w:rsidP="000B4D89">
      <w:pPr>
        <w:pStyle w:val="NoSpacing"/>
        <w:rPr>
          <w:rFonts w:ascii="Times New Roman" w:hAnsi="Times New Roman"/>
          <w:sz w:val="24"/>
          <w:szCs w:val="24"/>
        </w:rPr>
      </w:pPr>
    </w:p>
    <w:p w14:paraId="5F8BE205" w14:textId="0559C4A3"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Compile and maintain a list of chemical products manufactured by the company that are also subject to a TSCA section 4, 5, 6 or 7 action (e.g., compare list of their chemicals with EPA’s list of TSCA section 12(b) chemicals);</w:t>
      </w:r>
    </w:p>
    <w:p w14:paraId="146AB41C" w14:textId="2CB2FD15"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Check this list against outgoing orders to determine if a product/chemical on the list is expected to be exported to a customer outside of the U.S.;</w:t>
      </w:r>
    </w:p>
    <w:p w14:paraId="5C8C44ED" w14:textId="4D28F726"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If it is, identify whether a TSCA section 12(b) notice is required (e.g., is it the first shipment to that country this year?); and</w:t>
      </w:r>
    </w:p>
    <w:p w14:paraId="0C3D1F21" w14:textId="4ECC70D2" w:rsidR="00164BC5" w:rsidRPr="000B4D89" w:rsidRDefault="00164BC5" w:rsidP="00D07928">
      <w:pPr>
        <w:pStyle w:val="NoSpacing"/>
        <w:numPr>
          <w:ilvl w:val="0"/>
          <w:numId w:val="7"/>
        </w:numPr>
        <w:rPr>
          <w:rFonts w:ascii="Times New Roman" w:hAnsi="Times New Roman"/>
          <w:sz w:val="24"/>
          <w:szCs w:val="24"/>
        </w:rPr>
      </w:pPr>
      <w:r w:rsidRPr="000B4D89">
        <w:rPr>
          <w:rFonts w:ascii="Times New Roman" w:hAnsi="Times New Roman"/>
          <w:sz w:val="24"/>
          <w:szCs w:val="24"/>
        </w:rPr>
        <w:t>If product/chemical is on the list and a TSCA section 12(b) notice is required, complete the required export notice and forward it to EPA within the required time period.</w:t>
      </w:r>
    </w:p>
    <w:p w14:paraId="1FDFDF1A" w14:textId="77777777" w:rsidR="00164BC5" w:rsidRPr="000B4D89" w:rsidRDefault="00164BC5" w:rsidP="000B4D89">
      <w:pPr>
        <w:pStyle w:val="NoSpacing"/>
        <w:rPr>
          <w:rFonts w:ascii="Times New Roman" w:hAnsi="Times New Roman"/>
          <w:sz w:val="24"/>
          <w:szCs w:val="24"/>
        </w:rPr>
      </w:pPr>
    </w:p>
    <w:p w14:paraId="6A7E9F11" w14:textId="77777777" w:rsidR="00164BC5" w:rsidRPr="000B4D89" w:rsidRDefault="00164BC5" w:rsidP="000B4D89">
      <w:pPr>
        <w:pStyle w:val="NoSpacing"/>
        <w:rPr>
          <w:rFonts w:ascii="Times New Roman" w:hAnsi="Times New Roman"/>
          <w:sz w:val="24"/>
          <w:szCs w:val="24"/>
        </w:rPr>
      </w:pPr>
    </w:p>
    <w:p w14:paraId="16A938FA"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b/>
          <w:sz w:val="24"/>
          <w:szCs w:val="24"/>
        </w:rPr>
        <w:t>6          ESTIMATING THE BURDEN AND COST OF THE COLLECTION</w:t>
      </w:r>
    </w:p>
    <w:p w14:paraId="74FB9493" w14:textId="77777777" w:rsidR="00164BC5" w:rsidRPr="000B4D89" w:rsidRDefault="00164BC5" w:rsidP="000B4D89">
      <w:pPr>
        <w:pStyle w:val="NoSpacing"/>
        <w:rPr>
          <w:rFonts w:ascii="Times New Roman" w:hAnsi="Times New Roman"/>
          <w:sz w:val="24"/>
          <w:szCs w:val="24"/>
        </w:rPr>
      </w:pPr>
    </w:p>
    <w:p w14:paraId="727FCFB9"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The purpose of this analysis is to determine the incremental cost to industry and to the EPA associated with export reports that are submitted to the Agency under the TSCA section 12(b) reporting requirements.</w:t>
      </w:r>
    </w:p>
    <w:p w14:paraId="2C50E405" w14:textId="77777777" w:rsidR="00164BC5" w:rsidRPr="000B4D89" w:rsidRDefault="00164BC5" w:rsidP="000B4D89">
      <w:pPr>
        <w:pStyle w:val="NoSpacing"/>
        <w:rPr>
          <w:rFonts w:ascii="Times New Roman" w:hAnsi="Times New Roman"/>
          <w:sz w:val="24"/>
          <w:szCs w:val="24"/>
        </w:rPr>
      </w:pPr>
    </w:p>
    <w:p w14:paraId="36485860" w14:textId="6400AA3F" w:rsidR="00164BC5" w:rsidRPr="000B4D89" w:rsidRDefault="00164BC5" w:rsidP="000B4D89">
      <w:pPr>
        <w:pStyle w:val="NoSpacing"/>
        <w:ind w:firstLine="720"/>
        <w:rPr>
          <w:rFonts w:ascii="Times New Roman" w:hAnsi="Times New Roman"/>
          <w:b/>
          <w:sz w:val="24"/>
          <w:szCs w:val="24"/>
        </w:rPr>
      </w:pPr>
      <w:r w:rsidRPr="000B4D89">
        <w:rPr>
          <w:rFonts w:ascii="Times New Roman" w:hAnsi="Times New Roman"/>
          <w:b/>
          <w:sz w:val="24"/>
          <w:szCs w:val="24"/>
        </w:rPr>
        <w:t>6(a)</w:t>
      </w:r>
      <w:r w:rsidRPr="000B4D89">
        <w:rPr>
          <w:rFonts w:ascii="Times New Roman" w:hAnsi="Times New Roman"/>
          <w:b/>
          <w:sz w:val="24"/>
          <w:szCs w:val="24"/>
        </w:rPr>
        <w:tab/>
        <w:t>Estimating the Respondent Burden</w:t>
      </w:r>
      <w:r w:rsidR="0034142D" w:rsidRPr="000B4D89">
        <w:rPr>
          <w:rFonts w:ascii="Times New Roman" w:hAnsi="Times New Roman"/>
          <w:b/>
          <w:sz w:val="24"/>
          <w:szCs w:val="24"/>
        </w:rPr>
        <w:t xml:space="preserve"> </w:t>
      </w:r>
    </w:p>
    <w:p w14:paraId="10733C6F" w14:textId="77777777" w:rsidR="00164BC5" w:rsidRPr="000B4D89" w:rsidRDefault="00164BC5" w:rsidP="000B4D89">
      <w:pPr>
        <w:pStyle w:val="NoSpacing"/>
        <w:rPr>
          <w:rFonts w:ascii="Times New Roman" w:hAnsi="Times New Roman"/>
          <w:sz w:val="24"/>
          <w:szCs w:val="24"/>
        </w:rPr>
      </w:pPr>
    </w:p>
    <w:p w14:paraId="2FE234D5" w14:textId="77777777" w:rsidR="00164BC5" w:rsidRDefault="00164BC5" w:rsidP="000B4D89">
      <w:pPr>
        <w:pStyle w:val="NoSpacing"/>
        <w:rPr>
          <w:rFonts w:ascii="Times New Roman" w:hAnsi="Times New Roman"/>
          <w:sz w:val="24"/>
          <w:szCs w:val="24"/>
        </w:rPr>
      </w:pPr>
      <w:r w:rsidRPr="000B4D89">
        <w:rPr>
          <w:rFonts w:ascii="Times New Roman" w:hAnsi="Times New Roman"/>
          <w:sz w:val="24"/>
          <w:szCs w:val="24"/>
        </w:rPr>
        <w:tab/>
        <w:t>The burden to respondents of this information collection activity comprises the time required to perform the steps outlined in section 3 of this document.</w:t>
      </w:r>
    </w:p>
    <w:p w14:paraId="38E9D9AC" w14:textId="77777777" w:rsidR="000B4D89" w:rsidRDefault="000B4D89" w:rsidP="000B4D89">
      <w:pPr>
        <w:pStyle w:val="NoSpacing"/>
        <w:rPr>
          <w:rFonts w:ascii="Times New Roman" w:hAnsi="Times New Roman"/>
          <w:sz w:val="24"/>
          <w:szCs w:val="24"/>
        </w:rPr>
      </w:pPr>
    </w:p>
    <w:p w14:paraId="04258010" w14:textId="226577DC" w:rsidR="00164BC5" w:rsidRPr="000B4D89" w:rsidRDefault="00164BC5" w:rsidP="00D07928">
      <w:pPr>
        <w:pStyle w:val="NoSpacing"/>
        <w:ind w:firstLine="720"/>
        <w:rPr>
          <w:rFonts w:ascii="Times New Roman" w:hAnsi="Times New Roman"/>
          <w:sz w:val="24"/>
          <w:szCs w:val="24"/>
        </w:rPr>
      </w:pPr>
      <w:r w:rsidRPr="000B4D89">
        <w:rPr>
          <w:rFonts w:ascii="Times New Roman" w:hAnsi="Times New Roman"/>
          <w:sz w:val="24"/>
          <w:szCs w:val="24"/>
        </w:rPr>
        <w:t xml:space="preserve">For the purpose of this section, a </w:t>
      </w:r>
      <w:r w:rsidR="003F7AC5" w:rsidRPr="000B4D89">
        <w:rPr>
          <w:rFonts w:ascii="Times New Roman" w:hAnsi="Times New Roman"/>
          <w:sz w:val="24"/>
          <w:szCs w:val="24"/>
        </w:rPr>
        <w:t xml:space="preserve">notice </w:t>
      </w:r>
      <w:r w:rsidRPr="000B4D89">
        <w:rPr>
          <w:rFonts w:ascii="Times New Roman" w:hAnsi="Times New Roman"/>
          <w:sz w:val="24"/>
          <w:szCs w:val="24"/>
        </w:rPr>
        <w:t xml:space="preserve">is a package received by the EPA by one company. One company may submit more than one </w:t>
      </w:r>
      <w:r w:rsidR="003F7AC5" w:rsidRPr="000B4D89">
        <w:rPr>
          <w:rFonts w:ascii="Times New Roman" w:hAnsi="Times New Roman"/>
          <w:sz w:val="24"/>
          <w:szCs w:val="24"/>
        </w:rPr>
        <w:t xml:space="preserve">notice </w:t>
      </w:r>
      <w:r w:rsidRPr="000B4D89">
        <w:rPr>
          <w:rFonts w:ascii="Times New Roman" w:hAnsi="Times New Roman"/>
          <w:sz w:val="24"/>
          <w:szCs w:val="24"/>
        </w:rPr>
        <w:t>per year. Each noti</w:t>
      </w:r>
      <w:r w:rsidR="003F7AC5" w:rsidRPr="000B4D89">
        <w:rPr>
          <w:rFonts w:ascii="Times New Roman" w:hAnsi="Times New Roman"/>
          <w:sz w:val="24"/>
          <w:szCs w:val="24"/>
        </w:rPr>
        <w:t xml:space="preserve">ce </w:t>
      </w:r>
      <w:r w:rsidRPr="000B4D89">
        <w:rPr>
          <w:rFonts w:ascii="Times New Roman" w:hAnsi="Times New Roman"/>
          <w:sz w:val="24"/>
          <w:szCs w:val="24"/>
        </w:rPr>
        <w:t>may contain several chemicals and/or countries.</w:t>
      </w:r>
      <w:r w:rsidR="003F7AC5" w:rsidRPr="000B4D89">
        <w:rPr>
          <w:rFonts w:ascii="Times New Roman" w:hAnsi="Times New Roman"/>
          <w:sz w:val="24"/>
          <w:szCs w:val="24"/>
        </w:rPr>
        <w:t xml:space="preserve"> A notice subsequently becomes a letter of notification that EPA issues to a foreign government.</w:t>
      </w:r>
    </w:p>
    <w:p w14:paraId="2DAEA01C"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p>
    <w:p w14:paraId="1E542E07" w14:textId="70C72A18" w:rsidR="00164BC5" w:rsidRPr="000B4D89" w:rsidRDefault="00164BC5" w:rsidP="00D07928">
      <w:pPr>
        <w:pStyle w:val="NoSpacing"/>
        <w:ind w:firstLine="720"/>
        <w:rPr>
          <w:rFonts w:ascii="Times New Roman" w:hAnsi="Times New Roman"/>
          <w:sz w:val="24"/>
          <w:szCs w:val="24"/>
        </w:rPr>
      </w:pPr>
      <w:r w:rsidRPr="000B4D89">
        <w:rPr>
          <w:rFonts w:ascii="Times New Roman" w:hAnsi="Times New Roman"/>
          <w:sz w:val="24"/>
          <w:szCs w:val="24"/>
        </w:rPr>
        <w:t xml:space="preserve">Ever since a change in reporting requirements published on November 14, 2006, there is a one-time notification requirement for exporters of chemical substances or mixtures. In addition, the change required the Agency to notify foreign governments once after it receives the first export notification from an exporter. The shift to one-time-only export notification in the amendments </w:t>
      </w:r>
      <w:r w:rsidR="007A1D4A" w:rsidRPr="000B4D89">
        <w:rPr>
          <w:rFonts w:ascii="Times New Roman" w:hAnsi="Times New Roman"/>
          <w:sz w:val="24"/>
          <w:szCs w:val="24"/>
        </w:rPr>
        <w:t>affected</w:t>
      </w:r>
      <w:r w:rsidRPr="000B4D89">
        <w:rPr>
          <w:rFonts w:ascii="Times New Roman" w:hAnsi="Times New Roman"/>
          <w:sz w:val="24"/>
          <w:szCs w:val="24"/>
        </w:rPr>
        <w:t xml:space="preserve"> almost all notifications received under TSCA section 5 (EPAB 2006). </w:t>
      </w:r>
      <w:r w:rsidR="000B07C1" w:rsidRPr="000B4D89">
        <w:rPr>
          <w:rFonts w:ascii="Times New Roman" w:hAnsi="Times New Roman"/>
          <w:sz w:val="24"/>
          <w:szCs w:val="24"/>
        </w:rPr>
        <w:t xml:space="preserve">Note that </w:t>
      </w:r>
      <w:r w:rsidRPr="000B4D89">
        <w:rPr>
          <w:rFonts w:ascii="Times New Roman" w:hAnsi="Times New Roman"/>
          <w:sz w:val="24"/>
          <w:szCs w:val="24"/>
        </w:rPr>
        <w:t xml:space="preserve">EPA also promulgated </w:t>
      </w:r>
      <w:r w:rsidRPr="000B4D89">
        <w:rPr>
          <w:rFonts w:ascii="Times New Roman" w:hAnsi="Times New Roman"/>
          <w:i/>
          <w:iCs/>
          <w:sz w:val="24"/>
          <w:szCs w:val="24"/>
        </w:rPr>
        <w:t>de minimis</w:t>
      </w:r>
      <w:r w:rsidRPr="000B4D89">
        <w:rPr>
          <w:rFonts w:ascii="Times New Roman" w:hAnsi="Times New Roman"/>
          <w:sz w:val="24"/>
          <w:szCs w:val="24"/>
        </w:rPr>
        <w:t xml:space="preserve"> concentration levels below which notification will not be required for the export of any chemical for which export notification under TSCA section 12(b) is otherwise required</w:t>
      </w:r>
      <w:r w:rsidR="000B07C1" w:rsidRPr="000B4D89">
        <w:rPr>
          <w:rFonts w:ascii="Times New Roman" w:hAnsi="Times New Roman"/>
          <w:sz w:val="24"/>
          <w:szCs w:val="24"/>
        </w:rPr>
        <w:t>.</w:t>
      </w:r>
    </w:p>
    <w:p w14:paraId="10F538E6" w14:textId="77777777" w:rsidR="000B07C1" w:rsidRPr="000B4D89" w:rsidRDefault="000B07C1" w:rsidP="000B4D89">
      <w:pPr>
        <w:pStyle w:val="NoSpacing"/>
        <w:rPr>
          <w:rFonts w:ascii="Times New Roman" w:hAnsi="Times New Roman"/>
          <w:sz w:val="24"/>
          <w:szCs w:val="24"/>
        </w:rPr>
      </w:pPr>
    </w:p>
    <w:p w14:paraId="1E768C80" w14:textId="51B23ED1" w:rsidR="00164BC5" w:rsidRPr="000B4D89" w:rsidRDefault="00164BC5" w:rsidP="00D07928">
      <w:pPr>
        <w:pStyle w:val="NoSpacing"/>
        <w:ind w:firstLine="720"/>
        <w:rPr>
          <w:rFonts w:ascii="Times New Roman" w:hAnsi="Times New Roman"/>
          <w:sz w:val="24"/>
          <w:szCs w:val="24"/>
        </w:rPr>
      </w:pPr>
      <w:r w:rsidRPr="000B4D89">
        <w:rPr>
          <w:rFonts w:ascii="Times New Roman" w:hAnsi="Times New Roman"/>
          <w:sz w:val="24"/>
          <w:szCs w:val="24"/>
        </w:rPr>
        <w:t xml:space="preserve">For the purposes of this ICR, </w:t>
      </w:r>
      <w:r w:rsidR="00C26826" w:rsidRPr="000B4D89">
        <w:rPr>
          <w:rFonts w:ascii="Times New Roman" w:hAnsi="Times New Roman"/>
          <w:sz w:val="24"/>
          <w:szCs w:val="24"/>
        </w:rPr>
        <w:t xml:space="preserve">based on best available information, and </w:t>
      </w:r>
      <w:r w:rsidR="000B07C1" w:rsidRPr="000B4D89">
        <w:rPr>
          <w:rFonts w:ascii="Times New Roman" w:hAnsi="Times New Roman"/>
          <w:sz w:val="24"/>
          <w:szCs w:val="24"/>
        </w:rPr>
        <w:t xml:space="preserve">given no known factors </w:t>
      </w:r>
      <w:r w:rsidR="00AD30AB" w:rsidRPr="000B4D89">
        <w:rPr>
          <w:rFonts w:ascii="Times New Roman" w:hAnsi="Times New Roman"/>
          <w:sz w:val="24"/>
          <w:szCs w:val="24"/>
        </w:rPr>
        <w:t>t</w:t>
      </w:r>
      <w:r w:rsidR="00C26826" w:rsidRPr="000B4D89">
        <w:rPr>
          <w:rFonts w:ascii="Times New Roman" w:hAnsi="Times New Roman"/>
          <w:sz w:val="24"/>
          <w:szCs w:val="24"/>
        </w:rPr>
        <w:t>o</w:t>
      </w:r>
      <w:r w:rsidR="00AD30AB" w:rsidRPr="000B4D89">
        <w:rPr>
          <w:rFonts w:ascii="Times New Roman" w:hAnsi="Times New Roman"/>
          <w:sz w:val="24"/>
          <w:szCs w:val="24"/>
        </w:rPr>
        <w:t xml:space="preserve"> </w:t>
      </w:r>
      <w:r w:rsidR="000B07C1" w:rsidRPr="000B4D89">
        <w:rPr>
          <w:rFonts w:ascii="Times New Roman" w:hAnsi="Times New Roman"/>
          <w:sz w:val="24"/>
          <w:szCs w:val="24"/>
        </w:rPr>
        <w:t xml:space="preserve">change </w:t>
      </w:r>
      <w:r w:rsidR="00B26D01" w:rsidRPr="000B4D89">
        <w:rPr>
          <w:rFonts w:ascii="Times New Roman" w:hAnsi="Times New Roman"/>
          <w:sz w:val="24"/>
          <w:szCs w:val="24"/>
        </w:rPr>
        <w:t xml:space="preserve">industry </w:t>
      </w:r>
      <w:r w:rsidR="000B07C1" w:rsidRPr="000B4D89">
        <w:rPr>
          <w:rFonts w:ascii="Times New Roman" w:hAnsi="Times New Roman"/>
          <w:sz w:val="24"/>
          <w:szCs w:val="24"/>
        </w:rPr>
        <w:t>burden and cost</w:t>
      </w:r>
      <w:r w:rsidR="00C26826" w:rsidRPr="000B4D89">
        <w:rPr>
          <w:rFonts w:ascii="Times New Roman" w:hAnsi="Times New Roman"/>
          <w:sz w:val="24"/>
          <w:szCs w:val="24"/>
        </w:rPr>
        <w:t xml:space="preserve">, </w:t>
      </w:r>
      <w:r w:rsidRPr="000B4D89">
        <w:rPr>
          <w:rFonts w:ascii="Times New Roman" w:hAnsi="Times New Roman"/>
          <w:sz w:val="24"/>
          <w:szCs w:val="24"/>
        </w:rPr>
        <w:t xml:space="preserve">EPA </w:t>
      </w:r>
      <w:r w:rsidR="00C26826" w:rsidRPr="000B4D89">
        <w:rPr>
          <w:rFonts w:ascii="Times New Roman" w:hAnsi="Times New Roman"/>
          <w:sz w:val="24"/>
          <w:szCs w:val="24"/>
        </w:rPr>
        <w:t>assumes that the</w:t>
      </w:r>
      <w:r w:rsidR="000B07C1" w:rsidRPr="000B4D89">
        <w:rPr>
          <w:rFonts w:ascii="Times New Roman" w:hAnsi="Times New Roman"/>
          <w:sz w:val="24"/>
          <w:szCs w:val="24"/>
        </w:rPr>
        <w:t xml:space="preserve"> </w:t>
      </w:r>
      <w:r w:rsidR="00AD30AB" w:rsidRPr="000B4D89">
        <w:rPr>
          <w:rFonts w:ascii="Times New Roman" w:hAnsi="Times New Roman"/>
          <w:sz w:val="24"/>
          <w:szCs w:val="24"/>
        </w:rPr>
        <w:t>estimates for</w:t>
      </w:r>
      <w:r w:rsidR="000B07C1" w:rsidRPr="000B4D89">
        <w:rPr>
          <w:rFonts w:ascii="Times New Roman" w:hAnsi="Times New Roman"/>
          <w:sz w:val="24"/>
          <w:szCs w:val="24"/>
        </w:rPr>
        <w:t xml:space="preserve"> </w:t>
      </w:r>
      <w:r w:rsidRPr="000B4D89">
        <w:rPr>
          <w:rFonts w:ascii="Times New Roman" w:hAnsi="Times New Roman"/>
          <w:sz w:val="24"/>
          <w:szCs w:val="24"/>
        </w:rPr>
        <w:t xml:space="preserve">average number of submitters and notifications </w:t>
      </w:r>
      <w:r w:rsidR="000B07C1" w:rsidRPr="000B4D89">
        <w:rPr>
          <w:rFonts w:ascii="Times New Roman" w:hAnsi="Times New Roman"/>
          <w:sz w:val="24"/>
          <w:szCs w:val="24"/>
        </w:rPr>
        <w:t xml:space="preserve">are the same as </w:t>
      </w:r>
      <w:r w:rsidR="00AD5F99" w:rsidRPr="000B4D89">
        <w:rPr>
          <w:rFonts w:ascii="Times New Roman" w:hAnsi="Times New Roman"/>
          <w:sz w:val="24"/>
          <w:szCs w:val="24"/>
        </w:rPr>
        <w:t xml:space="preserve">the </w:t>
      </w:r>
      <w:r w:rsidR="00B26D01" w:rsidRPr="000B4D89">
        <w:rPr>
          <w:rFonts w:ascii="Times New Roman" w:hAnsi="Times New Roman"/>
          <w:sz w:val="24"/>
          <w:szCs w:val="24"/>
        </w:rPr>
        <w:t xml:space="preserve">estimates used for </w:t>
      </w:r>
      <w:r w:rsidR="000B07C1" w:rsidRPr="000B4D89">
        <w:rPr>
          <w:rFonts w:ascii="Times New Roman" w:hAnsi="Times New Roman"/>
          <w:sz w:val="24"/>
          <w:szCs w:val="24"/>
        </w:rPr>
        <w:t xml:space="preserve">the last ICR </w:t>
      </w:r>
      <w:r w:rsidR="00B26D01" w:rsidRPr="000B4D89">
        <w:rPr>
          <w:rFonts w:ascii="Times New Roman" w:hAnsi="Times New Roman"/>
          <w:sz w:val="24"/>
          <w:szCs w:val="24"/>
        </w:rPr>
        <w:t>period</w:t>
      </w:r>
      <w:r w:rsidR="00434D1E" w:rsidRPr="000B4D89">
        <w:rPr>
          <w:rFonts w:ascii="Times New Roman" w:hAnsi="Times New Roman"/>
          <w:sz w:val="24"/>
          <w:szCs w:val="24"/>
        </w:rPr>
        <w:t>,</w:t>
      </w:r>
      <w:r w:rsidR="00B26D01" w:rsidRPr="000B4D89">
        <w:rPr>
          <w:rFonts w:ascii="Times New Roman" w:hAnsi="Times New Roman"/>
          <w:sz w:val="24"/>
          <w:szCs w:val="24"/>
        </w:rPr>
        <w:t xml:space="preserve"> and</w:t>
      </w:r>
      <w:r w:rsidR="00C26826" w:rsidRPr="000B4D89">
        <w:rPr>
          <w:rFonts w:ascii="Times New Roman" w:hAnsi="Times New Roman"/>
          <w:sz w:val="24"/>
          <w:szCs w:val="24"/>
        </w:rPr>
        <w:t xml:space="preserve"> that these estimates are</w:t>
      </w:r>
      <w:r w:rsidR="00B26D01" w:rsidRPr="000B4D89">
        <w:rPr>
          <w:rFonts w:ascii="Times New Roman" w:hAnsi="Times New Roman"/>
          <w:sz w:val="24"/>
          <w:szCs w:val="24"/>
        </w:rPr>
        <w:t xml:space="preserve"> applicable </w:t>
      </w:r>
      <w:r w:rsidRPr="000B4D89">
        <w:rPr>
          <w:rFonts w:ascii="Times New Roman" w:hAnsi="Times New Roman"/>
          <w:sz w:val="24"/>
          <w:szCs w:val="24"/>
        </w:rPr>
        <w:t>for FY 201</w:t>
      </w:r>
      <w:r w:rsidR="000B07C1" w:rsidRPr="000B4D89">
        <w:rPr>
          <w:rFonts w:ascii="Times New Roman" w:hAnsi="Times New Roman"/>
          <w:sz w:val="24"/>
          <w:szCs w:val="24"/>
        </w:rPr>
        <w:t>5</w:t>
      </w:r>
      <w:r w:rsidRPr="000B4D89">
        <w:rPr>
          <w:rFonts w:ascii="Times New Roman" w:hAnsi="Times New Roman"/>
          <w:sz w:val="24"/>
          <w:szCs w:val="24"/>
        </w:rPr>
        <w:t>-201</w:t>
      </w:r>
      <w:r w:rsidR="000B07C1" w:rsidRPr="000B4D89">
        <w:rPr>
          <w:rFonts w:ascii="Times New Roman" w:hAnsi="Times New Roman"/>
          <w:sz w:val="24"/>
          <w:szCs w:val="24"/>
        </w:rPr>
        <w:t>8</w:t>
      </w:r>
      <w:r w:rsidR="00B461F5">
        <w:rPr>
          <w:rFonts w:ascii="Times New Roman" w:hAnsi="Times New Roman"/>
          <w:sz w:val="24"/>
          <w:szCs w:val="24"/>
        </w:rPr>
        <w:t xml:space="preserve">. </w:t>
      </w:r>
      <w:r w:rsidR="00D27CD9" w:rsidRPr="000B4D89">
        <w:rPr>
          <w:rFonts w:ascii="Times New Roman" w:hAnsi="Times New Roman"/>
          <w:sz w:val="24"/>
          <w:szCs w:val="24"/>
        </w:rPr>
        <w:t>Tables 1 and 2 present unit burden and aggregate burden estimates, respectively. The activities involved and calculation details are listed below.</w:t>
      </w:r>
      <w:r w:rsidR="00B26D01" w:rsidRPr="000B4D89">
        <w:rPr>
          <w:rFonts w:ascii="Times New Roman" w:hAnsi="Times New Roman"/>
          <w:sz w:val="24"/>
          <w:szCs w:val="24"/>
        </w:rPr>
        <w:t xml:space="preserve"> </w:t>
      </w:r>
      <w:r w:rsidR="00E94A09" w:rsidRPr="000B4D89">
        <w:rPr>
          <w:rFonts w:ascii="Times New Roman" w:hAnsi="Times New Roman"/>
          <w:sz w:val="24"/>
          <w:szCs w:val="24"/>
        </w:rPr>
        <w:t>EPA estimates t</w:t>
      </w:r>
      <w:r w:rsidR="00B26D01" w:rsidRPr="000B4D89">
        <w:rPr>
          <w:rFonts w:ascii="Times New Roman" w:hAnsi="Times New Roman"/>
          <w:sz w:val="24"/>
          <w:szCs w:val="24"/>
        </w:rPr>
        <w:t>he total annual burden at 4,0</w:t>
      </w:r>
      <w:r w:rsidR="006D7C6D" w:rsidRPr="000B4D89">
        <w:rPr>
          <w:rFonts w:ascii="Times New Roman" w:hAnsi="Times New Roman"/>
          <w:sz w:val="24"/>
          <w:szCs w:val="24"/>
        </w:rPr>
        <w:t>32</w:t>
      </w:r>
      <w:r w:rsidR="00B26D01" w:rsidRPr="000B4D89">
        <w:rPr>
          <w:rFonts w:ascii="Times New Roman" w:hAnsi="Times New Roman"/>
          <w:sz w:val="24"/>
          <w:szCs w:val="24"/>
        </w:rPr>
        <w:t xml:space="preserve"> hours.</w:t>
      </w:r>
    </w:p>
    <w:p w14:paraId="44F8C8B1" w14:textId="77777777" w:rsidR="00164BC5" w:rsidRPr="000B4D89" w:rsidRDefault="00164BC5" w:rsidP="000B4D89">
      <w:pPr>
        <w:pStyle w:val="NoSpacing"/>
        <w:rPr>
          <w:rFonts w:ascii="Times New Roman" w:hAnsi="Times New Roman"/>
          <w:sz w:val="24"/>
          <w:szCs w:val="24"/>
        </w:rPr>
      </w:pPr>
    </w:p>
    <w:p w14:paraId="28230E7B" w14:textId="1342A625"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sz w:val="24"/>
          <w:szCs w:val="24"/>
          <w:u w:val="single"/>
        </w:rPr>
        <w:t>Compile List</w:t>
      </w:r>
      <w:r w:rsidRPr="000B4D89">
        <w:rPr>
          <w:rFonts w:ascii="Times New Roman" w:hAnsi="Times New Roman"/>
          <w:sz w:val="24"/>
          <w:szCs w:val="24"/>
        </w:rPr>
        <w:t xml:space="preserve">.  Since this information collection activity has been in place for twenty years, most respondents will have already developed a list of their products subject to TSCA section 12(b) reporting.  Respondents need only check for new regulations promulgated and any new products exported by the company.  </w:t>
      </w:r>
      <w:r w:rsidR="00354743" w:rsidRPr="000B4D89">
        <w:rPr>
          <w:rFonts w:ascii="Times New Roman" w:hAnsi="Times New Roman"/>
          <w:sz w:val="24"/>
          <w:szCs w:val="24"/>
        </w:rPr>
        <w:t xml:space="preserve">EPA estimates </w:t>
      </w:r>
      <w:r w:rsidR="00354743">
        <w:rPr>
          <w:rFonts w:ascii="Times New Roman" w:hAnsi="Times New Roman"/>
          <w:sz w:val="24"/>
          <w:szCs w:val="24"/>
        </w:rPr>
        <w:t xml:space="preserve">each of the 240 </w:t>
      </w:r>
      <w:r w:rsidR="00354743" w:rsidRPr="000B4D89">
        <w:rPr>
          <w:rFonts w:ascii="Times New Roman" w:hAnsi="Times New Roman"/>
          <w:sz w:val="24"/>
          <w:szCs w:val="24"/>
        </w:rPr>
        <w:t>respondents</w:t>
      </w:r>
      <w:r w:rsidR="00354743">
        <w:rPr>
          <w:rFonts w:ascii="Times New Roman" w:hAnsi="Times New Roman"/>
          <w:sz w:val="24"/>
          <w:szCs w:val="24"/>
        </w:rPr>
        <w:t xml:space="preserve"> will carry out this activity only once per year, and therefore the Agency expects this activity to occur 240 times per year in the aggregate. </w:t>
      </w:r>
      <w:r w:rsidRPr="000B4D89">
        <w:rPr>
          <w:rFonts w:ascii="Times New Roman" w:hAnsi="Times New Roman"/>
          <w:sz w:val="24"/>
          <w:szCs w:val="24"/>
        </w:rPr>
        <w:t>Updating the list is estimated to take an average of one hour of technical time (which may also include some proportion of legal time).  This could vary depending on the number of products from two hours per year up to two hours per month of technical time (which may also include some proportion of legal time).  This will vary depending on the number of products exported by the company and the number of their products subject to TSCA section 12(b).</w:t>
      </w:r>
      <w:r w:rsidR="00D27CD9" w:rsidRPr="000B4D89">
        <w:rPr>
          <w:rFonts w:ascii="Times New Roman" w:hAnsi="Times New Roman"/>
          <w:sz w:val="24"/>
          <w:szCs w:val="24"/>
        </w:rPr>
        <w:t xml:space="preserve"> EPA estimates unit burden for c</w:t>
      </w:r>
      <w:r w:rsidRPr="000B4D89">
        <w:rPr>
          <w:rFonts w:ascii="Times New Roman" w:hAnsi="Times New Roman"/>
          <w:sz w:val="24"/>
          <w:szCs w:val="24"/>
        </w:rPr>
        <w:t xml:space="preserve">ompiling the list estimated </w:t>
      </w:r>
      <w:r w:rsidR="00D27CD9" w:rsidRPr="000B4D89">
        <w:rPr>
          <w:rFonts w:ascii="Times New Roman" w:hAnsi="Times New Roman"/>
          <w:sz w:val="24"/>
          <w:szCs w:val="24"/>
        </w:rPr>
        <w:t>at</w:t>
      </w:r>
      <w:r w:rsidRPr="000B4D89">
        <w:rPr>
          <w:rFonts w:ascii="Times New Roman" w:hAnsi="Times New Roman"/>
          <w:sz w:val="24"/>
          <w:szCs w:val="24"/>
        </w:rPr>
        <w:t xml:space="preserve"> an average of 9.3 hours</w:t>
      </w:r>
      <w:r w:rsidR="007470EF" w:rsidRPr="000B4D89">
        <w:rPr>
          <w:rFonts w:ascii="Times New Roman" w:hAnsi="Times New Roman"/>
          <w:sz w:val="24"/>
          <w:szCs w:val="24"/>
        </w:rPr>
        <w:t xml:space="preserve"> of technical time</w:t>
      </w:r>
      <w:r w:rsidRPr="000B4D89">
        <w:rPr>
          <w:rFonts w:ascii="Times New Roman" w:hAnsi="Times New Roman"/>
          <w:sz w:val="24"/>
          <w:szCs w:val="24"/>
        </w:rPr>
        <w:t xml:space="preserve"> per firm per year.</w:t>
      </w:r>
      <w:r w:rsidR="00D27CD9" w:rsidRPr="000B4D89">
        <w:rPr>
          <w:rFonts w:ascii="Times New Roman" w:hAnsi="Times New Roman"/>
          <w:sz w:val="24"/>
          <w:szCs w:val="24"/>
        </w:rPr>
        <w:t xml:space="preserve"> </w:t>
      </w:r>
      <w:r w:rsidRPr="000B4D89">
        <w:rPr>
          <w:rFonts w:ascii="Times New Roman" w:hAnsi="Times New Roman"/>
          <w:sz w:val="24"/>
          <w:szCs w:val="24"/>
        </w:rPr>
        <w:t xml:space="preserve"> </w:t>
      </w:r>
      <w:r w:rsidR="00D27CD9" w:rsidRPr="000B4D89">
        <w:rPr>
          <w:rFonts w:ascii="Times New Roman" w:hAnsi="Times New Roman"/>
          <w:sz w:val="24"/>
          <w:szCs w:val="24"/>
        </w:rPr>
        <w:t xml:space="preserve">Applying this </w:t>
      </w:r>
      <w:r w:rsidR="004B08FA" w:rsidRPr="000B4D89">
        <w:rPr>
          <w:rFonts w:ascii="Times New Roman" w:hAnsi="Times New Roman"/>
          <w:sz w:val="24"/>
          <w:szCs w:val="24"/>
        </w:rPr>
        <w:t xml:space="preserve">unit burden </w:t>
      </w:r>
      <w:r w:rsidR="00D27CD9" w:rsidRPr="000B4D89">
        <w:rPr>
          <w:rFonts w:ascii="Times New Roman" w:hAnsi="Times New Roman"/>
          <w:sz w:val="24"/>
          <w:szCs w:val="24"/>
        </w:rPr>
        <w:t xml:space="preserve">across </w:t>
      </w:r>
      <w:r w:rsidR="004B08FA" w:rsidRPr="000B4D89">
        <w:rPr>
          <w:rFonts w:ascii="Times New Roman" w:hAnsi="Times New Roman"/>
          <w:sz w:val="24"/>
          <w:szCs w:val="24"/>
        </w:rPr>
        <w:t xml:space="preserve">the total number of </w:t>
      </w:r>
      <w:r w:rsidR="00D27CD9" w:rsidRPr="000B4D89">
        <w:rPr>
          <w:rFonts w:ascii="Times New Roman" w:hAnsi="Times New Roman"/>
          <w:sz w:val="24"/>
          <w:szCs w:val="24"/>
        </w:rPr>
        <w:t>firms</w:t>
      </w:r>
      <w:r w:rsidR="004B08FA" w:rsidRPr="000B4D89">
        <w:rPr>
          <w:rFonts w:ascii="Times New Roman" w:hAnsi="Times New Roman"/>
          <w:sz w:val="24"/>
          <w:szCs w:val="24"/>
        </w:rPr>
        <w:t xml:space="preserve"> yields the aggregate burden (see Tables 1 and 2).</w:t>
      </w:r>
    </w:p>
    <w:p w14:paraId="63EF4B90" w14:textId="77777777" w:rsidR="00164BC5" w:rsidRPr="000B4D89" w:rsidRDefault="00164BC5" w:rsidP="000B4D89">
      <w:pPr>
        <w:pStyle w:val="NoSpacing"/>
        <w:rPr>
          <w:rFonts w:ascii="Times New Roman" w:hAnsi="Times New Roman"/>
          <w:sz w:val="24"/>
          <w:szCs w:val="24"/>
        </w:rPr>
      </w:pPr>
    </w:p>
    <w:p w14:paraId="4357984B" w14:textId="7E623743" w:rsidR="004B08FA"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sz w:val="24"/>
          <w:szCs w:val="24"/>
          <w:u w:val="single"/>
        </w:rPr>
        <w:t>Write or Revise Letter</w:t>
      </w:r>
      <w:r w:rsidRPr="000B4D89">
        <w:rPr>
          <w:rFonts w:ascii="Times New Roman" w:hAnsi="Times New Roman"/>
          <w:sz w:val="24"/>
          <w:szCs w:val="24"/>
        </w:rPr>
        <w:t xml:space="preserve">.  Companies that export chemicals subject to TSCA section 12(b) reporting must prepare an export </w:t>
      </w:r>
      <w:r w:rsidR="003F7AC5" w:rsidRPr="000B4D89">
        <w:rPr>
          <w:rFonts w:ascii="Times New Roman" w:hAnsi="Times New Roman"/>
          <w:sz w:val="24"/>
          <w:szCs w:val="24"/>
        </w:rPr>
        <w:t>notice</w:t>
      </w:r>
      <w:r w:rsidRPr="000B4D89">
        <w:rPr>
          <w:rFonts w:ascii="Times New Roman" w:hAnsi="Times New Roman"/>
          <w:sz w:val="24"/>
          <w:szCs w:val="24"/>
        </w:rPr>
        <w:t xml:space="preserve"> to send to EPA.  </w:t>
      </w:r>
      <w:r w:rsidR="00354743" w:rsidRPr="000B4D89">
        <w:rPr>
          <w:rFonts w:ascii="Times New Roman" w:hAnsi="Times New Roman"/>
          <w:sz w:val="24"/>
          <w:szCs w:val="24"/>
        </w:rPr>
        <w:t xml:space="preserve">EPA estimates </w:t>
      </w:r>
      <w:r w:rsidR="00354743">
        <w:rPr>
          <w:rFonts w:ascii="Times New Roman" w:hAnsi="Times New Roman"/>
          <w:sz w:val="24"/>
          <w:szCs w:val="24"/>
        </w:rPr>
        <w:t xml:space="preserve">each of the 240 </w:t>
      </w:r>
      <w:r w:rsidR="00354743" w:rsidRPr="000B4D89">
        <w:rPr>
          <w:rFonts w:ascii="Times New Roman" w:hAnsi="Times New Roman"/>
          <w:sz w:val="24"/>
          <w:szCs w:val="24"/>
        </w:rPr>
        <w:t>respondents</w:t>
      </w:r>
      <w:r w:rsidR="00354743">
        <w:rPr>
          <w:rFonts w:ascii="Times New Roman" w:hAnsi="Times New Roman"/>
          <w:sz w:val="24"/>
          <w:szCs w:val="24"/>
        </w:rPr>
        <w:t xml:space="preserve"> will carry out this activity only once per year, and therefore the Agency expects this activity to occur 240 times per year in the aggregate. EPA expects that the t</w:t>
      </w:r>
      <w:r w:rsidRPr="000B4D89">
        <w:rPr>
          <w:rFonts w:ascii="Times New Roman" w:hAnsi="Times New Roman"/>
          <w:sz w:val="24"/>
          <w:szCs w:val="24"/>
        </w:rPr>
        <w:t xml:space="preserve">ime </w:t>
      </w:r>
      <w:r w:rsidR="00354743">
        <w:rPr>
          <w:rFonts w:ascii="Times New Roman" w:hAnsi="Times New Roman"/>
          <w:sz w:val="24"/>
          <w:szCs w:val="24"/>
        </w:rPr>
        <w:t xml:space="preserve">needed </w:t>
      </w:r>
      <w:r w:rsidRPr="000B4D89">
        <w:rPr>
          <w:rFonts w:ascii="Times New Roman" w:hAnsi="Times New Roman"/>
          <w:sz w:val="24"/>
          <w:szCs w:val="24"/>
        </w:rPr>
        <w:t>for initial preparation of the export notice probably varies depending on whether the company has prior experience with this program, but this step is estimated to take an average of one hour of technical time (which may also include some proportion of legal time) per year for each company subject to</w:t>
      </w:r>
      <w:r w:rsidR="00D0162E">
        <w:rPr>
          <w:rFonts w:ascii="Times New Roman" w:hAnsi="Times New Roman"/>
          <w:sz w:val="24"/>
          <w:szCs w:val="24"/>
        </w:rPr>
        <w:t xml:space="preserve"> TSCA section 12(b) reporting. </w:t>
      </w:r>
      <w:r w:rsidR="004B08FA" w:rsidRPr="000B4D89">
        <w:rPr>
          <w:rFonts w:ascii="Times New Roman" w:hAnsi="Times New Roman"/>
          <w:sz w:val="24"/>
          <w:szCs w:val="24"/>
        </w:rPr>
        <w:t>Applying this unit burden across the total number of firms yields the aggregate burden (see Tables 1 and 2).</w:t>
      </w:r>
    </w:p>
    <w:p w14:paraId="2DF20BC0" w14:textId="77777777" w:rsidR="00164BC5" w:rsidRPr="000B4D89" w:rsidRDefault="00164BC5" w:rsidP="000B4D89">
      <w:pPr>
        <w:pStyle w:val="NoSpacing"/>
        <w:rPr>
          <w:rFonts w:ascii="Times New Roman" w:hAnsi="Times New Roman"/>
          <w:sz w:val="24"/>
          <w:szCs w:val="24"/>
        </w:rPr>
      </w:pPr>
    </w:p>
    <w:p w14:paraId="7FC8E56E" w14:textId="48224F02" w:rsidR="004B08FA"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sz w:val="24"/>
          <w:szCs w:val="24"/>
          <w:u w:val="single"/>
        </w:rPr>
        <w:t>Check Orders and Send Notices</w:t>
      </w:r>
      <w:r w:rsidRPr="000B4D89">
        <w:rPr>
          <w:rFonts w:ascii="Times New Roman" w:hAnsi="Times New Roman"/>
          <w:sz w:val="24"/>
          <w:szCs w:val="24"/>
        </w:rPr>
        <w:t xml:space="preserve">.  The companies that export chemicals subject to TSCA section 12(b) reporting must check outgoing shipments against the list of their products described above.  A form letter notifying EPA is printed out detailing where the shipment is going for a TSCA section 12(b) chemical if it is the first shipment </w:t>
      </w:r>
      <w:r w:rsidR="007470EF" w:rsidRPr="000B4D89">
        <w:rPr>
          <w:rFonts w:ascii="Times New Roman" w:hAnsi="Times New Roman"/>
          <w:sz w:val="24"/>
          <w:szCs w:val="24"/>
        </w:rPr>
        <w:t xml:space="preserve">of the year </w:t>
      </w:r>
      <w:r w:rsidRPr="000B4D89">
        <w:rPr>
          <w:rFonts w:ascii="Times New Roman" w:hAnsi="Times New Roman"/>
          <w:sz w:val="24"/>
          <w:szCs w:val="24"/>
        </w:rPr>
        <w:t xml:space="preserve">to the importing country.  This whole process is estimated to take an average one half hour of clerical time per </w:t>
      </w:r>
      <w:r w:rsidR="00A326B5" w:rsidRPr="000B4D89">
        <w:rPr>
          <w:rFonts w:ascii="Times New Roman" w:hAnsi="Times New Roman"/>
          <w:sz w:val="24"/>
          <w:szCs w:val="24"/>
        </w:rPr>
        <w:t>firm</w:t>
      </w:r>
      <w:r w:rsidRPr="000B4D89">
        <w:rPr>
          <w:rFonts w:ascii="Times New Roman" w:hAnsi="Times New Roman"/>
          <w:sz w:val="24"/>
          <w:szCs w:val="24"/>
        </w:rPr>
        <w:t>.</w:t>
      </w:r>
      <w:r w:rsidR="007470EF" w:rsidRPr="000B4D89">
        <w:rPr>
          <w:rFonts w:ascii="Times New Roman" w:hAnsi="Times New Roman"/>
          <w:sz w:val="24"/>
          <w:szCs w:val="24"/>
        </w:rPr>
        <w:t xml:space="preserve"> </w:t>
      </w:r>
      <w:r w:rsidR="004B08FA" w:rsidRPr="000B4D89">
        <w:rPr>
          <w:rFonts w:ascii="Times New Roman" w:hAnsi="Times New Roman"/>
          <w:sz w:val="24"/>
          <w:szCs w:val="24"/>
        </w:rPr>
        <w:t>Applying this unit burden across the total number of firms yields the aggregate burden (see Tables 1 and 2).</w:t>
      </w:r>
      <w:r w:rsidR="00354743">
        <w:rPr>
          <w:rFonts w:ascii="Times New Roman" w:hAnsi="Times New Roman"/>
          <w:sz w:val="24"/>
          <w:szCs w:val="24"/>
        </w:rPr>
        <w:t xml:space="preserve"> </w:t>
      </w:r>
      <w:r w:rsidR="00354743" w:rsidRPr="000B4D89">
        <w:rPr>
          <w:rFonts w:ascii="Times New Roman" w:hAnsi="Times New Roman"/>
          <w:sz w:val="24"/>
          <w:szCs w:val="24"/>
        </w:rPr>
        <w:t xml:space="preserve">EPA estimates </w:t>
      </w:r>
      <w:r w:rsidR="00354743">
        <w:rPr>
          <w:rFonts w:ascii="Times New Roman" w:hAnsi="Times New Roman"/>
          <w:sz w:val="24"/>
          <w:szCs w:val="24"/>
        </w:rPr>
        <w:t xml:space="preserve">each of the 240 </w:t>
      </w:r>
      <w:r w:rsidR="00354743" w:rsidRPr="000B4D89">
        <w:rPr>
          <w:rFonts w:ascii="Times New Roman" w:hAnsi="Times New Roman"/>
          <w:sz w:val="24"/>
          <w:szCs w:val="24"/>
        </w:rPr>
        <w:t>respondents</w:t>
      </w:r>
      <w:r w:rsidR="00354743">
        <w:rPr>
          <w:rFonts w:ascii="Times New Roman" w:hAnsi="Times New Roman"/>
          <w:sz w:val="24"/>
          <w:szCs w:val="24"/>
        </w:rPr>
        <w:t xml:space="preserve"> will submit about 13 notices per year, and therefore the agency expects to receive </w:t>
      </w:r>
      <w:r w:rsidR="00354743" w:rsidRPr="000B4D89">
        <w:rPr>
          <w:rFonts w:ascii="Times New Roman" w:hAnsi="Times New Roman"/>
          <w:sz w:val="24"/>
          <w:szCs w:val="24"/>
        </w:rPr>
        <w:t>3,090</w:t>
      </w:r>
      <w:r w:rsidR="00354743">
        <w:rPr>
          <w:rFonts w:ascii="Times New Roman" w:hAnsi="Times New Roman"/>
          <w:sz w:val="24"/>
          <w:szCs w:val="24"/>
        </w:rPr>
        <w:t xml:space="preserve"> notice per year</w:t>
      </w:r>
      <w:r w:rsidR="00354743" w:rsidRPr="000B4D89">
        <w:rPr>
          <w:rFonts w:ascii="Times New Roman" w:hAnsi="Times New Roman"/>
          <w:sz w:val="24"/>
          <w:szCs w:val="24"/>
        </w:rPr>
        <w:t>.</w:t>
      </w:r>
    </w:p>
    <w:p w14:paraId="42C2EAC2" w14:textId="5E4C53AD" w:rsidR="00CB182A" w:rsidRPr="00EE221F" w:rsidRDefault="00CB182A" w:rsidP="00EE221F">
      <w:pPr>
        <w:pStyle w:val="NoSpacing"/>
        <w:rPr>
          <w:rFonts w:ascii="Times New Roman" w:hAnsi="Times New Roman"/>
          <w:sz w:val="24"/>
        </w:rPr>
      </w:pPr>
    </w:p>
    <w:tbl>
      <w:tblPr>
        <w:tblW w:w="9400" w:type="dxa"/>
        <w:tblInd w:w="98" w:type="dxa"/>
        <w:tblLook w:val="04A0" w:firstRow="1" w:lastRow="0" w:firstColumn="1" w:lastColumn="0" w:noHBand="0" w:noVBand="1"/>
      </w:tblPr>
      <w:tblGrid>
        <w:gridCol w:w="2772"/>
        <w:gridCol w:w="1240"/>
        <w:gridCol w:w="1328"/>
        <w:gridCol w:w="1350"/>
        <w:gridCol w:w="1440"/>
        <w:gridCol w:w="1270"/>
      </w:tblGrid>
      <w:tr w:rsidR="005C725D" w:rsidRPr="007470EF" w14:paraId="607EDA92" w14:textId="77777777" w:rsidTr="00EE221F">
        <w:trPr>
          <w:trHeight w:val="403"/>
        </w:trPr>
        <w:tc>
          <w:tcPr>
            <w:tcW w:w="9400" w:type="dxa"/>
            <w:gridSpan w:val="6"/>
            <w:tcBorders>
              <w:top w:val="single" w:sz="8" w:space="0" w:color="000000"/>
              <w:left w:val="single" w:sz="8" w:space="0" w:color="000000"/>
              <w:bottom w:val="single" w:sz="8" w:space="0" w:color="000000"/>
              <w:right w:val="single" w:sz="8" w:space="0" w:color="000000"/>
            </w:tcBorders>
            <w:vAlign w:val="center"/>
          </w:tcPr>
          <w:p w14:paraId="21C011FD" w14:textId="2834B6E0" w:rsidR="005C725D" w:rsidRPr="00D07928" w:rsidRDefault="005C725D" w:rsidP="00EE221F">
            <w:pPr>
              <w:autoSpaceDE/>
              <w:autoSpaceDN/>
              <w:adjustRightInd/>
              <w:jc w:val="center"/>
              <w:rPr>
                <w:b/>
                <w:bCs/>
                <w:color w:val="000000"/>
              </w:rPr>
            </w:pPr>
            <w:r>
              <w:rPr>
                <w:b/>
                <w:bCs/>
                <w:color w:val="000000"/>
              </w:rPr>
              <w:t xml:space="preserve">SUMMARY </w:t>
            </w:r>
            <w:r w:rsidRPr="00D07928">
              <w:rPr>
                <w:b/>
                <w:bCs/>
                <w:color w:val="000000"/>
              </w:rPr>
              <w:t>TABLE</w:t>
            </w:r>
            <w:r>
              <w:rPr>
                <w:b/>
                <w:bCs/>
                <w:color w:val="000000"/>
              </w:rPr>
              <w:t xml:space="preserve"> AND INFORMATION COLLECTION LIST</w:t>
            </w:r>
          </w:p>
        </w:tc>
      </w:tr>
      <w:tr w:rsidR="005C725D" w:rsidRPr="007470EF" w14:paraId="02C13369" w14:textId="77777777" w:rsidTr="00EE221F">
        <w:trPr>
          <w:trHeight w:val="115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EDB3" w14:textId="567C4A8B" w:rsidR="005C725D" w:rsidRPr="00D07928" w:rsidRDefault="005C725D" w:rsidP="002348D1">
            <w:pPr>
              <w:autoSpaceDE/>
              <w:autoSpaceDN/>
              <w:adjustRightInd/>
              <w:rPr>
                <w:color w:val="000000"/>
              </w:rPr>
            </w:pPr>
            <w:r>
              <w:rPr>
                <w:color w:val="000000"/>
              </w:rPr>
              <w:t>INFORMATION COLLECTION ACTVITY</w:t>
            </w:r>
          </w:p>
        </w:tc>
        <w:tc>
          <w:tcPr>
            <w:tcW w:w="1240" w:type="dxa"/>
            <w:tcBorders>
              <w:top w:val="single" w:sz="8" w:space="0" w:color="000000"/>
              <w:left w:val="single" w:sz="4" w:space="0" w:color="auto"/>
              <w:right w:val="single" w:sz="8" w:space="0" w:color="000000"/>
            </w:tcBorders>
          </w:tcPr>
          <w:p w14:paraId="1C5AB468" w14:textId="2DC4D09E" w:rsidR="005C725D" w:rsidRPr="00D07928" w:rsidRDefault="005C725D" w:rsidP="00136449">
            <w:pPr>
              <w:jc w:val="center"/>
              <w:rPr>
                <w:color w:val="000000"/>
              </w:rPr>
            </w:pPr>
            <w:r>
              <w:rPr>
                <w:color w:val="000000"/>
              </w:rPr>
              <w:t>ANNUAL NUMBER OF FIRMS</w:t>
            </w:r>
          </w:p>
        </w:tc>
        <w:tc>
          <w:tcPr>
            <w:tcW w:w="1328" w:type="dxa"/>
            <w:tcBorders>
              <w:top w:val="single" w:sz="8" w:space="0" w:color="000000"/>
              <w:left w:val="nil"/>
              <w:right w:val="single" w:sz="8" w:space="0" w:color="000000"/>
            </w:tcBorders>
          </w:tcPr>
          <w:p w14:paraId="5EC7CD2D" w14:textId="4F791237" w:rsidR="005C725D" w:rsidRPr="00D07928" w:rsidRDefault="005C725D" w:rsidP="005C725D">
            <w:pPr>
              <w:jc w:val="center"/>
              <w:rPr>
                <w:color w:val="000000"/>
              </w:rPr>
            </w:pPr>
            <w:r>
              <w:rPr>
                <w:color w:val="000000"/>
              </w:rPr>
              <w:t>ANNUAL RESPONSES PER FIRM</w:t>
            </w:r>
          </w:p>
        </w:tc>
        <w:tc>
          <w:tcPr>
            <w:tcW w:w="1350" w:type="dxa"/>
            <w:tcBorders>
              <w:top w:val="single" w:sz="8" w:space="0" w:color="000000"/>
              <w:left w:val="nil"/>
              <w:right w:val="single" w:sz="8" w:space="0" w:color="000000"/>
            </w:tcBorders>
          </w:tcPr>
          <w:p w14:paraId="3217178F" w14:textId="6854CC86" w:rsidR="005C725D" w:rsidRPr="00D07928" w:rsidRDefault="005C725D" w:rsidP="00136449">
            <w:pPr>
              <w:jc w:val="center"/>
              <w:rPr>
                <w:color w:val="000000"/>
              </w:rPr>
            </w:pPr>
            <w:r>
              <w:rPr>
                <w:color w:val="000000"/>
              </w:rPr>
              <w:t>TOTAL ANNUAL RESPONSES</w:t>
            </w:r>
          </w:p>
        </w:tc>
        <w:tc>
          <w:tcPr>
            <w:tcW w:w="1440" w:type="dxa"/>
            <w:tcBorders>
              <w:top w:val="single" w:sz="8" w:space="0" w:color="000000"/>
              <w:left w:val="nil"/>
              <w:right w:val="single" w:sz="8" w:space="0" w:color="000000"/>
            </w:tcBorders>
          </w:tcPr>
          <w:p w14:paraId="2769C5D5" w14:textId="1C744A92" w:rsidR="005C725D" w:rsidRDefault="005C725D" w:rsidP="005C725D">
            <w:pPr>
              <w:ind w:right="180"/>
              <w:jc w:val="center"/>
              <w:rPr>
                <w:bCs/>
                <w:color w:val="000000"/>
              </w:rPr>
            </w:pPr>
            <w:r w:rsidRPr="00EE221F">
              <w:rPr>
                <w:bCs/>
                <w:color w:val="000000"/>
              </w:rPr>
              <w:t xml:space="preserve">BURDEN </w:t>
            </w:r>
            <w:r>
              <w:rPr>
                <w:bCs/>
                <w:color w:val="000000"/>
              </w:rPr>
              <w:t xml:space="preserve">/ </w:t>
            </w:r>
            <w:r w:rsidRPr="000D2759">
              <w:rPr>
                <w:bCs/>
                <w:color w:val="000000"/>
              </w:rPr>
              <w:t>RESPONSE</w:t>
            </w:r>
          </w:p>
        </w:tc>
        <w:tc>
          <w:tcPr>
            <w:tcW w:w="1270" w:type="dxa"/>
            <w:tcBorders>
              <w:top w:val="single" w:sz="8" w:space="0" w:color="000000"/>
              <w:left w:val="nil"/>
              <w:right w:val="single" w:sz="8" w:space="0" w:color="000000"/>
            </w:tcBorders>
          </w:tcPr>
          <w:p w14:paraId="2F12E3FD" w14:textId="3179E80F" w:rsidR="005C725D" w:rsidRPr="00D07928" w:rsidRDefault="005C725D" w:rsidP="00136449">
            <w:pPr>
              <w:jc w:val="center"/>
              <w:rPr>
                <w:color w:val="000000"/>
              </w:rPr>
            </w:pPr>
            <w:r>
              <w:rPr>
                <w:color w:val="000000"/>
              </w:rPr>
              <w:t>ANNUAL BURDEN HOURS</w:t>
            </w:r>
          </w:p>
        </w:tc>
      </w:tr>
      <w:tr w:rsidR="005C725D" w:rsidRPr="007470EF" w14:paraId="7FAF36A8" w14:textId="77777777" w:rsidTr="00EE221F">
        <w:trPr>
          <w:trHeight w:val="45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7B1C" w14:textId="06DC7002" w:rsidR="005C725D" w:rsidRPr="00D07928" w:rsidRDefault="005C725D" w:rsidP="002348D1">
            <w:pPr>
              <w:autoSpaceDE/>
              <w:autoSpaceDN/>
              <w:adjustRightInd/>
              <w:rPr>
                <w:color w:val="000000"/>
              </w:rPr>
            </w:pPr>
            <w:r w:rsidRPr="00D07928">
              <w:rPr>
                <w:color w:val="000000"/>
              </w:rPr>
              <w:t>Compile list</w:t>
            </w:r>
            <w:r>
              <w:rPr>
                <w:color w:val="000000"/>
              </w:rPr>
              <w:t xml:space="preserve"> of products for export</w:t>
            </w:r>
          </w:p>
        </w:tc>
        <w:tc>
          <w:tcPr>
            <w:tcW w:w="1240" w:type="dxa"/>
            <w:tcBorders>
              <w:top w:val="single" w:sz="8" w:space="0" w:color="000000"/>
              <w:left w:val="single" w:sz="4" w:space="0" w:color="auto"/>
              <w:bottom w:val="nil"/>
              <w:right w:val="single" w:sz="8" w:space="0" w:color="000000"/>
            </w:tcBorders>
          </w:tcPr>
          <w:p w14:paraId="33CBB3DE" w14:textId="345D9383" w:rsidR="005C725D" w:rsidRDefault="005C725D" w:rsidP="005C725D">
            <w:pPr>
              <w:autoSpaceDE/>
              <w:autoSpaceDN/>
              <w:adjustRightInd/>
              <w:jc w:val="center"/>
              <w:rPr>
                <w:color w:val="000000"/>
              </w:rPr>
            </w:pPr>
            <w:r>
              <w:rPr>
                <w:color w:val="000000"/>
              </w:rPr>
              <w:t>240</w:t>
            </w:r>
          </w:p>
        </w:tc>
        <w:tc>
          <w:tcPr>
            <w:tcW w:w="1328" w:type="dxa"/>
            <w:tcBorders>
              <w:top w:val="single" w:sz="4" w:space="0" w:color="auto"/>
              <w:left w:val="single" w:sz="8" w:space="0" w:color="000000"/>
              <w:bottom w:val="nil"/>
              <w:right w:val="single" w:sz="8" w:space="0" w:color="000000"/>
            </w:tcBorders>
          </w:tcPr>
          <w:p w14:paraId="538E1515" w14:textId="04F0E594" w:rsidR="005C725D" w:rsidRDefault="005C725D" w:rsidP="005C725D">
            <w:pPr>
              <w:autoSpaceDE/>
              <w:autoSpaceDN/>
              <w:adjustRightInd/>
              <w:jc w:val="center"/>
              <w:rPr>
                <w:color w:val="000000"/>
              </w:rPr>
            </w:pPr>
            <w:r>
              <w:rPr>
                <w:color w:val="000000"/>
              </w:rPr>
              <w:t>1</w:t>
            </w:r>
          </w:p>
        </w:tc>
        <w:tc>
          <w:tcPr>
            <w:tcW w:w="1350" w:type="dxa"/>
            <w:tcBorders>
              <w:top w:val="single" w:sz="8" w:space="0" w:color="000000"/>
              <w:left w:val="single" w:sz="8" w:space="0" w:color="000000"/>
              <w:bottom w:val="nil"/>
              <w:right w:val="nil"/>
            </w:tcBorders>
            <w:shd w:val="clear" w:color="auto" w:fill="auto"/>
            <w:vAlign w:val="center"/>
            <w:hideMark/>
          </w:tcPr>
          <w:p w14:paraId="0F3FCB46" w14:textId="7AB381F9" w:rsidR="005C725D" w:rsidRPr="00D07928" w:rsidRDefault="005C725D" w:rsidP="005C725D">
            <w:pPr>
              <w:autoSpaceDE/>
              <w:autoSpaceDN/>
              <w:adjustRightInd/>
              <w:jc w:val="center"/>
              <w:rPr>
                <w:color w:val="000000"/>
              </w:rPr>
            </w:pPr>
            <w:r>
              <w:rPr>
                <w:color w:val="000000"/>
              </w:rPr>
              <w:t>240</w:t>
            </w:r>
          </w:p>
        </w:tc>
        <w:tc>
          <w:tcPr>
            <w:tcW w:w="1440" w:type="dxa"/>
            <w:tcBorders>
              <w:top w:val="single" w:sz="8" w:space="0" w:color="000000"/>
              <w:left w:val="single" w:sz="8" w:space="0" w:color="000000"/>
              <w:bottom w:val="nil"/>
              <w:right w:val="single" w:sz="8" w:space="0" w:color="000000"/>
            </w:tcBorders>
            <w:vAlign w:val="center"/>
          </w:tcPr>
          <w:p w14:paraId="129F2916" w14:textId="1C2ADE63" w:rsidR="005C725D" w:rsidRDefault="005C725D" w:rsidP="005C725D">
            <w:pPr>
              <w:autoSpaceDE/>
              <w:autoSpaceDN/>
              <w:adjustRightInd/>
              <w:ind w:right="180"/>
              <w:jc w:val="center"/>
              <w:rPr>
                <w:color w:val="000000"/>
              </w:rPr>
            </w:pPr>
            <w:r>
              <w:rPr>
                <w:color w:val="000000"/>
              </w:rPr>
              <w:t>9.3</w:t>
            </w:r>
          </w:p>
        </w:tc>
        <w:tc>
          <w:tcPr>
            <w:tcW w:w="1270" w:type="dxa"/>
            <w:tcBorders>
              <w:top w:val="single" w:sz="8" w:space="0" w:color="000000"/>
              <w:left w:val="single" w:sz="8" w:space="0" w:color="000000"/>
              <w:bottom w:val="nil"/>
              <w:right w:val="single" w:sz="8" w:space="0" w:color="000000"/>
            </w:tcBorders>
            <w:shd w:val="clear" w:color="auto" w:fill="auto"/>
            <w:vAlign w:val="center"/>
            <w:hideMark/>
          </w:tcPr>
          <w:p w14:paraId="6BDC5B80" w14:textId="2E96DDE3" w:rsidR="005C725D" w:rsidRPr="00D07928" w:rsidRDefault="005C725D" w:rsidP="005C725D">
            <w:pPr>
              <w:autoSpaceDE/>
              <w:autoSpaceDN/>
              <w:adjustRightInd/>
              <w:jc w:val="center"/>
              <w:rPr>
                <w:color w:val="000000"/>
              </w:rPr>
            </w:pPr>
            <w:r>
              <w:rPr>
                <w:color w:val="000000"/>
              </w:rPr>
              <w:t>2,232</w:t>
            </w:r>
          </w:p>
        </w:tc>
      </w:tr>
      <w:tr w:rsidR="005C725D" w:rsidRPr="007470EF" w14:paraId="4AE744E7" w14:textId="77777777" w:rsidTr="00EE221F">
        <w:trPr>
          <w:trHeight w:val="43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C04A" w14:textId="28A42234" w:rsidR="005C725D" w:rsidRPr="00D07928" w:rsidRDefault="005C725D" w:rsidP="002348D1">
            <w:pPr>
              <w:autoSpaceDE/>
              <w:autoSpaceDN/>
              <w:adjustRightInd/>
              <w:rPr>
                <w:color w:val="000000"/>
              </w:rPr>
            </w:pPr>
            <w:r>
              <w:rPr>
                <w:color w:val="000000"/>
              </w:rPr>
              <w:t>Write or revise export notification</w:t>
            </w:r>
          </w:p>
        </w:tc>
        <w:tc>
          <w:tcPr>
            <w:tcW w:w="1240" w:type="dxa"/>
            <w:tcBorders>
              <w:top w:val="single" w:sz="8" w:space="0" w:color="000000"/>
              <w:left w:val="single" w:sz="4" w:space="0" w:color="auto"/>
              <w:bottom w:val="nil"/>
              <w:right w:val="single" w:sz="8" w:space="0" w:color="000000"/>
            </w:tcBorders>
          </w:tcPr>
          <w:p w14:paraId="6AE7468F" w14:textId="5049AF9A" w:rsidR="005C725D" w:rsidRDefault="005C725D" w:rsidP="005C725D">
            <w:pPr>
              <w:autoSpaceDE/>
              <w:autoSpaceDN/>
              <w:adjustRightInd/>
              <w:jc w:val="center"/>
              <w:rPr>
                <w:color w:val="000000"/>
              </w:rPr>
            </w:pPr>
            <w:r>
              <w:rPr>
                <w:color w:val="000000"/>
              </w:rPr>
              <w:t>240</w:t>
            </w:r>
          </w:p>
        </w:tc>
        <w:tc>
          <w:tcPr>
            <w:tcW w:w="1328" w:type="dxa"/>
            <w:tcBorders>
              <w:top w:val="single" w:sz="8" w:space="0" w:color="000000"/>
              <w:left w:val="single" w:sz="8" w:space="0" w:color="000000"/>
              <w:bottom w:val="nil"/>
              <w:right w:val="single" w:sz="8" w:space="0" w:color="000000"/>
            </w:tcBorders>
          </w:tcPr>
          <w:p w14:paraId="7C0E5F4C" w14:textId="4175E3AA" w:rsidR="005C725D" w:rsidRDefault="005C725D" w:rsidP="005C725D">
            <w:pPr>
              <w:autoSpaceDE/>
              <w:autoSpaceDN/>
              <w:adjustRightInd/>
              <w:jc w:val="center"/>
              <w:rPr>
                <w:color w:val="000000"/>
              </w:rPr>
            </w:pPr>
            <w:r>
              <w:rPr>
                <w:color w:val="000000"/>
              </w:rPr>
              <w:t>1</w:t>
            </w:r>
          </w:p>
        </w:tc>
        <w:tc>
          <w:tcPr>
            <w:tcW w:w="1350" w:type="dxa"/>
            <w:tcBorders>
              <w:top w:val="single" w:sz="8" w:space="0" w:color="000000"/>
              <w:left w:val="single" w:sz="8" w:space="0" w:color="000000"/>
              <w:bottom w:val="nil"/>
              <w:right w:val="nil"/>
            </w:tcBorders>
            <w:shd w:val="clear" w:color="auto" w:fill="auto"/>
            <w:vAlign w:val="center"/>
            <w:hideMark/>
          </w:tcPr>
          <w:p w14:paraId="066DE16E" w14:textId="3BC0EAA6" w:rsidR="005C725D" w:rsidRPr="00D07928" w:rsidRDefault="005C725D" w:rsidP="005C725D">
            <w:pPr>
              <w:autoSpaceDE/>
              <w:autoSpaceDN/>
              <w:adjustRightInd/>
              <w:jc w:val="center"/>
              <w:rPr>
                <w:color w:val="000000"/>
              </w:rPr>
            </w:pPr>
            <w:r>
              <w:rPr>
                <w:color w:val="000000"/>
              </w:rPr>
              <w:t>240</w:t>
            </w:r>
          </w:p>
        </w:tc>
        <w:tc>
          <w:tcPr>
            <w:tcW w:w="1440" w:type="dxa"/>
            <w:tcBorders>
              <w:top w:val="single" w:sz="8" w:space="0" w:color="000000"/>
              <w:left w:val="single" w:sz="8" w:space="0" w:color="000000"/>
              <w:bottom w:val="nil"/>
              <w:right w:val="single" w:sz="8" w:space="0" w:color="000000"/>
            </w:tcBorders>
            <w:vAlign w:val="center"/>
          </w:tcPr>
          <w:p w14:paraId="08FE8A82" w14:textId="33A236A3" w:rsidR="005C725D" w:rsidRDefault="005C725D" w:rsidP="005C725D">
            <w:pPr>
              <w:autoSpaceDE/>
              <w:autoSpaceDN/>
              <w:adjustRightInd/>
              <w:ind w:right="180"/>
              <w:jc w:val="center"/>
              <w:rPr>
                <w:color w:val="000000"/>
              </w:rPr>
            </w:pPr>
            <w:r>
              <w:rPr>
                <w:color w:val="000000"/>
              </w:rPr>
              <w:t>1</w:t>
            </w:r>
          </w:p>
        </w:tc>
        <w:tc>
          <w:tcPr>
            <w:tcW w:w="1270" w:type="dxa"/>
            <w:tcBorders>
              <w:top w:val="single" w:sz="8" w:space="0" w:color="000000"/>
              <w:left w:val="single" w:sz="8" w:space="0" w:color="000000"/>
              <w:bottom w:val="nil"/>
              <w:right w:val="single" w:sz="8" w:space="0" w:color="000000"/>
            </w:tcBorders>
            <w:shd w:val="clear" w:color="auto" w:fill="auto"/>
            <w:vAlign w:val="center"/>
            <w:hideMark/>
          </w:tcPr>
          <w:p w14:paraId="533F9FEE" w14:textId="2995DB28" w:rsidR="005C725D" w:rsidRPr="00D07928" w:rsidRDefault="005C725D" w:rsidP="005C725D">
            <w:pPr>
              <w:autoSpaceDE/>
              <w:autoSpaceDN/>
              <w:adjustRightInd/>
              <w:jc w:val="center"/>
              <w:rPr>
                <w:color w:val="000000"/>
              </w:rPr>
            </w:pPr>
            <w:r>
              <w:rPr>
                <w:color w:val="000000"/>
              </w:rPr>
              <w:t>240</w:t>
            </w:r>
          </w:p>
        </w:tc>
      </w:tr>
      <w:tr w:rsidR="005C725D" w:rsidRPr="007470EF" w14:paraId="0463265D" w14:textId="77777777" w:rsidTr="00EE221F">
        <w:trPr>
          <w:trHeight w:val="585"/>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B2AC9" w14:textId="72F6C043" w:rsidR="005C725D" w:rsidRPr="00D07928" w:rsidRDefault="005C725D" w:rsidP="002348D1">
            <w:pPr>
              <w:autoSpaceDE/>
              <w:autoSpaceDN/>
              <w:adjustRightInd/>
              <w:rPr>
                <w:color w:val="000000"/>
              </w:rPr>
            </w:pPr>
            <w:r w:rsidRPr="00D07928">
              <w:rPr>
                <w:color w:val="000000"/>
              </w:rPr>
              <w:t xml:space="preserve">Check </w:t>
            </w:r>
            <w:r>
              <w:rPr>
                <w:color w:val="000000"/>
              </w:rPr>
              <w:t>export order and send notification</w:t>
            </w:r>
          </w:p>
        </w:tc>
        <w:tc>
          <w:tcPr>
            <w:tcW w:w="1240" w:type="dxa"/>
            <w:tcBorders>
              <w:top w:val="single" w:sz="8" w:space="0" w:color="000000"/>
              <w:left w:val="single" w:sz="4" w:space="0" w:color="auto"/>
              <w:bottom w:val="nil"/>
              <w:right w:val="single" w:sz="8" w:space="0" w:color="000000"/>
            </w:tcBorders>
          </w:tcPr>
          <w:p w14:paraId="78F08F93" w14:textId="7F3AC1FF" w:rsidR="005C725D" w:rsidRPr="005B490E" w:rsidRDefault="005C725D" w:rsidP="005C725D">
            <w:pPr>
              <w:autoSpaceDE/>
              <w:autoSpaceDN/>
              <w:adjustRightInd/>
              <w:jc w:val="center"/>
              <w:rPr>
                <w:color w:val="000000"/>
              </w:rPr>
            </w:pPr>
            <w:r>
              <w:rPr>
                <w:color w:val="000000"/>
              </w:rPr>
              <w:t>240</w:t>
            </w:r>
          </w:p>
        </w:tc>
        <w:tc>
          <w:tcPr>
            <w:tcW w:w="1328" w:type="dxa"/>
            <w:tcBorders>
              <w:top w:val="single" w:sz="8" w:space="0" w:color="000000"/>
              <w:left w:val="single" w:sz="8" w:space="0" w:color="000000"/>
              <w:bottom w:val="nil"/>
              <w:right w:val="single" w:sz="8" w:space="0" w:color="000000"/>
            </w:tcBorders>
          </w:tcPr>
          <w:p w14:paraId="729EF3EA" w14:textId="0C3156FD" w:rsidR="005C725D" w:rsidRPr="005B490E" w:rsidRDefault="005C725D" w:rsidP="005C725D">
            <w:pPr>
              <w:autoSpaceDE/>
              <w:autoSpaceDN/>
              <w:adjustRightInd/>
              <w:jc w:val="center"/>
              <w:rPr>
                <w:color w:val="000000"/>
              </w:rPr>
            </w:pPr>
            <w:r>
              <w:rPr>
                <w:color w:val="000000"/>
              </w:rPr>
              <w:t>12.875</w:t>
            </w:r>
          </w:p>
        </w:tc>
        <w:tc>
          <w:tcPr>
            <w:tcW w:w="1350" w:type="dxa"/>
            <w:tcBorders>
              <w:top w:val="single" w:sz="8" w:space="0" w:color="000000"/>
              <w:left w:val="single" w:sz="8" w:space="0" w:color="000000"/>
              <w:bottom w:val="nil"/>
              <w:right w:val="nil"/>
            </w:tcBorders>
            <w:shd w:val="clear" w:color="auto" w:fill="auto"/>
            <w:vAlign w:val="center"/>
            <w:hideMark/>
          </w:tcPr>
          <w:p w14:paraId="4FB524D4" w14:textId="4E6ACF49" w:rsidR="005C725D" w:rsidRPr="00D07928" w:rsidRDefault="005C725D" w:rsidP="005C725D">
            <w:pPr>
              <w:autoSpaceDE/>
              <w:autoSpaceDN/>
              <w:adjustRightInd/>
              <w:jc w:val="center"/>
              <w:rPr>
                <w:color w:val="000000"/>
              </w:rPr>
            </w:pPr>
            <w:r w:rsidRPr="005B490E">
              <w:rPr>
                <w:color w:val="000000"/>
              </w:rPr>
              <w:t>3,090</w:t>
            </w:r>
          </w:p>
        </w:tc>
        <w:tc>
          <w:tcPr>
            <w:tcW w:w="1440" w:type="dxa"/>
            <w:tcBorders>
              <w:top w:val="single" w:sz="8" w:space="0" w:color="000000"/>
              <w:left w:val="single" w:sz="8" w:space="0" w:color="000000"/>
              <w:bottom w:val="nil"/>
              <w:right w:val="single" w:sz="8" w:space="0" w:color="000000"/>
            </w:tcBorders>
            <w:vAlign w:val="center"/>
          </w:tcPr>
          <w:p w14:paraId="2EE75560" w14:textId="7116C74E" w:rsidR="005C725D" w:rsidRPr="00D07928" w:rsidRDefault="005C725D" w:rsidP="005C725D">
            <w:pPr>
              <w:autoSpaceDE/>
              <w:autoSpaceDN/>
              <w:adjustRightInd/>
              <w:ind w:right="180"/>
              <w:jc w:val="center"/>
              <w:rPr>
                <w:color w:val="000000"/>
              </w:rPr>
            </w:pPr>
            <w:r>
              <w:rPr>
                <w:color w:val="000000"/>
              </w:rPr>
              <w:t>0.5</w:t>
            </w:r>
          </w:p>
        </w:tc>
        <w:tc>
          <w:tcPr>
            <w:tcW w:w="1270" w:type="dxa"/>
            <w:tcBorders>
              <w:top w:val="single" w:sz="8" w:space="0" w:color="000000"/>
              <w:left w:val="single" w:sz="8" w:space="0" w:color="000000"/>
              <w:bottom w:val="nil"/>
              <w:right w:val="single" w:sz="8" w:space="0" w:color="000000"/>
            </w:tcBorders>
            <w:shd w:val="clear" w:color="auto" w:fill="auto"/>
            <w:vAlign w:val="center"/>
            <w:hideMark/>
          </w:tcPr>
          <w:p w14:paraId="48DA93C1" w14:textId="7B587214" w:rsidR="005C725D" w:rsidRPr="00D07928" w:rsidRDefault="005C725D" w:rsidP="005C725D">
            <w:pPr>
              <w:autoSpaceDE/>
              <w:autoSpaceDN/>
              <w:adjustRightInd/>
              <w:jc w:val="center"/>
              <w:rPr>
                <w:color w:val="000000"/>
              </w:rPr>
            </w:pPr>
            <w:r>
              <w:rPr>
                <w:color w:val="000000"/>
              </w:rPr>
              <w:t>1,560</w:t>
            </w:r>
          </w:p>
        </w:tc>
      </w:tr>
      <w:tr w:rsidR="005C725D" w:rsidRPr="007470EF" w14:paraId="60E0C320" w14:textId="77777777" w:rsidTr="00EE221F">
        <w:trPr>
          <w:trHeight w:val="330"/>
        </w:trPr>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369B1" w14:textId="5C2B97DF" w:rsidR="005C725D" w:rsidRPr="00D07928" w:rsidRDefault="005C725D" w:rsidP="002348D1">
            <w:pPr>
              <w:autoSpaceDE/>
              <w:autoSpaceDN/>
              <w:adjustRightInd/>
              <w:rPr>
                <w:b/>
                <w:bCs/>
                <w:color w:val="000000"/>
              </w:rPr>
            </w:pPr>
            <w:r w:rsidRPr="00D07928">
              <w:rPr>
                <w:b/>
                <w:bCs/>
                <w:color w:val="000000"/>
              </w:rPr>
              <w:t>Total</w:t>
            </w:r>
            <w:r>
              <w:rPr>
                <w:b/>
                <w:bCs/>
                <w:color w:val="000000"/>
              </w:rPr>
              <w:t xml:space="preserve"> burden requested under this ICR</w:t>
            </w:r>
          </w:p>
        </w:tc>
        <w:tc>
          <w:tcPr>
            <w:tcW w:w="1240" w:type="dxa"/>
            <w:tcBorders>
              <w:top w:val="single" w:sz="8" w:space="0" w:color="000000"/>
              <w:left w:val="single" w:sz="4" w:space="0" w:color="auto"/>
              <w:bottom w:val="single" w:sz="8" w:space="0" w:color="000000"/>
              <w:right w:val="single" w:sz="8" w:space="0" w:color="000000"/>
            </w:tcBorders>
          </w:tcPr>
          <w:p w14:paraId="65B4A829" w14:textId="329DB29E" w:rsidR="005C725D" w:rsidRDefault="005C725D" w:rsidP="005C725D">
            <w:pPr>
              <w:autoSpaceDE/>
              <w:autoSpaceDN/>
              <w:adjustRightInd/>
              <w:jc w:val="center"/>
              <w:rPr>
                <w:b/>
                <w:bCs/>
                <w:color w:val="000000"/>
              </w:rPr>
            </w:pPr>
          </w:p>
        </w:tc>
        <w:tc>
          <w:tcPr>
            <w:tcW w:w="1328" w:type="dxa"/>
            <w:tcBorders>
              <w:top w:val="single" w:sz="8" w:space="0" w:color="000000"/>
              <w:left w:val="single" w:sz="8" w:space="0" w:color="000000"/>
              <w:bottom w:val="single" w:sz="8" w:space="0" w:color="000000"/>
              <w:right w:val="single" w:sz="8" w:space="0" w:color="000000"/>
            </w:tcBorders>
          </w:tcPr>
          <w:p w14:paraId="42B247E3" w14:textId="3FC0E241" w:rsidR="005C725D" w:rsidRDefault="005C725D" w:rsidP="005C725D">
            <w:pPr>
              <w:autoSpaceDE/>
              <w:autoSpaceDN/>
              <w:adjustRightInd/>
              <w:jc w:val="center"/>
              <w:rPr>
                <w:b/>
                <w:bCs/>
                <w:color w:val="000000"/>
              </w:rPr>
            </w:pPr>
          </w:p>
        </w:tc>
        <w:tc>
          <w:tcPr>
            <w:tcW w:w="1350" w:type="dxa"/>
            <w:tcBorders>
              <w:top w:val="single" w:sz="8" w:space="0" w:color="000000"/>
              <w:left w:val="single" w:sz="8" w:space="0" w:color="000000"/>
              <w:bottom w:val="single" w:sz="8" w:space="0" w:color="000000"/>
              <w:right w:val="nil"/>
            </w:tcBorders>
            <w:shd w:val="clear" w:color="auto" w:fill="auto"/>
            <w:vAlign w:val="center"/>
            <w:hideMark/>
          </w:tcPr>
          <w:p w14:paraId="65BA9612" w14:textId="5BE2EB6B" w:rsidR="005C725D" w:rsidRPr="00D07928" w:rsidRDefault="005C725D" w:rsidP="005C725D">
            <w:pPr>
              <w:autoSpaceDE/>
              <w:autoSpaceDN/>
              <w:adjustRightInd/>
              <w:jc w:val="center"/>
              <w:rPr>
                <w:b/>
                <w:bCs/>
                <w:color w:val="000000"/>
              </w:rPr>
            </w:pPr>
            <w:r>
              <w:rPr>
                <w:b/>
                <w:bCs/>
                <w:color w:val="000000"/>
              </w:rPr>
              <w:t>3,570</w:t>
            </w:r>
          </w:p>
        </w:tc>
        <w:tc>
          <w:tcPr>
            <w:tcW w:w="1440" w:type="dxa"/>
            <w:tcBorders>
              <w:top w:val="single" w:sz="8" w:space="0" w:color="000000"/>
              <w:left w:val="single" w:sz="8" w:space="0" w:color="000000"/>
              <w:bottom w:val="single" w:sz="8" w:space="0" w:color="000000"/>
              <w:right w:val="single" w:sz="8" w:space="0" w:color="000000"/>
            </w:tcBorders>
          </w:tcPr>
          <w:p w14:paraId="0319380B" w14:textId="77777777" w:rsidR="005C725D" w:rsidRPr="00D07928" w:rsidRDefault="005C725D" w:rsidP="005C725D">
            <w:pPr>
              <w:autoSpaceDE/>
              <w:autoSpaceDN/>
              <w:adjustRightInd/>
              <w:ind w:right="180"/>
              <w:jc w:val="center"/>
              <w:rPr>
                <w:b/>
                <w:bCs/>
                <w:color w:val="000000"/>
              </w:rPr>
            </w:pPr>
          </w:p>
        </w:tc>
        <w:tc>
          <w:tcPr>
            <w:tcW w:w="12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8256E" w14:textId="2B6E5AF6" w:rsidR="005C725D" w:rsidRPr="00D07928" w:rsidRDefault="005C725D" w:rsidP="005C725D">
            <w:pPr>
              <w:autoSpaceDE/>
              <w:autoSpaceDN/>
              <w:adjustRightInd/>
              <w:jc w:val="center"/>
              <w:rPr>
                <w:b/>
                <w:bCs/>
                <w:color w:val="000000"/>
              </w:rPr>
            </w:pPr>
            <w:r>
              <w:rPr>
                <w:b/>
                <w:bCs/>
                <w:color w:val="000000"/>
              </w:rPr>
              <w:t>4,032</w:t>
            </w:r>
          </w:p>
        </w:tc>
      </w:tr>
    </w:tbl>
    <w:p w14:paraId="39B980EB" w14:textId="7C044B10" w:rsidR="00164BC5" w:rsidRPr="00EE221F" w:rsidRDefault="00164BC5" w:rsidP="00EE221F">
      <w:pPr>
        <w:numPr>
          <w:ilvl w:val="12"/>
          <w:numId w:val="0"/>
        </w:numPr>
        <w:rPr>
          <w:sz w:val="24"/>
        </w:rPr>
      </w:pPr>
    </w:p>
    <w:tbl>
      <w:tblPr>
        <w:tblW w:w="9370" w:type="dxa"/>
        <w:tblInd w:w="98" w:type="dxa"/>
        <w:tblLook w:val="04A0" w:firstRow="1" w:lastRow="0" w:firstColumn="1" w:lastColumn="0" w:noHBand="0" w:noVBand="1"/>
      </w:tblPr>
      <w:tblGrid>
        <w:gridCol w:w="2800"/>
        <w:gridCol w:w="2250"/>
        <w:gridCol w:w="2250"/>
        <w:gridCol w:w="2070"/>
      </w:tblGrid>
      <w:tr w:rsidR="007470EF" w:rsidRPr="007470EF" w14:paraId="2B2A369D" w14:textId="77777777" w:rsidTr="00EE221F">
        <w:trPr>
          <w:trHeight w:val="583"/>
        </w:trPr>
        <w:tc>
          <w:tcPr>
            <w:tcW w:w="93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FE204F" w14:textId="1564E7EE" w:rsidR="007470EF" w:rsidRPr="00D07928" w:rsidRDefault="007470EF" w:rsidP="007470EF">
            <w:pPr>
              <w:autoSpaceDE/>
              <w:autoSpaceDN/>
              <w:adjustRightInd/>
              <w:rPr>
                <w:b/>
                <w:bCs/>
                <w:color w:val="000000"/>
              </w:rPr>
            </w:pPr>
            <w:r w:rsidRPr="00D07928">
              <w:rPr>
                <w:b/>
                <w:bCs/>
                <w:color w:val="000000"/>
              </w:rPr>
              <w:t>TABLE 1: ANNUAL AVERAGE BURDEN PER RESPONDENT FACILITY</w:t>
            </w:r>
          </w:p>
        </w:tc>
      </w:tr>
      <w:tr w:rsidR="007470EF" w:rsidRPr="007470EF" w14:paraId="21863824" w14:textId="77777777" w:rsidTr="00AD30AB">
        <w:trPr>
          <w:trHeight w:val="315"/>
        </w:trPr>
        <w:tc>
          <w:tcPr>
            <w:tcW w:w="2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D7DFC8E" w14:textId="77777777" w:rsidR="007470EF" w:rsidRPr="00D07928" w:rsidRDefault="007470EF" w:rsidP="007470EF">
            <w:pPr>
              <w:autoSpaceDE/>
              <w:autoSpaceDN/>
              <w:adjustRightInd/>
              <w:rPr>
                <w:color w:val="000000"/>
              </w:rPr>
            </w:pPr>
            <w:r w:rsidRPr="00D07928">
              <w:rPr>
                <w:color w:val="000000"/>
              </w:rPr>
              <w:t>ACTIVITY</w:t>
            </w:r>
          </w:p>
        </w:tc>
        <w:tc>
          <w:tcPr>
            <w:tcW w:w="6570" w:type="dxa"/>
            <w:gridSpan w:val="3"/>
            <w:tcBorders>
              <w:top w:val="single" w:sz="8" w:space="0" w:color="000000"/>
              <w:left w:val="nil"/>
              <w:bottom w:val="single" w:sz="8" w:space="0" w:color="000000"/>
              <w:right w:val="single" w:sz="8" w:space="0" w:color="000000"/>
            </w:tcBorders>
            <w:shd w:val="clear" w:color="auto" w:fill="auto"/>
            <w:vAlign w:val="center"/>
            <w:hideMark/>
          </w:tcPr>
          <w:p w14:paraId="354E8D0F" w14:textId="77777777" w:rsidR="007470EF" w:rsidRPr="00D07928" w:rsidRDefault="007470EF" w:rsidP="007470EF">
            <w:pPr>
              <w:autoSpaceDE/>
              <w:autoSpaceDN/>
              <w:adjustRightInd/>
              <w:jc w:val="center"/>
              <w:rPr>
                <w:color w:val="000000"/>
              </w:rPr>
            </w:pPr>
            <w:r w:rsidRPr="00D07928">
              <w:rPr>
                <w:color w:val="000000"/>
              </w:rPr>
              <w:t>BURDEN HOURS</w:t>
            </w:r>
          </w:p>
        </w:tc>
      </w:tr>
      <w:tr w:rsidR="007470EF" w:rsidRPr="007470EF" w14:paraId="1007452B" w14:textId="77777777" w:rsidTr="00EE221F">
        <w:trPr>
          <w:trHeight w:val="285"/>
        </w:trPr>
        <w:tc>
          <w:tcPr>
            <w:tcW w:w="2800" w:type="dxa"/>
            <w:vMerge/>
            <w:tcBorders>
              <w:top w:val="nil"/>
              <w:left w:val="single" w:sz="8" w:space="0" w:color="000000"/>
              <w:bottom w:val="single" w:sz="8" w:space="0" w:color="000000"/>
              <w:right w:val="single" w:sz="8" w:space="0" w:color="000000"/>
            </w:tcBorders>
            <w:vAlign w:val="center"/>
            <w:hideMark/>
          </w:tcPr>
          <w:p w14:paraId="35247FB1" w14:textId="77777777" w:rsidR="007470EF" w:rsidRPr="00D07928" w:rsidRDefault="007470EF" w:rsidP="007470EF">
            <w:pPr>
              <w:autoSpaceDE/>
              <w:autoSpaceDN/>
              <w:adjustRightInd/>
              <w:rPr>
                <w:color w:val="000000"/>
              </w:rPr>
            </w:pPr>
          </w:p>
        </w:tc>
        <w:tc>
          <w:tcPr>
            <w:tcW w:w="2250" w:type="dxa"/>
            <w:tcBorders>
              <w:top w:val="nil"/>
              <w:left w:val="nil"/>
              <w:bottom w:val="nil"/>
              <w:right w:val="nil"/>
            </w:tcBorders>
            <w:shd w:val="clear" w:color="auto" w:fill="auto"/>
            <w:vAlign w:val="center"/>
            <w:hideMark/>
          </w:tcPr>
          <w:p w14:paraId="54436F22" w14:textId="77777777" w:rsidR="007470EF" w:rsidRPr="00D07928" w:rsidRDefault="007470EF" w:rsidP="007470EF">
            <w:pPr>
              <w:autoSpaceDE/>
              <w:autoSpaceDN/>
              <w:adjustRightInd/>
              <w:jc w:val="center"/>
              <w:rPr>
                <w:color w:val="000000"/>
              </w:rPr>
            </w:pPr>
            <w:r w:rsidRPr="00D07928">
              <w:rPr>
                <w:color w:val="000000"/>
              </w:rPr>
              <w:t>TECHNICAL</w:t>
            </w:r>
          </w:p>
        </w:tc>
        <w:tc>
          <w:tcPr>
            <w:tcW w:w="2250" w:type="dxa"/>
            <w:tcBorders>
              <w:top w:val="nil"/>
              <w:left w:val="single" w:sz="8" w:space="0" w:color="000000"/>
              <w:bottom w:val="nil"/>
              <w:right w:val="nil"/>
            </w:tcBorders>
            <w:shd w:val="clear" w:color="auto" w:fill="auto"/>
            <w:vAlign w:val="center"/>
            <w:hideMark/>
          </w:tcPr>
          <w:p w14:paraId="3A0B5048" w14:textId="77777777" w:rsidR="007470EF" w:rsidRPr="00D07928" w:rsidRDefault="007470EF" w:rsidP="007470EF">
            <w:pPr>
              <w:autoSpaceDE/>
              <w:autoSpaceDN/>
              <w:adjustRightInd/>
              <w:jc w:val="center"/>
              <w:rPr>
                <w:color w:val="000000"/>
              </w:rPr>
            </w:pPr>
            <w:r w:rsidRPr="00D07928">
              <w:rPr>
                <w:color w:val="000000"/>
              </w:rPr>
              <w:t>CLERICAL</w:t>
            </w:r>
          </w:p>
        </w:tc>
        <w:tc>
          <w:tcPr>
            <w:tcW w:w="2070" w:type="dxa"/>
            <w:tcBorders>
              <w:top w:val="nil"/>
              <w:left w:val="single" w:sz="8" w:space="0" w:color="000000"/>
              <w:bottom w:val="nil"/>
              <w:right w:val="single" w:sz="8" w:space="0" w:color="000000"/>
            </w:tcBorders>
            <w:shd w:val="clear" w:color="auto" w:fill="auto"/>
            <w:vAlign w:val="center"/>
            <w:hideMark/>
          </w:tcPr>
          <w:p w14:paraId="5F13A755" w14:textId="77777777" w:rsidR="007470EF" w:rsidRPr="00D07928" w:rsidRDefault="007470EF" w:rsidP="007470EF">
            <w:pPr>
              <w:autoSpaceDE/>
              <w:autoSpaceDN/>
              <w:adjustRightInd/>
              <w:jc w:val="center"/>
              <w:rPr>
                <w:color w:val="000000"/>
              </w:rPr>
            </w:pPr>
            <w:r w:rsidRPr="00D07928">
              <w:rPr>
                <w:color w:val="000000"/>
              </w:rPr>
              <w:t>TOTAL</w:t>
            </w:r>
          </w:p>
        </w:tc>
      </w:tr>
      <w:tr w:rsidR="007470EF" w:rsidRPr="007470EF" w14:paraId="71396A57" w14:textId="77777777" w:rsidTr="00EE221F">
        <w:trPr>
          <w:trHeight w:val="450"/>
        </w:trPr>
        <w:tc>
          <w:tcPr>
            <w:tcW w:w="2800" w:type="dxa"/>
            <w:tcBorders>
              <w:top w:val="nil"/>
              <w:left w:val="single" w:sz="8" w:space="0" w:color="000000"/>
              <w:bottom w:val="nil"/>
              <w:right w:val="nil"/>
            </w:tcBorders>
            <w:shd w:val="clear" w:color="auto" w:fill="auto"/>
            <w:vAlign w:val="center"/>
            <w:hideMark/>
          </w:tcPr>
          <w:p w14:paraId="01F53B92" w14:textId="77777777" w:rsidR="007470EF" w:rsidRPr="00D07928" w:rsidRDefault="007470EF" w:rsidP="007470EF">
            <w:pPr>
              <w:autoSpaceDE/>
              <w:autoSpaceDN/>
              <w:adjustRightInd/>
              <w:rPr>
                <w:color w:val="000000"/>
              </w:rPr>
            </w:pPr>
            <w:r w:rsidRPr="00D07928">
              <w:rPr>
                <w:color w:val="000000"/>
              </w:rPr>
              <w:t>Compile list</w:t>
            </w:r>
          </w:p>
        </w:tc>
        <w:tc>
          <w:tcPr>
            <w:tcW w:w="2250" w:type="dxa"/>
            <w:tcBorders>
              <w:top w:val="single" w:sz="8" w:space="0" w:color="000000"/>
              <w:left w:val="single" w:sz="8" w:space="0" w:color="000000"/>
              <w:bottom w:val="nil"/>
              <w:right w:val="nil"/>
            </w:tcBorders>
            <w:shd w:val="clear" w:color="auto" w:fill="auto"/>
            <w:vAlign w:val="center"/>
            <w:hideMark/>
          </w:tcPr>
          <w:p w14:paraId="37FB0550" w14:textId="5B22487C" w:rsidR="007470EF" w:rsidRPr="00D07928" w:rsidRDefault="007470EF" w:rsidP="007470EF">
            <w:pPr>
              <w:autoSpaceDE/>
              <w:autoSpaceDN/>
              <w:adjustRightInd/>
              <w:jc w:val="center"/>
              <w:rPr>
                <w:color w:val="000000"/>
              </w:rPr>
            </w:pPr>
            <w:r w:rsidRPr="00D07928">
              <w:rPr>
                <w:color w:val="000000"/>
              </w:rPr>
              <w:t>9.3</w:t>
            </w:r>
          </w:p>
        </w:tc>
        <w:tc>
          <w:tcPr>
            <w:tcW w:w="2250" w:type="dxa"/>
            <w:tcBorders>
              <w:top w:val="single" w:sz="8" w:space="0" w:color="000000"/>
              <w:left w:val="single" w:sz="8" w:space="0" w:color="000000"/>
              <w:bottom w:val="nil"/>
              <w:right w:val="nil"/>
            </w:tcBorders>
            <w:shd w:val="clear" w:color="auto" w:fill="auto"/>
            <w:vAlign w:val="center"/>
            <w:hideMark/>
          </w:tcPr>
          <w:p w14:paraId="3407AD86" w14:textId="77777777" w:rsidR="007470EF" w:rsidRPr="00D07928" w:rsidRDefault="007470EF" w:rsidP="007470EF">
            <w:pPr>
              <w:autoSpaceDE/>
              <w:autoSpaceDN/>
              <w:adjustRightInd/>
              <w:jc w:val="center"/>
              <w:rPr>
                <w:color w:val="000000"/>
              </w:rPr>
            </w:pPr>
            <w:r w:rsidRPr="00D07928">
              <w:rPr>
                <w:color w:val="000000"/>
              </w:rPr>
              <w:t>0</w:t>
            </w:r>
          </w:p>
        </w:tc>
        <w:tc>
          <w:tcPr>
            <w:tcW w:w="2070" w:type="dxa"/>
            <w:tcBorders>
              <w:top w:val="single" w:sz="8" w:space="0" w:color="000000"/>
              <w:left w:val="single" w:sz="8" w:space="0" w:color="000000"/>
              <w:bottom w:val="nil"/>
              <w:right w:val="single" w:sz="8" w:space="0" w:color="000000"/>
            </w:tcBorders>
            <w:shd w:val="clear" w:color="auto" w:fill="auto"/>
            <w:vAlign w:val="center"/>
            <w:hideMark/>
          </w:tcPr>
          <w:p w14:paraId="2598C7E5" w14:textId="4D43B1A3" w:rsidR="007470EF" w:rsidRPr="00D07928" w:rsidRDefault="007470EF" w:rsidP="007470EF">
            <w:pPr>
              <w:autoSpaceDE/>
              <w:autoSpaceDN/>
              <w:adjustRightInd/>
              <w:jc w:val="center"/>
              <w:rPr>
                <w:color w:val="000000"/>
              </w:rPr>
            </w:pPr>
            <w:r w:rsidRPr="00D07928">
              <w:rPr>
                <w:color w:val="000000"/>
              </w:rPr>
              <w:t>9.3</w:t>
            </w:r>
          </w:p>
        </w:tc>
      </w:tr>
      <w:tr w:rsidR="007470EF" w:rsidRPr="007470EF" w14:paraId="055B5503" w14:textId="77777777" w:rsidTr="00AD30AB">
        <w:trPr>
          <w:trHeight w:val="435"/>
        </w:trPr>
        <w:tc>
          <w:tcPr>
            <w:tcW w:w="2800" w:type="dxa"/>
            <w:tcBorders>
              <w:top w:val="single" w:sz="8" w:space="0" w:color="000000"/>
              <w:left w:val="single" w:sz="8" w:space="0" w:color="000000"/>
              <w:bottom w:val="nil"/>
              <w:right w:val="nil"/>
            </w:tcBorders>
            <w:shd w:val="clear" w:color="auto" w:fill="auto"/>
            <w:vAlign w:val="center"/>
            <w:hideMark/>
          </w:tcPr>
          <w:p w14:paraId="42B176C1" w14:textId="77777777" w:rsidR="007470EF" w:rsidRPr="00D07928" w:rsidRDefault="007470EF" w:rsidP="007470EF">
            <w:pPr>
              <w:autoSpaceDE/>
              <w:autoSpaceDN/>
              <w:adjustRightInd/>
              <w:rPr>
                <w:color w:val="000000"/>
              </w:rPr>
            </w:pPr>
            <w:r w:rsidRPr="00D07928">
              <w:rPr>
                <w:color w:val="000000"/>
              </w:rPr>
              <w:t>Write letter</w:t>
            </w:r>
          </w:p>
        </w:tc>
        <w:tc>
          <w:tcPr>
            <w:tcW w:w="2250" w:type="dxa"/>
            <w:tcBorders>
              <w:top w:val="single" w:sz="8" w:space="0" w:color="000000"/>
              <w:left w:val="single" w:sz="8" w:space="0" w:color="000000"/>
              <w:bottom w:val="nil"/>
              <w:right w:val="nil"/>
            </w:tcBorders>
            <w:shd w:val="clear" w:color="auto" w:fill="auto"/>
            <w:vAlign w:val="center"/>
            <w:hideMark/>
          </w:tcPr>
          <w:p w14:paraId="2D259A37" w14:textId="390285F8" w:rsidR="007470EF" w:rsidRPr="00D07928" w:rsidRDefault="007470EF" w:rsidP="007470EF">
            <w:pPr>
              <w:autoSpaceDE/>
              <w:autoSpaceDN/>
              <w:adjustRightInd/>
              <w:jc w:val="center"/>
              <w:rPr>
                <w:color w:val="000000"/>
              </w:rPr>
            </w:pPr>
            <w:r w:rsidRPr="00D07928">
              <w:rPr>
                <w:color w:val="000000"/>
              </w:rPr>
              <w:t>1</w:t>
            </w:r>
          </w:p>
        </w:tc>
        <w:tc>
          <w:tcPr>
            <w:tcW w:w="2250" w:type="dxa"/>
            <w:tcBorders>
              <w:top w:val="single" w:sz="8" w:space="0" w:color="000000"/>
              <w:left w:val="single" w:sz="8" w:space="0" w:color="000000"/>
              <w:bottom w:val="nil"/>
              <w:right w:val="nil"/>
            </w:tcBorders>
            <w:shd w:val="clear" w:color="auto" w:fill="auto"/>
            <w:vAlign w:val="center"/>
            <w:hideMark/>
          </w:tcPr>
          <w:p w14:paraId="1699EA21" w14:textId="77777777" w:rsidR="007470EF" w:rsidRPr="00D07928" w:rsidRDefault="007470EF" w:rsidP="007470EF">
            <w:pPr>
              <w:autoSpaceDE/>
              <w:autoSpaceDN/>
              <w:adjustRightInd/>
              <w:jc w:val="center"/>
              <w:rPr>
                <w:color w:val="000000"/>
              </w:rPr>
            </w:pPr>
            <w:r w:rsidRPr="00D07928">
              <w:rPr>
                <w:color w:val="000000"/>
              </w:rPr>
              <w:t>0</w:t>
            </w:r>
          </w:p>
        </w:tc>
        <w:tc>
          <w:tcPr>
            <w:tcW w:w="2070" w:type="dxa"/>
            <w:tcBorders>
              <w:top w:val="single" w:sz="8" w:space="0" w:color="000000"/>
              <w:left w:val="single" w:sz="8" w:space="0" w:color="000000"/>
              <w:bottom w:val="nil"/>
              <w:right w:val="single" w:sz="8" w:space="0" w:color="000000"/>
            </w:tcBorders>
            <w:shd w:val="clear" w:color="auto" w:fill="auto"/>
            <w:vAlign w:val="center"/>
            <w:hideMark/>
          </w:tcPr>
          <w:p w14:paraId="29B7A5AB" w14:textId="30DA4713" w:rsidR="007470EF" w:rsidRPr="00D07928" w:rsidRDefault="007470EF" w:rsidP="007470EF">
            <w:pPr>
              <w:autoSpaceDE/>
              <w:autoSpaceDN/>
              <w:adjustRightInd/>
              <w:jc w:val="center"/>
              <w:rPr>
                <w:color w:val="000000"/>
              </w:rPr>
            </w:pPr>
            <w:r w:rsidRPr="00D07928">
              <w:rPr>
                <w:color w:val="000000"/>
              </w:rPr>
              <w:t>1</w:t>
            </w:r>
          </w:p>
        </w:tc>
      </w:tr>
      <w:tr w:rsidR="007470EF" w:rsidRPr="007470EF" w14:paraId="41B6EF08" w14:textId="77777777" w:rsidTr="00EE221F">
        <w:trPr>
          <w:trHeight w:val="585"/>
        </w:trPr>
        <w:tc>
          <w:tcPr>
            <w:tcW w:w="2800" w:type="dxa"/>
            <w:tcBorders>
              <w:top w:val="single" w:sz="8" w:space="0" w:color="000000"/>
              <w:left w:val="single" w:sz="8" w:space="0" w:color="000000"/>
              <w:bottom w:val="nil"/>
              <w:right w:val="nil"/>
            </w:tcBorders>
            <w:shd w:val="clear" w:color="auto" w:fill="auto"/>
            <w:vAlign w:val="center"/>
            <w:hideMark/>
          </w:tcPr>
          <w:p w14:paraId="1BD8F6EF" w14:textId="77777777" w:rsidR="007470EF" w:rsidRPr="00D07928" w:rsidRDefault="007470EF" w:rsidP="007470EF">
            <w:pPr>
              <w:autoSpaceDE/>
              <w:autoSpaceDN/>
              <w:adjustRightInd/>
              <w:rPr>
                <w:color w:val="000000"/>
              </w:rPr>
            </w:pPr>
            <w:r w:rsidRPr="00D07928">
              <w:rPr>
                <w:color w:val="000000"/>
              </w:rPr>
              <w:t>Check order and send notice</w:t>
            </w:r>
          </w:p>
        </w:tc>
        <w:tc>
          <w:tcPr>
            <w:tcW w:w="2250" w:type="dxa"/>
            <w:tcBorders>
              <w:top w:val="single" w:sz="8" w:space="0" w:color="000000"/>
              <w:left w:val="single" w:sz="8" w:space="0" w:color="000000"/>
              <w:bottom w:val="nil"/>
              <w:right w:val="nil"/>
            </w:tcBorders>
            <w:shd w:val="clear" w:color="auto" w:fill="auto"/>
            <w:vAlign w:val="center"/>
            <w:hideMark/>
          </w:tcPr>
          <w:p w14:paraId="6D85F40E" w14:textId="77777777" w:rsidR="007470EF" w:rsidRPr="00D07928" w:rsidRDefault="007470EF" w:rsidP="007470EF">
            <w:pPr>
              <w:autoSpaceDE/>
              <w:autoSpaceDN/>
              <w:adjustRightInd/>
              <w:jc w:val="center"/>
              <w:rPr>
                <w:color w:val="000000"/>
              </w:rPr>
            </w:pPr>
            <w:r w:rsidRPr="00D07928">
              <w:rPr>
                <w:color w:val="000000"/>
              </w:rPr>
              <w:t>0</w:t>
            </w:r>
          </w:p>
        </w:tc>
        <w:tc>
          <w:tcPr>
            <w:tcW w:w="2250" w:type="dxa"/>
            <w:tcBorders>
              <w:top w:val="single" w:sz="8" w:space="0" w:color="000000"/>
              <w:left w:val="single" w:sz="8" w:space="0" w:color="000000"/>
              <w:bottom w:val="nil"/>
              <w:right w:val="nil"/>
            </w:tcBorders>
            <w:shd w:val="clear" w:color="auto" w:fill="auto"/>
            <w:vAlign w:val="center"/>
            <w:hideMark/>
          </w:tcPr>
          <w:p w14:paraId="46F0B6FF" w14:textId="40E55E6C" w:rsidR="007470EF" w:rsidRPr="00D07928" w:rsidRDefault="007470EF" w:rsidP="007470EF">
            <w:pPr>
              <w:autoSpaceDE/>
              <w:autoSpaceDN/>
              <w:adjustRightInd/>
              <w:jc w:val="center"/>
              <w:rPr>
                <w:color w:val="000000"/>
              </w:rPr>
            </w:pPr>
            <w:r w:rsidRPr="00D07928">
              <w:rPr>
                <w:color w:val="000000"/>
              </w:rPr>
              <w:t>6.5</w:t>
            </w:r>
          </w:p>
        </w:tc>
        <w:tc>
          <w:tcPr>
            <w:tcW w:w="2070" w:type="dxa"/>
            <w:tcBorders>
              <w:top w:val="single" w:sz="8" w:space="0" w:color="000000"/>
              <w:left w:val="single" w:sz="8" w:space="0" w:color="000000"/>
              <w:bottom w:val="nil"/>
              <w:right w:val="single" w:sz="8" w:space="0" w:color="000000"/>
            </w:tcBorders>
            <w:shd w:val="clear" w:color="auto" w:fill="auto"/>
            <w:vAlign w:val="center"/>
            <w:hideMark/>
          </w:tcPr>
          <w:p w14:paraId="1BA91C7F" w14:textId="3A6429C1" w:rsidR="007470EF" w:rsidRPr="00D07928" w:rsidRDefault="007470EF" w:rsidP="007470EF">
            <w:pPr>
              <w:autoSpaceDE/>
              <w:autoSpaceDN/>
              <w:adjustRightInd/>
              <w:jc w:val="center"/>
              <w:rPr>
                <w:color w:val="000000"/>
              </w:rPr>
            </w:pPr>
            <w:r w:rsidRPr="00D07928">
              <w:rPr>
                <w:color w:val="000000"/>
              </w:rPr>
              <w:t>6.5</w:t>
            </w:r>
          </w:p>
        </w:tc>
      </w:tr>
      <w:tr w:rsidR="007470EF" w:rsidRPr="007470EF" w14:paraId="4F0C6CF6" w14:textId="77777777" w:rsidTr="00EE221F">
        <w:trPr>
          <w:trHeight w:val="330"/>
        </w:trPr>
        <w:tc>
          <w:tcPr>
            <w:tcW w:w="2800" w:type="dxa"/>
            <w:tcBorders>
              <w:top w:val="single" w:sz="8" w:space="0" w:color="000000"/>
              <w:left w:val="single" w:sz="8" w:space="0" w:color="000000"/>
              <w:bottom w:val="single" w:sz="8" w:space="0" w:color="000000"/>
              <w:right w:val="nil"/>
            </w:tcBorders>
            <w:shd w:val="clear" w:color="auto" w:fill="auto"/>
            <w:vAlign w:val="center"/>
            <w:hideMark/>
          </w:tcPr>
          <w:p w14:paraId="21FCD6E8" w14:textId="77777777" w:rsidR="007470EF" w:rsidRPr="00D07928" w:rsidRDefault="007470EF" w:rsidP="007470EF">
            <w:pPr>
              <w:autoSpaceDE/>
              <w:autoSpaceDN/>
              <w:adjustRightInd/>
              <w:rPr>
                <w:b/>
                <w:bCs/>
                <w:color w:val="000000"/>
              </w:rPr>
            </w:pPr>
            <w:r w:rsidRPr="00D07928">
              <w:rPr>
                <w:b/>
                <w:bCs/>
                <w:color w:val="000000"/>
              </w:rPr>
              <w:t>Total</w:t>
            </w:r>
          </w:p>
        </w:tc>
        <w:tc>
          <w:tcPr>
            <w:tcW w:w="2250" w:type="dxa"/>
            <w:tcBorders>
              <w:top w:val="single" w:sz="8" w:space="0" w:color="000000"/>
              <w:left w:val="single" w:sz="8" w:space="0" w:color="000000"/>
              <w:bottom w:val="single" w:sz="8" w:space="0" w:color="000000"/>
              <w:right w:val="nil"/>
            </w:tcBorders>
            <w:shd w:val="clear" w:color="auto" w:fill="auto"/>
            <w:vAlign w:val="center"/>
            <w:hideMark/>
          </w:tcPr>
          <w:p w14:paraId="7BCD4351" w14:textId="2FA2A6C2" w:rsidR="007470EF" w:rsidRPr="00D07928" w:rsidRDefault="007470EF" w:rsidP="007470EF">
            <w:pPr>
              <w:autoSpaceDE/>
              <w:autoSpaceDN/>
              <w:adjustRightInd/>
              <w:jc w:val="center"/>
              <w:rPr>
                <w:b/>
                <w:bCs/>
                <w:color w:val="000000"/>
              </w:rPr>
            </w:pPr>
            <w:r w:rsidRPr="00D07928">
              <w:rPr>
                <w:b/>
                <w:bCs/>
                <w:color w:val="000000"/>
              </w:rPr>
              <w:t>10.3</w:t>
            </w:r>
          </w:p>
        </w:tc>
        <w:tc>
          <w:tcPr>
            <w:tcW w:w="2250" w:type="dxa"/>
            <w:tcBorders>
              <w:top w:val="single" w:sz="8" w:space="0" w:color="000000"/>
              <w:left w:val="single" w:sz="8" w:space="0" w:color="000000"/>
              <w:bottom w:val="single" w:sz="8" w:space="0" w:color="000000"/>
              <w:right w:val="nil"/>
            </w:tcBorders>
            <w:shd w:val="clear" w:color="auto" w:fill="auto"/>
            <w:vAlign w:val="center"/>
            <w:hideMark/>
          </w:tcPr>
          <w:p w14:paraId="0C9C6DBE" w14:textId="0DE42B8F" w:rsidR="007470EF" w:rsidRPr="00D07928" w:rsidRDefault="007470EF" w:rsidP="007470EF">
            <w:pPr>
              <w:autoSpaceDE/>
              <w:autoSpaceDN/>
              <w:adjustRightInd/>
              <w:jc w:val="center"/>
              <w:rPr>
                <w:b/>
                <w:bCs/>
                <w:color w:val="000000"/>
              </w:rPr>
            </w:pPr>
            <w:r w:rsidRPr="00D07928">
              <w:rPr>
                <w:b/>
                <w:bCs/>
                <w:color w:val="000000"/>
              </w:rPr>
              <w:t>6.5</w:t>
            </w:r>
          </w:p>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2ADA7A" w14:textId="0567C094" w:rsidR="007470EF" w:rsidRPr="00D07928" w:rsidRDefault="007470EF" w:rsidP="007470EF">
            <w:pPr>
              <w:autoSpaceDE/>
              <w:autoSpaceDN/>
              <w:adjustRightInd/>
              <w:jc w:val="center"/>
              <w:rPr>
                <w:b/>
                <w:bCs/>
                <w:color w:val="000000"/>
              </w:rPr>
            </w:pPr>
            <w:r w:rsidRPr="00D07928">
              <w:rPr>
                <w:b/>
                <w:bCs/>
                <w:color w:val="000000"/>
              </w:rPr>
              <w:t>16.8</w:t>
            </w:r>
          </w:p>
        </w:tc>
      </w:tr>
      <w:tr w:rsidR="007470EF" w:rsidRPr="007470EF" w14:paraId="52AA7CFE" w14:textId="77777777" w:rsidTr="00AD30AB">
        <w:trPr>
          <w:trHeight w:val="315"/>
        </w:trPr>
        <w:tc>
          <w:tcPr>
            <w:tcW w:w="2800" w:type="dxa"/>
            <w:tcBorders>
              <w:top w:val="nil"/>
              <w:left w:val="nil"/>
              <w:bottom w:val="nil"/>
              <w:right w:val="nil"/>
            </w:tcBorders>
            <w:shd w:val="clear" w:color="auto" w:fill="auto"/>
            <w:noWrap/>
            <w:vAlign w:val="center"/>
            <w:hideMark/>
          </w:tcPr>
          <w:p w14:paraId="2ABCEFC3" w14:textId="77777777" w:rsidR="007470EF" w:rsidRPr="007470EF" w:rsidRDefault="007470EF" w:rsidP="007470EF">
            <w:pPr>
              <w:autoSpaceDE/>
              <w:autoSpaceDN/>
              <w:adjustRightInd/>
              <w:rPr>
                <w:color w:val="000000"/>
                <w:sz w:val="22"/>
                <w:szCs w:val="22"/>
              </w:rPr>
            </w:pPr>
          </w:p>
        </w:tc>
        <w:tc>
          <w:tcPr>
            <w:tcW w:w="2250" w:type="dxa"/>
            <w:tcBorders>
              <w:top w:val="nil"/>
              <w:left w:val="nil"/>
              <w:bottom w:val="nil"/>
              <w:right w:val="nil"/>
            </w:tcBorders>
            <w:shd w:val="clear" w:color="auto" w:fill="auto"/>
            <w:noWrap/>
            <w:vAlign w:val="bottom"/>
            <w:hideMark/>
          </w:tcPr>
          <w:p w14:paraId="2D46CFE0" w14:textId="77777777" w:rsidR="007470EF" w:rsidRPr="007470EF" w:rsidRDefault="007470EF" w:rsidP="007470EF">
            <w:pPr>
              <w:autoSpaceDE/>
              <w:autoSpaceDN/>
              <w:adjustRightInd/>
              <w:rPr>
                <w:rFonts w:ascii="Calibri" w:hAnsi="Calibri"/>
                <w:color w:val="000000"/>
                <w:sz w:val="22"/>
                <w:szCs w:val="22"/>
              </w:rPr>
            </w:pPr>
          </w:p>
        </w:tc>
        <w:tc>
          <w:tcPr>
            <w:tcW w:w="2250" w:type="dxa"/>
            <w:tcBorders>
              <w:top w:val="nil"/>
              <w:left w:val="nil"/>
              <w:bottom w:val="nil"/>
              <w:right w:val="nil"/>
            </w:tcBorders>
            <w:shd w:val="clear" w:color="auto" w:fill="auto"/>
            <w:noWrap/>
            <w:vAlign w:val="bottom"/>
            <w:hideMark/>
          </w:tcPr>
          <w:p w14:paraId="10A19B85" w14:textId="77777777" w:rsidR="007470EF" w:rsidRPr="007470EF" w:rsidRDefault="007470EF" w:rsidP="007470EF">
            <w:pPr>
              <w:autoSpaceDE/>
              <w:autoSpaceDN/>
              <w:adjustRightInd/>
              <w:rPr>
                <w:rFonts w:ascii="Calibri" w:hAnsi="Calibri"/>
                <w:color w:val="000000"/>
                <w:sz w:val="22"/>
                <w:szCs w:val="22"/>
              </w:rPr>
            </w:pPr>
          </w:p>
        </w:tc>
        <w:tc>
          <w:tcPr>
            <w:tcW w:w="2070" w:type="dxa"/>
            <w:tcBorders>
              <w:top w:val="nil"/>
              <w:left w:val="nil"/>
              <w:bottom w:val="nil"/>
              <w:right w:val="nil"/>
            </w:tcBorders>
            <w:shd w:val="clear" w:color="auto" w:fill="auto"/>
            <w:noWrap/>
            <w:vAlign w:val="bottom"/>
            <w:hideMark/>
          </w:tcPr>
          <w:p w14:paraId="22D7FA4F" w14:textId="77777777" w:rsidR="007470EF" w:rsidRPr="007470EF" w:rsidRDefault="007470EF" w:rsidP="007470EF">
            <w:pPr>
              <w:autoSpaceDE/>
              <w:autoSpaceDN/>
              <w:adjustRightInd/>
              <w:rPr>
                <w:rFonts w:ascii="Calibri" w:hAnsi="Calibri"/>
                <w:color w:val="000000"/>
                <w:sz w:val="22"/>
                <w:szCs w:val="22"/>
              </w:rPr>
            </w:pPr>
          </w:p>
        </w:tc>
      </w:tr>
    </w:tbl>
    <w:p w14:paraId="0DFDC5ED" w14:textId="44631EB8" w:rsidR="000B4D89" w:rsidRDefault="000B4D89"/>
    <w:p w14:paraId="299E4BA4" w14:textId="5B273DF6" w:rsidR="009A6806" w:rsidRDefault="009A6806"/>
    <w:p w14:paraId="0B80DB90" w14:textId="1C9719B0" w:rsidR="009A6806" w:rsidRDefault="009A6806"/>
    <w:p w14:paraId="6BC12839" w14:textId="1575F331" w:rsidR="009A6806" w:rsidRDefault="009A6806"/>
    <w:p w14:paraId="68FF4C6E" w14:textId="0D567715" w:rsidR="009A6806" w:rsidRDefault="009A6806"/>
    <w:p w14:paraId="49230B1D" w14:textId="66EC9C79" w:rsidR="009A6806" w:rsidRDefault="009A6806"/>
    <w:p w14:paraId="1E3BB67C" w14:textId="77777777" w:rsidR="009A6806" w:rsidRDefault="009A6806"/>
    <w:tbl>
      <w:tblPr>
        <w:tblW w:w="9370" w:type="dxa"/>
        <w:tblInd w:w="98" w:type="dxa"/>
        <w:tblLook w:val="04A0" w:firstRow="1" w:lastRow="0" w:firstColumn="1" w:lastColumn="0" w:noHBand="0" w:noVBand="1"/>
      </w:tblPr>
      <w:tblGrid>
        <w:gridCol w:w="2800"/>
        <w:gridCol w:w="2250"/>
        <w:gridCol w:w="2250"/>
        <w:gridCol w:w="2070"/>
      </w:tblGrid>
      <w:tr w:rsidR="007470EF" w:rsidRPr="007470EF" w14:paraId="434EBDEA" w14:textId="77777777" w:rsidTr="00AD30AB">
        <w:trPr>
          <w:trHeight w:val="630"/>
        </w:trPr>
        <w:tc>
          <w:tcPr>
            <w:tcW w:w="93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2E8ED" w14:textId="0A76E361" w:rsidR="007470EF" w:rsidRPr="00D07928" w:rsidRDefault="007470EF" w:rsidP="007470EF">
            <w:pPr>
              <w:autoSpaceDE/>
              <w:autoSpaceDN/>
              <w:adjustRightInd/>
              <w:rPr>
                <w:b/>
                <w:bCs/>
                <w:color w:val="000000"/>
              </w:rPr>
            </w:pPr>
            <w:r w:rsidRPr="00D07928">
              <w:rPr>
                <w:b/>
                <w:bCs/>
                <w:color w:val="000000"/>
              </w:rPr>
              <w:t>TABLE 2: ANNUAL AGGREGATE BURDEN</w:t>
            </w:r>
          </w:p>
        </w:tc>
      </w:tr>
      <w:tr w:rsidR="007470EF" w:rsidRPr="007470EF" w14:paraId="3C8E3A2C" w14:textId="77777777" w:rsidTr="00AD30AB">
        <w:trPr>
          <w:trHeight w:val="315"/>
        </w:trPr>
        <w:tc>
          <w:tcPr>
            <w:tcW w:w="28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D8907A" w14:textId="77777777" w:rsidR="007470EF" w:rsidRPr="00D07928" w:rsidRDefault="007470EF" w:rsidP="007470EF">
            <w:pPr>
              <w:autoSpaceDE/>
              <w:autoSpaceDN/>
              <w:adjustRightInd/>
              <w:rPr>
                <w:color w:val="000000"/>
              </w:rPr>
            </w:pPr>
            <w:r w:rsidRPr="00D07928">
              <w:rPr>
                <w:color w:val="000000"/>
              </w:rPr>
              <w:t>ACTIVITY</w:t>
            </w:r>
          </w:p>
        </w:tc>
        <w:tc>
          <w:tcPr>
            <w:tcW w:w="6570" w:type="dxa"/>
            <w:gridSpan w:val="3"/>
            <w:tcBorders>
              <w:top w:val="single" w:sz="8" w:space="0" w:color="000000"/>
              <w:left w:val="nil"/>
              <w:bottom w:val="single" w:sz="8" w:space="0" w:color="000000"/>
              <w:right w:val="single" w:sz="8" w:space="0" w:color="000000"/>
            </w:tcBorders>
            <w:shd w:val="clear" w:color="auto" w:fill="auto"/>
            <w:vAlign w:val="center"/>
            <w:hideMark/>
          </w:tcPr>
          <w:p w14:paraId="152B6354" w14:textId="77777777" w:rsidR="007470EF" w:rsidRPr="00D07928" w:rsidRDefault="007470EF" w:rsidP="007470EF">
            <w:pPr>
              <w:autoSpaceDE/>
              <w:autoSpaceDN/>
              <w:adjustRightInd/>
              <w:jc w:val="center"/>
              <w:rPr>
                <w:color w:val="000000"/>
              </w:rPr>
            </w:pPr>
            <w:r w:rsidRPr="00D07928">
              <w:rPr>
                <w:color w:val="000000"/>
              </w:rPr>
              <w:t>BURDEN HOURS</w:t>
            </w:r>
          </w:p>
        </w:tc>
      </w:tr>
      <w:tr w:rsidR="007470EF" w:rsidRPr="007470EF" w14:paraId="5312DFAB" w14:textId="77777777" w:rsidTr="00AD30AB">
        <w:trPr>
          <w:trHeight w:val="270"/>
        </w:trPr>
        <w:tc>
          <w:tcPr>
            <w:tcW w:w="2800" w:type="dxa"/>
            <w:vMerge/>
            <w:tcBorders>
              <w:top w:val="nil"/>
              <w:left w:val="single" w:sz="8" w:space="0" w:color="000000"/>
              <w:bottom w:val="single" w:sz="8" w:space="0" w:color="000000"/>
              <w:right w:val="single" w:sz="8" w:space="0" w:color="000000"/>
            </w:tcBorders>
            <w:vAlign w:val="center"/>
            <w:hideMark/>
          </w:tcPr>
          <w:p w14:paraId="375A8DB7" w14:textId="77777777" w:rsidR="007470EF" w:rsidRPr="00D07928" w:rsidRDefault="007470EF" w:rsidP="007470EF">
            <w:pPr>
              <w:autoSpaceDE/>
              <w:autoSpaceDN/>
              <w:adjustRightInd/>
              <w:rPr>
                <w:color w:val="000000"/>
              </w:rPr>
            </w:pPr>
          </w:p>
        </w:tc>
        <w:tc>
          <w:tcPr>
            <w:tcW w:w="2250" w:type="dxa"/>
            <w:tcBorders>
              <w:top w:val="nil"/>
              <w:left w:val="nil"/>
              <w:bottom w:val="nil"/>
              <w:right w:val="nil"/>
            </w:tcBorders>
            <w:shd w:val="clear" w:color="auto" w:fill="auto"/>
            <w:vAlign w:val="center"/>
            <w:hideMark/>
          </w:tcPr>
          <w:p w14:paraId="27FB7641" w14:textId="77777777" w:rsidR="007470EF" w:rsidRPr="00D07928" w:rsidRDefault="007470EF" w:rsidP="007470EF">
            <w:pPr>
              <w:autoSpaceDE/>
              <w:autoSpaceDN/>
              <w:adjustRightInd/>
              <w:jc w:val="center"/>
              <w:rPr>
                <w:color w:val="000000"/>
              </w:rPr>
            </w:pPr>
            <w:r w:rsidRPr="00D07928">
              <w:rPr>
                <w:color w:val="000000"/>
              </w:rPr>
              <w:t>TECHNICAL</w:t>
            </w:r>
          </w:p>
        </w:tc>
        <w:tc>
          <w:tcPr>
            <w:tcW w:w="2250" w:type="dxa"/>
            <w:tcBorders>
              <w:top w:val="nil"/>
              <w:left w:val="single" w:sz="8" w:space="0" w:color="000000"/>
              <w:bottom w:val="nil"/>
              <w:right w:val="nil"/>
            </w:tcBorders>
            <w:shd w:val="clear" w:color="auto" w:fill="auto"/>
            <w:vAlign w:val="center"/>
            <w:hideMark/>
          </w:tcPr>
          <w:p w14:paraId="74F46E1B" w14:textId="77777777" w:rsidR="007470EF" w:rsidRPr="00D07928" w:rsidRDefault="007470EF" w:rsidP="007470EF">
            <w:pPr>
              <w:autoSpaceDE/>
              <w:autoSpaceDN/>
              <w:adjustRightInd/>
              <w:jc w:val="center"/>
              <w:rPr>
                <w:color w:val="000000"/>
              </w:rPr>
            </w:pPr>
            <w:r w:rsidRPr="00D07928">
              <w:rPr>
                <w:color w:val="000000"/>
              </w:rPr>
              <w:t>CLERICAL</w:t>
            </w:r>
          </w:p>
        </w:tc>
        <w:tc>
          <w:tcPr>
            <w:tcW w:w="2070" w:type="dxa"/>
            <w:tcBorders>
              <w:top w:val="nil"/>
              <w:left w:val="single" w:sz="8" w:space="0" w:color="000000"/>
              <w:bottom w:val="nil"/>
              <w:right w:val="single" w:sz="8" w:space="0" w:color="000000"/>
            </w:tcBorders>
            <w:shd w:val="clear" w:color="auto" w:fill="auto"/>
            <w:vAlign w:val="center"/>
            <w:hideMark/>
          </w:tcPr>
          <w:p w14:paraId="6031017C" w14:textId="77777777" w:rsidR="007470EF" w:rsidRPr="00D07928" w:rsidRDefault="007470EF" w:rsidP="007470EF">
            <w:pPr>
              <w:autoSpaceDE/>
              <w:autoSpaceDN/>
              <w:adjustRightInd/>
              <w:jc w:val="center"/>
              <w:rPr>
                <w:color w:val="000000"/>
              </w:rPr>
            </w:pPr>
            <w:r w:rsidRPr="00D07928">
              <w:rPr>
                <w:color w:val="000000"/>
              </w:rPr>
              <w:t>TOTAL</w:t>
            </w:r>
          </w:p>
        </w:tc>
      </w:tr>
      <w:tr w:rsidR="007470EF" w:rsidRPr="007470EF" w14:paraId="743C6974" w14:textId="77777777" w:rsidTr="00AD30AB">
        <w:trPr>
          <w:trHeight w:val="480"/>
        </w:trPr>
        <w:tc>
          <w:tcPr>
            <w:tcW w:w="2800" w:type="dxa"/>
            <w:tcBorders>
              <w:top w:val="nil"/>
              <w:left w:val="single" w:sz="8" w:space="0" w:color="000000"/>
              <w:bottom w:val="nil"/>
              <w:right w:val="nil"/>
            </w:tcBorders>
            <w:shd w:val="clear" w:color="auto" w:fill="auto"/>
            <w:vAlign w:val="center"/>
            <w:hideMark/>
          </w:tcPr>
          <w:p w14:paraId="161B72FF" w14:textId="77777777" w:rsidR="007470EF" w:rsidRPr="00D07928" w:rsidRDefault="007470EF" w:rsidP="007470EF">
            <w:pPr>
              <w:autoSpaceDE/>
              <w:autoSpaceDN/>
              <w:adjustRightInd/>
              <w:rPr>
                <w:color w:val="000000"/>
              </w:rPr>
            </w:pPr>
            <w:r w:rsidRPr="00D07928">
              <w:rPr>
                <w:color w:val="000000"/>
              </w:rPr>
              <w:t>Compile list</w:t>
            </w:r>
          </w:p>
        </w:tc>
        <w:tc>
          <w:tcPr>
            <w:tcW w:w="2250" w:type="dxa"/>
            <w:tcBorders>
              <w:top w:val="single" w:sz="8" w:space="0" w:color="000000"/>
              <w:left w:val="single" w:sz="8" w:space="0" w:color="000000"/>
              <w:bottom w:val="nil"/>
              <w:right w:val="nil"/>
            </w:tcBorders>
            <w:shd w:val="clear" w:color="auto" w:fill="auto"/>
            <w:vAlign w:val="center"/>
            <w:hideMark/>
          </w:tcPr>
          <w:p w14:paraId="36176C3E" w14:textId="77777777" w:rsidR="007470EF" w:rsidRPr="00D07928" w:rsidRDefault="007470EF" w:rsidP="007470EF">
            <w:pPr>
              <w:autoSpaceDE/>
              <w:autoSpaceDN/>
              <w:adjustRightInd/>
              <w:jc w:val="center"/>
              <w:rPr>
                <w:color w:val="000000"/>
              </w:rPr>
            </w:pPr>
            <w:r w:rsidRPr="00D07928">
              <w:rPr>
                <w:color w:val="000000"/>
              </w:rPr>
              <w:t>2,232</w:t>
            </w:r>
          </w:p>
        </w:tc>
        <w:tc>
          <w:tcPr>
            <w:tcW w:w="2250" w:type="dxa"/>
            <w:tcBorders>
              <w:top w:val="single" w:sz="8" w:space="0" w:color="000000"/>
              <w:left w:val="single" w:sz="8" w:space="0" w:color="000000"/>
              <w:bottom w:val="nil"/>
              <w:right w:val="nil"/>
            </w:tcBorders>
            <w:shd w:val="clear" w:color="auto" w:fill="auto"/>
            <w:vAlign w:val="center"/>
            <w:hideMark/>
          </w:tcPr>
          <w:p w14:paraId="3BA04491" w14:textId="77777777" w:rsidR="007470EF" w:rsidRPr="00D07928" w:rsidRDefault="007470EF" w:rsidP="007470EF">
            <w:pPr>
              <w:autoSpaceDE/>
              <w:autoSpaceDN/>
              <w:adjustRightInd/>
              <w:jc w:val="center"/>
              <w:rPr>
                <w:color w:val="000000"/>
              </w:rPr>
            </w:pPr>
            <w:r w:rsidRPr="00D07928">
              <w:rPr>
                <w:color w:val="000000"/>
              </w:rPr>
              <w:t>0</w:t>
            </w:r>
          </w:p>
        </w:tc>
        <w:tc>
          <w:tcPr>
            <w:tcW w:w="2070" w:type="dxa"/>
            <w:tcBorders>
              <w:top w:val="single" w:sz="8" w:space="0" w:color="000000"/>
              <w:left w:val="single" w:sz="8" w:space="0" w:color="000000"/>
              <w:bottom w:val="nil"/>
              <w:right w:val="single" w:sz="8" w:space="0" w:color="000000"/>
            </w:tcBorders>
            <w:shd w:val="clear" w:color="auto" w:fill="auto"/>
            <w:vAlign w:val="center"/>
            <w:hideMark/>
          </w:tcPr>
          <w:p w14:paraId="0E733171" w14:textId="77777777" w:rsidR="007470EF" w:rsidRPr="00D07928" w:rsidRDefault="007470EF" w:rsidP="007470EF">
            <w:pPr>
              <w:autoSpaceDE/>
              <w:autoSpaceDN/>
              <w:adjustRightInd/>
              <w:jc w:val="center"/>
              <w:rPr>
                <w:color w:val="000000"/>
              </w:rPr>
            </w:pPr>
            <w:r w:rsidRPr="00D07928">
              <w:rPr>
                <w:color w:val="000000"/>
              </w:rPr>
              <w:t>2,232</w:t>
            </w:r>
          </w:p>
        </w:tc>
      </w:tr>
      <w:tr w:rsidR="007470EF" w:rsidRPr="007470EF" w14:paraId="0AE97DC5" w14:textId="77777777" w:rsidTr="00AD30AB">
        <w:trPr>
          <w:trHeight w:val="435"/>
        </w:trPr>
        <w:tc>
          <w:tcPr>
            <w:tcW w:w="2800" w:type="dxa"/>
            <w:tcBorders>
              <w:top w:val="single" w:sz="8" w:space="0" w:color="000000"/>
              <w:left w:val="single" w:sz="8" w:space="0" w:color="000000"/>
              <w:bottom w:val="nil"/>
              <w:right w:val="nil"/>
            </w:tcBorders>
            <w:shd w:val="clear" w:color="auto" w:fill="auto"/>
            <w:vAlign w:val="center"/>
            <w:hideMark/>
          </w:tcPr>
          <w:p w14:paraId="4CA68A31" w14:textId="77777777" w:rsidR="007470EF" w:rsidRPr="00D07928" w:rsidRDefault="007470EF" w:rsidP="007470EF">
            <w:pPr>
              <w:autoSpaceDE/>
              <w:autoSpaceDN/>
              <w:adjustRightInd/>
              <w:rPr>
                <w:color w:val="000000"/>
              </w:rPr>
            </w:pPr>
            <w:r w:rsidRPr="00D07928">
              <w:rPr>
                <w:color w:val="000000"/>
              </w:rPr>
              <w:t>Write letter</w:t>
            </w:r>
          </w:p>
        </w:tc>
        <w:tc>
          <w:tcPr>
            <w:tcW w:w="2250" w:type="dxa"/>
            <w:tcBorders>
              <w:top w:val="single" w:sz="8" w:space="0" w:color="000000"/>
              <w:left w:val="single" w:sz="8" w:space="0" w:color="000000"/>
              <w:bottom w:val="nil"/>
              <w:right w:val="nil"/>
            </w:tcBorders>
            <w:shd w:val="clear" w:color="auto" w:fill="auto"/>
            <w:vAlign w:val="center"/>
            <w:hideMark/>
          </w:tcPr>
          <w:p w14:paraId="2C1047CD" w14:textId="77777777" w:rsidR="007470EF" w:rsidRPr="00D07928" w:rsidRDefault="007470EF" w:rsidP="007470EF">
            <w:pPr>
              <w:autoSpaceDE/>
              <w:autoSpaceDN/>
              <w:adjustRightInd/>
              <w:jc w:val="center"/>
              <w:rPr>
                <w:color w:val="000000"/>
              </w:rPr>
            </w:pPr>
            <w:r w:rsidRPr="00D07928">
              <w:rPr>
                <w:color w:val="000000"/>
              </w:rPr>
              <w:t>240</w:t>
            </w:r>
          </w:p>
        </w:tc>
        <w:tc>
          <w:tcPr>
            <w:tcW w:w="2250" w:type="dxa"/>
            <w:tcBorders>
              <w:top w:val="single" w:sz="8" w:space="0" w:color="000000"/>
              <w:left w:val="single" w:sz="8" w:space="0" w:color="000000"/>
              <w:bottom w:val="nil"/>
              <w:right w:val="nil"/>
            </w:tcBorders>
            <w:shd w:val="clear" w:color="auto" w:fill="auto"/>
            <w:vAlign w:val="center"/>
            <w:hideMark/>
          </w:tcPr>
          <w:p w14:paraId="079F60B0" w14:textId="77777777" w:rsidR="007470EF" w:rsidRPr="00D07928" w:rsidRDefault="007470EF" w:rsidP="007470EF">
            <w:pPr>
              <w:autoSpaceDE/>
              <w:autoSpaceDN/>
              <w:adjustRightInd/>
              <w:jc w:val="center"/>
              <w:rPr>
                <w:color w:val="000000"/>
              </w:rPr>
            </w:pPr>
            <w:r w:rsidRPr="00D07928">
              <w:rPr>
                <w:color w:val="000000"/>
              </w:rPr>
              <w:t>0</w:t>
            </w:r>
          </w:p>
        </w:tc>
        <w:tc>
          <w:tcPr>
            <w:tcW w:w="2070" w:type="dxa"/>
            <w:tcBorders>
              <w:top w:val="single" w:sz="8" w:space="0" w:color="000000"/>
              <w:left w:val="single" w:sz="8" w:space="0" w:color="000000"/>
              <w:bottom w:val="nil"/>
              <w:right w:val="single" w:sz="8" w:space="0" w:color="000000"/>
            </w:tcBorders>
            <w:shd w:val="clear" w:color="auto" w:fill="auto"/>
            <w:vAlign w:val="center"/>
            <w:hideMark/>
          </w:tcPr>
          <w:p w14:paraId="084CF1EB" w14:textId="77777777" w:rsidR="007470EF" w:rsidRPr="00D07928" w:rsidRDefault="007470EF" w:rsidP="007470EF">
            <w:pPr>
              <w:autoSpaceDE/>
              <w:autoSpaceDN/>
              <w:adjustRightInd/>
              <w:jc w:val="center"/>
              <w:rPr>
                <w:color w:val="000000"/>
              </w:rPr>
            </w:pPr>
            <w:r w:rsidRPr="00D07928">
              <w:rPr>
                <w:color w:val="000000"/>
              </w:rPr>
              <w:t>240</w:t>
            </w:r>
          </w:p>
        </w:tc>
      </w:tr>
      <w:tr w:rsidR="007470EF" w:rsidRPr="007470EF" w14:paraId="5192CA74" w14:textId="77777777" w:rsidTr="00EE221F">
        <w:trPr>
          <w:trHeight w:val="412"/>
        </w:trPr>
        <w:tc>
          <w:tcPr>
            <w:tcW w:w="2800" w:type="dxa"/>
            <w:tcBorders>
              <w:top w:val="single" w:sz="8" w:space="0" w:color="000000"/>
              <w:left w:val="single" w:sz="8" w:space="0" w:color="000000"/>
              <w:bottom w:val="nil"/>
              <w:right w:val="nil"/>
            </w:tcBorders>
            <w:shd w:val="clear" w:color="auto" w:fill="auto"/>
            <w:vAlign w:val="center"/>
            <w:hideMark/>
          </w:tcPr>
          <w:p w14:paraId="3A8AA74A" w14:textId="77777777" w:rsidR="007470EF" w:rsidRPr="00D07928" w:rsidRDefault="007470EF" w:rsidP="007470EF">
            <w:pPr>
              <w:autoSpaceDE/>
              <w:autoSpaceDN/>
              <w:adjustRightInd/>
              <w:rPr>
                <w:color w:val="000000"/>
              </w:rPr>
            </w:pPr>
            <w:r w:rsidRPr="00D07928">
              <w:rPr>
                <w:color w:val="000000"/>
              </w:rPr>
              <w:t>Check order and send notice</w:t>
            </w:r>
          </w:p>
        </w:tc>
        <w:tc>
          <w:tcPr>
            <w:tcW w:w="2250" w:type="dxa"/>
            <w:tcBorders>
              <w:top w:val="single" w:sz="8" w:space="0" w:color="000000"/>
              <w:left w:val="single" w:sz="8" w:space="0" w:color="000000"/>
              <w:bottom w:val="nil"/>
              <w:right w:val="nil"/>
            </w:tcBorders>
            <w:shd w:val="clear" w:color="auto" w:fill="auto"/>
            <w:vAlign w:val="center"/>
            <w:hideMark/>
          </w:tcPr>
          <w:p w14:paraId="7440889D" w14:textId="77777777" w:rsidR="007470EF" w:rsidRPr="00D07928" w:rsidRDefault="007470EF" w:rsidP="007470EF">
            <w:pPr>
              <w:autoSpaceDE/>
              <w:autoSpaceDN/>
              <w:adjustRightInd/>
              <w:jc w:val="center"/>
              <w:rPr>
                <w:color w:val="000000"/>
              </w:rPr>
            </w:pPr>
            <w:r w:rsidRPr="00D07928">
              <w:rPr>
                <w:color w:val="000000"/>
              </w:rPr>
              <w:t>0</w:t>
            </w:r>
          </w:p>
        </w:tc>
        <w:tc>
          <w:tcPr>
            <w:tcW w:w="2250" w:type="dxa"/>
            <w:tcBorders>
              <w:top w:val="single" w:sz="8" w:space="0" w:color="000000"/>
              <w:left w:val="single" w:sz="8" w:space="0" w:color="000000"/>
              <w:bottom w:val="nil"/>
              <w:right w:val="nil"/>
            </w:tcBorders>
            <w:shd w:val="clear" w:color="auto" w:fill="auto"/>
            <w:vAlign w:val="center"/>
            <w:hideMark/>
          </w:tcPr>
          <w:p w14:paraId="6AC5DADB" w14:textId="77777777" w:rsidR="007470EF" w:rsidRPr="00D07928" w:rsidRDefault="007470EF" w:rsidP="007470EF">
            <w:pPr>
              <w:autoSpaceDE/>
              <w:autoSpaceDN/>
              <w:adjustRightInd/>
              <w:jc w:val="center"/>
              <w:rPr>
                <w:color w:val="000000"/>
              </w:rPr>
            </w:pPr>
            <w:r w:rsidRPr="00D07928">
              <w:rPr>
                <w:color w:val="000000"/>
              </w:rPr>
              <w:t>1,560</w:t>
            </w:r>
          </w:p>
        </w:tc>
        <w:tc>
          <w:tcPr>
            <w:tcW w:w="20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69EC15" w14:textId="77777777" w:rsidR="007470EF" w:rsidRPr="00D07928" w:rsidRDefault="007470EF" w:rsidP="007470EF">
            <w:pPr>
              <w:autoSpaceDE/>
              <w:autoSpaceDN/>
              <w:adjustRightInd/>
              <w:jc w:val="center"/>
              <w:rPr>
                <w:color w:val="000000"/>
              </w:rPr>
            </w:pPr>
            <w:r w:rsidRPr="00D07928">
              <w:rPr>
                <w:color w:val="000000"/>
              </w:rPr>
              <w:t>1,560</w:t>
            </w:r>
          </w:p>
        </w:tc>
      </w:tr>
      <w:tr w:rsidR="007470EF" w:rsidRPr="007470EF" w14:paraId="1753E864" w14:textId="77777777" w:rsidTr="00AD30AB">
        <w:trPr>
          <w:trHeight w:val="330"/>
        </w:trPr>
        <w:tc>
          <w:tcPr>
            <w:tcW w:w="28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6DA267" w14:textId="77777777" w:rsidR="007470EF" w:rsidRPr="00D07928" w:rsidRDefault="007470EF" w:rsidP="007470EF">
            <w:pPr>
              <w:autoSpaceDE/>
              <w:autoSpaceDN/>
              <w:adjustRightInd/>
              <w:rPr>
                <w:b/>
                <w:color w:val="000000"/>
              </w:rPr>
            </w:pPr>
            <w:r w:rsidRPr="00D07928">
              <w:rPr>
                <w:b/>
                <w:color w:val="000000"/>
              </w:rPr>
              <w:t>Total</w:t>
            </w:r>
          </w:p>
        </w:tc>
        <w:tc>
          <w:tcPr>
            <w:tcW w:w="2250" w:type="dxa"/>
            <w:tcBorders>
              <w:top w:val="single" w:sz="8" w:space="0" w:color="000000"/>
              <w:left w:val="nil"/>
              <w:bottom w:val="single" w:sz="8" w:space="0" w:color="000000"/>
              <w:right w:val="nil"/>
            </w:tcBorders>
            <w:shd w:val="clear" w:color="auto" w:fill="auto"/>
            <w:vAlign w:val="center"/>
            <w:hideMark/>
          </w:tcPr>
          <w:p w14:paraId="13FC103A" w14:textId="77777777" w:rsidR="007470EF" w:rsidRPr="00D07928" w:rsidRDefault="007470EF" w:rsidP="007470EF">
            <w:pPr>
              <w:autoSpaceDE/>
              <w:autoSpaceDN/>
              <w:adjustRightInd/>
              <w:jc w:val="center"/>
              <w:rPr>
                <w:b/>
                <w:bCs/>
                <w:color w:val="000000"/>
              </w:rPr>
            </w:pPr>
            <w:r w:rsidRPr="00D07928">
              <w:rPr>
                <w:b/>
                <w:bCs/>
                <w:color w:val="000000"/>
              </w:rPr>
              <w:t>2,472</w:t>
            </w:r>
          </w:p>
        </w:tc>
        <w:tc>
          <w:tcPr>
            <w:tcW w:w="2250" w:type="dxa"/>
            <w:tcBorders>
              <w:top w:val="single" w:sz="8" w:space="0" w:color="000000"/>
              <w:left w:val="single" w:sz="8" w:space="0" w:color="000000"/>
              <w:bottom w:val="single" w:sz="8" w:space="0" w:color="000000"/>
              <w:right w:val="nil"/>
            </w:tcBorders>
            <w:shd w:val="clear" w:color="auto" w:fill="auto"/>
            <w:vAlign w:val="center"/>
            <w:hideMark/>
          </w:tcPr>
          <w:p w14:paraId="48074D7F" w14:textId="77777777" w:rsidR="007470EF" w:rsidRPr="00D07928" w:rsidRDefault="007470EF" w:rsidP="007470EF">
            <w:pPr>
              <w:autoSpaceDE/>
              <w:autoSpaceDN/>
              <w:adjustRightInd/>
              <w:jc w:val="center"/>
              <w:rPr>
                <w:b/>
                <w:bCs/>
                <w:color w:val="000000"/>
              </w:rPr>
            </w:pPr>
            <w:r w:rsidRPr="00D07928">
              <w:rPr>
                <w:b/>
                <w:bCs/>
                <w:color w:val="000000"/>
              </w:rPr>
              <w:t>1,560</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5B34E577" w14:textId="77777777" w:rsidR="007470EF" w:rsidRPr="00D07928" w:rsidRDefault="007470EF" w:rsidP="007470EF">
            <w:pPr>
              <w:autoSpaceDE/>
              <w:autoSpaceDN/>
              <w:adjustRightInd/>
              <w:jc w:val="center"/>
              <w:rPr>
                <w:b/>
                <w:bCs/>
                <w:color w:val="000000"/>
              </w:rPr>
            </w:pPr>
            <w:r w:rsidRPr="00D07928">
              <w:rPr>
                <w:b/>
                <w:bCs/>
                <w:color w:val="000000"/>
              </w:rPr>
              <w:t>4,032</w:t>
            </w:r>
          </w:p>
        </w:tc>
      </w:tr>
    </w:tbl>
    <w:p w14:paraId="5B646707" w14:textId="77777777" w:rsidR="00164BC5" w:rsidRPr="00A77684" w:rsidRDefault="00164BC5" w:rsidP="00164BC5">
      <w:pPr>
        <w:numPr>
          <w:ilvl w:val="12"/>
          <w:numId w:val="0"/>
        </w:numPr>
        <w:rPr>
          <w:sz w:val="24"/>
          <w:szCs w:val="24"/>
        </w:rPr>
      </w:pPr>
    </w:p>
    <w:p w14:paraId="28EC8959" w14:textId="25CDD773" w:rsidR="00164BC5" w:rsidRPr="00D07928" w:rsidRDefault="00164BC5" w:rsidP="000B4D89">
      <w:pPr>
        <w:pStyle w:val="NoSpacing"/>
        <w:rPr>
          <w:rFonts w:ascii="Times New Roman" w:hAnsi="Times New Roman"/>
          <w:b/>
          <w:sz w:val="24"/>
          <w:szCs w:val="24"/>
        </w:rPr>
      </w:pPr>
      <w:r w:rsidRPr="00A77684">
        <w:tab/>
      </w:r>
      <w:r w:rsidRPr="00D07928">
        <w:rPr>
          <w:rFonts w:ascii="Times New Roman" w:hAnsi="Times New Roman"/>
          <w:b/>
          <w:sz w:val="24"/>
          <w:szCs w:val="24"/>
        </w:rPr>
        <w:t>6(b)</w:t>
      </w:r>
      <w:r w:rsidRPr="00D07928">
        <w:rPr>
          <w:rFonts w:ascii="Times New Roman" w:hAnsi="Times New Roman"/>
          <w:b/>
          <w:sz w:val="24"/>
          <w:szCs w:val="24"/>
        </w:rPr>
        <w:tab/>
        <w:t>Estimating the Respondent Cost</w:t>
      </w:r>
    </w:p>
    <w:p w14:paraId="155DF2B4" w14:textId="77777777" w:rsidR="00164BC5" w:rsidRPr="000B4D89" w:rsidRDefault="00164BC5" w:rsidP="000B4D89">
      <w:pPr>
        <w:pStyle w:val="NoSpacing"/>
        <w:rPr>
          <w:rFonts w:ascii="Times New Roman" w:hAnsi="Times New Roman"/>
          <w:sz w:val="24"/>
          <w:szCs w:val="24"/>
        </w:rPr>
      </w:pPr>
    </w:p>
    <w:p w14:paraId="0C118892" w14:textId="15BCD77B" w:rsidR="00232B77"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costs to respondents is based on the time needed to complete the tasks listed in section 3</w:t>
      </w:r>
      <w:r w:rsidR="004B08FA" w:rsidRPr="000B4D89">
        <w:rPr>
          <w:rFonts w:ascii="Times New Roman" w:hAnsi="Times New Roman"/>
          <w:sz w:val="24"/>
          <w:szCs w:val="24"/>
        </w:rPr>
        <w:t xml:space="preserve"> </w:t>
      </w:r>
      <w:r w:rsidR="00682C40" w:rsidRPr="000B4D89">
        <w:rPr>
          <w:rFonts w:ascii="Times New Roman" w:hAnsi="Times New Roman"/>
          <w:sz w:val="24"/>
          <w:szCs w:val="24"/>
        </w:rPr>
        <w:t>(</w:t>
      </w:r>
      <w:r w:rsidR="004B08FA" w:rsidRPr="000B4D89">
        <w:rPr>
          <w:rFonts w:ascii="Times New Roman" w:hAnsi="Times New Roman"/>
          <w:sz w:val="24"/>
          <w:szCs w:val="24"/>
        </w:rPr>
        <w:t>hours estimated in section 6(a))</w:t>
      </w:r>
      <w:r w:rsidRPr="000B4D89">
        <w:rPr>
          <w:rFonts w:ascii="Times New Roman" w:hAnsi="Times New Roman"/>
          <w:sz w:val="24"/>
          <w:szCs w:val="24"/>
        </w:rPr>
        <w:t xml:space="preserve">, the hourly cost of labor at appropriate levels (labor rates), the number of </w:t>
      </w:r>
      <w:r w:rsidR="004B08FA" w:rsidRPr="000B4D89">
        <w:rPr>
          <w:rFonts w:ascii="Times New Roman" w:hAnsi="Times New Roman"/>
          <w:sz w:val="24"/>
          <w:szCs w:val="24"/>
        </w:rPr>
        <w:t xml:space="preserve">firms </w:t>
      </w:r>
      <w:r w:rsidRPr="000B4D89">
        <w:rPr>
          <w:rFonts w:ascii="Times New Roman" w:hAnsi="Times New Roman"/>
          <w:sz w:val="24"/>
          <w:szCs w:val="24"/>
        </w:rPr>
        <w:t>affected, and</w:t>
      </w:r>
      <w:r w:rsidR="004B08FA" w:rsidRPr="000B4D89">
        <w:rPr>
          <w:rFonts w:ascii="Times New Roman" w:hAnsi="Times New Roman"/>
          <w:sz w:val="24"/>
          <w:szCs w:val="24"/>
        </w:rPr>
        <w:t>/or</w:t>
      </w:r>
      <w:r w:rsidRPr="000B4D89">
        <w:rPr>
          <w:rFonts w:ascii="Times New Roman" w:hAnsi="Times New Roman"/>
          <w:sz w:val="24"/>
          <w:szCs w:val="24"/>
        </w:rPr>
        <w:t xml:space="preserve"> the number of </w:t>
      </w:r>
      <w:r w:rsidR="003F7AC5" w:rsidRPr="000B4D89">
        <w:rPr>
          <w:rFonts w:ascii="Times New Roman" w:hAnsi="Times New Roman"/>
          <w:sz w:val="24"/>
          <w:szCs w:val="24"/>
        </w:rPr>
        <w:t>notice</w:t>
      </w:r>
      <w:r w:rsidR="004B08FA" w:rsidRPr="000B4D89">
        <w:rPr>
          <w:rFonts w:ascii="Times New Roman" w:hAnsi="Times New Roman"/>
          <w:sz w:val="24"/>
          <w:szCs w:val="24"/>
        </w:rPr>
        <w:t>s</w:t>
      </w:r>
      <w:r w:rsidRPr="000B4D89">
        <w:rPr>
          <w:rFonts w:ascii="Times New Roman" w:hAnsi="Times New Roman"/>
          <w:sz w:val="24"/>
          <w:szCs w:val="24"/>
        </w:rPr>
        <w:t xml:space="preserve"> generated.  There are also costs for mailing. There are no specific capital or overhead costs associated directly with this information collection activity.</w:t>
      </w:r>
      <w:r w:rsidR="00232B77" w:rsidRPr="000B4D89">
        <w:rPr>
          <w:rFonts w:ascii="Times New Roman" w:hAnsi="Times New Roman"/>
          <w:sz w:val="24"/>
          <w:szCs w:val="24"/>
        </w:rPr>
        <w:t xml:space="preserve">  EPA estimates unit costs and aggregate costs in Tables 4, and 5 respectively with the total annual cost at estimated at $278,118.</w:t>
      </w:r>
    </w:p>
    <w:p w14:paraId="0B5BE208" w14:textId="77777777" w:rsidR="00164BC5" w:rsidRPr="000B4D89" w:rsidRDefault="00164BC5" w:rsidP="000B4D89">
      <w:pPr>
        <w:pStyle w:val="NoSpacing"/>
        <w:rPr>
          <w:rFonts w:ascii="Times New Roman" w:hAnsi="Times New Roman"/>
          <w:sz w:val="24"/>
          <w:szCs w:val="24"/>
        </w:rPr>
      </w:pPr>
    </w:p>
    <w:p w14:paraId="6DB90C40" w14:textId="08A342C8" w:rsidR="004B08FA"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00E71881" w:rsidRPr="000B4D89">
        <w:rPr>
          <w:rFonts w:ascii="Times New Roman" w:hAnsi="Times New Roman"/>
          <w:sz w:val="24"/>
          <w:szCs w:val="24"/>
        </w:rPr>
        <w:t>Respondent c</w:t>
      </w:r>
      <w:r w:rsidR="00AA4ABF" w:rsidRPr="000B4D89">
        <w:rPr>
          <w:rFonts w:ascii="Times New Roman" w:hAnsi="Times New Roman"/>
          <w:sz w:val="24"/>
          <w:szCs w:val="24"/>
        </w:rPr>
        <w:t xml:space="preserve">osts include labor and non-labor cost. </w:t>
      </w:r>
      <w:r w:rsidRPr="000B4D89">
        <w:rPr>
          <w:rFonts w:ascii="Times New Roman" w:hAnsi="Times New Roman"/>
          <w:sz w:val="24"/>
          <w:szCs w:val="24"/>
        </w:rPr>
        <w:t xml:space="preserve">Loaded labor rates, including fringe costs, are </w:t>
      </w:r>
      <w:r w:rsidR="00AA4ABF" w:rsidRPr="000B4D89">
        <w:rPr>
          <w:rFonts w:ascii="Times New Roman" w:hAnsi="Times New Roman"/>
          <w:sz w:val="24"/>
          <w:szCs w:val="24"/>
        </w:rPr>
        <w:t>provided in Table 3</w:t>
      </w:r>
      <w:r w:rsidR="00232B77" w:rsidRPr="000B4D89">
        <w:rPr>
          <w:rFonts w:ascii="Times New Roman" w:hAnsi="Times New Roman"/>
          <w:sz w:val="24"/>
          <w:szCs w:val="24"/>
        </w:rPr>
        <w:t xml:space="preserve">. </w:t>
      </w:r>
      <w:r w:rsidR="00E94A09" w:rsidRPr="000B4D89">
        <w:rPr>
          <w:rFonts w:ascii="Times New Roman" w:hAnsi="Times New Roman"/>
          <w:sz w:val="24"/>
          <w:szCs w:val="24"/>
        </w:rPr>
        <w:t xml:space="preserve">For </w:t>
      </w:r>
      <w:r w:rsidR="00682C40" w:rsidRPr="000B4D89">
        <w:rPr>
          <w:rFonts w:ascii="Times New Roman" w:hAnsi="Times New Roman"/>
          <w:sz w:val="24"/>
          <w:szCs w:val="24"/>
        </w:rPr>
        <w:t>non-labor (</w:t>
      </w:r>
      <w:r w:rsidR="00E94A09" w:rsidRPr="000B4D89">
        <w:rPr>
          <w:rFonts w:ascii="Times New Roman" w:hAnsi="Times New Roman"/>
          <w:sz w:val="24"/>
          <w:szCs w:val="24"/>
        </w:rPr>
        <w:t>mailing</w:t>
      </w:r>
      <w:r w:rsidR="00682C40" w:rsidRPr="000B4D89">
        <w:rPr>
          <w:rFonts w:ascii="Times New Roman" w:hAnsi="Times New Roman"/>
          <w:sz w:val="24"/>
          <w:szCs w:val="24"/>
        </w:rPr>
        <w:t>)</w:t>
      </w:r>
      <w:r w:rsidR="00E94A09" w:rsidRPr="000B4D89">
        <w:rPr>
          <w:rFonts w:ascii="Times New Roman" w:hAnsi="Times New Roman"/>
          <w:sz w:val="24"/>
          <w:szCs w:val="24"/>
        </w:rPr>
        <w:t xml:space="preserve"> cost</w:t>
      </w:r>
      <w:r w:rsidR="00682C40" w:rsidRPr="000B4D89">
        <w:rPr>
          <w:rFonts w:ascii="Times New Roman" w:hAnsi="Times New Roman"/>
          <w:sz w:val="24"/>
          <w:szCs w:val="24"/>
        </w:rPr>
        <w:t xml:space="preserve">s, </w:t>
      </w:r>
      <w:r w:rsidR="004B08FA" w:rsidRPr="000B4D89">
        <w:rPr>
          <w:rFonts w:ascii="Times New Roman" w:hAnsi="Times New Roman"/>
          <w:sz w:val="24"/>
          <w:szCs w:val="24"/>
        </w:rPr>
        <w:t>postal rates</w:t>
      </w:r>
      <w:r w:rsidR="00682C40" w:rsidRPr="000B4D89">
        <w:rPr>
          <w:rFonts w:ascii="Times New Roman" w:hAnsi="Times New Roman"/>
          <w:sz w:val="24"/>
          <w:szCs w:val="24"/>
        </w:rPr>
        <w:t xml:space="preserve"> total $16.29</w:t>
      </w:r>
      <w:r w:rsidR="004B08FA" w:rsidRPr="000B4D89">
        <w:rPr>
          <w:rFonts w:ascii="Times New Roman" w:hAnsi="Times New Roman"/>
          <w:sz w:val="24"/>
          <w:szCs w:val="24"/>
        </w:rPr>
        <w:t xml:space="preserve"> </w:t>
      </w:r>
      <w:r w:rsidR="00682C40" w:rsidRPr="000B4D89">
        <w:rPr>
          <w:rFonts w:ascii="Times New Roman" w:hAnsi="Times New Roman"/>
          <w:sz w:val="24"/>
          <w:szCs w:val="24"/>
        </w:rPr>
        <w:t xml:space="preserve">per </w:t>
      </w:r>
      <w:r w:rsidR="003F7AC5" w:rsidRPr="000B4D89">
        <w:rPr>
          <w:rFonts w:ascii="Times New Roman" w:hAnsi="Times New Roman"/>
          <w:sz w:val="24"/>
          <w:szCs w:val="24"/>
        </w:rPr>
        <w:t>notice</w:t>
      </w:r>
      <w:r w:rsidR="00682C40" w:rsidRPr="000B4D89">
        <w:rPr>
          <w:rFonts w:ascii="Times New Roman" w:hAnsi="Times New Roman"/>
          <w:sz w:val="24"/>
          <w:szCs w:val="24"/>
        </w:rPr>
        <w:t xml:space="preserve"> sent to EPA (U.S. domestic mail rates - USPS 2015)</w:t>
      </w:r>
      <w:r w:rsidR="004B08FA" w:rsidRPr="000B4D89">
        <w:rPr>
          <w:rFonts w:ascii="Times New Roman" w:hAnsi="Times New Roman"/>
          <w:sz w:val="24"/>
          <w:szCs w:val="24"/>
        </w:rPr>
        <w:t>:</w:t>
      </w:r>
    </w:p>
    <w:p w14:paraId="022307A3" w14:textId="4B21AA18" w:rsidR="00682C40" w:rsidRDefault="00164BC5" w:rsidP="00682C40">
      <w:pPr>
        <w:pStyle w:val="ListParagraph"/>
        <w:numPr>
          <w:ilvl w:val="0"/>
          <w:numId w:val="5"/>
        </w:numPr>
        <w:rPr>
          <w:sz w:val="24"/>
          <w:szCs w:val="24"/>
        </w:rPr>
      </w:pPr>
      <w:r w:rsidRPr="00682C40">
        <w:rPr>
          <w:sz w:val="24"/>
          <w:szCs w:val="24"/>
        </w:rPr>
        <w:t>$1</w:t>
      </w:r>
      <w:r w:rsidR="00E94A09" w:rsidRPr="00682C40">
        <w:rPr>
          <w:sz w:val="24"/>
          <w:szCs w:val="24"/>
        </w:rPr>
        <w:t>3</w:t>
      </w:r>
      <w:r w:rsidRPr="00682C40">
        <w:rPr>
          <w:sz w:val="24"/>
          <w:szCs w:val="24"/>
        </w:rPr>
        <w:t>.</w:t>
      </w:r>
      <w:r w:rsidR="00E94A09" w:rsidRPr="00682C40">
        <w:rPr>
          <w:sz w:val="24"/>
          <w:szCs w:val="24"/>
        </w:rPr>
        <w:t>00</w:t>
      </w:r>
      <w:r w:rsidRPr="00682C40">
        <w:rPr>
          <w:sz w:val="24"/>
          <w:szCs w:val="24"/>
        </w:rPr>
        <w:t xml:space="preserve"> for registered mail</w:t>
      </w:r>
    </w:p>
    <w:p w14:paraId="171ABA06" w14:textId="658746B0" w:rsidR="00682C40" w:rsidRDefault="00164BC5" w:rsidP="00682C40">
      <w:pPr>
        <w:pStyle w:val="ListParagraph"/>
        <w:numPr>
          <w:ilvl w:val="0"/>
          <w:numId w:val="5"/>
        </w:numPr>
        <w:rPr>
          <w:sz w:val="24"/>
          <w:szCs w:val="24"/>
        </w:rPr>
      </w:pPr>
      <w:r w:rsidRPr="00682C40">
        <w:rPr>
          <w:sz w:val="24"/>
          <w:szCs w:val="24"/>
        </w:rPr>
        <w:t>$</w:t>
      </w:r>
      <w:r w:rsidR="00E94A09" w:rsidRPr="00682C40">
        <w:rPr>
          <w:sz w:val="24"/>
          <w:szCs w:val="24"/>
        </w:rPr>
        <w:t>2</w:t>
      </w:r>
      <w:r w:rsidRPr="00682C40">
        <w:rPr>
          <w:sz w:val="24"/>
          <w:szCs w:val="24"/>
        </w:rPr>
        <w:t>.</w:t>
      </w:r>
      <w:r w:rsidR="00E94A09" w:rsidRPr="00682C40">
        <w:rPr>
          <w:sz w:val="24"/>
          <w:szCs w:val="24"/>
        </w:rPr>
        <w:t>80</w:t>
      </w:r>
      <w:r w:rsidRPr="00682C40">
        <w:rPr>
          <w:sz w:val="24"/>
          <w:szCs w:val="24"/>
        </w:rPr>
        <w:t xml:space="preserve"> for a return receipt</w:t>
      </w:r>
    </w:p>
    <w:p w14:paraId="3BF35D54" w14:textId="11AFC454" w:rsidR="00682C40" w:rsidRDefault="00164BC5" w:rsidP="00682C40">
      <w:pPr>
        <w:pStyle w:val="ListParagraph"/>
        <w:numPr>
          <w:ilvl w:val="0"/>
          <w:numId w:val="5"/>
        </w:numPr>
        <w:rPr>
          <w:sz w:val="24"/>
          <w:szCs w:val="24"/>
        </w:rPr>
      </w:pPr>
      <w:r w:rsidRPr="00682C40">
        <w:rPr>
          <w:sz w:val="24"/>
          <w:szCs w:val="24"/>
        </w:rPr>
        <w:t>$0.4</w:t>
      </w:r>
      <w:r w:rsidR="00E94A09" w:rsidRPr="00682C40">
        <w:rPr>
          <w:sz w:val="24"/>
          <w:szCs w:val="24"/>
        </w:rPr>
        <w:t>9</w:t>
      </w:r>
      <w:r w:rsidRPr="00682C40">
        <w:rPr>
          <w:sz w:val="24"/>
          <w:szCs w:val="24"/>
        </w:rPr>
        <w:t xml:space="preserve"> postage</w:t>
      </w:r>
    </w:p>
    <w:p w14:paraId="732ADE6F" w14:textId="0A08A740" w:rsidR="000B4D89" w:rsidRDefault="000B4D89"/>
    <w:p w14:paraId="0904F32F" w14:textId="03D76013" w:rsidR="009A6806" w:rsidRDefault="009A6806"/>
    <w:p w14:paraId="788D676E" w14:textId="7E072CC6" w:rsidR="009A6806" w:rsidRDefault="009A6806"/>
    <w:p w14:paraId="744D90FA" w14:textId="3E76A12E" w:rsidR="009A6806" w:rsidRDefault="009A6806"/>
    <w:p w14:paraId="681244FD" w14:textId="13365798" w:rsidR="009A6806" w:rsidRDefault="009A6806"/>
    <w:p w14:paraId="26CB2D86" w14:textId="09548028" w:rsidR="009A6806" w:rsidRDefault="009A6806"/>
    <w:p w14:paraId="09C5433E" w14:textId="2B825685" w:rsidR="009A6806" w:rsidRDefault="009A6806"/>
    <w:p w14:paraId="423DFDC3" w14:textId="5E092EF7" w:rsidR="009A6806" w:rsidRDefault="009A6806"/>
    <w:p w14:paraId="215B8F4D" w14:textId="26F876B0" w:rsidR="009A6806" w:rsidRDefault="009A6806"/>
    <w:p w14:paraId="24EE17EE" w14:textId="67A0B384" w:rsidR="009A6806" w:rsidRDefault="009A6806"/>
    <w:p w14:paraId="1B13AF63" w14:textId="73BBA9F0" w:rsidR="009A6806" w:rsidRDefault="009A6806"/>
    <w:p w14:paraId="01735547" w14:textId="142A9B5E" w:rsidR="009A6806" w:rsidRDefault="009A6806"/>
    <w:p w14:paraId="41972E94" w14:textId="1026EC47" w:rsidR="009A6806" w:rsidRDefault="009A6806"/>
    <w:p w14:paraId="40430A81" w14:textId="2E3B57D7" w:rsidR="009A6806" w:rsidRDefault="009A6806"/>
    <w:p w14:paraId="35A5A06F" w14:textId="2E0A9652" w:rsidR="009A6806" w:rsidRDefault="009A6806"/>
    <w:p w14:paraId="67359F14" w14:textId="27E5193F" w:rsidR="009A6806" w:rsidRDefault="009A6806"/>
    <w:p w14:paraId="1B0648F3" w14:textId="7D0F0ED7" w:rsidR="009A6806" w:rsidRDefault="009A6806"/>
    <w:p w14:paraId="45B93DD3" w14:textId="5E611959" w:rsidR="009A6806" w:rsidRDefault="009A6806"/>
    <w:p w14:paraId="4E165D73" w14:textId="0AA7ECC8" w:rsidR="009A6806" w:rsidRDefault="009A6806"/>
    <w:p w14:paraId="67335C5E" w14:textId="4F585057" w:rsidR="009A6806" w:rsidRDefault="009A6806"/>
    <w:p w14:paraId="0A0EF698" w14:textId="453A013C" w:rsidR="009A6806" w:rsidRDefault="009A6806"/>
    <w:p w14:paraId="5D4E275F" w14:textId="34639135" w:rsidR="009A6806" w:rsidRDefault="009A6806"/>
    <w:p w14:paraId="6AC65CBE" w14:textId="737BEE03" w:rsidR="009A6806" w:rsidRPr="00EE221F" w:rsidRDefault="009A6806" w:rsidP="00EE221F"/>
    <w:p w14:paraId="7466D4FC" w14:textId="77777777" w:rsidR="009A6806" w:rsidRDefault="009A6806"/>
    <w:tbl>
      <w:tblPr>
        <w:tblW w:w="9820" w:type="dxa"/>
        <w:tblInd w:w="98" w:type="dxa"/>
        <w:tblLook w:val="04A0" w:firstRow="1" w:lastRow="0" w:firstColumn="1" w:lastColumn="0" w:noHBand="0" w:noVBand="1"/>
      </w:tblPr>
      <w:tblGrid>
        <w:gridCol w:w="1270"/>
        <w:gridCol w:w="1440"/>
        <w:gridCol w:w="775"/>
        <w:gridCol w:w="937"/>
        <w:gridCol w:w="944"/>
        <w:gridCol w:w="1034"/>
        <w:gridCol w:w="1080"/>
        <w:gridCol w:w="1170"/>
        <w:gridCol w:w="1170"/>
      </w:tblGrid>
      <w:tr w:rsidR="00A251E7" w:rsidRPr="00A251E7" w14:paraId="337C7B7B" w14:textId="77777777" w:rsidTr="00AD30AB">
        <w:trPr>
          <w:trHeight w:val="315"/>
        </w:trPr>
        <w:tc>
          <w:tcPr>
            <w:tcW w:w="9820" w:type="dxa"/>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8F5354" w14:textId="39DD203F" w:rsidR="00A251E7" w:rsidRPr="00A251E7" w:rsidRDefault="00A251E7" w:rsidP="00A251E7">
            <w:pPr>
              <w:autoSpaceDE/>
              <w:autoSpaceDN/>
              <w:adjustRightInd/>
              <w:rPr>
                <w:b/>
                <w:bCs/>
                <w:color w:val="000000"/>
              </w:rPr>
            </w:pPr>
            <w:r w:rsidRPr="00A251E7">
              <w:rPr>
                <w:b/>
                <w:bCs/>
                <w:color w:val="000000"/>
              </w:rPr>
              <w:t>Table 3: Industry Wage Rates</w:t>
            </w:r>
          </w:p>
        </w:tc>
      </w:tr>
      <w:tr w:rsidR="00A251E7" w:rsidRPr="00A251E7" w14:paraId="32D369E1" w14:textId="77777777" w:rsidTr="00AD30AB">
        <w:trPr>
          <w:trHeight w:val="840"/>
        </w:trPr>
        <w:tc>
          <w:tcPr>
            <w:tcW w:w="127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999FFD7" w14:textId="77777777" w:rsidR="00A251E7" w:rsidRPr="00A251E7" w:rsidRDefault="00A251E7" w:rsidP="00A251E7">
            <w:pPr>
              <w:autoSpaceDE/>
              <w:autoSpaceDN/>
              <w:adjustRightInd/>
              <w:jc w:val="center"/>
              <w:rPr>
                <w:b/>
                <w:bCs/>
                <w:color w:val="000000"/>
              </w:rPr>
            </w:pPr>
            <w:r w:rsidRPr="00A251E7">
              <w:rPr>
                <w:b/>
                <w:bCs/>
                <w:color w:val="000000"/>
              </w:rPr>
              <w:t>Labor Category</w:t>
            </w:r>
          </w:p>
        </w:tc>
        <w:tc>
          <w:tcPr>
            <w:tcW w:w="144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33F8B2FF" w14:textId="77777777" w:rsidR="00A251E7" w:rsidRPr="00A251E7" w:rsidRDefault="00A251E7" w:rsidP="00A251E7">
            <w:pPr>
              <w:autoSpaceDE/>
              <w:autoSpaceDN/>
              <w:adjustRightInd/>
              <w:jc w:val="center"/>
              <w:rPr>
                <w:b/>
                <w:bCs/>
                <w:color w:val="000000"/>
              </w:rPr>
            </w:pPr>
            <w:r w:rsidRPr="00A251E7">
              <w:rPr>
                <w:b/>
                <w:bCs/>
                <w:color w:val="000000"/>
              </w:rPr>
              <w:t>Data Sources</w:t>
            </w:r>
            <w:r w:rsidRPr="00A251E7">
              <w:rPr>
                <w:b/>
                <w:bCs/>
                <w:color w:val="000000"/>
                <w:vertAlign w:val="superscript"/>
              </w:rPr>
              <w:t xml:space="preserve"> a</w:t>
            </w:r>
          </w:p>
        </w:tc>
        <w:tc>
          <w:tcPr>
            <w:tcW w:w="775"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66F7BCF2" w14:textId="77777777" w:rsidR="00A251E7" w:rsidRPr="00A251E7" w:rsidRDefault="00A251E7" w:rsidP="00A251E7">
            <w:pPr>
              <w:autoSpaceDE/>
              <w:autoSpaceDN/>
              <w:adjustRightInd/>
              <w:jc w:val="center"/>
              <w:rPr>
                <w:b/>
                <w:bCs/>
                <w:color w:val="000000"/>
              </w:rPr>
            </w:pPr>
            <w:r w:rsidRPr="00A251E7">
              <w:rPr>
                <w:b/>
                <w:bCs/>
                <w:color w:val="000000"/>
              </w:rPr>
              <w:t>Date</w:t>
            </w:r>
          </w:p>
        </w:tc>
        <w:tc>
          <w:tcPr>
            <w:tcW w:w="937" w:type="dxa"/>
            <w:tcBorders>
              <w:top w:val="nil"/>
              <w:left w:val="nil"/>
              <w:bottom w:val="single" w:sz="4" w:space="0" w:color="auto"/>
              <w:right w:val="single" w:sz="8" w:space="0" w:color="auto"/>
            </w:tcBorders>
            <w:shd w:val="clear" w:color="000000" w:fill="D9D9D9"/>
            <w:vAlign w:val="center"/>
            <w:hideMark/>
          </w:tcPr>
          <w:p w14:paraId="491887B9" w14:textId="77777777" w:rsidR="00A251E7" w:rsidRPr="00A251E7" w:rsidRDefault="00A251E7" w:rsidP="00A251E7">
            <w:pPr>
              <w:autoSpaceDE/>
              <w:autoSpaceDN/>
              <w:adjustRightInd/>
              <w:jc w:val="center"/>
              <w:rPr>
                <w:b/>
                <w:bCs/>
                <w:color w:val="000000"/>
              </w:rPr>
            </w:pPr>
            <w:r w:rsidRPr="00A251E7">
              <w:rPr>
                <w:b/>
                <w:bCs/>
                <w:color w:val="000000"/>
              </w:rPr>
              <w:t>Wage</w:t>
            </w:r>
          </w:p>
        </w:tc>
        <w:tc>
          <w:tcPr>
            <w:tcW w:w="944" w:type="dxa"/>
            <w:tcBorders>
              <w:top w:val="nil"/>
              <w:left w:val="nil"/>
              <w:bottom w:val="single" w:sz="4" w:space="0" w:color="auto"/>
              <w:right w:val="single" w:sz="8" w:space="0" w:color="auto"/>
            </w:tcBorders>
            <w:shd w:val="clear" w:color="000000" w:fill="D9D9D9"/>
            <w:vAlign w:val="center"/>
            <w:hideMark/>
          </w:tcPr>
          <w:p w14:paraId="4D1BAF0E" w14:textId="77777777" w:rsidR="00A251E7" w:rsidRPr="00A251E7" w:rsidRDefault="00A251E7" w:rsidP="00A251E7">
            <w:pPr>
              <w:autoSpaceDE/>
              <w:autoSpaceDN/>
              <w:adjustRightInd/>
              <w:jc w:val="center"/>
              <w:rPr>
                <w:b/>
                <w:bCs/>
                <w:color w:val="000000"/>
              </w:rPr>
            </w:pPr>
            <w:r w:rsidRPr="00A251E7">
              <w:rPr>
                <w:b/>
                <w:bCs/>
                <w:color w:val="000000"/>
              </w:rPr>
              <w:t>Fringe Benefit</w:t>
            </w:r>
          </w:p>
        </w:tc>
        <w:tc>
          <w:tcPr>
            <w:tcW w:w="1034" w:type="dxa"/>
            <w:tcBorders>
              <w:top w:val="nil"/>
              <w:left w:val="nil"/>
              <w:bottom w:val="single" w:sz="4" w:space="0" w:color="auto"/>
              <w:right w:val="single" w:sz="8" w:space="0" w:color="auto"/>
            </w:tcBorders>
            <w:shd w:val="clear" w:color="000000" w:fill="D9D9D9"/>
            <w:vAlign w:val="center"/>
            <w:hideMark/>
          </w:tcPr>
          <w:p w14:paraId="3A1786AD" w14:textId="77777777" w:rsidR="00A251E7" w:rsidRPr="00A251E7" w:rsidRDefault="00A251E7" w:rsidP="00A251E7">
            <w:pPr>
              <w:autoSpaceDE/>
              <w:autoSpaceDN/>
              <w:adjustRightInd/>
              <w:jc w:val="center"/>
              <w:rPr>
                <w:b/>
                <w:bCs/>
                <w:color w:val="000000"/>
              </w:rPr>
            </w:pPr>
            <w:r w:rsidRPr="00A251E7">
              <w:rPr>
                <w:b/>
                <w:bCs/>
                <w:color w:val="000000"/>
              </w:rPr>
              <w:t>Fringes as % Wage</w:t>
            </w:r>
          </w:p>
        </w:tc>
        <w:tc>
          <w:tcPr>
            <w:tcW w:w="1080" w:type="dxa"/>
            <w:tcBorders>
              <w:top w:val="nil"/>
              <w:left w:val="nil"/>
              <w:bottom w:val="single" w:sz="4" w:space="0" w:color="auto"/>
              <w:right w:val="single" w:sz="8" w:space="0" w:color="auto"/>
            </w:tcBorders>
            <w:shd w:val="clear" w:color="000000" w:fill="D9D9D9"/>
            <w:vAlign w:val="bottom"/>
            <w:hideMark/>
          </w:tcPr>
          <w:p w14:paraId="3396657A" w14:textId="77777777" w:rsidR="00A251E7" w:rsidRPr="00A251E7" w:rsidRDefault="00A251E7" w:rsidP="00A251E7">
            <w:pPr>
              <w:autoSpaceDE/>
              <w:autoSpaceDN/>
              <w:adjustRightInd/>
              <w:jc w:val="center"/>
              <w:rPr>
                <w:b/>
                <w:bCs/>
                <w:color w:val="000000"/>
              </w:rPr>
            </w:pPr>
            <w:r w:rsidRPr="00A251E7">
              <w:rPr>
                <w:b/>
                <w:bCs/>
                <w:color w:val="000000"/>
              </w:rPr>
              <w:t xml:space="preserve">Over-head % wage </w:t>
            </w:r>
            <w:r w:rsidRPr="00A251E7">
              <w:rPr>
                <w:b/>
                <w:bCs/>
                <w:color w:val="000000"/>
                <w:vertAlign w:val="superscript"/>
              </w:rPr>
              <w:t>b</w:t>
            </w:r>
          </w:p>
        </w:tc>
        <w:tc>
          <w:tcPr>
            <w:tcW w:w="1170" w:type="dxa"/>
            <w:tcBorders>
              <w:top w:val="nil"/>
              <w:left w:val="nil"/>
              <w:bottom w:val="single" w:sz="4" w:space="0" w:color="auto"/>
              <w:right w:val="single" w:sz="8" w:space="0" w:color="auto"/>
            </w:tcBorders>
            <w:shd w:val="clear" w:color="000000" w:fill="D9D9D9"/>
            <w:vAlign w:val="bottom"/>
            <w:hideMark/>
          </w:tcPr>
          <w:p w14:paraId="2BBFCFDD" w14:textId="77777777" w:rsidR="00A251E7" w:rsidRPr="00A251E7" w:rsidRDefault="00A251E7" w:rsidP="00A251E7">
            <w:pPr>
              <w:autoSpaceDE/>
              <w:autoSpaceDN/>
              <w:adjustRightInd/>
              <w:jc w:val="center"/>
              <w:rPr>
                <w:b/>
                <w:bCs/>
                <w:color w:val="000000"/>
              </w:rPr>
            </w:pPr>
            <w:r w:rsidRPr="00A251E7">
              <w:rPr>
                <w:b/>
                <w:bCs/>
                <w:color w:val="000000"/>
              </w:rPr>
              <w:t xml:space="preserve">Fringe + Overhead Factor </w:t>
            </w:r>
            <w:r w:rsidRPr="00A251E7">
              <w:rPr>
                <w:b/>
                <w:bCs/>
                <w:color w:val="000000"/>
                <w:vertAlign w:val="superscript"/>
              </w:rPr>
              <w:t>c</w:t>
            </w:r>
          </w:p>
        </w:tc>
        <w:tc>
          <w:tcPr>
            <w:tcW w:w="1170" w:type="dxa"/>
            <w:tcBorders>
              <w:top w:val="nil"/>
              <w:left w:val="nil"/>
              <w:bottom w:val="single" w:sz="4" w:space="0" w:color="auto"/>
              <w:right w:val="single" w:sz="8" w:space="0" w:color="auto"/>
            </w:tcBorders>
            <w:shd w:val="clear" w:color="000000" w:fill="D9D9D9"/>
            <w:vAlign w:val="bottom"/>
            <w:hideMark/>
          </w:tcPr>
          <w:p w14:paraId="78962341" w14:textId="77777777" w:rsidR="00A251E7" w:rsidRPr="00A251E7" w:rsidRDefault="00A251E7" w:rsidP="00A251E7">
            <w:pPr>
              <w:autoSpaceDE/>
              <w:autoSpaceDN/>
              <w:adjustRightInd/>
              <w:jc w:val="center"/>
              <w:rPr>
                <w:b/>
                <w:bCs/>
                <w:color w:val="000000"/>
              </w:rPr>
            </w:pPr>
            <w:r w:rsidRPr="00A251E7">
              <w:rPr>
                <w:b/>
                <w:bCs/>
                <w:color w:val="000000"/>
              </w:rPr>
              <w:t xml:space="preserve">Loaded Wages </w:t>
            </w:r>
            <w:r w:rsidRPr="00A251E7">
              <w:rPr>
                <w:b/>
                <w:bCs/>
                <w:color w:val="000000"/>
                <w:vertAlign w:val="superscript"/>
              </w:rPr>
              <w:t>d</w:t>
            </w:r>
          </w:p>
        </w:tc>
      </w:tr>
      <w:tr w:rsidR="00A251E7" w:rsidRPr="00A251E7" w14:paraId="78EBA123" w14:textId="77777777" w:rsidTr="00AD30AB">
        <w:trPr>
          <w:trHeight w:val="315"/>
        </w:trPr>
        <w:tc>
          <w:tcPr>
            <w:tcW w:w="1270" w:type="dxa"/>
            <w:vMerge/>
            <w:tcBorders>
              <w:top w:val="nil"/>
              <w:left w:val="single" w:sz="8" w:space="0" w:color="auto"/>
              <w:bottom w:val="single" w:sz="8" w:space="0" w:color="000000"/>
              <w:right w:val="single" w:sz="8" w:space="0" w:color="auto"/>
            </w:tcBorders>
            <w:vAlign w:val="center"/>
            <w:hideMark/>
          </w:tcPr>
          <w:p w14:paraId="73919A8D" w14:textId="77777777" w:rsidR="00A251E7" w:rsidRPr="00A251E7" w:rsidRDefault="00A251E7" w:rsidP="00A251E7">
            <w:pPr>
              <w:autoSpaceDE/>
              <w:autoSpaceDN/>
              <w:adjustRightInd/>
              <w:rPr>
                <w:b/>
                <w:bCs/>
                <w:color w:val="000000"/>
              </w:rPr>
            </w:pPr>
          </w:p>
        </w:tc>
        <w:tc>
          <w:tcPr>
            <w:tcW w:w="1440" w:type="dxa"/>
            <w:vMerge/>
            <w:tcBorders>
              <w:top w:val="nil"/>
              <w:left w:val="single" w:sz="8" w:space="0" w:color="auto"/>
              <w:bottom w:val="single" w:sz="8" w:space="0" w:color="000000"/>
              <w:right w:val="single" w:sz="8" w:space="0" w:color="auto"/>
            </w:tcBorders>
            <w:vAlign w:val="center"/>
            <w:hideMark/>
          </w:tcPr>
          <w:p w14:paraId="33E30DCE" w14:textId="77777777" w:rsidR="00A251E7" w:rsidRPr="00A251E7" w:rsidRDefault="00A251E7" w:rsidP="00A251E7">
            <w:pPr>
              <w:autoSpaceDE/>
              <w:autoSpaceDN/>
              <w:adjustRightInd/>
              <w:rPr>
                <w:b/>
                <w:bCs/>
                <w:color w:val="000000"/>
              </w:rPr>
            </w:pPr>
          </w:p>
        </w:tc>
        <w:tc>
          <w:tcPr>
            <w:tcW w:w="775" w:type="dxa"/>
            <w:vMerge/>
            <w:tcBorders>
              <w:top w:val="nil"/>
              <w:left w:val="single" w:sz="8" w:space="0" w:color="auto"/>
              <w:bottom w:val="single" w:sz="8" w:space="0" w:color="000000"/>
              <w:right w:val="single" w:sz="8" w:space="0" w:color="auto"/>
            </w:tcBorders>
            <w:vAlign w:val="center"/>
            <w:hideMark/>
          </w:tcPr>
          <w:p w14:paraId="289577F8" w14:textId="77777777" w:rsidR="00A251E7" w:rsidRPr="00A251E7" w:rsidRDefault="00A251E7" w:rsidP="00A251E7">
            <w:pPr>
              <w:autoSpaceDE/>
              <w:autoSpaceDN/>
              <w:adjustRightInd/>
              <w:rPr>
                <w:b/>
                <w:bCs/>
                <w:color w:val="000000"/>
              </w:rPr>
            </w:pPr>
          </w:p>
        </w:tc>
        <w:tc>
          <w:tcPr>
            <w:tcW w:w="937" w:type="dxa"/>
            <w:tcBorders>
              <w:top w:val="nil"/>
              <w:left w:val="nil"/>
              <w:bottom w:val="single" w:sz="8" w:space="0" w:color="auto"/>
              <w:right w:val="single" w:sz="8" w:space="0" w:color="auto"/>
            </w:tcBorders>
            <w:shd w:val="clear" w:color="000000" w:fill="D9D9D9"/>
            <w:vAlign w:val="center"/>
            <w:hideMark/>
          </w:tcPr>
          <w:p w14:paraId="092840A9"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(a)</w:t>
            </w:r>
          </w:p>
        </w:tc>
        <w:tc>
          <w:tcPr>
            <w:tcW w:w="944" w:type="dxa"/>
            <w:tcBorders>
              <w:top w:val="nil"/>
              <w:left w:val="nil"/>
              <w:bottom w:val="single" w:sz="8" w:space="0" w:color="auto"/>
              <w:right w:val="single" w:sz="8" w:space="0" w:color="auto"/>
            </w:tcBorders>
            <w:shd w:val="clear" w:color="000000" w:fill="D9D9D9"/>
            <w:vAlign w:val="center"/>
            <w:hideMark/>
          </w:tcPr>
          <w:p w14:paraId="68454585"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(b)</w:t>
            </w:r>
          </w:p>
        </w:tc>
        <w:tc>
          <w:tcPr>
            <w:tcW w:w="1034" w:type="dxa"/>
            <w:tcBorders>
              <w:top w:val="nil"/>
              <w:left w:val="nil"/>
              <w:bottom w:val="single" w:sz="8" w:space="0" w:color="auto"/>
              <w:right w:val="single" w:sz="8" w:space="0" w:color="auto"/>
            </w:tcBorders>
            <w:shd w:val="clear" w:color="000000" w:fill="D9D9D9"/>
            <w:vAlign w:val="center"/>
            <w:hideMark/>
          </w:tcPr>
          <w:p w14:paraId="4488ED03"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(c) =(b)/(a)</w:t>
            </w:r>
          </w:p>
        </w:tc>
        <w:tc>
          <w:tcPr>
            <w:tcW w:w="1080" w:type="dxa"/>
            <w:tcBorders>
              <w:top w:val="nil"/>
              <w:left w:val="nil"/>
              <w:bottom w:val="single" w:sz="8" w:space="0" w:color="auto"/>
              <w:right w:val="single" w:sz="8" w:space="0" w:color="auto"/>
            </w:tcBorders>
            <w:shd w:val="clear" w:color="000000" w:fill="D9D9D9"/>
            <w:vAlign w:val="center"/>
            <w:hideMark/>
          </w:tcPr>
          <w:p w14:paraId="53F962EE"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(d)</w:t>
            </w:r>
          </w:p>
        </w:tc>
        <w:tc>
          <w:tcPr>
            <w:tcW w:w="1170" w:type="dxa"/>
            <w:tcBorders>
              <w:top w:val="nil"/>
              <w:left w:val="nil"/>
              <w:bottom w:val="single" w:sz="8" w:space="0" w:color="auto"/>
              <w:right w:val="single" w:sz="8" w:space="0" w:color="auto"/>
            </w:tcBorders>
            <w:shd w:val="clear" w:color="000000" w:fill="D9D9D9"/>
            <w:vAlign w:val="center"/>
            <w:hideMark/>
          </w:tcPr>
          <w:p w14:paraId="2155324F"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(e)=(c)+(d)+1</w:t>
            </w:r>
          </w:p>
        </w:tc>
        <w:tc>
          <w:tcPr>
            <w:tcW w:w="1170" w:type="dxa"/>
            <w:tcBorders>
              <w:top w:val="nil"/>
              <w:left w:val="nil"/>
              <w:bottom w:val="single" w:sz="8" w:space="0" w:color="auto"/>
              <w:right w:val="single" w:sz="8" w:space="0" w:color="auto"/>
            </w:tcBorders>
            <w:shd w:val="clear" w:color="000000" w:fill="D9D9D9"/>
            <w:vAlign w:val="center"/>
            <w:hideMark/>
          </w:tcPr>
          <w:p w14:paraId="5C77BF1D" w14:textId="77777777" w:rsidR="00A251E7" w:rsidRPr="00A251E7" w:rsidRDefault="00A251E7" w:rsidP="00A251E7">
            <w:pPr>
              <w:autoSpaceDE/>
              <w:autoSpaceDN/>
              <w:adjustRightInd/>
              <w:jc w:val="center"/>
              <w:rPr>
                <w:b/>
                <w:bCs/>
                <w:i/>
                <w:iCs/>
                <w:color w:val="000000"/>
                <w:sz w:val="16"/>
                <w:szCs w:val="16"/>
              </w:rPr>
            </w:pPr>
            <w:r w:rsidRPr="00A251E7">
              <w:rPr>
                <w:b/>
                <w:bCs/>
                <w:i/>
                <w:iCs/>
                <w:color w:val="000000"/>
                <w:sz w:val="16"/>
                <w:szCs w:val="16"/>
              </w:rPr>
              <w:t>(f)=(a)×(e)</w:t>
            </w:r>
          </w:p>
        </w:tc>
      </w:tr>
      <w:tr w:rsidR="00A251E7" w:rsidRPr="00A251E7" w14:paraId="286B71C3" w14:textId="77777777" w:rsidTr="00AD30AB">
        <w:trPr>
          <w:trHeight w:val="1455"/>
        </w:trPr>
        <w:tc>
          <w:tcPr>
            <w:tcW w:w="1270" w:type="dxa"/>
            <w:tcBorders>
              <w:top w:val="nil"/>
              <w:left w:val="single" w:sz="8" w:space="0" w:color="auto"/>
              <w:bottom w:val="single" w:sz="8" w:space="0" w:color="auto"/>
              <w:right w:val="single" w:sz="8" w:space="0" w:color="auto"/>
            </w:tcBorders>
            <w:shd w:val="clear" w:color="auto" w:fill="auto"/>
            <w:vAlign w:val="center"/>
            <w:hideMark/>
          </w:tcPr>
          <w:p w14:paraId="0291A13F" w14:textId="77777777" w:rsidR="00A251E7" w:rsidRPr="00A251E7" w:rsidRDefault="00A251E7" w:rsidP="00A251E7">
            <w:pPr>
              <w:autoSpaceDE/>
              <w:autoSpaceDN/>
              <w:adjustRightInd/>
              <w:rPr>
                <w:color w:val="000000"/>
                <w:sz w:val="18"/>
                <w:szCs w:val="18"/>
              </w:rPr>
            </w:pPr>
            <w:r w:rsidRPr="00A251E7">
              <w:rPr>
                <w:color w:val="000000"/>
                <w:sz w:val="18"/>
                <w:szCs w:val="18"/>
              </w:rPr>
              <w:t>Managerial</w:t>
            </w:r>
          </w:p>
        </w:tc>
        <w:tc>
          <w:tcPr>
            <w:tcW w:w="1440" w:type="dxa"/>
            <w:tcBorders>
              <w:top w:val="nil"/>
              <w:left w:val="nil"/>
              <w:bottom w:val="single" w:sz="8" w:space="0" w:color="auto"/>
              <w:right w:val="single" w:sz="8" w:space="0" w:color="auto"/>
            </w:tcBorders>
            <w:shd w:val="clear" w:color="auto" w:fill="auto"/>
            <w:vAlign w:val="center"/>
            <w:hideMark/>
          </w:tcPr>
          <w:p w14:paraId="27E3A629" w14:textId="77777777" w:rsidR="00A251E7" w:rsidRPr="00A251E7" w:rsidRDefault="00A251E7" w:rsidP="00A251E7">
            <w:pPr>
              <w:autoSpaceDE/>
              <w:autoSpaceDN/>
              <w:adjustRightInd/>
              <w:rPr>
                <w:color w:val="000000"/>
                <w:sz w:val="18"/>
                <w:szCs w:val="18"/>
              </w:rPr>
            </w:pPr>
            <w:r w:rsidRPr="00A251E7">
              <w:rPr>
                <w:color w:val="000000"/>
                <w:sz w:val="18"/>
                <w:szCs w:val="18"/>
              </w:rPr>
              <w:t>BLS ECEC, Private Manufacturing industries, “Mgt, Business, and Financial”</w:t>
            </w:r>
          </w:p>
        </w:tc>
        <w:tc>
          <w:tcPr>
            <w:tcW w:w="775" w:type="dxa"/>
            <w:tcBorders>
              <w:top w:val="nil"/>
              <w:left w:val="nil"/>
              <w:bottom w:val="single" w:sz="8" w:space="0" w:color="auto"/>
              <w:right w:val="single" w:sz="8" w:space="0" w:color="auto"/>
            </w:tcBorders>
            <w:shd w:val="clear" w:color="auto" w:fill="auto"/>
            <w:vAlign w:val="center"/>
            <w:hideMark/>
          </w:tcPr>
          <w:p w14:paraId="636A362E" w14:textId="77777777" w:rsidR="00A251E7" w:rsidRPr="00A251E7" w:rsidRDefault="00A251E7" w:rsidP="00A251E7">
            <w:pPr>
              <w:autoSpaceDE/>
              <w:autoSpaceDN/>
              <w:adjustRightInd/>
              <w:jc w:val="center"/>
              <w:rPr>
                <w:color w:val="000000"/>
                <w:sz w:val="18"/>
                <w:szCs w:val="18"/>
              </w:rPr>
            </w:pPr>
            <w:r w:rsidRPr="00A251E7">
              <w:rPr>
                <w:color w:val="000000"/>
                <w:sz w:val="18"/>
                <w:szCs w:val="18"/>
              </w:rPr>
              <w:t>Dec-14</w:t>
            </w:r>
          </w:p>
        </w:tc>
        <w:tc>
          <w:tcPr>
            <w:tcW w:w="937" w:type="dxa"/>
            <w:tcBorders>
              <w:top w:val="nil"/>
              <w:left w:val="nil"/>
              <w:bottom w:val="single" w:sz="8" w:space="0" w:color="auto"/>
              <w:right w:val="single" w:sz="8" w:space="0" w:color="auto"/>
            </w:tcBorders>
            <w:shd w:val="clear" w:color="auto" w:fill="auto"/>
            <w:vAlign w:val="center"/>
            <w:hideMark/>
          </w:tcPr>
          <w:p w14:paraId="7CAD77E5" w14:textId="77777777" w:rsidR="00A251E7" w:rsidRPr="00A251E7" w:rsidRDefault="00A251E7" w:rsidP="00A251E7">
            <w:pPr>
              <w:autoSpaceDE/>
              <w:autoSpaceDN/>
              <w:adjustRightInd/>
              <w:jc w:val="center"/>
              <w:rPr>
                <w:color w:val="000000"/>
              </w:rPr>
            </w:pPr>
            <w:r w:rsidRPr="00A251E7">
              <w:rPr>
                <w:color w:val="000000"/>
              </w:rPr>
              <w:t xml:space="preserve">$47.90 </w:t>
            </w:r>
          </w:p>
        </w:tc>
        <w:tc>
          <w:tcPr>
            <w:tcW w:w="944" w:type="dxa"/>
            <w:tcBorders>
              <w:top w:val="nil"/>
              <w:left w:val="nil"/>
              <w:bottom w:val="single" w:sz="8" w:space="0" w:color="auto"/>
              <w:right w:val="single" w:sz="8" w:space="0" w:color="auto"/>
            </w:tcBorders>
            <w:shd w:val="clear" w:color="auto" w:fill="auto"/>
            <w:vAlign w:val="center"/>
            <w:hideMark/>
          </w:tcPr>
          <w:p w14:paraId="25DD8FB1" w14:textId="77777777" w:rsidR="00A251E7" w:rsidRPr="00A251E7" w:rsidRDefault="00A251E7" w:rsidP="00A251E7">
            <w:pPr>
              <w:autoSpaceDE/>
              <w:autoSpaceDN/>
              <w:adjustRightInd/>
              <w:jc w:val="center"/>
              <w:rPr>
                <w:color w:val="000000"/>
              </w:rPr>
            </w:pPr>
            <w:r w:rsidRPr="00A251E7">
              <w:rPr>
                <w:color w:val="000000"/>
              </w:rPr>
              <w:t xml:space="preserve">$24.18 </w:t>
            </w:r>
          </w:p>
        </w:tc>
        <w:tc>
          <w:tcPr>
            <w:tcW w:w="1034" w:type="dxa"/>
            <w:tcBorders>
              <w:top w:val="nil"/>
              <w:left w:val="nil"/>
              <w:bottom w:val="single" w:sz="8" w:space="0" w:color="auto"/>
              <w:right w:val="single" w:sz="8" w:space="0" w:color="auto"/>
            </w:tcBorders>
            <w:shd w:val="clear" w:color="auto" w:fill="auto"/>
            <w:vAlign w:val="center"/>
            <w:hideMark/>
          </w:tcPr>
          <w:p w14:paraId="3FDE4AC0" w14:textId="77777777" w:rsidR="00A251E7" w:rsidRPr="00A251E7" w:rsidRDefault="00A251E7" w:rsidP="00A251E7">
            <w:pPr>
              <w:autoSpaceDE/>
              <w:autoSpaceDN/>
              <w:adjustRightInd/>
              <w:jc w:val="center"/>
              <w:rPr>
                <w:color w:val="000000"/>
              </w:rPr>
            </w:pPr>
            <w:r w:rsidRPr="00A251E7">
              <w:rPr>
                <w:color w:val="000000"/>
              </w:rPr>
              <w:t>50%</w:t>
            </w:r>
          </w:p>
        </w:tc>
        <w:tc>
          <w:tcPr>
            <w:tcW w:w="1080" w:type="dxa"/>
            <w:tcBorders>
              <w:top w:val="nil"/>
              <w:left w:val="nil"/>
              <w:bottom w:val="single" w:sz="8" w:space="0" w:color="auto"/>
              <w:right w:val="single" w:sz="8" w:space="0" w:color="auto"/>
            </w:tcBorders>
            <w:shd w:val="clear" w:color="auto" w:fill="auto"/>
            <w:vAlign w:val="center"/>
            <w:hideMark/>
          </w:tcPr>
          <w:p w14:paraId="4DE66C3C" w14:textId="77777777" w:rsidR="00A251E7" w:rsidRPr="00A251E7" w:rsidRDefault="00A251E7" w:rsidP="00A251E7">
            <w:pPr>
              <w:autoSpaceDE/>
              <w:autoSpaceDN/>
              <w:adjustRightInd/>
              <w:jc w:val="center"/>
              <w:rPr>
                <w:color w:val="000000"/>
              </w:rPr>
            </w:pPr>
            <w:r w:rsidRPr="00A251E7">
              <w:rPr>
                <w:color w:val="000000"/>
              </w:rPr>
              <w:t>17%</w:t>
            </w:r>
          </w:p>
        </w:tc>
        <w:tc>
          <w:tcPr>
            <w:tcW w:w="1170" w:type="dxa"/>
            <w:tcBorders>
              <w:top w:val="nil"/>
              <w:left w:val="nil"/>
              <w:bottom w:val="single" w:sz="8" w:space="0" w:color="auto"/>
              <w:right w:val="single" w:sz="8" w:space="0" w:color="auto"/>
            </w:tcBorders>
            <w:shd w:val="clear" w:color="auto" w:fill="auto"/>
            <w:vAlign w:val="center"/>
            <w:hideMark/>
          </w:tcPr>
          <w:p w14:paraId="1BD31463" w14:textId="77777777" w:rsidR="00A251E7" w:rsidRPr="00A251E7" w:rsidRDefault="00A251E7" w:rsidP="00A251E7">
            <w:pPr>
              <w:autoSpaceDE/>
              <w:autoSpaceDN/>
              <w:adjustRightInd/>
              <w:jc w:val="center"/>
              <w:rPr>
                <w:color w:val="000000"/>
              </w:rPr>
            </w:pPr>
            <w:r w:rsidRPr="00A251E7">
              <w:rPr>
                <w:color w:val="000000"/>
              </w:rPr>
              <w:t>1.67</w:t>
            </w:r>
          </w:p>
        </w:tc>
        <w:tc>
          <w:tcPr>
            <w:tcW w:w="1170" w:type="dxa"/>
            <w:tcBorders>
              <w:top w:val="nil"/>
              <w:left w:val="nil"/>
              <w:bottom w:val="single" w:sz="8" w:space="0" w:color="auto"/>
              <w:right w:val="single" w:sz="8" w:space="0" w:color="auto"/>
            </w:tcBorders>
            <w:shd w:val="clear" w:color="auto" w:fill="auto"/>
            <w:vAlign w:val="center"/>
            <w:hideMark/>
          </w:tcPr>
          <w:p w14:paraId="0BC1E499" w14:textId="77777777" w:rsidR="00A251E7" w:rsidRPr="00A251E7" w:rsidRDefault="00A251E7" w:rsidP="00A251E7">
            <w:pPr>
              <w:autoSpaceDE/>
              <w:autoSpaceDN/>
              <w:adjustRightInd/>
              <w:jc w:val="center"/>
              <w:rPr>
                <w:color w:val="000000"/>
              </w:rPr>
            </w:pPr>
            <w:r w:rsidRPr="00A251E7">
              <w:rPr>
                <w:color w:val="000000"/>
              </w:rPr>
              <w:t xml:space="preserve">$80.22 </w:t>
            </w:r>
          </w:p>
        </w:tc>
      </w:tr>
      <w:tr w:rsidR="00A251E7" w:rsidRPr="00A251E7" w14:paraId="6DE83EB7" w14:textId="77777777" w:rsidTr="00AD30AB">
        <w:trPr>
          <w:trHeight w:val="1215"/>
        </w:trPr>
        <w:tc>
          <w:tcPr>
            <w:tcW w:w="1270" w:type="dxa"/>
            <w:tcBorders>
              <w:top w:val="nil"/>
              <w:left w:val="single" w:sz="8" w:space="0" w:color="auto"/>
              <w:bottom w:val="single" w:sz="8" w:space="0" w:color="auto"/>
              <w:right w:val="single" w:sz="8" w:space="0" w:color="auto"/>
            </w:tcBorders>
            <w:shd w:val="clear" w:color="auto" w:fill="auto"/>
            <w:vAlign w:val="center"/>
            <w:hideMark/>
          </w:tcPr>
          <w:p w14:paraId="3CF817D0" w14:textId="77777777" w:rsidR="00A251E7" w:rsidRPr="00A251E7" w:rsidRDefault="00A251E7" w:rsidP="00A251E7">
            <w:pPr>
              <w:autoSpaceDE/>
              <w:autoSpaceDN/>
              <w:adjustRightInd/>
              <w:rPr>
                <w:color w:val="000000"/>
                <w:sz w:val="18"/>
                <w:szCs w:val="18"/>
              </w:rPr>
            </w:pPr>
            <w:r w:rsidRPr="00A251E7">
              <w:rPr>
                <w:color w:val="000000"/>
                <w:sz w:val="18"/>
                <w:szCs w:val="18"/>
              </w:rPr>
              <w:t>Professional / Technical</w:t>
            </w:r>
          </w:p>
        </w:tc>
        <w:tc>
          <w:tcPr>
            <w:tcW w:w="1440" w:type="dxa"/>
            <w:tcBorders>
              <w:top w:val="nil"/>
              <w:left w:val="nil"/>
              <w:bottom w:val="single" w:sz="8" w:space="0" w:color="auto"/>
              <w:right w:val="single" w:sz="8" w:space="0" w:color="auto"/>
            </w:tcBorders>
            <w:shd w:val="clear" w:color="auto" w:fill="auto"/>
            <w:vAlign w:val="center"/>
            <w:hideMark/>
          </w:tcPr>
          <w:p w14:paraId="14B65577" w14:textId="77777777" w:rsidR="00A251E7" w:rsidRPr="00A251E7" w:rsidRDefault="00A251E7" w:rsidP="00A251E7">
            <w:pPr>
              <w:autoSpaceDE/>
              <w:autoSpaceDN/>
              <w:adjustRightInd/>
              <w:rPr>
                <w:color w:val="000000"/>
                <w:sz w:val="18"/>
                <w:szCs w:val="18"/>
              </w:rPr>
            </w:pPr>
            <w:r w:rsidRPr="00A251E7">
              <w:rPr>
                <w:color w:val="000000"/>
                <w:sz w:val="18"/>
                <w:szCs w:val="18"/>
              </w:rPr>
              <w:t>BLS ECEC, Private Manufacturing industries, “Professional and related“</w:t>
            </w:r>
          </w:p>
        </w:tc>
        <w:tc>
          <w:tcPr>
            <w:tcW w:w="775" w:type="dxa"/>
            <w:tcBorders>
              <w:top w:val="nil"/>
              <w:left w:val="nil"/>
              <w:bottom w:val="single" w:sz="8" w:space="0" w:color="auto"/>
              <w:right w:val="single" w:sz="8" w:space="0" w:color="auto"/>
            </w:tcBorders>
            <w:shd w:val="clear" w:color="auto" w:fill="auto"/>
            <w:vAlign w:val="center"/>
            <w:hideMark/>
          </w:tcPr>
          <w:p w14:paraId="31F973F9" w14:textId="77777777" w:rsidR="00A251E7" w:rsidRPr="00A251E7" w:rsidRDefault="00A251E7" w:rsidP="00A251E7">
            <w:pPr>
              <w:autoSpaceDE/>
              <w:autoSpaceDN/>
              <w:adjustRightInd/>
              <w:jc w:val="center"/>
              <w:rPr>
                <w:color w:val="000000"/>
                <w:sz w:val="18"/>
                <w:szCs w:val="18"/>
              </w:rPr>
            </w:pPr>
            <w:r w:rsidRPr="00A251E7">
              <w:rPr>
                <w:color w:val="000000"/>
                <w:sz w:val="18"/>
                <w:szCs w:val="18"/>
              </w:rPr>
              <w:t>Dec-14</w:t>
            </w:r>
          </w:p>
        </w:tc>
        <w:tc>
          <w:tcPr>
            <w:tcW w:w="937" w:type="dxa"/>
            <w:tcBorders>
              <w:top w:val="nil"/>
              <w:left w:val="nil"/>
              <w:bottom w:val="single" w:sz="8" w:space="0" w:color="auto"/>
              <w:right w:val="single" w:sz="8" w:space="0" w:color="auto"/>
            </w:tcBorders>
            <w:shd w:val="clear" w:color="auto" w:fill="auto"/>
            <w:vAlign w:val="center"/>
            <w:hideMark/>
          </w:tcPr>
          <w:p w14:paraId="49E2E4B5" w14:textId="77777777" w:rsidR="00A251E7" w:rsidRPr="00A251E7" w:rsidRDefault="00A251E7" w:rsidP="00A251E7">
            <w:pPr>
              <w:autoSpaceDE/>
              <w:autoSpaceDN/>
              <w:adjustRightInd/>
              <w:jc w:val="center"/>
              <w:rPr>
                <w:color w:val="000000"/>
              </w:rPr>
            </w:pPr>
            <w:r w:rsidRPr="00A251E7">
              <w:rPr>
                <w:color w:val="000000"/>
              </w:rPr>
              <w:t xml:space="preserve">$42.19 </w:t>
            </w:r>
          </w:p>
        </w:tc>
        <w:tc>
          <w:tcPr>
            <w:tcW w:w="944" w:type="dxa"/>
            <w:tcBorders>
              <w:top w:val="nil"/>
              <w:left w:val="nil"/>
              <w:bottom w:val="single" w:sz="8" w:space="0" w:color="auto"/>
              <w:right w:val="single" w:sz="8" w:space="0" w:color="auto"/>
            </w:tcBorders>
            <w:shd w:val="clear" w:color="auto" w:fill="auto"/>
            <w:vAlign w:val="center"/>
            <w:hideMark/>
          </w:tcPr>
          <w:p w14:paraId="206CD803" w14:textId="77777777" w:rsidR="00A251E7" w:rsidRPr="00A251E7" w:rsidRDefault="00A251E7" w:rsidP="00A251E7">
            <w:pPr>
              <w:autoSpaceDE/>
              <w:autoSpaceDN/>
              <w:adjustRightInd/>
              <w:jc w:val="center"/>
              <w:rPr>
                <w:color w:val="000000"/>
              </w:rPr>
            </w:pPr>
            <w:r w:rsidRPr="00A251E7">
              <w:rPr>
                <w:color w:val="000000"/>
              </w:rPr>
              <w:t xml:space="preserve">$22.86 </w:t>
            </w:r>
          </w:p>
        </w:tc>
        <w:tc>
          <w:tcPr>
            <w:tcW w:w="1034" w:type="dxa"/>
            <w:tcBorders>
              <w:top w:val="nil"/>
              <w:left w:val="nil"/>
              <w:bottom w:val="single" w:sz="8" w:space="0" w:color="auto"/>
              <w:right w:val="single" w:sz="8" w:space="0" w:color="auto"/>
            </w:tcBorders>
            <w:shd w:val="clear" w:color="auto" w:fill="auto"/>
            <w:vAlign w:val="center"/>
            <w:hideMark/>
          </w:tcPr>
          <w:p w14:paraId="0AA79FEB" w14:textId="77777777" w:rsidR="00A251E7" w:rsidRPr="00A251E7" w:rsidRDefault="00A251E7" w:rsidP="00A251E7">
            <w:pPr>
              <w:autoSpaceDE/>
              <w:autoSpaceDN/>
              <w:adjustRightInd/>
              <w:jc w:val="center"/>
              <w:rPr>
                <w:color w:val="000000"/>
              </w:rPr>
            </w:pPr>
            <w:r w:rsidRPr="00A251E7">
              <w:rPr>
                <w:color w:val="000000"/>
              </w:rPr>
              <w:t>54%</w:t>
            </w:r>
          </w:p>
        </w:tc>
        <w:tc>
          <w:tcPr>
            <w:tcW w:w="1080" w:type="dxa"/>
            <w:tcBorders>
              <w:top w:val="nil"/>
              <w:left w:val="nil"/>
              <w:bottom w:val="single" w:sz="8" w:space="0" w:color="auto"/>
              <w:right w:val="single" w:sz="8" w:space="0" w:color="auto"/>
            </w:tcBorders>
            <w:shd w:val="clear" w:color="auto" w:fill="auto"/>
            <w:vAlign w:val="center"/>
            <w:hideMark/>
          </w:tcPr>
          <w:p w14:paraId="5BAEB005" w14:textId="77777777" w:rsidR="00A251E7" w:rsidRPr="00A251E7" w:rsidRDefault="00A251E7" w:rsidP="00A251E7">
            <w:pPr>
              <w:autoSpaceDE/>
              <w:autoSpaceDN/>
              <w:adjustRightInd/>
              <w:jc w:val="center"/>
              <w:rPr>
                <w:color w:val="000000"/>
              </w:rPr>
            </w:pPr>
            <w:r w:rsidRPr="00A251E7">
              <w:rPr>
                <w:color w:val="000000"/>
              </w:rPr>
              <w:t>17%</w:t>
            </w:r>
          </w:p>
        </w:tc>
        <w:tc>
          <w:tcPr>
            <w:tcW w:w="1170" w:type="dxa"/>
            <w:tcBorders>
              <w:top w:val="nil"/>
              <w:left w:val="nil"/>
              <w:bottom w:val="single" w:sz="8" w:space="0" w:color="auto"/>
              <w:right w:val="single" w:sz="8" w:space="0" w:color="auto"/>
            </w:tcBorders>
            <w:shd w:val="clear" w:color="auto" w:fill="auto"/>
            <w:vAlign w:val="center"/>
            <w:hideMark/>
          </w:tcPr>
          <w:p w14:paraId="57A38BC1" w14:textId="77777777" w:rsidR="00A251E7" w:rsidRPr="00A251E7" w:rsidRDefault="00A251E7" w:rsidP="00A251E7">
            <w:pPr>
              <w:autoSpaceDE/>
              <w:autoSpaceDN/>
              <w:adjustRightInd/>
              <w:jc w:val="center"/>
              <w:rPr>
                <w:color w:val="000000"/>
              </w:rPr>
            </w:pPr>
            <w:r w:rsidRPr="00A251E7">
              <w:rPr>
                <w:color w:val="000000"/>
              </w:rPr>
              <w:t>1.71</w:t>
            </w:r>
          </w:p>
        </w:tc>
        <w:tc>
          <w:tcPr>
            <w:tcW w:w="1170" w:type="dxa"/>
            <w:tcBorders>
              <w:top w:val="nil"/>
              <w:left w:val="nil"/>
              <w:bottom w:val="single" w:sz="8" w:space="0" w:color="auto"/>
              <w:right w:val="single" w:sz="8" w:space="0" w:color="auto"/>
            </w:tcBorders>
            <w:shd w:val="clear" w:color="auto" w:fill="auto"/>
            <w:vAlign w:val="center"/>
            <w:hideMark/>
          </w:tcPr>
          <w:p w14:paraId="38354015" w14:textId="77777777" w:rsidR="00A251E7" w:rsidRPr="00A251E7" w:rsidRDefault="00A251E7" w:rsidP="00A251E7">
            <w:pPr>
              <w:autoSpaceDE/>
              <w:autoSpaceDN/>
              <w:adjustRightInd/>
              <w:jc w:val="center"/>
              <w:rPr>
                <w:color w:val="000000"/>
              </w:rPr>
            </w:pPr>
            <w:r w:rsidRPr="00A251E7">
              <w:rPr>
                <w:color w:val="000000"/>
              </w:rPr>
              <w:t xml:space="preserve">$72.22 </w:t>
            </w:r>
          </w:p>
        </w:tc>
      </w:tr>
      <w:tr w:rsidR="00A251E7" w:rsidRPr="00A251E7" w14:paraId="767CCED3" w14:textId="77777777" w:rsidTr="00AD30AB">
        <w:trPr>
          <w:trHeight w:val="1410"/>
        </w:trPr>
        <w:tc>
          <w:tcPr>
            <w:tcW w:w="1270" w:type="dxa"/>
            <w:tcBorders>
              <w:top w:val="nil"/>
              <w:left w:val="single" w:sz="8" w:space="0" w:color="auto"/>
              <w:bottom w:val="single" w:sz="8" w:space="0" w:color="auto"/>
              <w:right w:val="single" w:sz="8" w:space="0" w:color="auto"/>
            </w:tcBorders>
            <w:shd w:val="clear" w:color="auto" w:fill="auto"/>
            <w:vAlign w:val="center"/>
            <w:hideMark/>
          </w:tcPr>
          <w:p w14:paraId="01BAF190" w14:textId="77777777" w:rsidR="00A251E7" w:rsidRPr="00A251E7" w:rsidRDefault="00A251E7" w:rsidP="00A251E7">
            <w:pPr>
              <w:autoSpaceDE/>
              <w:autoSpaceDN/>
              <w:adjustRightInd/>
              <w:rPr>
                <w:color w:val="000000"/>
                <w:sz w:val="18"/>
                <w:szCs w:val="18"/>
              </w:rPr>
            </w:pPr>
            <w:r w:rsidRPr="00A251E7">
              <w:rPr>
                <w:color w:val="000000"/>
                <w:sz w:val="18"/>
                <w:szCs w:val="18"/>
              </w:rPr>
              <w:t>Clerical</w:t>
            </w:r>
          </w:p>
        </w:tc>
        <w:tc>
          <w:tcPr>
            <w:tcW w:w="1440" w:type="dxa"/>
            <w:tcBorders>
              <w:top w:val="nil"/>
              <w:left w:val="nil"/>
              <w:bottom w:val="single" w:sz="8" w:space="0" w:color="auto"/>
              <w:right w:val="single" w:sz="8" w:space="0" w:color="auto"/>
            </w:tcBorders>
            <w:shd w:val="clear" w:color="auto" w:fill="auto"/>
            <w:vAlign w:val="center"/>
            <w:hideMark/>
          </w:tcPr>
          <w:p w14:paraId="7BD1D72F" w14:textId="77777777" w:rsidR="00A251E7" w:rsidRPr="00A251E7" w:rsidRDefault="00A251E7" w:rsidP="00A251E7">
            <w:pPr>
              <w:autoSpaceDE/>
              <w:autoSpaceDN/>
              <w:adjustRightInd/>
              <w:rPr>
                <w:color w:val="000000"/>
                <w:sz w:val="18"/>
                <w:szCs w:val="18"/>
              </w:rPr>
            </w:pPr>
            <w:r w:rsidRPr="00A251E7">
              <w:rPr>
                <w:color w:val="000000"/>
                <w:sz w:val="18"/>
                <w:szCs w:val="18"/>
              </w:rPr>
              <w:t>BLS ECEC, Private Manufacturing industries, “Office and Administrative Support”</w:t>
            </w:r>
          </w:p>
        </w:tc>
        <w:tc>
          <w:tcPr>
            <w:tcW w:w="775" w:type="dxa"/>
            <w:tcBorders>
              <w:top w:val="nil"/>
              <w:left w:val="nil"/>
              <w:bottom w:val="single" w:sz="8" w:space="0" w:color="auto"/>
              <w:right w:val="single" w:sz="8" w:space="0" w:color="auto"/>
            </w:tcBorders>
            <w:shd w:val="clear" w:color="auto" w:fill="auto"/>
            <w:vAlign w:val="center"/>
            <w:hideMark/>
          </w:tcPr>
          <w:p w14:paraId="3C3916EB" w14:textId="77777777" w:rsidR="00A251E7" w:rsidRPr="00A251E7" w:rsidRDefault="00A251E7" w:rsidP="00A251E7">
            <w:pPr>
              <w:autoSpaceDE/>
              <w:autoSpaceDN/>
              <w:adjustRightInd/>
              <w:jc w:val="center"/>
              <w:rPr>
                <w:color w:val="000000"/>
                <w:sz w:val="18"/>
                <w:szCs w:val="18"/>
              </w:rPr>
            </w:pPr>
            <w:r w:rsidRPr="00A251E7">
              <w:rPr>
                <w:color w:val="000000"/>
                <w:sz w:val="18"/>
                <w:szCs w:val="18"/>
              </w:rPr>
              <w:t>Dec-14</w:t>
            </w:r>
          </w:p>
        </w:tc>
        <w:tc>
          <w:tcPr>
            <w:tcW w:w="937" w:type="dxa"/>
            <w:tcBorders>
              <w:top w:val="nil"/>
              <w:left w:val="nil"/>
              <w:bottom w:val="single" w:sz="8" w:space="0" w:color="auto"/>
              <w:right w:val="single" w:sz="8" w:space="0" w:color="auto"/>
            </w:tcBorders>
            <w:shd w:val="clear" w:color="auto" w:fill="auto"/>
            <w:vAlign w:val="center"/>
            <w:hideMark/>
          </w:tcPr>
          <w:p w14:paraId="753114E7" w14:textId="77777777" w:rsidR="00A251E7" w:rsidRPr="00A251E7" w:rsidRDefault="00A251E7" w:rsidP="00A251E7">
            <w:pPr>
              <w:autoSpaceDE/>
              <w:autoSpaceDN/>
              <w:adjustRightInd/>
              <w:jc w:val="center"/>
              <w:rPr>
                <w:color w:val="000000"/>
              </w:rPr>
            </w:pPr>
            <w:r w:rsidRPr="00A251E7">
              <w:rPr>
                <w:color w:val="000000"/>
              </w:rPr>
              <w:t xml:space="preserve">$18.68 </w:t>
            </w:r>
          </w:p>
        </w:tc>
        <w:tc>
          <w:tcPr>
            <w:tcW w:w="944" w:type="dxa"/>
            <w:tcBorders>
              <w:top w:val="nil"/>
              <w:left w:val="nil"/>
              <w:bottom w:val="single" w:sz="8" w:space="0" w:color="auto"/>
              <w:right w:val="single" w:sz="8" w:space="0" w:color="auto"/>
            </w:tcBorders>
            <w:shd w:val="clear" w:color="auto" w:fill="auto"/>
            <w:vAlign w:val="center"/>
            <w:hideMark/>
          </w:tcPr>
          <w:p w14:paraId="76FBD275" w14:textId="77777777" w:rsidR="00A251E7" w:rsidRPr="00A251E7" w:rsidRDefault="00A251E7" w:rsidP="00A251E7">
            <w:pPr>
              <w:autoSpaceDE/>
              <w:autoSpaceDN/>
              <w:adjustRightInd/>
              <w:jc w:val="center"/>
              <w:rPr>
                <w:color w:val="000000"/>
              </w:rPr>
            </w:pPr>
            <w:r w:rsidRPr="00A251E7">
              <w:rPr>
                <w:color w:val="000000"/>
              </w:rPr>
              <w:t xml:space="preserve">$9.40 </w:t>
            </w:r>
          </w:p>
        </w:tc>
        <w:tc>
          <w:tcPr>
            <w:tcW w:w="1034" w:type="dxa"/>
            <w:tcBorders>
              <w:top w:val="nil"/>
              <w:left w:val="nil"/>
              <w:bottom w:val="single" w:sz="8" w:space="0" w:color="auto"/>
              <w:right w:val="single" w:sz="8" w:space="0" w:color="auto"/>
            </w:tcBorders>
            <w:shd w:val="clear" w:color="auto" w:fill="auto"/>
            <w:vAlign w:val="center"/>
            <w:hideMark/>
          </w:tcPr>
          <w:p w14:paraId="35C5CBF7" w14:textId="77777777" w:rsidR="00A251E7" w:rsidRPr="00A251E7" w:rsidRDefault="00A251E7" w:rsidP="00A251E7">
            <w:pPr>
              <w:autoSpaceDE/>
              <w:autoSpaceDN/>
              <w:adjustRightInd/>
              <w:jc w:val="center"/>
              <w:rPr>
                <w:color w:val="000000"/>
              </w:rPr>
            </w:pPr>
            <w:r w:rsidRPr="00A251E7">
              <w:rPr>
                <w:color w:val="000000"/>
              </w:rPr>
              <w:t>50%</w:t>
            </w:r>
          </w:p>
        </w:tc>
        <w:tc>
          <w:tcPr>
            <w:tcW w:w="1080" w:type="dxa"/>
            <w:tcBorders>
              <w:top w:val="nil"/>
              <w:left w:val="nil"/>
              <w:bottom w:val="single" w:sz="8" w:space="0" w:color="auto"/>
              <w:right w:val="single" w:sz="8" w:space="0" w:color="auto"/>
            </w:tcBorders>
            <w:shd w:val="clear" w:color="auto" w:fill="auto"/>
            <w:vAlign w:val="center"/>
            <w:hideMark/>
          </w:tcPr>
          <w:p w14:paraId="002E8725" w14:textId="77777777" w:rsidR="00A251E7" w:rsidRPr="00A251E7" w:rsidRDefault="00A251E7" w:rsidP="00A251E7">
            <w:pPr>
              <w:autoSpaceDE/>
              <w:autoSpaceDN/>
              <w:adjustRightInd/>
              <w:jc w:val="center"/>
              <w:rPr>
                <w:color w:val="000000"/>
              </w:rPr>
            </w:pPr>
            <w:r w:rsidRPr="00A251E7">
              <w:rPr>
                <w:color w:val="000000"/>
              </w:rPr>
              <w:t>17%</w:t>
            </w:r>
          </w:p>
        </w:tc>
        <w:tc>
          <w:tcPr>
            <w:tcW w:w="1170" w:type="dxa"/>
            <w:tcBorders>
              <w:top w:val="nil"/>
              <w:left w:val="nil"/>
              <w:bottom w:val="single" w:sz="8" w:space="0" w:color="auto"/>
              <w:right w:val="single" w:sz="8" w:space="0" w:color="auto"/>
            </w:tcBorders>
            <w:shd w:val="clear" w:color="auto" w:fill="auto"/>
            <w:vAlign w:val="center"/>
            <w:hideMark/>
          </w:tcPr>
          <w:p w14:paraId="140343B3" w14:textId="77777777" w:rsidR="00A251E7" w:rsidRPr="00A251E7" w:rsidRDefault="00A251E7" w:rsidP="00A251E7">
            <w:pPr>
              <w:autoSpaceDE/>
              <w:autoSpaceDN/>
              <w:adjustRightInd/>
              <w:jc w:val="center"/>
              <w:rPr>
                <w:color w:val="000000"/>
              </w:rPr>
            </w:pPr>
            <w:r w:rsidRPr="00A251E7">
              <w:rPr>
                <w:color w:val="000000"/>
              </w:rPr>
              <w:t>1.67</w:t>
            </w:r>
          </w:p>
        </w:tc>
        <w:tc>
          <w:tcPr>
            <w:tcW w:w="1170" w:type="dxa"/>
            <w:tcBorders>
              <w:top w:val="nil"/>
              <w:left w:val="nil"/>
              <w:bottom w:val="single" w:sz="8" w:space="0" w:color="auto"/>
              <w:right w:val="single" w:sz="8" w:space="0" w:color="auto"/>
            </w:tcBorders>
            <w:shd w:val="clear" w:color="auto" w:fill="auto"/>
            <w:vAlign w:val="center"/>
            <w:hideMark/>
          </w:tcPr>
          <w:p w14:paraId="5C48F8C7" w14:textId="77777777" w:rsidR="00A251E7" w:rsidRPr="00A251E7" w:rsidRDefault="00A251E7" w:rsidP="00A251E7">
            <w:pPr>
              <w:autoSpaceDE/>
              <w:autoSpaceDN/>
              <w:adjustRightInd/>
              <w:jc w:val="center"/>
              <w:rPr>
                <w:color w:val="000000"/>
              </w:rPr>
            </w:pPr>
            <w:r w:rsidRPr="00A251E7">
              <w:rPr>
                <w:color w:val="000000"/>
              </w:rPr>
              <w:t xml:space="preserve">$31.26 </w:t>
            </w:r>
          </w:p>
        </w:tc>
      </w:tr>
      <w:tr w:rsidR="00A251E7" w:rsidRPr="00A251E7" w14:paraId="77B9E96D" w14:textId="77777777" w:rsidTr="00AD30AB">
        <w:trPr>
          <w:trHeight w:val="300"/>
        </w:trPr>
        <w:tc>
          <w:tcPr>
            <w:tcW w:w="9820" w:type="dxa"/>
            <w:gridSpan w:val="9"/>
            <w:tcBorders>
              <w:top w:val="single" w:sz="8" w:space="0" w:color="auto"/>
              <w:left w:val="single" w:sz="8" w:space="0" w:color="auto"/>
              <w:bottom w:val="nil"/>
              <w:right w:val="single" w:sz="8" w:space="0" w:color="000000"/>
            </w:tcBorders>
            <w:shd w:val="clear" w:color="auto" w:fill="auto"/>
            <w:vAlign w:val="center"/>
            <w:hideMark/>
          </w:tcPr>
          <w:p w14:paraId="2D177395" w14:textId="77777777" w:rsidR="00A251E7" w:rsidRPr="00A251E7" w:rsidRDefault="00A251E7" w:rsidP="00A251E7">
            <w:pPr>
              <w:autoSpaceDE/>
              <w:autoSpaceDN/>
              <w:adjustRightInd/>
              <w:rPr>
                <w:b/>
                <w:bCs/>
                <w:color w:val="000000"/>
                <w:sz w:val="18"/>
                <w:szCs w:val="18"/>
              </w:rPr>
            </w:pPr>
            <w:r w:rsidRPr="00A251E7">
              <w:rPr>
                <w:b/>
                <w:bCs/>
                <w:color w:val="000000"/>
                <w:sz w:val="18"/>
                <w:szCs w:val="18"/>
              </w:rPr>
              <w:t>Footnotes</w:t>
            </w:r>
          </w:p>
        </w:tc>
      </w:tr>
      <w:tr w:rsidR="00A251E7" w:rsidRPr="00A251E7" w14:paraId="675D486E" w14:textId="77777777" w:rsidTr="00AD30AB">
        <w:trPr>
          <w:trHeight w:val="585"/>
        </w:trPr>
        <w:tc>
          <w:tcPr>
            <w:tcW w:w="9820" w:type="dxa"/>
            <w:gridSpan w:val="9"/>
            <w:tcBorders>
              <w:top w:val="nil"/>
              <w:left w:val="single" w:sz="8" w:space="0" w:color="auto"/>
              <w:bottom w:val="nil"/>
              <w:right w:val="single" w:sz="8" w:space="0" w:color="000000"/>
            </w:tcBorders>
            <w:shd w:val="clear" w:color="auto" w:fill="auto"/>
            <w:vAlign w:val="center"/>
            <w:hideMark/>
          </w:tcPr>
          <w:p w14:paraId="323CF3AF" w14:textId="77777777" w:rsidR="00A251E7" w:rsidRPr="00A251E7" w:rsidRDefault="00A251E7" w:rsidP="00A251E7">
            <w:pPr>
              <w:autoSpaceDE/>
              <w:autoSpaceDN/>
              <w:adjustRightInd/>
              <w:rPr>
                <w:color w:val="000000"/>
                <w:sz w:val="18"/>
                <w:szCs w:val="18"/>
              </w:rPr>
            </w:pPr>
            <w:r w:rsidRPr="00A251E7">
              <w:rPr>
                <w:color w:val="000000"/>
                <w:sz w:val="18"/>
                <w:szCs w:val="18"/>
                <w:vertAlign w:val="superscript"/>
              </w:rPr>
              <w:t>a</w:t>
            </w:r>
            <w:r w:rsidRPr="00A251E7">
              <w:rPr>
                <w:color w:val="000000"/>
                <w:sz w:val="18"/>
                <w:szCs w:val="18"/>
              </w:rPr>
              <w:t xml:space="preserve"> Source: </w:t>
            </w:r>
            <w:r w:rsidRPr="00A251E7">
              <w:rPr>
                <w:i/>
                <w:iCs/>
                <w:color w:val="000000"/>
                <w:sz w:val="18"/>
                <w:szCs w:val="18"/>
              </w:rPr>
              <w:t>Employer Costs for Employee Compensation Supplementary Tables: December 2006 – December 2014</w:t>
            </w:r>
            <w:r w:rsidRPr="00A251E7">
              <w:rPr>
                <w:color w:val="000000"/>
                <w:sz w:val="18"/>
                <w:szCs w:val="18"/>
              </w:rPr>
              <w:t xml:space="preserve"> (U.S. Bureau of Labor Statistics, 2015).</w:t>
            </w:r>
          </w:p>
        </w:tc>
      </w:tr>
      <w:tr w:rsidR="00A251E7" w:rsidRPr="00A251E7" w14:paraId="0EF38658" w14:textId="77777777" w:rsidTr="00AD30AB">
        <w:trPr>
          <w:trHeight w:val="720"/>
        </w:trPr>
        <w:tc>
          <w:tcPr>
            <w:tcW w:w="9820" w:type="dxa"/>
            <w:gridSpan w:val="9"/>
            <w:tcBorders>
              <w:top w:val="nil"/>
              <w:left w:val="single" w:sz="8" w:space="0" w:color="auto"/>
              <w:bottom w:val="nil"/>
              <w:right w:val="single" w:sz="8" w:space="0" w:color="000000"/>
            </w:tcBorders>
            <w:shd w:val="clear" w:color="auto" w:fill="auto"/>
            <w:vAlign w:val="center"/>
            <w:hideMark/>
          </w:tcPr>
          <w:p w14:paraId="00B08539" w14:textId="77777777" w:rsidR="00A251E7" w:rsidRPr="00A251E7" w:rsidRDefault="00A251E7" w:rsidP="00A251E7">
            <w:pPr>
              <w:autoSpaceDE/>
              <w:autoSpaceDN/>
              <w:adjustRightInd/>
              <w:rPr>
                <w:color w:val="000000"/>
                <w:sz w:val="18"/>
                <w:szCs w:val="18"/>
              </w:rPr>
            </w:pPr>
            <w:r w:rsidRPr="00A251E7">
              <w:rPr>
                <w:color w:val="000000"/>
                <w:sz w:val="18"/>
                <w:szCs w:val="18"/>
                <w:vertAlign w:val="superscript"/>
              </w:rPr>
              <w:t>b</w:t>
            </w:r>
            <w:r w:rsidRPr="00A251E7">
              <w:rPr>
                <w:color w:val="000000"/>
                <w:sz w:val="18"/>
                <w:szCs w:val="18"/>
              </w:rPr>
              <w:t xml:space="preserve"> An overhead rate of 17% is used based on assumptions in </w:t>
            </w:r>
            <w:r w:rsidRPr="00A251E7">
              <w:rPr>
                <w:i/>
                <w:iCs/>
                <w:color w:val="000000"/>
                <w:sz w:val="18"/>
                <w:szCs w:val="18"/>
              </w:rPr>
              <w:t xml:space="preserve">Wage Rates for Economic Analysis of the Toxics Release Inventory Program </w:t>
            </w:r>
            <w:r w:rsidRPr="00A251E7">
              <w:rPr>
                <w:color w:val="000000"/>
                <w:sz w:val="18"/>
                <w:szCs w:val="18"/>
              </w:rPr>
              <w:t xml:space="preserve">(Rice, 2002), and the </w:t>
            </w:r>
            <w:r w:rsidRPr="00A251E7">
              <w:rPr>
                <w:i/>
                <w:iCs/>
                <w:color w:val="000000"/>
                <w:sz w:val="18"/>
                <w:szCs w:val="18"/>
              </w:rPr>
              <w:t xml:space="preserve">Revised Economic Analysis for the Amended Inventory Update Rule: Final Report </w:t>
            </w:r>
            <w:r w:rsidRPr="00A251E7">
              <w:rPr>
                <w:color w:val="000000"/>
                <w:sz w:val="18"/>
                <w:szCs w:val="18"/>
              </w:rPr>
              <w:t>(U.S. EPA, 2002).</w:t>
            </w:r>
          </w:p>
        </w:tc>
      </w:tr>
      <w:tr w:rsidR="00A251E7" w:rsidRPr="00A251E7" w14:paraId="4E61E82E" w14:textId="77777777" w:rsidTr="00AD30AB">
        <w:trPr>
          <w:trHeight w:val="450"/>
        </w:trPr>
        <w:tc>
          <w:tcPr>
            <w:tcW w:w="9820" w:type="dxa"/>
            <w:gridSpan w:val="9"/>
            <w:tcBorders>
              <w:top w:val="nil"/>
              <w:left w:val="single" w:sz="8" w:space="0" w:color="auto"/>
              <w:bottom w:val="nil"/>
              <w:right w:val="single" w:sz="8" w:space="0" w:color="000000"/>
            </w:tcBorders>
            <w:shd w:val="clear" w:color="auto" w:fill="auto"/>
            <w:vAlign w:val="center"/>
            <w:hideMark/>
          </w:tcPr>
          <w:p w14:paraId="2F759F02" w14:textId="77777777" w:rsidR="00A251E7" w:rsidRPr="00A251E7" w:rsidRDefault="00A251E7" w:rsidP="00A251E7">
            <w:pPr>
              <w:autoSpaceDE/>
              <w:autoSpaceDN/>
              <w:adjustRightInd/>
              <w:rPr>
                <w:color w:val="000000"/>
                <w:sz w:val="18"/>
                <w:szCs w:val="18"/>
              </w:rPr>
            </w:pPr>
            <w:r w:rsidRPr="00A251E7">
              <w:rPr>
                <w:color w:val="000000"/>
                <w:sz w:val="18"/>
                <w:szCs w:val="18"/>
                <w:vertAlign w:val="superscript"/>
              </w:rPr>
              <w:t>c</w:t>
            </w:r>
            <w:r w:rsidRPr="00A251E7">
              <w:rPr>
                <w:color w:val="000000"/>
                <w:sz w:val="18"/>
                <w:szCs w:val="18"/>
              </w:rPr>
              <w:t xml:space="preserve"> The inflation factor of “1” in the formula for calculating the fringe + overhead factor means wage data are not escalated to reflect inflation.</w:t>
            </w:r>
          </w:p>
        </w:tc>
      </w:tr>
      <w:tr w:rsidR="00A251E7" w:rsidRPr="00A251E7" w14:paraId="4A3D55C8" w14:textId="77777777" w:rsidTr="00AD30AB">
        <w:trPr>
          <w:trHeight w:val="315"/>
        </w:trPr>
        <w:tc>
          <w:tcPr>
            <w:tcW w:w="9820" w:type="dxa"/>
            <w:gridSpan w:val="9"/>
            <w:tcBorders>
              <w:top w:val="nil"/>
              <w:left w:val="single" w:sz="8" w:space="0" w:color="auto"/>
              <w:bottom w:val="single" w:sz="8" w:space="0" w:color="auto"/>
              <w:right w:val="single" w:sz="8" w:space="0" w:color="000000"/>
            </w:tcBorders>
            <w:shd w:val="clear" w:color="auto" w:fill="auto"/>
            <w:vAlign w:val="center"/>
            <w:hideMark/>
          </w:tcPr>
          <w:p w14:paraId="1D1503BE" w14:textId="77777777" w:rsidR="00A251E7" w:rsidRPr="00A251E7" w:rsidRDefault="00A251E7" w:rsidP="00A251E7">
            <w:pPr>
              <w:autoSpaceDE/>
              <w:autoSpaceDN/>
              <w:adjustRightInd/>
              <w:rPr>
                <w:color w:val="000000"/>
                <w:sz w:val="18"/>
                <w:szCs w:val="18"/>
              </w:rPr>
            </w:pPr>
            <w:r w:rsidRPr="00A251E7">
              <w:rPr>
                <w:color w:val="000000"/>
                <w:sz w:val="18"/>
                <w:szCs w:val="18"/>
                <w:vertAlign w:val="superscript"/>
              </w:rPr>
              <w:t>d</w:t>
            </w:r>
            <w:r w:rsidRPr="00A251E7">
              <w:rPr>
                <w:color w:val="000000"/>
                <w:sz w:val="18"/>
                <w:szCs w:val="18"/>
              </w:rPr>
              <w:t xml:space="preserve"> Wage data are rounded to the closest cent in this analysis.</w:t>
            </w:r>
          </w:p>
        </w:tc>
      </w:tr>
    </w:tbl>
    <w:p w14:paraId="40EA9F3A" w14:textId="0E9FD39B" w:rsidR="00E94A09" w:rsidRDefault="00E94A09" w:rsidP="00AD30AB">
      <w:pPr>
        <w:numPr>
          <w:ilvl w:val="12"/>
          <w:numId w:val="0"/>
        </w:numPr>
        <w:rPr>
          <w:sz w:val="24"/>
          <w:szCs w:val="24"/>
        </w:rPr>
      </w:pPr>
    </w:p>
    <w:p w14:paraId="0F15B5FF" w14:textId="2AA4F546" w:rsidR="00A511CE" w:rsidRDefault="00A511CE">
      <w:pPr>
        <w:autoSpaceDE/>
        <w:autoSpaceDN/>
        <w:adjustRightInd/>
        <w:spacing w:after="200" w:line="276" w:lineRule="auto"/>
        <w:rPr>
          <w:sz w:val="24"/>
          <w:szCs w:val="24"/>
        </w:rPr>
      </w:pPr>
      <w:r>
        <w:rPr>
          <w:sz w:val="24"/>
          <w:szCs w:val="24"/>
        </w:rPr>
        <w:br w:type="page"/>
      </w:r>
    </w:p>
    <w:tbl>
      <w:tblPr>
        <w:tblW w:w="0" w:type="auto"/>
        <w:tblInd w:w="95" w:type="dxa"/>
        <w:tblLook w:val="04A0" w:firstRow="1" w:lastRow="0" w:firstColumn="1" w:lastColumn="0" w:noHBand="0" w:noVBand="1"/>
      </w:tblPr>
      <w:tblGrid>
        <w:gridCol w:w="2940"/>
        <w:gridCol w:w="35"/>
        <w:gridCol w:w="1170"/>
        <w:gridCol w:w="995"/>
        <w:gridCol w:w="1165"/>
        <w:gridCol w:w="1155"/>
        <w:gridCol w:w="1005"/>
        <w:gridCol w:w="1265"/>
        <w:gridCol w:w="58"/>
      </w:tblGrid>
      <w:tr w:rsidR="00F032C9" w:rsidRPr="00F032C9" w14:paraId="04CE805E" w14:textId="77777777" w:rsidTr="00AD30AB">
        <w:trPr>
          <w:trHeight w:val="660"/>
        </w:trPr>
        <w:tc>
          <w:tcPr>
            <w:tcW w:w="978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0767E" w14:textId="77777777" w:rsidR="00F032C9" w:rsidRPr="00D07928" w:rsidRDefault="00F032C9" w:rsidP="00F032C9">
            <w:pPr>
              <w:autoSpaceDE/>
              <w:autoSpaceDN/>
              <w:adjustRightInd/>
              <w:rPr>
                <w:b/>
                <w:bCs/>
                <w:color w:val="000000"/>
              </w:rPr>
            </w:pPr>
            <w:r w:rsidRPr="00D07928">
              <w:rPr>
                <w:b/>
                <w:bCs/>
                <w:color w:val="000000"/>
              </w:rPr>
              <w:t xml:space="preserve">TABLE 4: ANNUAL COST PER RESPONDENT FACILITY </w:t>
            </w:r>
          </w:p>
        </w:tc>
      </w:tr>
      <w:tr w:rsidR="00F032C9" w:rsidRPr="00F032C9" w14:paraId="2D326B06" w14:textId="77777777" w:rsidTr="00AD30AB">
        <w:trPr>
          <w:trHeight w:val="330"/>
        </w:trPr>
        <w:tc>
          <w:tcPr>
            <w:tcW w:w="2975" w:type="dxa"/>
            <w:gridSpan w:val="2"/>
            <w:vMerge w:val="restart"/>
            <w:tcBorders>
              <w:top w:val="nil"/>
              <w:left w:val="single" w:sz="8" w:space="0" w:color="000000"/>
              <w:bottom w:val="nil"/>
              <w:right w:val="single" w:sz="8" w:space="0" w:color="000000"/>
            </w:tcBorders>
            <w:shd w:val="clear" w:color="auto" w:fill="auto"/>
            <w:vAlign w:val="center"/>
            <w:hideMark/>
          </w:tcPr>
          <w:p w14:paraId="011F394B" w14:textId="77777777" w:rsidR="00F032C9" w:rsidRPr="00D07928" w:rsidRDefault="00F032C9" w:rsidP="00F032C9">
            <w:pPr>
              <w:autoSpaceDE/>
              <w:autoSpaceDN/>
              <w:adjustRightInd/>
              <w:rPr>
                <w:color w:val="000000"/>
              </w:rPr>
            </w:pPr>
            <w:r w:rsidRPr="00D07928">
              <w:rPr>
                <w:color w:val="000000"/>
              </w:rPr>
              <w:t>ACTIVITY</w:t>
            </w:r>
          </w:p>
        </w:tc>
        <w:tc>
          <w:tcPr>
            <w:tcW w:w="1170" w:type="dxa"/>
            <w:tcBorders>
              <w:top w:val="nil"/>
              <w:left w:val="nil"/>
              <w:bottom w:val="nil"/>
              <w:right w:val="nil"/>
            </w:tcBorders>
            <w:shd w:val="clear" w:color="auto" w:fill="auto"/>
            <w:vAlign w:val="center"/>
            <w:hideMark/>
          </w:tcPr>
          <w:p w14:paraId="25E5ACFE" w14:textId="4A661989" w:rsidR="00F032C9" w:rsidRPr="00D07928" w:rsidRDefault="00F032C9" w:rsidP="00F032C9">
            <w:pPr>
              <w:autoSpaceDE/>
              <w:autoSpaceDN/>
              <w:adjustRightInd/>
              <w:rPr>
                <w:color w:val="000000"/>
              </w:rPr>
            </w:pPr>
          </w:p>
        </w:tc>
        <w:tc>
          <w:tcPr>
            <w:tcW w:w="5643"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2A4F55" w14:textId="77777777" w:rsidR="00F032C9" w:rsidRPr="00D07928" w:rsidRDefault="00F032C9" w:rsidP="00F032C9">
            <w:pPr>
              <w:autoSpaceDE/>
              <w:autoSpaceDN/>
              <w:adjustRightInd/>
              <w:jc w:val="center"/>
              <w:rPr>
                <w:color w:val="000000"/>
              </w:rPr>
            </w:pPr>
            <w:r w:rsidRPr="00D07928">
              <w:rPr>
                <w:color w:val="000000"/>
              </w:rPr>
              <w:t>ANNUAL COST</w:t>
            </w:r>
          </w:p>
        </w:tc>
      </w:tr>
      <w:tr w:rsidR="00491B83" w:rsidRPr="00F032C9" w14:paraId="6F81451C" w14:textId="77777777" w:rsidTr="00491B83">
        <w:trPr>
          <w:trHeight w:val="600"/>
        </w:trPr>
        <w:tc>
          <w:tcPr>
            <w:tcW w:w="2975" w:type="dxa"/>
            <w:gridSpan w:val="2"/>
            <w:vMerge/>
            <w:tcBorders>
              <w:top w:val="nil"/>
              <w:left w:val="single" w:sz="8" w:space="0" w:color="000000"/>
              <w:bottom w:val="nil"/>
              <w:right w:val="single" w:sz="8" w:space="0" w:color="000000"/>
            </w:tcBorders>
            <w:vAlign w:val="center"/>
            <w:hideMark/>
          </w:tcPr>
          <w:p w14:paraId="0240A012" w14:textId="77777777" w:rsidR="00F032C9" w:rsidRPr="00D07928" w:rsidRDefault="00F032C9" w:rsidP="00F032C9">
            <w:pPr>
              <w:autoSpaceDE/>
              <w:autoSpaceDN/>
              <w:adjustRightInd/>
              <w:rPr>
                <w:color w:val="000000"/>
              </w:rPr>
            </w:pPr>
          </w:p>
        </w:tc>
        <w:tc>
          <w:tcPr>
            <w:tcW w:w="1170" w:type="dxa"/>
            <w:tcBorders>
              <w:top w:val="nil"/>
              <w:left w:val="nil"/>
              <w:bottom w:val="nil"/>
              <w:right w:val="nil"/>
            </w:tcBorders>
            <w:shd w:val="clear" w:color="auto" w:fill="auto"/>
            <w:vAlign w:val="center"/>
            <w:hideMark/>
          </w:tcPr>
          <w:p w14:paraId="044992AF" w14:textId="77777777" w:rsidR="00F032C9" w:rsidRPr="00D07928" w:rsidRDefault="00F032C9" w:rsidP="00F032C9">
            <w:pPr>
              <w:autoSpaceDE/>
              <w:autoSpaceDN/>
              <w:adjustRightInd/>
              <w:jc w:val="center"/>
              <w:rPr>
                <w:color w:val="000000"/>
              </w:rPr>
            </w:pPr>
            <w:r w:rsidRPr="00D07928">
              <w:rPr>
                <w:color w:val="000000"/>
              </w:rPr>
              <w:t>Unit of Analysis</w:t>
            </w:r>
          </w:p>
        </w:tc>
        <w:tc>
          <w:tcPr>
            <w:tcW w:w="2160" w:type="dxa"/>
            <w:gridSpan w:val="2"/>
            <w:tcBorders>
              <w:top w:val="nil"/>
              <w:left w:val="single" w:sz="8" w:space="0" w:color="000000"/>
              <w:bottom w:val="nil"/>
              <w:right w:val="nil"/>
            </w:tcBorders>
            <w:shd w:val="clear" w:color="auto" w:fill="auto"/>
            <w:vAlign w:val="center"/>
            <w:hideMark/>
          </w:tcPr>
          <w:p w14:paraId="158CE346" w14:textId="77777777" w:rsidR="00F032C9" w:rsidRPr="00D07928" w:rsidRDefault="00F032C9" w:rsidP="00F032C9">
            <w:pPr>
              <w:autoSpaceDE/>
              <w:autoSpaceDN/>
              <w:adjustRightInd/>
              <w:jc w:val="center"/>
              <w:rPr>
                <w:color w:val="000000"/>
              </w:rPr>
            </w:pPr>
            <w:r w:rsidRPr="00D07928">
              <w:rPr>
                <w:color w:val="000000"/>
              </w:rPr>
              <w:t>TECHNICAL                Wage Rate (per hour)</w:t>
            </w:r>
          </w:p>
        </w:tc>
        <w:tc>
          <w:tcPr>
            <w:tcW w:w="2160" w:type="dxa"/>
            <w:gridSpan w:val="2"/>
            <w:tcBorders>
              <w:top w:val="nil"/>
              <w:left w:val="single" w:sz="8" w:space="0" w:color="000000"/>
              <w:bottom w:val="nil"/>
              <w:right w:val="nil"/>
            </w:tcBorders>
            <w:shd w:val="clear" w:color="auto" w:fill="auto"/>
            <w:vAlign w:val="center"/>
            <w:hideMark/>
          </w:tcPr>
          <w:p w14:paraId="58F7B889" w14:textId="77777777" w:rsidR="00F032C9" w:rsidRPr="00D07928" w:rsidRDefault="00F032C9" w:rsidP="00F032C9">
            <w:pPr>
              <w:autoSpaceDE/>
              <w:autoSpaceDN/>
              <w:adjustRightInd/>
              <w:jc w:val="center"/>
              <w:rPr>
                <w:color w:val="000000"/>
              </w:rPr>
            </w:pPr>
            <w:r w:rsidRPr="00D07928">
              <w:rPr>
                <w:color w:val="000000"/>
              </w:rPr>
              <w:t>CLERICAL                Wage Rate (per hour)</w:t>
            </w:r>
          </w:p>
        </w:tc>
        <w:tc>
          <w:tcPr>
            <w:tcW w:w="1323" w:type="dxa"/>
            <w:gridSpan w:val="2"/>
            <w:tcBorders>
              <w:top w:val="nil"/>
              <w:left w:val="single" w:sz="8" w:space="0" w:color="000000"/>
              <w:bottom w:val="nil"/>
              <w:right w:val="single" w:sz="8" w:space="0" w:color="000000"/>
            </w:tcBorders>
            <w:shd w:val="clear" w:color="auto" w:fill="auto"/>
            <w:vAlign w:val="center"/>
            <w:hideMark/>
          </w:tcPr>
          <w:p w14:paraId="326F3642" w14:textId="77777777" w:rsidR="00F032C9" w:rsidRPr="00D07928" w:rsidRDefault="00F032C9" w:rsidP="00F032C9">
            <w:pPr>
              <w:autoSpaceDE/>
              <w:autoSpaceDN/>
              <w:adjustRightInd/>
              <w:jc w:val="center"/>
              <w:rPr>
                <w:color w:val="000000"/>
              </w:rPr>
            </w:pPr>
            <w:r w:rsidRPr="00D07928">
              <w:rPr>
                <w:color w:val="000000"/>
              </w:rPr>
              <w:t>TOTAL</w:t>
            </w:r>
          </w:p>
        </w:tc>
      </w:tr>
      <w:tr w:rsidR="00491B83" w:rsidRPr="00F032C9" w14:paraId="42B53839" w14:textId="77777777" w:rsidTr="00491B83">
        <w:trPr>
          <w:trHeight w:val="330"/>
        </w:trPr>
        <w:tc>
          <w:tcPr>
            <w:tcW w:w="2975" w:type="dxa"/>
            <w:gridSpan w:val="2"/>
            <w:tcBorders>
              <w:top w:val="nil"/>
              <w:left w:val="single" w:sz="8" w:space="0" w:color="000000"/>
              <w:bottom w:val="single" w:sz="8" w:space="0" w:color="000000"/>
              <w:right w:val="single" w:sz="8" w:space="0" w:color="000000"/>
            </w:tcBorders>
            <w:shd w:val="clear" w:color="auto" w:fill="auto"/>
            <w:vAlign w:val="center"/>
            <w:hideMark/>
          </w:tcPr>
          <w:p w14:paraId="4D4539C8" w14:textId="77777777" w:rsidR="00F032C9" w:rsidRPr="00D07928" w:rsidRDefault="00F032C9" w:rsidP="00F032C9">
            <w:pPr>
              <w:autoSpaceDE/>
              <w:autoSpaceDN/>
              <w:adjustRightInd/>
              <w:rPr>
                <w:color w:val="000000"/>
              </w:rPr>
            </w:pPr>
            <w:r w:rsidRPr="00D07928">
              <w:rPr>
                <w:color w:val="000000"/>
              </w:rPr>
              <w:t> </w:t>
            </w:r>
          </w:p>
        </w:tc>
        <w:tc>
          <w:tcPr>
            <w:tcW w:w="1170" w:type="dxa"/>
            <w:tcBorders>
              <w:top w:val="nil"/>
              <w:left w:val="nil"/>
              <w:bottom w:val="nil"/>
              <w:right w:val="nil"/>
            </w:tcBorders>
            <w:shd w:val="clear" w:color="auto" w:fill="auto"/>
            <w:vAlign w:val="center"/>
            <w:hideMark/>
          </w:tcPr>
          <w:p w14:paraId="73C69C2C" w14:textId="322ED9CB" w:rsidR="00F032C9" w:rsidRPr="00D07928" w:rsidRDefault="00F032C9" w:rsidP="00F032C9">
            <w:pPr>
              <w:autoSpaceDE/>
              <w:autoSpaceDN/>
              <w:adjustRightInd/>
              <w:jc w:val="center"/>
              <w:rPr>
                <w:color w:val="000000"/>
              </w:rPr>
            </w:pPr>
          </w:p>
        </w:tc>
        <w:tc>
          <w:tcPr>
            <w:tcW w:w="2160" w:type="dxa"/>
            <w:gridSpan w:val="2"/>
            <w:tcBorders>
              <w:top w:val="nil"/>
              <w:left w:val="single" w:sz="8" w:space="0" w:color="000000"/>
              <w:bottom w:val="single" w:sz="8" w:space="0" w:color="000000"/>
              <w:right w:val="nil"/>
            </w:tcBorders>
            <w:shd w:val="clear" w:color="auto" w:fill="auto"/>
            <w:vAlign w:val="center"/>
            <w:hideMark/>
          </w:tcPr>
          <w:p w14:paraId="2562411E" w14:textId="77777777" w:rsidR="00F032C9" w:rsidRPr="00D07928" w:rsidRDefault="00F032C9" w:rsidP="00F032C9">
            <w:pPr>
              <w:autoSpaceDE/>
              <w:autoSpaceDN/>
              <w:adjustRightInd/>
              <w:jc w:val="center"/>
              <w:rPr>
                <w:color w:val="000000"/>
              </w:rPr>
            </w:pPr>
            <w:r w:rsidRPr="00D07928">
              <w:rPr>
                <w:color w:val="000000"/>
              </w:rPr>
              <w:t xml:space="preserve">$72.22 </w:t>
            </w:r>
          </w:p>
        </w:tc>
        <w:tc>
          <w:tcPr>
            <w:tcW w:w="2160" w:type="dxa"/>
            <w:gridSpan w:val="2"/>
            <w:tcBorders>
              <w:top w:val="nil"/>
              <w:left w:val="single" w:sz="8" w:space="0" w:color="000000"/>
              <w:bottom w:val="single" w:sz="8" w:space="0" w:color="000000"/>
              <w:right w:val="single" w:sz="8" w:space="0" w:color="000000"/>
            </w:tcBorders>
            <w:shd w:val="clear" w:color="auto" w:fill="auto"/>
            <w:vAlign w:val="center"/>
            <w:hideMark/>
          </w:tcPr>
          <w:p w14:paraId="4568DC69" w14:textId="77777777" w:rsidR="00F032C9" w:rsidRPr="00D07928" w:rsidRDefault="00F032C9" w:rsidP="00F032C9">
            <w:pPr>
              <w:autoSpaceDE/>
              <w:autoSpaceDN/>
              <w:adjustRightInd/>
              <w:jc w:val="center"/>
              <w:rPr>
                <w:color w:val="000000"/>
              </w:rPr>
            </w:pPr>
            <w:r w:rsidRPr="00D07928">
              <w:rPr>
                <w:color w:val="000000"/>
              </w:rPr>
              <w:t xml:space="preserve">$31.26 </w:t>
            </w:r>
          </w:p>
        </w:tc>
        <w:tc>
          <w:tcPr>
            <w:tcW w:w="1323" w:type="dxa"/>
            <w:gridSpan w:val="2"/>
            <w:tcBorders>
              <w:top w:val="nil"/>
              <w:left w:val="nil"/>
              <w:bottom w:val="single" w:sz="8" w:space="0" w:color="000000"/>
              <w:right w:val="single" w:sz="8" w:space="0" w:color="000000"/>
            </w:tcBorders>
            <w:shd w:val="clear" w:color="auto" w:fill="auto"/>
            <w:vAlign w:val="center"/>
            <w:hideMark/>
          </w:tcPr>
          <w:p w14:paraId="62DC910B" w14:textId="77777777" w:rsidR="00F032C9" w:rsidRPr="00D07928" w:rsidRDefault="00F032C9" w:rsidP="00F032C9">
            <w:pPr>
              <w:autoSpaceDE/>
              <w:autoSpaceDN/>
              <w:adjustRightInd/>
              <w:jc w:val="center"/>
              <w:rPr>
                <w:color w:val="000000"/>
              </w:rPr>
            </w:pPr>
            <w:r w:rsidRPr="00D07928">
              <w:rPr>
                <w:color w:val="000000"/>
              </w:rPr>
              <w:t> </w:t>
            </w:r>
          </w:p>
        </w:tc>
      </w:tr>
      <w:tr w:rsidR="00491B83" w:rsidRPr="00F032C9" w14:paraId="4B72609F" w14:textId="77777777" w:rsidTr="00491B83">
        <w:trPr>
          <w:trHeight w:val="330"/>
        </w:trPr>
        <w:tc>
          <w:tcPr>
            <w:tcW w:w="2975" w:type="dxa"/>
            <w:gridSpan w:val="2"/>
            <w:tcBorders>
              <w:top w:val="nil"/>
              <w:left w:val="single" w:sz="8" w:space="0" w:color="000000"/>
              <w:bottom w:val="nil"/>
              <w:right w:val="nil"/>
            </w:tcBorders>
            <w:shd w:val="clear" w:color="auto" w:fill="auto"/>
            <w:vAlign w:val="center"/>
            <w:hideMark/>
          </w:tcPr>
          <w:p w14:paraId="3D3ACBC2" w14:textId="77777777" w:rsidR="00F032C9" w:rsidRPr="00D07928" w:rsidRDefault="00F032C9" w:rsidP="00F032C9">
            <w:pPr>
              <w:autoSpaceDE/>
              <w:autoSpaceDN/>
              <w:adjustRightInd/>
              <w:rPr>
                <w:color w:val="000000"/>
              </w:rPr>
            </w:pPr>
            <w:r w:rsidRPr="00D07928">
              <w:rPr>
                <w:color w:val="000000"/>
              </w:rPr>
              <w:t>Compile list</w:t>
            </w:r>
          </w:p>
        </w:tc>
        <w:tc>
          <w:tcPr>
            <w:tcW w:w="1170" w:type="dxa"/>
            <w:tcBorders>
              <w:top w:val="single" w:sz="8" w:space="0" w:color="000000"/>
              <w:left w:val="single" w:sz="8" w:space="0" w:color="000000"/>
              <w:bottom w:val="nil"/>
              <w:right w:val="nil"/>
            </w:tcBorders>
            <w:shd w:val="clear" w:color="auto" w:fill="auto"/>
            <w:vAlign w:val="center"/>
            <w:hideMark/>
          </w:tcPr>
          <w:p w14:paraId="13A79E48" w14:textId="77777777" w:rsidR="00F032C9" w:rsidRPr="00D07928" w:rsidRDefault="00F032C9" w:rsidP="00F032C9">
            <w:pPr>
              <w:autoSpaceDE/>
              <w:autoSpaceDN/>
              <w:adjustRightInd/>
              <w:rPr>
                <w:color w:val="000000"/>
              </w:rPr>
            </w:pPr>
            <w:r w:rsidRPr="00D07928">
              <w:rPr>
                <w:color w:val="000000"/>
              </w:rPr>
              <w:t>per firm</w:t>
            </w:r>
          </w:p>
        </w:tc>
        <w:tc>
          <w:tcPr>
            <w:tcW w:w="2160" w:type="dxa"/>
            <w:gridSpan w:val="2"/>
            <w:tcBorders>
              <w:top w:val="nil"/>
              <w:left w:val="single" w:sz="8" w:space="0" w:color="000000"/>
              <w:bottom w:val="nil"/>
              <w:right w:val="nil"/>
            </w:tcBorders>
            <w:shd w:val="clear" w:color="auto" w:fill="auto"/>
            <w:vAlign w:val="center"/>
            <w:hideMark/>
          </w:tcPr>
          <w:p w14:paraId="206FEA9A" w14:textId="77777777" w:rsidR="00F032C9" w:rsidRPr="00D07928" w:rsidRDefault="00F032C9" w:rsidP="00F032C9">
            <w:pPr>
              <w:autoSpaceDE/>
              <w:autoSpaceDN/>
              <w:adjustRightInd/>
              <w:jc w:val="right"/>
              <w:rPr>
                <w:color w:val="000000"/>
              </w:rPr>
            </w:pPr>
            <w:r w:rsidRPr="00D07928">
              <w:rPr>
                <w:color w:val="000000"/>
              </w:rPr>
              <w:t xml:space="preserve">$671.65 </w:t>
            </w:r>
          </w:p>
        </w:tc>
        <w:tc>
          <w:tcPr>
            <w:tcW w:w="2160" w:type="dxa"/>
            <w:gridSpan w:val="2"/>
            <w:tcBorders>
              <w:top w:val="nil"/>
              <w:left w:val="single" w:sz="8" w:space="0" w:color="000000"/>
              <w:bottom w:val="nil"/>
              <w:right w:val="nil"/>
            </w:tcBorders>
            <w:shd w:val="clear" w:color="auto" w:fill="auto"/>
            <w:vAlign w:val="center"/>
            <w:hideMark/>
          </w:tcPr>
          <w:p w14:paraId="0087E380" w14:textId="77777777" w:rsidR="00F032C9" w:rsidRPr="00D07928" w:rsidRDefault="00F032C9" w:rsidP="00F032C9">
            <w:pPr>
              <w:autoSpaceDE/>
              <w:autoSpaceDN/>
              <w:adjustRightInd/>
              <w:jc w:val="right"/>
              <w:rPr>
                <w:color w:val="000000"/>
              </w:rPr>
            </w:pPr>
            <w:r w:rsidRPr="00D07928">
              <w:rPr>
                <w:color w:val="000000"/>
              </w:rPr>
              <w:t>$0.00</w:t>
            </w:r>
          </w:p>
        </w:tc>
        <w:tc>
          <w:tcPr>
            <w:tcW w:w="1323" w:type="dxa"/>
            <w:gridSpan w:val="2"/>
            <w:tcBorders>
              <w:top w:val="nil"/>
              <w:left w:val="single" w:sz="8" w:space="0" w:color="000000"/>
              <w:bottom w:val="nil"/>
              <w:right w:val="single" w:sz="8" w:space="0" w:color="000000"/>
            </w:tcBorders>
            <w:shd w:val="clear" w:color="auto" w:fill="auto"/>
            <w:vAlign w:val="center"/>
            <w:hideMark/>
          </w:tcPr>
          <w:p w14:paraId="782F58E6" w14:textId="77777777" w:rsidR="00F032C9" w:rsidRPr="00D07928" w:rsidRDefault="00F032C9" w:rsidP="00F032C9">
            <w:pPr>
              <w:autoSpaceDE/>
              <w:autoSpaceDN/>
              <w:adjustRightInd/>
              <w:jc w:val="right"/>
              <w:rPr>
                <w:color w:val="000000"/>
              </w:rPr>
            </w:pPr>
            <w:r w:rsidRPr="00D07928">
              <w:rPr>
                <w:color w:val="000000"/>
              </w:rPr>
              <w:t xml:space="preserve">$671.65 </w:t>
            </w:r>
          </w:p>
        </w:tc>
      </w:tr>
      <w:tr w:rsidR="00491B83" w:rsidRPr="00F032C9" w14:paraId="5355EFAD" w14:textId="77777777" w:rsidTr="00491B83">
        <w:trPr>
          <w:trHeight w:val="330"/>
        </w:trPr>
        <w:tc>
          <w:tcPr>
            <w:tcW w:w="2975" w:type="dxa"/>
            <w:gridSpan w:val="2"/>
            <w:tcBorders>
              <w:top w:val="single" w:sz="8" w:space="0" w:color="000000"/>
              <w:left w:val="single" w:sz="8" w:space="0" w:color="000000"/>
              <w:bottom w:val="nil"/>
              <w:right w:val="nil"/>
            </w:tcBorders>
            <w:shd w:val="clear" w:color="auto" w:fill="auto"/>
            <w:vAlign w:val="center"/>
            <w:hideMark/>
          </w:tcPr>
          <w:p w14:paraId="7DF19CBC" w14:textId="77777777" w:rsidR="00F032C9" w:rsidRPr="00D07928" w:rsidRDefault="00F032C9" w:rsidP="00F032C9">
            <w:pPr>
              <w:autoSpaceDE/>
              <w:autoSpaceDN/>
              <w:adjustRightInd/>
              <w:rPr>
                <w:color w:val="000000"/>
              </w:rPr>
            </w:pPr>
            <w:r w:rsidRPr="00D07928">
              <w:rPr>
                <w:color w:val="000000"/>
              </w:rPr>
              <w:t>Write letter</w:t>
            </w:r>
          </w:p>
        </w:tc>
        <w:tc>
          <w:tcPr>
            <w:tcW w:w="1170" w:type="dxa"/>
            <w:tcBorders>
              <w:top w:val="single" w:sz="8" w:space="0" w:color="000000"/>
              <w:left w:val="single" w:sz="8" w:space="0" w:color="000000"/>
              <w:bottom w:val="nil"/>
              <w:right w:val="nil"/>
            </w:tcBorders>
            <w:shd w:val="clear" w:color="auto" w:fill="auto"/>
            <w:vAlign w:val="center"/>
            <w:hideMark/>
          </w:tcPr>
          <w:p w14:paraId="3916C47E" w14:textId="77777777" w:rsidR="00F032C9" w:rsidRPr="00D07928" w:rsidRDefault="00F032C9" w:rsidP="00F032C9">
            <w:pPr>
              <w:autoSpaceDE/>
              <w:autoSpaceDN/>
              <w:adjustRightInd/>
              <w:rPr>
                <w:color w:val="000000"/>
              </w:rPr>
            </w:pPr>
            <w:r w:rsidRPr="00D07928">
              <w:rPr>
                <w:color w:val="000000"/>
              </w:rPr>
              <w:t>per firm</w:t>
            </w:r>
          </w:p>
        </w:tc>
        <w:tc>
          <w:tcPr>
            <w:tcW w:w="2160" w:type="dxa"/>
            <w:gridSpan w:val="2"/>
            <w:tcBorders>
              <w:top w:val="single" w:sz="8" w:space="0" w:color="000000"/>
              <w:left w:val="single" w:sz="8" w:space="0" w:color="000000"/>
              <w:bottom w:val="nil"/>
              <w:right w:val="nil"/>
            </w:tcBorders>
            <w:shd w:val="clear" w:color="auto" w:fill="auto"/>
            <w:vAlign w:val="center"/>
            <w:hideMark/>
          </w:tcPr>
          <w:p w14:paraId="397CFAB4" w14:textId="77777777" w:rsidR="00F032C9" w:rsidRPr="00D07928" w:rsidRDefault="00F032C9" w:rsidP="00F032C9">
            <w:pPr>
              <w:autoSpaceDE/>
              <w:autoSpaceDN/>
              <w:adjustRightInd/>
              <w:jc w:val="right"/>
              <w:rPr>
                <w:color w:val="000000"/>
              </w:rPr>
            </w:pPr>
            <w:r w:rsidRPr="00D07928">
              <w:rPr>
                <w:color w:val="000000"/>
              </w:rPr>
              <w:t xml:space="preserve">$72.22 </w:t>
            </w:r>
          </w:p>
        </w:tc>
        <w:tc>
          <w:tcPr>
            <w:tcW w:w="2160" w:type="dxa"/>
            <w:gridSpan w:val="2"/>
            <w:tcBorders>
              <w:top w:val="single" w:sz="8" w:space="0" w:color="000000"/>
              <w:left w:val="single" w:sz="8" w:space="0" w:color="000000"/>
              <w:bottom w:val="nil"/>
              <w:right w:val="nil"/>
            </w:tcBorders>
            <w:shd w:val="clear" w:color="auto" w:fill="auto"/>
            <w:vAlign w:val="center"/>
            <w:hideMark/>
          </w:tcPr>
          <w:p w14:paraId="0AAA9892" w14:textId="77777777" w:rsidR="00F032C9" w:rsidRPr="00D07928" w:rsidRDefault="00F032C9" w:rsidP="00F032C9">
            <w:pPr>
              <w:autoSpaceDE/>
              <w:autoSpaceDN/>
              <w:adjustRightInd/>
              <w:jc w:val="right"/>
              <w:rPr>
                <w:color w:val="000000"/>
              </w:rPr>
            </w:pPr>
            <w:r w:rsidRPr="00D07928">
              <w:rPr>
                <w:color w:val="000000"/>
              </w:rPr>
              <w:t>$0.00</w:t>
            </w:r>
          </w:p>
        </w:tc>
        <w:tc>
          <w:tcPr>
            <w:tcW w:w="1323" w:type="dxa"/>
            <w:gridSpan w:val="2"/>
            <w:tcBorders>
              <w:top w:val="single" w:sz="8" w:space="0" w:color="000000"/>
              <w:left w:val="single" w:sz="8" w:space="0" w:color="000000"/>
              <w:bottom w:val="nil"/>
              <w:right w:val="single" w:sz="8" w:space="0" w:color="000000"/>
            </w:tcBorders>
            <w:shd w:val="clear" w:color="auto" w:fill="auto"/>
            <w:vAlign w:val="center"/>
            <w:hideMark/>
          </w:tcPr>
          <w:p w14:paraId="4DABCFF6" w14:textId="77777777" w:rsidR="00F032C9" w:rsidRPr="00D07928" w:rsidRDefault="00F032C9" w:rsidP="00F032C9">
            <w:pPr>
              <w:autoSpaceDE/>
              <w:autoSpaceDN/>
              <w:adjustRightInd/>
              <w:jc w:val="right"/>
              <w:rPr>
                <w:color w:val="000000"/>
              </w:rPr>
            </w:pPr>
            <w:r w:rsidRPr="00D07928">
              <w:rPr>
                <w:color w:val="000000"/>
              </w:rPr>
              <w:t xml:space="preserve">$72.22 </w:t>
            </w:r>
          </w:p>
        </w:tc>
      </w:tr>
      <w:tr w:rsidR="00491B83" w:rsidRPr="00F032C9" w14:paraId="0E3C2C97" w14:textId="77777777" w:rsidTr="00491B83">
        <w:trPr>
          <w:trHeight w:val="330"/>
        </w:trPr>
        <w:tc>
          <w:tcPr>
            <w:tcW w:w="2975" w:type="dxa"/>
            <w:gridSpan w:val="2"/>
            <w:tcBorders>
              <w:top w:val="single" w:sz="8" w:space="0" w:color="000000"/>
              <w:left w:val="single" w:sz="8" w:space="0" w:color="000000"/>
              <w:bottom w:val="nil"/>
              <w:right w:val="nil"/>
            </w:tcBorders>
            <w:shd w:val="clear" w:color="auto" w:fill="auto"/>
            <w:vAlign w:val="center"/>
            <w:hideMark/>
          </w:tcPr>
          <w:p w14:paraId="22D89B7D" w14:textId="77777777" w:rsidR="00F032C9" w:rsidRPr="00D07928" w:rsidRDefault="00F032C9" w:rsidP="00F032C9">
            <w:pPr>
              <w:autoSpaceDE/>
              <w:autoSpaceDN/>
              <w:adjustRightInd/>
              <w:rPr>
                <w:color w:val="000000"/>
              </w:rPr>
            </w:pPr>
            <w:r w:rsidRPr="00D07928">
              <w:rPr>
                <w:color w:val="000000"/>
              </w:rPr>
              <w:t>Check order and send notice</w:t>
            </w:r>
          </w:p>
        </w:tc>
        <w:tc>
          <w:tcPr>
            <w:tcW w:w="1170" w:type="dxa"/>
            <w:tcBorders>
              <w:top w:val="single" w:sz="8" w:space="0" w:color="000000"/>
              <w:left w:val="single" w:sz="8" w:space="0" w:color="000000"/>
              <w:bottom w:val="nil"/>
              <w:right w:val="nil"/>
            </w:tcBorders>
            <w:shd w:val="clear" w:color="auto" w:fill="auto"/>
            <w:vAlign w:val="center"/>
            <w:hideMark/>
          </w:tcPr>
          <w:p w14:paraId="6AD1C381" w14:textId="77777777" w:rsidR="00F032C9" w:rsidRPr="00D07928" w:rsidRDefault="00F032C9" w:rsidP="00F032C9">
            <w:pPr>
              <w:autoSpaceDE/>
              <w:autoSpaceDN/>
              <w:adjustRightInd/>
              <w:rPr>
                <w:color w:val="000000"/>
              </w:rPr>
            </w:pPr>
            <w:r w:rsidRPr="00D07928">
              <w:rPr>
                <w:color w:val="000000"/>
              </w:rPr>
              <w:t>per firm</w:t>
            </w:r>
          </w:p>
        </w:tc>
        <w:tc>
          <w:tcPr>
            <w:tcW w:w="2160" w:type="dxa"/>
            <w:gridSpan w:val="2"/>
            <w:tcBorders>
              <w:top w:val="single" w:sz="8" w:space="0" w:color="000000"/>
              <w:left w:val="single" w:sz="8" w:space="0" w:color="000000"/>
              <w:bottom w:val="nil"/>
              <w:right w:val="nil"/>
            </w:tcBorders>
            <w:shd w:val="clear" w:color="auto" w:fill="auto"/>
            <w:vAlign w:val="center"/>
            <w:hideMark/>
          </w:tcPr>
          <w:p w14:paraId="0C461571" w14:textId="77777777" w:rsidR="00F032C9" w:rsidRPr="00D07928" w:rsidRDefault="00F032C9" w:rsidP="00F032C9">
            <w:pPr>
              <w:autoSpaceDE/>
              <w:autoSpaceDN/>
              <w:adjustRightInd/>
              <w:jc w:val="right"/>
              <w:rPr>
                <w:color w:val="000000"/>
              </w:rPr>
            </w:pPr>
            <w:r w:rsidRPr="00D07928">
              <w:rPr>
                <w:color w:val="000000"/>
              </w:rPr>
              <w:t>$0.00</w:t>
            </w:r>
          </w:p>
        </w:tc>
        <w:tc>
          <w:tcPr>
            <w:tcW w:w="2160" w:type="dxa"/>
            <w:gridSpan w:val="2"/>
            <w:tcBorders>
              <w:top w:val="single" w:sz="8" w:space="0" w:color="000000"/>
              <w:left w:val="single" w:sz="8" w:space="0" w:color="000000"/>
              <w:bottom w:val="nil"/>
              <w:right w:val="nil"/>
            </w:tcBorders>
            <w:shd w:val="clear" w:color="auto" w:fill="auto"/>
            <w:vAlign w:val="center"/>
            <w:hideMark/>
          </w:tcPr>
          <w:p w14:paraId="77B140FA" w14:textId="77777777" w:rsidR="00F032C9" w:rsidRPr="00D07928" w:rsidRDefault="00F032C9" w:rsidP="00F032C9">
            <w:pPr>
              <w:autoSpaceDE/>
              <w:autoSpaceDN/>
              <w:adjustRightInd/>
              <w:jc w:val="right"/>
              <w:rPr>
                <w:color w:val="000000"/>
              </w:rPr>
            </w:pPr>
            <w:r w:rsidRPr="00D07928">
              <w:rPr>
                <w:color w:val="000000"/>
              </w:rPr>
              <w:t xml:space="preserve">$203.19 </w:t>
            </w:r>
          </w:p>
        </w:tc>
        <w:tc>
          <w:tcPr>
            <w:tcW w:w="1323" w:type="dxa"/>
            <w:gridSpan w:val="2"/>
            <w:tcBorders>
              <w:top w:val="single" w:sz="8" w:space="0" w:color="000000"/>
              <w:left w:val="single" w:sz="8" w:space="0" w:color="000000"/>
              <w:bottom w:val="nil"/>
              <w:right w:val="single" w:sz="8" w:space="0" w:color="000000"/>
            </w:tcBorders>
            <w:shd w:val="clear" w:color="auto" w:fill="auto"/>
            <w:vAlign w:val="center"/>
            <w:hideMark/>
          </w:tcPr>
          <w:p w14:paraId="6616A81C" w14:textId="77777777" w:rsidR="00F032C9" w:rsidRPr="00D07928" w:rsidRDefault="00F032C9" w:rsidP="00F032C9">
            <w:pPr>
              <w:autoSpaceDE/>
              <w:autoSpaceDN/>
              <w:adjustRightInd/>
              <w:jc w:val="right"/>
              <w:rPr>
                <w:color w:val="000000"/>
              </w:rPr>
            </w:pPr>
            <w:r w:rsidRPr="00D07928">
              <w:rPr>
                <w:color w:val="000000"/>
              </w:rPr>
              <w:t xml:space="preserve">$203.19 </w:t>
            </w:r>
          </w:p>
        </w:tc>
      </w:tr>
      <w:tr w:rsidR="00491B83" w:rsidRPr="00F032C9" w14:paraId="5C189F33" w14:textId="77777777" w:rsidTr="00491B83">
        <w:trPr>
          <w:trHeight w:val="330"/>
        </w:trPr>
        <w:tc>
          <w:tcPr>
            <w:tcW w:w="2975" w:type="dxa"/>
            <w:gridSpan w:val="2"/>
            <w:tcBorders>
              <w:top w:val="single" w:sz="8" w:space="0" w:color="000000"/>
              <w:left w:val="single" w:sz="8" w:space="0" w:color="000000"/>
              <w:bottom w:val="nil"/>
              <w:right w:val="nil"/>
            </w:tcBorders>
            <w:shd w:val="clear" w:color="auto" w:fill="auto"/>
            <w:vAlign w:val="center"/>
            <w:hideMark/>
          </w:tcPr>
          <w:p w14:paraId="35875E58" w14:textId="77777777" w:rsidR="00F032C9" w:rsidRPr="00D07928" w:rsidRDefault="00F032C9" w:rsidP="00F032C9">
            <w:pPr>
              <w:autoSpaceDE/>
              <w:autoSpaceDN/>
              <w:adjustRightInd/>
              <w:rPr>
                <w:color w:val="000000"/>
              </w:rPr>
            </w:pPr>
            <w:r w:rsidRPr="00D07928">
              <w:rPr>
                <w:color w:val="000000"/>
              </w:rPr>
              <w:t>Mailing cost*</w:t>
            </w:r>
          </w:p>
        </w:tc>
        <w:tc>
          <w:tcPr>
            <w:tcW w:w="1170" w:type="dxa"/>
            <w:tcBorders>
              <w:top w:val="single" w:sz="8" w:space="0" w:color="000000"/>
              <w:left w:val="single" w:sz="8" w:space="0" w:color="000000"/>
              <w:bottom w:val="nil"/>
              <w:right w:val="nil"/>
            </w:tcBorders>
            <w:shd w:val="clear" w:color="auto" w:fill="auto"/>
            <w:vAlign w:val="center"/>
            <w:hideMark/>
          </w:tcPr>
          <w:p w14:paraId="253B265E" w14:textId="77777777" w:rsidR="00F032C9" w:rsidRPr="00D07928" w:rsidRDefault="00F032C9" w:rsidP="00F032C9">
            <w:pPr>
              <w:autoSpaceDE/>
              <w:autoSpaceDN/>
              <w:adjustRightInd/>
              <w:rPr>
                <w:color w:val="000000"/>
              </w:rPr>
            </w:pPr>
            <w:r w:rsidRPr="00D07928">
              <w:rPr>
                <w:color w:val="000000"/>
              </w:rPr>
              <w:t>per firm</w:t>
            </w:r>
          </w:p>
        </w:tc>
        <w:tc>
          <w:tcPr>
            <w:tcW w:w="2160" w:type="dxa"/>
            <w:gridSpan w:val="2"/>
            <w:tcBorders>
              <w:top w:val="single" w:sz="8" w:space="0" w:color="000000"/>
              <w:left w:val="single" w:sz="8" w:space="0" w:color="000000"/>
              <w:bottom w:val="nil"/>
              <w:right w:val="nil"/>
            </w:tcBorders>
            <w:shd w:val="clear" w:color="auto" w:fill="auto"/>
            <w:vAlign w:val="center"/>
          </w:tcPr>
          <w:p w14:paraId="693BBA2A" w14:textId="63CC4E64" w:rsidR="00F032C9" w:rsidRPr="00D07928" w:rsidRDefault="00F032C9" w:rsidP="00AD30AB">
            <w:pPr>
              <w:autoSpaceDE/>
              <w:autoSpaceDN/>
              <w:adjustRightInd/>
              <w:jc w:val="center"/>
              <w:rPr>
                <w:color w:val="000000"/>
              </w:rPr>
            </w:pPr>
          </w:p>
        </w:tc>
        <w:tc>
          <w:tcPr>
            <w:tcW w:w="2160" w:type="dxa"/>
            <w:gridSpan w:val="2"/>
            <w:tcBorders>
              <w:top w:val="single" w:sz="8" w:space="0" w:color="000000"/>
              <w:left w:val="single" w:sz="8" w:space="0" w:color="000000"/>
              <w:bottom w:val="nil"/>
              <w:right w:val="nil"/>
            </w:tcBorders>
            <w:shd w:val="clear" w:color="auto" w:fill="auto"/>
            <w:vAlign w:val="center"/>
          </w:tcPr>
          <w:p w14:paraId="3361CB2E" w14:textId="30C07EC6" w:rsidR="00F032C9" w:rsidRPr="00D07928" w:rsidRDefault="00F032C9" w:rsidP="00AD30AB">
            <w:pPr>
              <w:autoSpaceDE/>
              <w:autoSpaceDN/>
              <w:adjustRightInd/>
              <w:jc w:val="center"/>
              <w:rPr>
                <w:color w:val="000000"/>
              </w:rPr>
            </w:pPr>
          </w:p>
        </w:tc>
        <w:tc>
          <w:tcPr>
            <w:tcW w:w="1323" w:type="dxa"/>
            <w:gridSpan w:val="2"/>
            <w:tcBorders>
              <w:top w:val="single" w:sz="8" w:space="0" w:color="000000"/>
              <w:left w:val="single" w:sz="8" w:space="0" w:color="000000"/>
              <w:bottom w:val="nil"/>
              <w:right w:val="single" w:sz="8" w:space="0" w:color="000000"/>
            </w:tcBorders>
            <w:shd w:val="clear" w:color="auto" w:fill="auto"/>
            <w:vAlign w:val="center"/>
            <w:hideMark/>
          </w:tcPr>
          <w:p w14:paraId="49BC6918" w14:textId="77777777" w:rsidR="00F032C9" w:rsidRPr="00D07928" w:rsidRDefault="00F032C9" w:rsidP="00F032C9">
            <w:pPr>
              <w:autoSpaceDE/>
              <w:autoSpaceDN/>
              <w:adjustRightInd/>
              <w:jc w:val="right"/>
              <w:rPr>
                <w:color w:val="000000"/>
              </w:rPr>
            </w:pPr>
            <w:r w:rsidRPr="00D07928">
              <w:rPr>
                <w:color w:val="000000"/>
              </w:rPr>
              <w:t xml:space="preserve">$211.77 </w:t>
            </w:r>
          </w:p>
        </w:tc>
      </w:tr>
      <w:tr w:rsidR="00491B83" w:rsidRPr="00F032C9" w14:paraId="60ED94F7" w14:textId="77777777" w:rsidTr="00491B83">
        <w:trPr>
          <w:trHeight w:val="330"/>
        </w:trPr>
        <w:tc>
          <w:tcPr>
            <w:tcW w:w="2975" w:type="dxa"/>
            <w:gridSpan w:val="2"/>
            <w:tcBorders>
              <w:top w:val="single" w:sz="8" w:space="0" w:color="000000"/>
              <w:left w:val="single" w:sz="8" w:space="0" w:color="000000"/>
              <w:bottom w:val="single" w:sz="8" w:space="0" w:color="000000"/>
              <w:right w:val="nil"/>
            </w:tcBorders>
            <w:shd w:val="clear" w:color="auto" w:fill="auto"/>
            <w:vAlign w:val="center"/>
            <w:hideMark/>
          </w:tcPr>
          <w:p w14:paraId="37A04D6E" w14:textId="77777777" w:rsidR="00F032C9" w:rsidRPr="00D07928" w:rsidRDefault="00F032C9" w:rsidP="00F032C9">
            <w:pPr>
              <w:autoSpaceDE/>
              <w:autoSpaceDN/>
              <w:adjustRightInd/>
              <w:rPr>
                <w:b/>
                <w:bCs/>
                <w:color w:val="000000"/>
              </w:rPr>
            </w:pPr>
            <w:r w:rsidRPr="00D07928">
              <w:rPr>
                <w:b/>
                <w:bCs/>
                <w:color w:val="000000"/>
              </w:rPr>
              <w:t>Total</w:t>
            </w:r>
          </w:p>
        </w:tc>
        <w:tc>
          <w:tcPr>
            <w:tcW w:w="1170" w:type="dxa"/>
            <w:tcBorders>
              <w:top w:val="single" w:sz="8" w:space="0" w:color="000000"/>
              <w:left w:val="single" w:sz="8" w:space="0" w:color="000000"/>
              <w:bottom w:val="single" w:sz="8" w:space="0" w:color="000000"/>
              <w:right w:val="nil"/>
            </w:tcBorders>
            <w:shd w:val="clear" w:color="auto" w:fill="auto"/>
            <w:vAlign w:val="center"/>
            <w:hideMark/>
          </w:tcPr>
          <w:p w14:paraId="1BC75000" w14:textId="49EE7FF9" w:rsidR="00F032C9" w:rsidRPr="00D07928" w:rsidRDefault="00F032C9" w:rsidP="00F032C9">
            <w:pPr>
              <w:autoSpaceDE/>
              <w:autoSpaceDN/>
              <w:adjustRightInd/>
              <w:rPr>
                <w:b/>
                <w:bCs/>
                <w:color w:val="000000"/>
              </w:rPr>
            </w:pPr>
          </w:p>
        </w:tc>
        <w:tc>
          <w:tcPr>
            <w:tcW w:w="2160" w:type="dxa"/>
            <w:gridSpan w:val="2"/>
            <w:tcBorders>
              <w:top w:val="single" w:sz="8" w:space="0" w:color="000000"/>
              <w:left w:val="single" w:sz="8" w:space="0" w:color="000000"/>
              <w:bottom w:val="single" w:sz="8" w:space="0" w:color="000000"/>
              <w:right w:val="nil"/>
            </w:tcBorders>
            <w:shd w:val="clear" w:color="auto" w:fill="auto"/>
            <w:vAlign w:val="center"/>
            <w:hideMark/>
          </w:tcPr>
          <w:p w14:paraId="4854DE13" w14:textId="77777777" w:rsidR="00F032C9" w:rsidRPr="00D07928" w:rsidRDefault="00F032C9" w:rsidP="00F032C9">
            <w:pPr>
              <w:autoSpaceDE/>
              <w:autoSpaceDN/>
              <w:adjustRightInd/>
              <w:jc w:val="right"/>
              <w:rPr>
                <w:b/>
                <w:bCs/>
                <w:color w:val="000000"/>
              </w:rPr>
            </w:pPr>
            <w:r w:rsidRPr="00D07928">
              <w:rPr>
                <w:b/>
                <w:bCs/>
                <w:color w:val="000000"/>
              </w:rPr>
              <w:t xml:space="preserve">$743.87 </w:t>
            </w:r>
          </w:p>
        </w:tc>
        <w:tc>
          <w:tcPr>
            <w:tcW w:w="2160" w:type="dxa"/>
            <w:gridSpan w:val="2"/>
            <w:tcBorders>
              <w:top w:val="single" w:sz="8" w:space="0" w:color="000000"/>
              <w:left w:val="single" w:sz="8" w:space="0" w:color="000000"/>
              <w:bottom w:val="single" w:sz="8" w:space="0" w:color="000000"/>
              <w:right w:val="nil"/>
            </w:tcBorders>
            <w:shd w:val="clear" w:color="auto" w:fill="auto"/>
            <w:vAlign w:val="center"/>
            <w:hideMark/>
          </w:tcPr>
          <w:p w14:paraId="7AD86314" w14:textId="77777777" w:rsidR="00F032C9" w:rsidRPr="00D07928" w:rsidRDefault="00F032C9" w:rsidP="00F032C9">
            <w:pPr>
              <w:autoSpaceDE/>
              <w:autoSpaceDN/>
              <w:adjustRightInd/>
              <w:jc w:val="right"/>
              <w:rPr>
                <w:b/>
                <w:bCs/>
                <w:color w:val="000000"/>
              </w:rPr>
            </w:pPr>
            <w:r w:rsidRPr="00D07928">
              <w:rPr>
                <w:b/>
                <w:bCs/>
                <w:color w:val="000000"/>
              </w:rPr>
              <w:t xml:space="preserve">$203.19 </w:t>
            </w:r>
          </w:p>
        </w:tc>
        <w:tc>
          <w:tcPr>
            <w:tcW w:w="132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5DF0D9" w14:textId="77777777" w:rsidR="00F032C9" w:rsidRPr="00D07928" w:rsidRDefault="00F032C9" w:rsidP="00F032C9">
            <w:pPr>
              <w:autoSpaceDE/>
              <w:autoSpaceDN/>
              <w:adjustRightInd/>
              <w:jc w:val="right"/>
              <w:rPr>
                <w:b/>
                <w:bCs/>
                <w:color w:val="000000"/>
              </w:rPr>
            </w:pPr>
            <w:r w:rsidRPr="00D07928">
              <w:rPr>
                <w:b/>
                <w:bCs/>
                <w:color w:val="000000"/>
              </w:rPr>
              <w:t xml:space="preserve">$1,158.83 </w:t>
            </w:r>
          </w:p>
        </w:tc>
      </w:tr>
      <w:tr w:rsidR="00F032C9" w:rsidRPr="00F032C9" w14:paraId="501D4CBC" w14:textId="77777777" w:rsidTr="00AD30AB">
        <w:trPr>
          <w:trHeight w:val="540"/>
        </w:trPr>
        <w:tc>
          <w:tcPr>
            <w:tcW w:w="9788" w:type="dxa"/>
            <w:gridSpan w:val="9"/>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8A34C" w14:textId="4B39050B" w:rsidR="00F032C9" w:rsidRPr="00D07928" w:rsidRDefault="006406D7" w:rsidP="00F032C9">
            <w:pPr>
              <w:autoSpaceDE/>
              <w:autoSpaceDN/>
              <w:adjustRightInd/>
              <w:rPr>
                <w:color w:val="000000"/>
              </w:rPr>
            </w:pPr>
            <w:r w:rsidRPr="00D07928">
              <w:rPr>
                <w:color w:val="000000"/>
              </w:rPr>
              <w:t xml:space="preserve">* Postage and postal services </w:t>
            </w:r>
            <w:r w:rsidR="00F032C9" w:rsidRPr="00D07928">
              <w:rPr>
                <w:color w:val="000000"/>
              </w:rPr>
              <w:t>for 13 mailings per firm.</w:t>
            </w:r>
          </w:p>
        </w:tc>
      </w:tr>
      <w:tr w:rsidR="00F032C9" w:rsidRPr="00F032C9" w14:paraId="3A7613A3" w14:textId="77777777" w:rsidTr="00AD30AB">
        <w:trPr>
          <w:gridAfter w:val="1"/>
          <w:wAfter w:w="58" w:type="dxa"/>
          <w:trHeight w:val="630"/>
        </w:trPr>
        <w:tc>
          <w:tcPr>
            <w:tcW w:w="9730"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A1C7AD" w14:textId="77777777" w:rsidR="00F032C9" w:rsidRPr="00D07928" w:rsidRDefault="00F032C9" w:rsidP="00F032C9">
            <w:pPr>
              <w:autoSpaceDE/>
              <w:autoSpaceDN/>
              <w:adjustRightInd/>
              <w:rPr>
                <w:b/>
                <w:bCs/>
                <w:color w:val="000000"/>
              </w:rPr>
            </w:pPr>
            <w:r w:rsidRPr="00D07928">
              <w:rPr>
                <w:b/>
                <w:bCs/>
                <w:color w:val="000000"/>
              </w:rPr>
              <w:t>TABLE 5: ANNUAL AGGREGATE RESPONDENT COST</w:t>
            </w:r>
          </w:p>
        </w:tc>
      </w:tr>
      <w:tr w:rsidR="00F032C9" w:rsidRPr="00F032C9" w14:paraId="621D394F" w14:textId="77777777" w:rsidTr="00AD30AB">
        <w:trPr>
          <w:gridAfter w:val="1"/>
          <w:wAfter w:w="58" w:type="dxa"/>
          <w:trHeight w:val="315"/>
        </w:trPr>
        <w:tc>
          <w:tcPr>
            <w:tcW w:w="2940" w:type="dxa"/>
            <w:vMerge w:val="restart"/>
            <w:tcBorders>
              <w:top w:val="nil"/>
              <w:left w:val="single" w:sz="8" w:space="0" w:color="000000"/>
              <w:bottom w:val="nil"/>
              <w:right w:val="single" w:sz="8" w:space="0" w:color="000000"/>
            </w:tcBorders>
            <w:shd w:val="clear" w:color="auto" w:fill="auto"/>
            <w:vAlign w:val="center"/>
            <w:hideMark/>
          </w:tcPr>
          <w:p w14:paraId="5EDC1B3F" w14:textId="77777777" w:rsidR="00F032C9" w:rsidRPr="00D07928" w:rsidRDefault="00F032C9" w:rsidP="00F032C9">
            <w:pPr>
              <w:autoSpaceDE/>
              <w:autoSpaceDN/>
              <w:adjustRightInd/>
              <w:rPr>
                <w:color w:val="000000"/>
              </w:rPr>
            </w:pPr>
            <w:r w:rsidRPr="00D07928">
              <w:rPr>
                <w:color w:val="000000"/>
              </w:rPr>
              <w:t>ACTIVITY</w:t>
            </w:r>
          </w:p>
        </w:tc>
        <w:tc>
          <w:tcPr>
            <w:tcW w:w="6790" w:type="dxa"/>
            <w:gridSpan w:val="7"/>
            <w:tcBorders>
              <w:top w:val="single" w:sz="8" w:space="0" w:color="000000"/>
              <w:left w:val="nil"/>
              <w:bottom w:val="single" w:sz="8" w:space="0" w:color="000000"/>
              <w:right w:val="single" w:sz="8" w:space="0" w:color="000000"/>
            </w:tcBorders>
            <w:shd w:val="clear" w:color="auto" w:fill="auto"/>
            <w:vAlign w:val="center"/>
            <w:hideMark/>
          </w:tcPr>
          <w:p w14:paraId="3D0E2138" w14:textId="77777777" w:rsidR="00F032C9" w:rsidRPr="00D07928" w:rsidRDefault="00F032C9" w:rsidP="00F032C9">
            <w:pPr>
              <w:autoSpaceDE/>
              <w:autoSpaceDN/>
              <w:adjustRightInd/>
              <w:jc w:val="center"/>
              <w:rPr>
                <w:color w:val="000000"/>
              </w:rPr>
            </w:pPr>
            <w:r w:rsidRPr="00D07928">
              <w:rPr>
                <w:color w:val="000000"/>
              </w:rPr>
              <w:t>ANNUAL COST</w:t>
            </w:r>
          </w:p>
        </w:tc>
      </w:tr>
      <w:tr w:rsidR="00F032C9" w:rsidRPr="00F032C9" w14:paraId="40D7BADB" w14:textId="77777777" w:rsidTr="00AD30AB">
        <w:trPr>
          <w:gridAfter w:val="1"/>
          <w:wAfter w:w="58" w:type="dxa"/>
          <w:trHeight w:val="600"/>
        </w:trPr>
        <w:tc>
          <w:tcPr>
            <w:tcW w:w="2940" w:type="dxa"/>
            <w:vMerge/>
            <w:tcBorders>
              <w:top w:val="nil"/>
              <w:left w:val="single" w:sz="8" w:space="0" w:color="000000"/>
              <w:bottom w:val="nil"/>
              <w:right w:val="single" w:sz="8" w:space="0" w:color="000000"/>
            </w:tcBorders>
            <w:vAlign w:val="center"/>
            <w:hideMark/>
          </w:tcPr>
          <w:p w14:paraId="162C6EFB" w14:textId="77777777" w:rsidR="00F032C9" w:rsidRPr="00D07928" w:rsidRDefault="00F032C9" w:rsidP="00F032C9">
            <w:pPr>
              <w:autoSpaceDE/>
              <w:autoSpaceDN/>
              <w:adjustRightInd/>
              <w:rPr>
                <w:color w:val="000000"/>
              </w:rPr>
            </w:pPr>
          </w:p>
        </w:tc>
        <w:tc>
          <w:tcPr>
            <w:tcW w:w="2200" w:type="dxa"/>
            <w:gridSpan w:val="3"/>
            <w:tcBorders>
              <w:top w:val="nil"/>
              <w:left w:val="nil"/>
              <w:bottom w:val="nil"/>
              <w:right w:val="nil"/>
            </w:tcBorders>
            <w:shd w:val="clear" w:color="auto" w:fill="auto"/>
            <w:vAlign w:val="center"/>
            <w:hideMark/>
          </w:tcPr>
          <w:p w14:paraId="41AA6083" w14:textId="77777777" w:rsidR="00F032C9" w:rsidRPr="00D07928" w:rsidRDefault="00F032C9" w:rsidP="00F032C9">
            <w:pPr>
              <w:autoSpaceDE/>
              <w:autoSpaceDN/>
              <w:adjustRightInd/>
              <w:jc w:val="center"/>
              <w:rPr>
                <w:color w:val="000000"/>
              </w:rPr>
            </w:pPr>
            <w:r w:rsidRPr="00D07928">
              <w:rPr>
                <w:color w:val="000000"/>
              </w:rPr>
              <w:t>TECHNICAL                Wage Rate (per hour)</w:t>
            </w:r>
          </w:p>
        </w:tc>
        <w:tc>
          <w:tcPr>
            <w:tcW w:w="2320" w:type="dxa"/>
            <w:gridSpan w:val="2"/>
            <w:tcBorders>
              <w:top w:val="nil"/>
              <w:left w:val="single" w:sz="8" w:space="0" w:color="000000"/>
              <w:bottom w:val="nil"/>
              <w:right w:val="nil"/>
            </w:tcBorders>
            <w:shd w:val="clear" w:color="auto" w:fill="auto"/>
            <w:vAlign w:val="center"/>
            <w:hideMark/>
          </w:tcPr>
          <w:p w14:paraId="40454673" w14:textId="77777777" w:rsidR="00F032C9" w:rsidRPr="00D07928" w:rsidRDefault="00F032C9" w:rsidP="00F032C9">
            <w:pPr>
              <w:autoSpaceDE/>
              <w:autoSpaceDN/>
              <w:adjustRightInd/>
              <w:jc w:val="center"/>
              <w:rPr>
                <w:color w:val="000000"/>
              </w:rPr>
            </w:pPr>
            <w:r w:rsidRPr="00D07928">
              <w:rPr>
                <w:color w:val="000000"/>
              </w:rPr>
              <w:t>CLERICAL                Wage Rate (per hour)</w:t>
            </w:r>
          </w:p>
        </w:tc>
        <w:tc>
          <w:tcPr>
            <w:tcW w:w="2270" w:type="dxa"/>
            <w:gridSpan w:val="2"/>
            <w:tcBorders>
              <w:top w:val="nil"/>
              <w:left w:val="single" w:sz="8" w:space="0" w:color="000000"/>
              <w:bottom w:val="nil"/>
              <w:right w:val="single" w:sz="8" w:space="0" w:color="000000"/>
            </w:tcBorders>
            <w:shd w:val="clear" w:color="auto" w:fill="auto"/>
            <w:vAlign w:val="center"/>
            <w:hideMark/>
          </w:tcPr>
          <w:p w14:paraId="3CAC80D8" w14:textId="77777777" w:rsidR="00F032C9" w:rsidRPr="00D07928" w:rsidRDefault="00F032C9" w:rsidP="00F032C9">
            <w:pPr>
              <w:autoSpaceDE/>
              <w:autoSpaceDN/>
              <w:adjustRightInd/>
              <w:jc w:val="center"/>
              <w:rPr>
                <w:color w:val="000000"/>
              </w:rPr>
            </w:pPr>
            <w:r w:rsidRPr="00D07928">
              <w:rPr>
                <w:color w:val="000000"/>
              </w:rPr>
              <w:t>TOTAL</w:t>
            </w:r>
          </w:p>
        </w:tc>
      </w:tr>
      <w:tr w:rsidR="00F032C9" w:rsidRPr="00F032C9" w14:paraId="42B27CF6" w14:textId="77777777" w:rsidTr="00AD30AB">
        <w:trPr>
          <w:gridAfter w:val="1"/>
          <w:wAfter w:w="58" w:type="dxa"/>
          <w:trHeight w:val="315"/>
        </w:trPr>
        <w:tc>
          <w:tcPr>
            <w:tcW w:w="2940" w:type="dxa"/>
            <w:tcBorders>
              <w:top w:val="nil"/>
              <w:left w:val="single" w:sz="8" w:space="0" w:color="000000"/>
              <w:bottom w:val="single" w:sz="8" w:space="0" w:color="000000"/>
              <w:right w:val="single" w:sz="8" w:space="0" w:color="000000"/>
            </w:tcBorders>
            <w:shd w:val="clear" w:color="auto" w:fill="auto"/>
            <w:vAlign w:val="center"/>
            <w:hideMark/>
          </w:tcPr>
          <w:p w14:paraId="2F283BFA" w14:textId="77777777" w:rsidR="00F032C9" w:rsidRPr="00D07928" w:rsidRDefault="00F032C9" w:rsidP="00F032C9">
            <w:pPr>
              <w:autoSpaceDE/>
              <w:autoSpaceDN/>
              <w:adjustRightInd/>
              <w:rPr>
                <w:color w:val="000000"/>
              </w:rPr>
            </w:pPr>
            <w:r w:rsidRPr="00D07928">
              <w:rPr>
                <w:color w:val="000000"/>
              </w:rPr>
              <w:t> </w:t>
            </w:r>
          </w:p>
        </w:tc>
        <w:tc>
          <w:tcPr>
            <w:tcW w:w="2200" w:type="dxa"/>
            <w:gridSpan w:val="3"/>
            <w:tcBorders>
              <w:top w:val="nil"/>
              <w:left w:val="nil"/>
              <w:bottom w:val="single" w:sz="8" w:space="0" w:color="000000"/>
              <w:right w:val="nil"/>
            </w:tcBorders>
            <w:shd w:val="clear" w:color="auto" w:fill="auto"/>
            <w:vAlign w:val="center"/>
            <w:hideMark/>
          </w:tcPr>
          <w:p w14:paraId="3591A62F" w14:textId="77777777" w:rsidR="00F032C9" w:rsidRPr="00D07928" w:rsidRDefault="00F032C9" w:rsidP="00F032C9">
            <w:pPr>
              <w:autoSpaceDE/>
              <w:autoSpaceDN/>
              <w:adjustRightInd/>
              <w:jc w:val="center"/>
              <w:rPr>
                <w:color w:val="000000"/>
              </w:rPr>
            </w:pPr>
            <w:r w:rsidRPr="00D07928">
              <w:rPr>
                <w:color w:val="000000"/>
              </w:rPr>
              <w:t xml:space="preserve">$72.22 </w:t>
            </w:r>
          </w:p>
        </w:tc>
        <w:tc>
          <w:tcPr>
            <w:tcW w:w="2320" w:type="dxa"/>
            <w:gridSpan w:val="2"/>
            <w:tcBorders>
              <w:top w:val="nil"/>
              <w:left w:val="single" w:sz="8" w:space="0" w:color="000000"/>
              <w:bottom w:val="single" w:sz="8" w:space="0" w:color="000000"/>
              <w:right w:val="nil"/>
            </w:tcBorders>
            <w:shd w:val="clear" w:color="auto" w:fill="auto"/>
            <w:vAlign w:val="center"/>
            <w:hideMark/>
          </w:tcPr>
          <w:p w14:paraId="2FA1340A" w14:textId="77777777" w:rsidR="00F032C9" w:rsidRPr="00D07928" w:rsidRDefault="00F032C9" w:rsidP="00F032C9">
            <w:pPr>
              <w:autoSpaceDE/>
              <w:autoSpaceDN/>
              <w:adjustRightInd/>
              <w:jc w:val="center"/>
              <w:rPr>
                <w:color w:val="000000"/>
              </w:rPr>
            </w:pPr>
            <w:r w:rsidRPr="00D07928">
              <w:rPr>
                <w:color w:val="000000"/>
              </w:rPr>
              <w:t xml:space="preserve">$31.26 </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56562ABD" w14:textId="77777777" w:rsidR="00F032C9" w:rsidRPr="00D07928" w:rsidRDefault="00F032C9" w:rsidP="00F032C9">
            <w:pPr>
              <w:autoSpaceDE/>
              <w:autoSpaceDN/>
              <w:adjustRightInd/>
              <w:jc w:val="center"/>
              <w:rPr>
                <w:color w:val="000000"/>
              </w:rPr>
            </w:pPr>
            <w:r w:rsidRPr="00D07928">
              <w:rPr>
                <w:color w:val="000000"/>
              </w:rPr>
              <w:t> </w:t>
            </w:r>
          </w:p>
        </w:tc>
      </w:tr>
      <w:tr w:rsidR="00F032C9" w:rsidRPr="00F032C9" w14:paraId="55CAB272" w14:textId="77777777" w:rsidTr="00AD30AB">
        <w:trPr>
          <w:gridAfter w:val="1"/>
          <w:wAfter w:w="58" w:type="dxa"/>
          <w:trHeight w:val="315"/>
        </w:trPr>
        <w:tc>
          <w:tcPr>
            <w:tcW w:w="2940" w:type="dxa"/>
            <w:tcBorders>
              <w:top w:val="nil"/>
              <w:left w:val="single" w:sz="8" w:space="0" w:color="000000"/>
              <w:bottom w:val="nil"/>
              <w:right w:val="nil"/>
            </w:tcBorders>
            <w:shd w:val="clear" w:color="auto" w:fill="auto"/>
            <w:vAlign w:val="center"/>
            <w:hideMark/>
          </w:tcPr>
          <w:p w14:paraId="5470BD36" w14:textId="77777777" w:rsidR="00F032C9" w:rsidRPr="00D07928" w:rsidRDefault="00F032C9" w:rsidP="00F032C9">
            <w:pPr>
              <w:autoSpaceDE/>
              <w:autoSpaceDN/>
              <w:adjustRightInd/>
              <w:rPr>
                <w:color w:val="000000"/>
              </w:rPr>
            </w:pPr>
            <w:r w:rsidRPr="00D07928">
              <w:rPr>
                <w:color w:val="000000"/>
              </w:rPr>
              <w:t>Compile list</w:t>
            </w:r>
          </w:p>
        </w:tc>
        <w:tc>
          <w:tcPr>
            <w:tcW w:w="2200" w:type="dxa"/>
            <w:gridSpan w:val="3"/>
            <w:tcBorders>
              <w:top w:val="nil"/>
              <w:left w:val="single" w:sz="8" w:space="0" w:color="000000"/>
              <w:bottom w:val="nil"/>
              <w:right w:val="nil"/>
            </w:tcBorders>
            <w:shd w:val="clear" w:color="auto" w:fill="auto"/>
            <w:vAlign w:val="center"/>
            <w:hideMark/>
          </w:tcPr>
          <w:p w14:paraId="0417A447" w14:textId="77777777" w:rsidR="00F032C9" w:rsidRPr="00D07928" w:rsidRDefault="00F032C9" w:rsidP="00F032C9">
            <w:pPr>
              <w:autoSpaceDE/>
              <w:autoSpaceDN/>
              <w:adjustRightInd/>
              <w:jc w:val="right"/>
              <w:rPr>
                <w:color w:val="000000"/>
              </w:rPr>
            </w:pPr>
            <w:r w:rsidRPr="00D07928">
              <w:rPr>
                <w:color w:val="000000"/>
              </w:rPr>
              <w:t xml:space="preserve">$161,195 </w:t>
            </w:r>
          </w:p>
        </w:tc>
        <w:tc>
          <w:tcPr>
            <w:tcW w:w="2320" w:type="dxa"/>
            <w:gridSpan w:val="2"/>
            <w:tcBorders>
              <w:top w:val="nil"/>
              <w:left w:val="single" w:sz="8" w:space="0" w:color="000000"/>
              <w:bottom w:val="nil"/>
              <w:right w:val="nil"/>
            </w:tcBorders>
            <w:shd w:val="clear" w:color="auto" w:fill="auto"/>
            <w:vAlign w:val="center"/>
            <w:hideMark/>
          </w:tcPr>
          <w:p w14:paraId="1A05DB3D" w14:textId="77777777" w:rsidR="00F032C9" w:rsidRPr="00D07928" w:rsidRDefault="00F032C9" w:rsidP="00F032C9">
            <w:pPr>
              <w:autoSpaceDE/>
              <w:autoSpaceDN/>
              <w:adjustRightInd/>
              <w:jc w:val="right"/>
              <w:rPr>
                <w:color w:val="000000"/>
              </w:rPr>
            </w:pPr>
            <w:r w:rsidRPr="00D07928">
              <w:rPr>
                <w:color w:val="000000"/>
              </w:rPr>
              <w:t xml:space="preserve">$0.00 </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6DB86369" w14:textId="77777777" w:rsidR="00F032C9" w:rsidRPr="00D07928" w:rsidRDefault="00F032C9" w:rsidP="00F032C9">
            <w:pPr>
              <w:autoSpaceDE/>
              <w:autoSpaceDN/>
              <w:adjustRightInd/>
              <w:jc w:val="right"/>
              <w:rPr>
                <w:color w:val="000000"/>
              </w:rPr>
            </w:pPr>
            <w:r w:rsidRPr="00D07928">
              <w:rPr>
                <w:color w:val="000000"/>
              </w:rPr>
              <w:t xml:space="preserve">$161,195 </w:t>
            </w:r>
          </w:p>
        </w:tc>
      </w:tr>
      <w:tr w:rsidR="00F032C9" w:rsidRPr="00F032C9" w14:paraId="470D0EE4" w14:textId="77777777" w:rsidTr="00AD30AB">
        <w:trPr>
          <w:gridAfter w:val="1"/>
          <w:wAfter w:w="58" w:type="dxa"/>
          <w:trHeight w:val="315"/>
        </w:trPr>
        <w:tc>
          <w:tcPr>
            <w:tcW w:w="2940" w:type="dxa"/>
            <w:tcBorders>
              <w:top w:val="single" w:sz="8" w:space="0" w:color="000000"/>
              <w:left w:val="single" w:sz="8" w:space="0" w:color="000000"/>
              <w:bottom w:val="nil"/>
              <w:right w:val="nil"/>
            </w:tcBorders>
            <w:shd w:val="clear" w:color="auto" w:fill="auto"/>
            <w:vAlign w:val="center"/>
            <w:hideMark/>
          </w:tcPr>
          <w:p w14:paraId="5C2CB0A1" w14:textId="77777777" w:rsidR="00F032C9" w:rsidRPr="00D07928" w:rsidRDefault="00F032C9" w:rsidP="00F032C9">
            <w:pPr>
              <w:autoSpaceDE/>
              <w:autoSpaceDN/>
              <w:adjustRightInd/>
              <w:rPr>
                <w:color w:val="000000"/>
              </w:rPr>
            </w:pPr>
            <w:r w:rsidRPr="00D07928">
              <w:rPr>
                <w:color w:val="000000"/>
              </w:rPr>
              <w:t>Write letter</w:t>
            </w:r>
          </w:p>
        </w:tc>
        <w:tc>
          <w:tcPr>
            <w:tcW w:w="2200" w:type="dxa"/>
            <w:gridSpan w:val="3"/>
            <w:tcBorders>
              <w:top w:val="single" w:sz="8" w:space="0" w:color="000000"/>
              <w:left w:val="single" w:sz="8" w:space="0" w:color="000000"/>
              <w:bottom w:val="nil"/>
              <w:right w:val="nil"/>
            </w:tcBorders>
            <w:shd w:val="clear" w:color="auto" w:fill="auto"/>
            <w:vAlign w:val="center"/>
            <w:hideMark/>
          </w:tcPr>
          <w:p w14:paraId="3980FBF0" w14:textId="77777777" w:rsidR="00F032C9" w:rsidRPr="00D07928" w:rsidRDefault="00F032C9" w:rsidP="00F032C9">
            <w:pPr>
              <w:autoSpaceDE/>
              <w:autoSpaceDN/>
              <w:adjustRightInd/>
              <w:jc w:val="right"/>
              <w:rPr>
                <w:color w:val="000000"/>
              </w:rPr>
            </w:pPr>
            <w:r w:rsidRPr="00D07928">
              <w:rPr>
                <w:color w:val="000000"/>
              </w:rPr>
              <w:t xml:space="preserve">$17,333 </w:t>
            </w:r>
          </w:p>
        </w:tc>
        <w:tc>
          <w:tcPr>
            <w:tcW w:w="2320" w:type="dxa"/>
            <w:gridSpan w:val="2"/>
            <w:tcBorders>
              <w:top w:val="single" w:sz="8" w:space="0" w:color="000000"/>
              <w:left w:val="single" w:sz="8" w:space="0" w:color="000000"/>
              <w:bottom w:val="nil"/>
              <w:right w:val="nil"/>
            </w:tcBorders>
            <w:shd w:val="clear" w:color="auto" w:fill="auto"/>
            <w:vAlign w:val="center"/>
            <w:hideMark/>
          </w:tcPr>
          <w:p w14:paraId="244DEBCC" w14:textId="77777777" w:rsidR="00F032C9" w:rsidRPr="00D07928" w:rsidRDefault="00F032C9" w:rsidP="00F032C9">
            <w:pPr>
              <w:autoSpaceDE/>
              <w:autoSpaceDN/>
              <w:adjustRightInd/>
              <w:jc w:val="right"/>
              <w:rPr>
                <w:color w:val="000000"/>
              </w:rPr>
            </w:pPr>
            <w:r w:rsidRPr="00D07928">
              <w:rPr>
                <w:color w:val="000000"/>
              </w:rPr>
              <w:t xml:space="preserve">$0.00 </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5C5BC122" w14:textId="77777777" w:rsidR="00F032C9" w:rsidRPr="00D07928" w:rsidRDefault="00F032C9" w:rsidP="00F032C9">
            <w:pPr>
              <w:autoSpaceDE/>
              <w:autoSpaceDN/>
              <w:adjustRightInd/>
              <w:jc w:val="right"/>
              <w:rPr>
                <w:color w:val="000000"/>
              </w:rPr>
            </w:pPr>
            <w:r w:rsidRPr="00D07928">
              <w:rPr>
                <w:color w:val="000000"/>
              </w:rPr>
              <w:t xml:space="preserve">$17,333 </w:t>
            </w:r>
          </w:p>
        </w:tc>
      </w:tr>
      <w:tr w:rsidR="00F032C9" w:rsidRPr="00F032C9" w14:paraId="5E4FF5BE" w14:textId="77777777" w:rsidTr="00AD30AB">
        <w:trPr>
          <w:gridAfter w:val="1"/>
          <w:wAfter w:w="58" w:type="dxa"/>
          <w:trHeight w:val="315"/>
        </w:trPr>
        <w:tc>
          <w:tcPr>
            <w:tcW w:w="2940" w:type="dxa"/>
            <w:tcBorders>
              <w:top w:val="single" w:sz="8" w:space="0" w:color="000000"/>
              <w:left w:val="single" w:sz="8" w:space="0" w:color="000000"/>
              <w:bottom w:val="nil"/>
              <w:right w:val="nil"/>
            </w:tcBorders>
            <w:shd w:val="clear" w:color="auto" w:fill="auto"/>
            <w:vAlign w:val="center"/>
            <w:hideMark/>
          </w:tcPr>
          <w:p w14:paraId="5B011CFD" w14:textId="77777777" w:rsidR="00F032C9" w:rsidRPr="00D07928" w:rsidRDefault="00F032C9" w:rsidP="00F032C9">
            <w:pPr>
              <w:autoSpaceDE/>
              <w:autoSpaceDN/>
              <w:adjustRightInd/>
              <w:rPr>
                <w:color w:val="000000"/>
              </w:rPr>
            </w:pPr>
            <w:r w:rsidRPr="00D07928">
              <w:rPr>
                <w:color w:val="000000"/>
              </w:rPr>
              <w:t>Check order and send notice</w:t>
            </w:r>
          </w:p>
        </w:tc>
        <w:tc>
          <w:tcPr>
            <w:tcW w:w="2200" w:type="dxa"/>
            <w:gridSpan w:val="3"/>
            <w:tcBorders>
              <w:top w:val="single" w:sz="8" w:space="0" w:color="000000"/>
              <w:left w:val="single" w:sz="8" w:space="0" w:color="000000"/>
              <w:bottom w:val="nil"/>
              <w:right w:val="nil"/>
            </w:tcBorders>
            <w:shd w:val="clear" w:color="auto" w:fill="auto"/>
            <w:vAlign w:val="center"/>
            <w:hideMark/>
          </w:tcPr>
          <w:p w14:paraId="54C1FFC8" w14:textId="77777777" w:rsidR="00F032C9" w:rsidRPr="00D07928" w:rsidRDefault="00F032C9" w:rsidP="00F032C9">
            <w:pPr>
              <w:autoSpaceDE/>
              <w:autoSpaceDN/>
              <w:adjustRightInd/>
              <w:jc w:val="right"/>
              <w:rPr>
                <w:color w:val="000000"/>
              </w:rPr>
            </w:pPr>
            <w:r w:rsidRPr="00D07928">
              <w:rPr>
                <w:color w:val="000000"/>
              </w:rPr>
              <w:t xml:space="preserve">$0.00 </w:t>
            </w:r>
          </w:p>
        </w:tc>
        <w:tc>
          <w:tcPr>
            <w:tcW w:w="2320" w:type="dxa"/>
            <w:gridSpan w:val="2"/>
            <w:tcBorders>
              <w:top w:val="single" w:sz="8" w:space="0" w:color="000000"/>
              <w:left w:val="single" w:sz="8" w:space="0" w:color="000000"/>
              <w:bottom w:val="nil"/>
              <w:right w:val="nil"/>
            </w:tcBorders>
            <w:shd w:val="clear" w:color="auto" w:fill="auto"/>
            <w:vAlign w:val="center"/>
            <w:hideMark/>
          </w:tcPr>
          <w:p w14:paraId="317E8EBF" w14:textId="77777777" w:rsidR="00F032C9" w:rsidRPr="00D07928" w:rsidRDefault="00F032C9" w:rsidP="00F032C9">
            <w:pPr>
              <w:autoSpaceDE/>
              <w:autoSpaceDN/>
              <w:adjustRightInd/>
              <w:jc w:val="right"/>
              <w:rPr>
                <w:color w:val="000000"/>
              </w:rPr>
            </w:pPr>
            <w:r w:rsidRPr="00D07928">
              <w:rPr>
                <w:color w:val="000000"/>
              </w:rPr>
              <w:t xml:space="preserve">$48,766 </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5F370F39" w14:textId="77777777" w:rsidR="00F032C9" w:rsidRPr="00D07928" w:rsidRDefault="00F032C9" w:rsidP="00F032C9">
            <w:pPr>
              <w:autoSpaceDE/>
              <w:autoSpaceDN/>
              <w:adjustRightInd/>
              <w:jc w:val="right"/>
              <w:rPr>
                <w:color w:val="000000"/>
              </w:rPr>
            </w:pPr>
            <w:r w:rsidRPr="00D07928">
              <w:rPr>
                <w:color w:val="000000"/>
              </w:rPr>
              <w:t xml:space="preserve">$48,766 </w:t>
            </w:r>
          </w:p>
        </w:tc>
      </w:tr>
      <w:tr w:rsidR="00F032C9" w:rsidRPr="00F032C9" w14:paraId="55B784DB" w14:textId="77777777" w:rsidTr="00AD30AB">
        <w:trPr>
          <w:gridAfter w:val="1"/>
          <w:wAfter w:w="58" w:type="dxa"/>
          <w:trHeight w:val="315"/>
        </w:trPr>
        <w:tc>
          <w:tcPr>
            <w:tcW w:w="2940" w:type="dxa"/>
            <w:tcBorders>
              <w:top w:val="single" w:sz="8" w:space="0" w:color="000000"/>
              <w:left w:val="single" w:sz="8" w:space="0" w:color="000000"/>
              <w:bottom w:val="single" w:sz="8" w:space="0" w:color="000000"/>
              <w:right w:val="nil"/>
            </w:tcBorders>
            <w:shd w:val="clear" w:color="auto" w:fill="auto"/>
            <w:vAlign w:val="center"/>
            <w:hideMark/>
          </w:tcPr>
          <w:p w14:paraId="3C93536A" w14:textId="77777777" w:rsidR="00F032C9" w:rsidRPr="00D07928" w:rsidRDefault="00F032C9" w:rsidP="00F032C9">
            <w:pPr>
              <w:autoSpaceDE/>
              <w:autoSpaceDN/>
              <w:adjustRightInd/>
              <w:rPr>
                <w:color w:val="000000"/>
              </w:rPr>
            </w:pPr>
            <w:r w:rsidRPr="00D07928">
              <w:rPr>
                <w:color w:val="000000"/>
              </w:rPr>
              <w:t>Mailing cost</w:t>
            </w:r>
          </w:p>
        </w:tc>
        <w:tc>
          <w:tcPr>
            <w:tcW w:w="2200" w:type="dxa"/>
            <w:gridSpan w:val="3"/>
            <w:tcBorders>
              <w:top w:val="single" w:sz="8" w:space="0" w:color="000000"/>
              <w:left w:val="single" w:sz="8" w:space="0" w:color="000000"/>
              <w:bottom w:val="single" w:sz="8" w:space="0" w:color="000000"/>
              <w:right w:val="nil"/>
            </w:tcBorders>
            <w:shd w:val="clear" w:color="auto" w:fill="auto"/>
            <w:vAlign w:val="center"/>
            <w:hideMark/>
          </w:tcPr>
          <w:p w14:paraId="7AF3D7BB" w14:textId="77777777" w:rsidR="00F032C9" w:rsidRPr="00D07928" w:rsidRDefault="00F032C9" w:rsidP="00F032C9">
            <w:pPr>
              <w:autoSpaceDE/>
              <w:autoSpaceDN/>
              <w:adjustRightInd/>
              <w:jc w:val="right"/>
              <w:rPr>
                <w:color w:val="000000"/>
              </w:rPr>
            </w:pPr>
            <w:r w:rsidRPr="00D07928">
              <w:rPr>
                <w:color w:val="000000"/>
              </w:rPr>
              <w:t>-</w:t>
            </w:r>
          </w:p>
        </w:tc>
        <w:tc>
          <w:tcPr>
            <w:tcW w:w="2320" w:type="dxa"/>
            <w:gridSpan w:val="2"/>
            <w:tcBorders>
              <w:top w:val="single" w:sz="8" w:space="0" w:color="000000"/>
              <w:left w:val="single" w:sz="8" w:space="0" w:color="000000"/>
              <w:bottom w:val="single" w:sz="8" w:space="0" w:color="000000"/>
              <w:right w:val="nil"/>
            </w:tcBorders>
            <w:shd w:val="clear" w:color="auto" w:fill="auto"/>
            <w:vAlign w:val="center"/>
            <w:hideMark/>
          </w:tcPr>
          <w:p w14:paraId="77A8130C" w14:textId="77777777" w:rsidR="00F032C9" w:rsidRPr="00D07928" w:rsidRDefault="00F032C9" w:rsidP="00F032C9">
            <w:pPr>
              <w:autoSpaceDE/>
              <w:autoSpaceDN/>
              <w:adjustRightInd/>
              <w:jc w:val="right"/>
              <w:rPr>
                <w:color w:val="000000"/>
              </w:rPr>
            </w:pPr>
            <w:r w:rsidRPr="00D07928">
              <w:rPr>
                <w:color w:val="000000"/>
              </w:rPr>
              <w:t>-</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05EFA5C7" w14:textId="77777777" w:rsidR="00F032C9" w:rsidRPr="00D07928" w:rsidRDefault="00F032C9" w:rsidP="00F032C9">
            <w:pPr>
              <w:autoSpaceDE/>
              <w:autoSpaceDN/>
              <w:adjustRightInd/>
              <w:jc w:val="right"/>
              <w:rPr>
                <w:color w:val="000000"/>
              </w:rPr>
            </w:pPr>
            <w:r w:rsidRPr="00D07928">
              <w:rPr>
                <w:color w:val="000000"/>
              </w:rPr>
              <w:t xml:space="preserve">$50,825 </w:t>
            </w:r>
          </w:p>
        </w:tc>
      </w:tr>
      <w:tr w:rsidR="00F032C9" w:rsidRPr="00F032C9" w14:paraId="4BB321AF" w14:textId="77777777" w:rsidTr="00AD30AB">
        <w:trPr>
          <w:gridAfter w:val="1"/>
          <w:wAfter w:w="58" w:type="dxa"/>
          <w:trHeight w:val="315"/>
        </w:trPr>
        <w:tc>
          <w:tcPr>
            <w:tcW w:w="2940" w:type="dxa"/>
            <w:tcBorders>
              <w:top w:val="nil"/>
              <w:left w:val="single" w:sz="8" w:space="0" w:color="000000"/>
              <w:bottom w:val="single" w:sz="8" w:space="0" w:color="000000"/>
              <w:right w:val="nil"/>
            </w:tcBorders>
            <w:shd w:val="clear" w:color="auto" w:fill="auto"/>
            <w:vAlign w:val="center"/>
            <w:hideMark/>
          </w:tcPr>
          <w:p w14:paraId="7C709CEC" w14:textId="77777777" w:rsidR="00F032C9" w:rsidRPr="00D07928" w:rsidRDefault="00F032C9" w:rsidP="00F032C9">
            <w:pPr>
              <w:autoSpaceDE/>
              <w:autoSpaceDN/>
              <w:adjustRightInd/>
              <w:rPr>
                <w:b/>
                <w:bCs/>
                <w:color w:val="000000"/>
              </w:rPr>
            </w:pPr>
            <w:r w:rsidRPr="00D07928">
              <w:rPr>
                <w:b/>
                <w:bCs/>
                <w:color w:val="000000"/>
              </w:rPr>
              <w:t>Total</w:t>
            </w:r>
          </w:p>
        </w:tc>
        <w:tc>
          <w:tcPr>
            <w:tcW w:w="2200" w:type="dxa"/>
            <w:gridSpan w:val="3"/>
            <w:tcBorders>
              <w:top w:val="nil"/>
              <w:left w:val="single" w:sz="8" w:space="0" w:color="000000"/>
              <w:bottom w:val="single" w:sz="8" w:space="0" w:color="000000"/>
              <w:right w:val="nil"/>
            </w:tcBorders>
            <w:shd w:val="clear" w:color="auto" w:fill="auto"/>
            <w:vAlign w:val="center"/>
            <w:hideMark/>
          </w:tcPr>
          <w:p w14:paraId="07410200" w14:textId="77777777" w:rsidR="00F032C9" w:rsidRPr="00D07928" w:rsidRDefault="00F032C9" w:rsidP="00F032C9">
            <w:pPr>
              <w:autoSpaceDE/>
              <w:autoSpaceDN/>
              <w:adjustRightInd/>
              <w:jc w:val="right"/>
              <w:rPr>
                <w:b/>
                <w:bCs/>
                <w:color w:val="000000"/>
              </w:rPr>
            </w:pPr>
            <w:r w:rsidRPr="00D07928">
              <w:rPr>
                <w:b/>
                <w:bCs/>
                <w:color w:val="000000"/>
              </w:rPr>
              <w:t xml:space="preserve">$178,528 </w:t>
            </w:r>
          </w:p>
        </w:tc>
        <w:tc>
          <w:tcPr>
            <w:tcW w:w="2320" w:type="dxa"/>
            <w:gridSpan w:val="2"/>
            <w:tcBorders>
              <w:top w:val="nil"/>
              <w:left w:val="single" w:sz="8" w:space="0" w:color="000000"/>
              <w:bottom w:val="single" w:sz="8" w:space="0" w:color="000000"/>
              <w:right w:val="nil"/>
            </w:tcBorders>
            <w:shd w:val="clear" w:color="auto" w:fill="auto"/>
            <w:vAlign w:val="center"/>
            <w:hideMark/>
          </w:tcPr>
          <w:p w14:paraId="63F65BA4" w14:textId="77777777" w:rsidR="00F032C9" w:rsidRPr="00D07928" w:rsidRDefault="00F032C9" w:rsidP="00F032C9">
            <w:pPr>
              <w:autoSpaceDE/>
              <w:autoSpaceDN/>
              <w:adjustRightInd/>
              <w:jc w:val="right"/>
              <w:rPr>
                <w:b/>
                <w:bCs/>
                <w:color w:val="000000"/>
              </w:rPr>
            </w:pPr>
            <w:r w:rsidRPr="00D07928">
              <w:rPr>
                <w:b/>
                <w:bCs/>
                <w:color w:val="000000"/>
              </w:rPr>
              <w:t xml:space="preserve">$48,766 </w:t>
            </w:r>
          </w:p>
        </w:tc>
        <w:tc>
          <w:tcPr>
            <w:tcW w:w="2270" w:type="dxa"/>
            <w:gridSpan w:val="2"/>
            <w:tcBorders>
              <w:top w:val="nil"/>
              <w:left w:val="single" w:sz="8" w:space="0" w:color="000000"/>
              <w:bottom w:val="single" w:sz="8" w:space="0" w:color="000000"/>
              <w:right w:val="single" w:sz="8" w:space="0" w:color="000000"/>
            </w:tcBorders>
            <w:shd w:val="clear" w:color="auto" w:fill="auto"/>
            <w:vAlign w:val="center"/>
            <w:hideMark/>
          </w:tcPr>
          <w:p w14:paraId="7D2691C5" w14:textId="77777777" w:rsidR="00F032C9" w:rsidRPr="00D07928" w:rsidRDefault="00F032C9" w:rsidP="00F032C9">
            <w:pPr>
              <w:autoSpaceDE/>
              <w:autoSpaceDN/>
              <w:adjustRightInd/>
              <w:jc w:val="right"/>
              <w:rPr>
                <w:b/>
                <w:bCs/>
                <w:color w:val="000000"/>
              </w:rPr>
            </w:pPr>
            <w:r w:rsidRPr="00D07928">
              <w:rPr>
                <w:b/>
                <w:bCs/>
                <w:color w:val="000000"/>
              </w:rPr>
              <w:t xml:space="preserve">$278,118 </w:t>
            </w:r>
          </w:p>
        </w:tc>
      </w:tr>
    </w:tbl>
    <w:p w14:paraId="6BDB94AC" w14:textId="0C49699A" w:rsidR="00375BC7" w:rsidRPr="000B4D89" w:rsidRDefault="00375BC7" w:rsidP="000B4D89">
      <w:pPr>
        <w:pStyle w:val="NoSpacing"/>
        <w:rPr>
          <w:rFonts w:ascii="Times New Roman" w:hAnsi="Times New Roman"/>
          <w:sz w:val="24"/>
          <w:szCs w:val="24"/>
        </w:rPr>
      </w:pPr>
    </w:p>
    <w:p w14:paraId="61E3716F" w14:textId="7777777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b/>
          <w:sz w:val="24"/>
          <w:szCs w:val="24"/>
        </w:rPr>
        <w:t>6(c)</w:t>
      </w:r>
      <w:r w:rsidRPr="000B4D89">
        <w:rPr>
          <w:rFonts w:ascii="Times New Roman" w:hAnsi="Times New Roman"/>
          <w:b/>
          <w:sz w:val="24"/>
          <w:szCs w:val="24"/>
        </w:rPr>
        <w:tab/>
        <w:t>Estimating Agency Burden and Cost</w:t>
      </w:r>
    </w:p>
    <w:p w14:paraId="6D839F57" w14:textId="77777777" w:rsidR="00164BC5" w:rsidRPr="000B4D89" w:rsidRDefault="00164BC5" w:rsidP="000B4D89">
      <w:pPr>
        <w:pStyle w:val="NoSpacing"/>
        <w:rPr>
          <w:rFonts w:ascii="Times New Roman" w:hAnsi="Times New Roman"/>
          <w:sz w:val="24"/>
          <w:szCs w:val="24"/>
        </w:rPr>
      </w:pPr>
    </w:p>
    <w:p w14:paraId="69A40544" w14:textId="33AD3999" w:rsidR="00232B77"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Agency unit costs are based on past TSCA section 12(b) analyses, including the previous ICR, and on contacts with the Environmental Assistance Division (EAD), which administered the 12</w:t>
      </w:r>
      <w:r w:rsidR="00BF7F7B" w:rsidRPr="000B4D89">
        <w:rPr>
          <w:rFonts w:ascii="Times New Roman" w:hAnsi="Times New Roman"/>
          <w:sz w:val="24"/>
          <w:szCs w:val="24"/>
        </w:rPr>
        <w:t>(</w:t>
      </w:r>
      <w:r w:rsidRPr="000B4D89">
        <w:rPr>
          <w:rFonts w:ascii="Times New Roman" w:hAnsi="Times New Roman"/>
          <w:sz w:val="24"/>
          <w:szCs w:val="24"/>
        </w:rPr>
        <w:t>b</w:t>
      </w:r>
      <w:r w:rsidR="00BF7F7B" w:rsidRPr="000B4D89">
        <w:rPr>
          <w:rFonts w:ascii="Times New Roman" w:hAnsi="Times New Roman"/>
          <w:sz w:val="24"/>
          <w:szCs w:val="24"/>
        </w:rPr>
        <w:t>)</w:t>
      </w:r>
      <w:r w:rsidRPr="000B4D89">
        <w:rPr>
          <w:rFonts w:ascii="Times New Roman" w:hAnsi="Times New Roman"/>
          <w:sz w:val="24"/>
          <w:szCs w:val="24"/>
        </w:rPr>
        <w:t xml:space="preserve"> notification process before IMD.  EPA’s cost estimates are based on past experience with these activities.  The Agency cost can be divided into three parts: </w:t>
      </w:r>
      <w:r w:rsidR="00FF7A6C" w:rsidRPr="000B4D89">
        <w:rPr>
          <w:rFonts w:ascii="Times New Roman" w:hAnsi="Times New Roman"/>
          <w:sz w:val="24"/>
          <w:szCs w:val="24"/>
        </w:rPr>
        <w:t xml:space="preserve">(1) </w:t>
      </w:r>
      <w:r w:rsidRPr="000B4D89">
        <w:rPr>
          <w:rFonts w:ascii="Times New Roman" w:hAnsi="Times New Roman"/>
          <w:sz w:val="24"/>
          <w:szCs w:val="24"/>
        </w:rPr>
        <w:t xml:space="preserve">receiving and processing incoming notices, </w:t>
      </w:r>
      <w:r w:rsidR="00FF7A6C" w:rsidRPr="000B4D89">
        <w:rPr>
          <w:rFonts w:ascii="Times New Roman" w:hAnsi="Times New Roman"/>
          <w:sz w:val="24"/>
          <w:szCs w:val="24"/>
        </w:rPr>
        <w:t xml:space="preserve">(2) </w:t>
      </w:r>
      <w:r w:rsidRPr="000B4D89">
        <w:rPr>
          <w:rFonts w:ascii="Times New Roman" w:hAnsi="Times New Roman"/>
          <w:sz w:val="24"/>
          <w:szCs w:val="24"/>
        </w:rPr>
        <w:t xml:space="preserve">preparing and mailing notifications to importing countries, and </w:t>
      </w:r>
      <w:r w:rsidR="00FF7A6C" w:rsidRPr="000B4D89">
        <w:rPr>
          <w:rFonts w:ascii="Times New Roman" w:hAnsi="Times New Roman"/>
          <w:sz w:val="24"/>
          <w:szCs w:val="24"/>
        </w:rPr>
        <w:t xml:space="preserve">(3) </w:t>
      </w:r>
      <w:r w:rsidRPr="000B4D89">
        <w:rPr>
          <w:rFonts w:ascii="Times New Roman" w:hAnsi="Times New Roman"/>
          <w:sz w:val="24"/>
          <w:szCs w:val="24"/>
        </w:rPr>
        <w:t>responding to requests for information and clarification from companies and importing countries.  The allocation of burden hours and costs among these three parts is not exact, but the analysis below is reasonably accurate in terms of the overall burden estimate and the approximate allocation of that burden among these tasks</w:t>
      </w:r>
      <w:r w:rsidR="00E71881" w:rsidRPr="000B4D89">
        <w:rPr>
          <w:rFonts w:ascii="Times New Roman" w:hAnsi="Times New Roman"/>
          <w:sz w:val="24"/>
          <w:szCs w:val="24"/>
        </w:rPr>
        <w:t xml:space="preserve">. </w:t>
      </w:r>
      <w:r w:rsidR="00232B77" w:rsidRPr="000B4D89">
        <w:rPr>
          <w:rFonts w:ascii="Times New Roman" w:hAnsi="Times New Roman"/>
          <w:sz w:val="24"/>
          <w:szCs w:val="24"/>
        </w:rPr>
        <w:t>EPA presents Agency costs Tables 6 with the total annual cost at estimated at $59,659.</w:t>
      </w:r>
    </w:p>
    <w:p w14:paraId="3743B79B" w14:textId="77777777" w:rsidR="00E71881" w:rsidRPr="000B4D89" w:rsidRDefault="00E71881" w:rsidP="000B4D89">
      <w:pPr>
        <w:pStyle w:val="NoSpacing"/>
        <w:rPr>
          <w:rFonts w:ascii="Times New Roman" w:hAnsi="Times New Roman"/>
          <w:sz w:val="24"/>
          <w:szCs w:val="24"/>
        </w:rPr>
      </w:pPr>
    </w:p>
    <w:p w14:paraId="30512169" w14:textId="3316DCD5" w:rsidR="00462E37" w:rsidRDefault="00E71881" w:rsidP="000B4D89">
      <w:pPr>
        <w:pStyle w:val="NoSpacing"/>
        <w:ind w:firstLine="720"/>
      </w:pPr>
      <w:r w:rsidRPr="000B4D89">
        <w:rPr>
          <w:rFonts w:ascii="Times New Roman" w:hAnsi="Times New Roman"/>
          <w:sz w:val="24"/>
          <w:szCs w:val="24"/>
        </w:rPr>
        <w:t>Agency costs include labor and non-labor cost. Labor costs are computed from the burden estimates, using wages from the GS schedule for GS 13 step 5 and a multiplier of 1.6 (per EPA 2009) to reflect federal fringe benefits and overhead</w:t>
      </w:r>
      <w:r w:rsidR="00462E37" w:rsidRPr="000B4D89">
        <w:rPr>
          <w:rFonts w:ascii="Times New Roman" w:hAnsi="Times New Roman"/>
          <w:sz w:val="24"/>
          <w:szCs w:val="24"/>
        </w:rPr>
        <w:t xml:space="preserve">, yielding </w:t>
      </w:r>
      <w:r w:rsidR="00100945" w:rsidRPr="000B4D89">
        <w:rPr>
          <w:rFonts w:ascii="Times New Roman" w:hAnsi="Times New Roman"/>
          <w:sz w:val="24"/>
          <w:szCs w:val="24"/>
        </w:rPr>
        <w:t xml:space="preserve">a wage rate of $78.91 (OPM 2015). </w:t>
      </w:r>
      <w:r w:rsidR="00F76E33" w:rsidRPr="000B4D89">
        <w:rPr>
          <w:rFonts w:ascii="Times New Roman" w:hAnsi="Times New Roman"/>
          <w:sz w:val="24"/>
          <w:szCs w:val="24"/>
        </w:rPr>
        <w:t>Agency non-labor costs entail mailing costs</w:t>
      </w:r>
      <w:r w:rsidR="00BF7F7B" w:rsidRPr="000B4D89">
        <w:rPr>
          <w:rFonts w:ascii="Times New Roman" w:hAnsi="Times New Roman"/>
          <w:sz w:val="24"/>
          <w:szCs w:val="24"/>
        </w:rPr>
        <w:t xml:space="preserve"> (</w:t>
      </w:r>
      <w:r w:rsidRPr="000B4D89">
        <w:rPr>
          <w:rFonts w:ascii="Times New Roman" w:hAnsi="Times New Roman"/>
          <w:sz w:val="24"/>
          <w:szCs w:val="24"/>
        </w:rPr>
        <w:t xml:space="preserve">discussed </w:t>
      </w:r>
      <w:r w:rsidR="00BF7F7B" w:rsidRPr="000B4D89">
        <w:rPr>
          <w:rFonts w:ascii="Times New Roman" w:hAnsi="Times New Roman"/>
          <w:sz w:val="24"/>
          <w:szCs w:val="24"/>
        </w:rPr>
        <w:t>below)</w:t>
      </w:r>
      <w:r w:rsidR="00F76E33" w:rsidRPr="000B4D89">
        <w:rPr>
          <w:rFonts w:ascii="Times New Roman" w:hAnsi="Times New Roman"/>
          <w:sz w:val="24"/>
          <w:szCs w:val="24"/>
        </w:rPr>
        <w:t>.</w:t>
      </w:r>
      <w:r w:rsidR="00100945" w:rsidRPr="000B4D89">
        <w:rPr>
          <w:rFonts w:ascii="Times New Roman" w:hAnsi="Times New Roman"/>
          <w:sz w:val="24"/>
          <w:szCs w:val="24"/>
        </w:rPr>
        <w:t xml:space="preserve"> </w:t>
      </w:r>
      <w:r w:rsidRPr="000B4D89">
        <w:rPr>
          <w:rFonts w:ascii="Times New Roman" w:hAnsi="Times New Roman"/>
          <w:sz w:val="24"/>
          <w:szCs w:val="24"/>
        </w:rPr>
        <w:t>In addition to U.S. domestic rates (presented in the respondent cost section 6(b)), international rates are employed to</w:t>
      </w:r>
      <w:r w:rsidR="00462E37" w:rsidRPr="000B4D89">
        <w:rPr>
          <w:rFonts w:ascii="Times New Roman" w:hAnsi="Times New Roman"/>
          <w:sz w:val="24"/>
          <w:szCs w:val="24"/>
        </w:rPr>
        <w:t>taling</w:t>
      </w:r>
      <w:r w:rsidRPr="000B4D89">
        <w:rPr>
          <w:rFonts w:ascii="Times New Roman" w:hAnsi="Times New Roman"/>
          <w:sz w:val="24"/>
          <w:szCs w:val="24"/>
        </w:rPr>
        <w:t xml:space="preserve"> $19.00 </w:t>
      </w:r>
      <w:r w:rsidR="00462E37" w:rsidRPr="000B4D89">
        <w:rPr>
          <w:rFonts w:ascii="Times New Roman" w:hAnsi="Times New Roman"/>
          <w:sz w:val="24"/>
          <w:szCs w:val="24"/>
        </w:rPr>
        <w:t>per notification sent from EPA (U.S. international mail rates - USPS 2015):</w:t>
      </w:r>
    </w:p>
    <w:p w14:paraId="2B4DE936" w14:textId="77777777" w:rsidR="00A511CE" w:rsidRDefault="00A511CE">
      <w:pPr>
        <w:autoSpaceDE/>
        <w:autoSpaceDN/>
        <w:adjustRightInd/>
        <w:spacing w:after="200" w:line="276" w:lineRule="auto"/>
        <w:rPr>
          <w:sz w:val="24"/>
          <w:szCs w:val="24"/>
        </w:rPr>
      </w:pPr>
      <w:r>
        <w:rPr>
          <w:sz w:val="24"/>
          <w:szCs w:val="24"/>
        </w:rPr>
        <w:br w:type="page"/>
      </w:r>
    </w:p>
    <w:p w14:paraId="337B77C9" w14:textId="75ADE598" w:rsidR="00462E37" w:rsidRDefault="00462E37" w:rsidP="00462E37">
      <w:pPr>
        <w:pStyle w:val="ListParagraph"/>
        <w:numPr>
          <w:ilvl w:val="0"/>
          <w:numId w:val="5"/>
        </w:numPr>
        <w:rPr>
          <w:sz w:val="24"/>
          <w:szCs w:val="24"/>
        </w:rPr>
      </w:pPr>
      <w:r w:rsidRPr="00682C40">
        <w:rPr>
          <w:sz w:val="24"/>
          <w:szCs w:val="24"/>
        </w:rPr>
        <w:t>$13</w:t>
      </w:r>
      <w:r>
        <w:rPr>
          <w:sz w:val="24"/>
          <w:szCs w:val="24"/>
        </w:rPr>
        <w:t xml:space="preserve">.95 </w:t>
      </w:r>
      <w:r w:rsidRPr="00682C40">
        <w:rPr>
          <w:sz w:val="24"/>
          <w:szCs w:val="24"/>
        </w:rPr>
        <w:t>for registered mail</w:t>
      </w:r>
    </w:p>
    <w:p w14:paraId="22AF2E2B" w14:textId="1993CB66" w:rsidR="00462E37" w:rsidRDefault="00462E37" w:rsidP="00462E37">
      <w:pPr>
        <w:pStyle w:val="ListParagraph"/>
        <w:numPr>
          <w:ilvl w:val="0"/>
          <w:numId w:val="5"/>
        </w:numPr>
        <w:rPr>
          <w:sz w:val="24"/>
          <w:szCs w:val="24"/>
        </w:rPr>
      </w:pPr>
      <w:r w:rsidRPr="00682C40">
        <w:rPr>
          <w:sz w:val="24"/>
          <w:szCs w:val="24"/>
        </w:rPr>
        <w:t>$</w:t>
      </w:r>
      <w:r>
        <w:rPr>
          <w:sz w:val="24"/>
          <w:szCs w:val="24"/>
        </w:rPr>
        <w:t>3</w:t>
      </w:r>
      <w:r w:rsidRPr="00682C40">
        <w:rPr>
          <w:sz w:val="24"/>
          <w:szCs w:val="24"/>
        </w:rPr>
        <w:t>.</w:t>
      </w:r>
      <w:r>
        <w:rPr>
          <w:sz w:val="24"/>
          <w:szCs w:val="24"/>
        </w:rPr>
        <w:t>85</w:t>
      </w:r>
      <w:r w:rsidRPr="00682C40">
        <w:rPr>
          <w:sz w:val="24"/>
          <w:szCs w:val="24"/>
        </w:rPr>
        <w:t xml:space="preserve"> for a return receipt</w:t>
      </w:r>
    </w:p>
    <w:p w14:paraId="358ADA6C" w14:textId="6054D471" w:rsidR="00462E37" w:rsidRDefault="00462E37" w:rsidP="00462E37">
      <w:pPr>
        <w:pStyle w:val="ListParagraph"/>
        <w:numPr>
          <w:ilvl w:val="0"/>
          <w:numId w:val="5"/>
        </w:numPr>
        <w:rPr>
          <w:sz w:val="24"/>
          <w:szCs w:val="24"/>
        </w:rPr>
      </w:pPr>
      <w:r w:rsidRPr="00682C40">
        <w:rPr>
          <w:sz w:val="24"/>
          <w:szCs w:val="24"/>
        </w:rPr>
        <w:t>$</w:t>
      </w:r>
      <w:r>
        <w:rPr>
          <w:sz w:val="24"/>
          <w:szCs w:val="24"/>
        </w:rPr>
        <w:t>1</w:t>
      </w:r>
      <w:r w:rsidRPr="00682C40">
        <w:rPr>
          <w:sz w:val="24"/>
          <w:szCs w:val="24"/>
        </w:rPr>
        <w:t>.</w:t>
      </w:r>
      <w:r>
        <w:rPr>
          <w:sz w:val="24"/>
          <w:szCs w:val="24"/>
        </w:rPr>
        <w:t>20</w:t>
      </w:r>
      <w:r w:rsidRPr="00682C40">
        <w:rPr>
          <w:sz w:val="24"/>
          <w:szCs w:val="24"/>
        </w:rPr>
        <w:t xml:space="preserve"> postage</w:t>
      </w:r>
    </w:p>
    <w:p w14:paraId="181FB0A4" w14:textId="77777777" w:rsidR="00164BC5" w:rsidRPr="00A77684" w:rsidRDefault="00164BC5" w:rsidP="00164BC5">
      <w:pPr>
        <w:numPr>
          <w:ilvl w:val="12"/>
          <w:numId w:val="0"/>
        </w:numPr>
        <w:rPr>
          <w:sz w:val="24"/>
          <w:szCs w:val="24"/>
        </w:rPr>
      </w:pPr>
    </w:p>
    <w:p w14:paraId="55484A67" w14:textId="7EE50217" w:rsidR="00892469" w:rsidRPr="000B4D89" w:rsidRDefault="00FF7A6C" w:rsidP="000B4D89">
      <w:pPr>
        <w:pStyle w:val="NoSpacing"/>
        <w:ind w:firstLine="720"/>
        <w:rPr>
          <w:rFonts w:ascii="Times New Roman" w:hAnsi="Times New Roman"/>
          <w:sz w:val="24"/>
          <w:szCs w:val="24"/>
        </w:rPr>
      </w:pPr>
      <w:r w:rsidRPr="000B4D89">
        <w:rPr>
          <w:rFonts w:ascii="Times New Roman" w:hAnsi="Times New Roman"/>
          <w:b/>
          <w:sz w:val="24"/>
          <w:szCs w:val="24"/>
        </w:rPr>
        <w:t>Task 1</w:t>
      </w:r>
      <w:r w:rsidR="00F76E33" w:rsidRPr="000B4D89">
        <w:rPr>
          <w:rFonts w:ascii="Times New Roman" w:hAnsi="Times New Roman"/>
          <w:b/>
          <w:sz w:val="24"/>
          <w:szCs w:val="24"/>
        </w:rPr>
        <w:t>: R</w:t>
      </w:r>
      <w:r w:rsidRPr="000B4D89">
        <w:rPr>
          <w:rFonts w:ascii="Times New Roman" w:hAnsi="Times New Roman"/>
          <w:b/>
          <w:sz w:val="24"/>
          <w:szCs w:val="24"/>
        </w:rPr>
        <w:t>eceiving and processing incoming notices.</w:t>
      </w:r>
      <w:r w:rsidRPr="000B4D89">
        <w:rPr>
          <w:rFonts w:ascii="Times New Roman" w:hAnsi="Times New Roman"/>
          <w:sz w:val="24"/>
          <w:szCs w:val="24"/>
        </w:rPr>
        <w:t xml:space="preserve"> </w:t>
      </w:r>
      <w:r w:rsidR="00164BC5" w:rsidRPr="000B4D89">
        <w:rPr>
          <w:rFonts w:ascii="Times New Roman" w:hAnsi="Times New Roman"/>
          <w:sz w:val="24"/>
          <w:szCs w:val="24"/>
        </w:rPr>
        <w:t>In the first task, notices are received from firms that intend to export a product covered by this rule, the forms are checked for completeness, and the submissions are logged into a document control system.  Based on conversations with the workers responsible for this task, about ten noti</w:t>
      </w:r>
      <w:r w:rsidR="003F7AC5" w:rsidRPr="000B4D89">
        <w:rPr>
          <w:rFonts w:ascii="Times New Roman" w:hAnsi="Times New Roman"/>
          <w:sz w:val="24"/>
          <w:szCs w:val="24"/>
        </w:rPr>
        <w:t>ces</w:t>
      </w:r>
      <w:r w:rsidR="00164BC5" w:rsidRPr="000B4D89">
        <w:rPr>
          <w:rFonts w:ascii="Times New Roman" w:hAnsi="Times New Roman"/>
          <w:sz w:val="24"/>
          <w:szCs w:val="24"/>
        </w:rPr>
        <w:t xml:space="preserve"> can be processed per hour.  EPA projects that an average of 3,090 noti</w:t>
      </w:r>
      <w:r w:rsidR="003F7AC5" w:rsidRPr="000B4D89">
        <w:rPr>
          <w:rFonts w:ascii="Times New Roman" w:hAnsi="Times New Roman"/>
          <w:sz w:val="24"/>
          <w:szCs w:val="24"/>
        </w:rPr>
        <w:t>ces</w:t>
      </w:r>
      <w:r w:rsidR="00164BC5" w:rsidRPr="000B4D89">
        <w:rPr>
          <w:rFonts w:ascii="Times New Roman" w:hAnsi="Times New Roman"/>
          <w:sz w:val="24"/>
          <w:szCs w:val="24"/>
        </w:rPr>
        <w:t xml:space="preserve"> </w:t>
      </w:r>
      <w:r w:rsidR="008E27E7" w:rsidRPr="000B4D89">
        <w:rPr>
          <w:rFonts w:ascii="Times New Roman" w:hAnsi="Times New Roman"/>
          <w:sz w:val="24"/>
          <w:szCs w:val="24"/>
        </w:rPr>
        <w:t xml:space="preserve">(as estimated in section 6(a)) </w:t>
      </w:r>
      <w:r w:rsidR="00164BC5" w:rsidRPr="000B4D89">
        <w:rPr>
          <w:rFonts w:ascii="Times New Roman" w:hAnsi="Times New Roman"/>
          <w:sz w:val="24"/>
          <w:szCs w:val="24"/>
        </w:rPr>
        <w:t xml:space="preserve">will be received per year over the period covered by this ICR, requiring approximately 309 hours of support.  </w:t>
      </w:r>
      <w:r w:rsidR="00892469" w:rsidRPr="000B4D89">
        <w:rPr>
          <w:rFonts w:ascii="Times New Roman" w:hAnsi="Times New Roman"/>
          <w:sz w:val="24"/>
          <w:szCs w:val="24"/>
        </w:rPr>
        <w:t xml:space="preserve">Applying the wage rate yields </w:t>
      </w:r>
      <w:r w:rsidR="006C2CFC" w:rsidRPr="000B4D89">
        <w:rPr>
          <w:rFonts w:ascii="Times New Roman" w:hAnsi="Times New Roman"/>
          <w:sz w:val="24"/>
          <w:szCs w:val="24"/>
        </w:rPr>
        <w:t>the result presented in Table 6.</w:t>
      </w:r>
      <w:r w:rsidR="00892469" w:rsidRPr="000B4D89">
        <w:rPr>
          <w:rFonts w:ascii="Times New Roman" w:hAnsi="Times New Roman"/>
          <w:sz w:val="24"/>
          <w:szCs w:val="24"/>
        </w:rPr>
        <w:t xml:space="preserve">   </w:t>
      </w:r>
    </w:p>
    <w:p w14:paraId="12C83542" w14:textId="13BCE369" w:rsidR="00164BC5" w:rsidRPr="000B4D89" w:rsidRDefault="00164BC5" w:rsidP="000B4D89">
      <w:pPr>
        <w:pStyle w:val="NoSpacing"/>
        <w:rPr>
          <w:rFonts w:ascii="Times New Roman" w:hAnsi="Times New Roman"/>
          <w:sz w:val="24"/>
          <w:szCs w:val="24"/>
        </w:rPr>
      </w:pPr>
    </w:p>
    <w:p w14:paraId="4C46E873" w14:textId="5204A1F1" w:rsidR="006C2CFC" w:rsidRPr="000B4D89" w:rsidRDefault="00F76E33" w:rsidP="000B4D89">
      <w:pPr>
        <w:pStyle w:val="NoSpacing"/>
        <w:ind w:firstLine="720"/>
        <w:rPr>
          <w:rFonts w:ascii="Times New Roman" w:hAnsi="Times New Roman"/>
          <w:sz w:val="24"/>
          <w:szCs w:val="24"/>
        </w:rPr>
      </w:pPr>
      <w:r w:rsidRPr="000B4D89">
        <w:rPr>
          <w:rFonts w:ascii="Times New Roman" w:hAnsi="Times New Roman"/>
          <w:sz w:val="24"/>
          <w:szCs w:val="24"/>
        </w:rPr>
        <w:t>T</w:t>
      </w:r>
      <w:r w:rsidRPr="000B4D89">
        <w:rPr>
          <w:rFonts w:ascii="Times New Roman" w:hAnsi="Times New Roman"/>
          <w:b/>
          <w:sz w:val="24"/>
          <w:szCs w:val="24"/>
        </w:rPr>
        <w:t>ask 2: Preparing and mailing notifications to importing countries</w:t>
      </w:r>
      <w:r w:rsidRPr="000B4D89">
        <w:rPr>
          <w:rFonts w:ascii="Times New Roman" w:hAnsi="Times New Roman"/>
          <w:sz w:val="24"/>
          <w:szCs w:val="24"/>
        </w:rPr>
        <w:t xml:space="preserve">. </w:t>
      </w:r>
      <w:r w:rsidR="00164BC5" w:rsidRPr="000B4D89">
        <w:rPr>
          <w:rFonts w:ascii="Times New Roman" w:hAnsi="Times New Roman"/>
          <w:sz w:val="24"/>
          <w:szCs w:val="24"/>
        </w:rPr>
        <w:t>In the second task, workers prepare letters of noti</w:t>
      </w:r>
      <w:r w:rsidR="003F7AC5" w:rsidRPr="000B4D89">
        <w:rPr>
          <w:rFonts w:ascii="Times New Roman" w:hAnsi="Times New Roman"/>
          <w:sz w:val="24"/>
          <w:szCs w:val="24"/>
        </w:rPr>
        <w:t>fication</w:t>
      </w:r>
      <w:r w:rsidR="00164BC5" w:rsidRPr="000B4D89">
        <w:rPr>
          <w:rFonts w:ascii="Times New Roman" w:hAnsi="Times New Roman"/>
          <w:sz w:val="24"/>
          <w:szCs w:val="24"/>
        </w:rPr>
        <w:t xml:space="preserve"> which are subsequently reviewed and sent out to importing countries.  Not all notifications submitted require that a notice be sent out.  This work averages approximately 30 minutes per notice.  </w:t>
      </w:r>
      <w:r w:rsidRPr="000B4D89">
        <w:rPr>
          <w:rFonts w:ascii="Times New Roman" w:hAnsi="Times New Roman"/>
          <w:sz w:val="24"/>
          <w:szCs w:val="24"/>
        </w:rPr>
        <w:t xml:space="preserve">Based on current experience, </w:t>
      </w:r>
      <w:r w:rsidR="00164BC5" w:rsidRPr="000B4D89">
        <w:rPr>
          <w:rFonts w:ascii="Times New Roman" w:hAnsi="Times New Roman"/>
          <w:sz w:val="24"/>
          <w:szCs w:val="24"/>
        </w:rPr>
        <w:t xml:space="preserve">EPA </w:t>
      </w:r>
      <w:r w:rsidRPr="000B4D89">
        <w:rPr>
          <w:rFonts w:ascii="Times New Roman" w:hAnsi="Times New Roman"/>
          <w:sz w:val="24"/>
          <w:szCs w:val="24"/>
        </w:rPr>
        <w:t xml:space="preserve">estimates </w:t>
      </w:r>
      <w:r w:rsidR="00164BC5" w:rsidRPr="000B4D89">
        <w:rPr>
          <w:rFonts w:ascii="Times New Roman" w:hAnsi="Times New Roman"/>
          <w:sz w:val="24"/>
          <w:szCs w:val="24"/>
        </w:rPr>
        <w:t xml:space="preserve">an average of </w:t>
      </w:r>
      <w:r w:rsidRPr="000B4D89">
        <w:rPr>
          <w:rFonts w:ascii="Times New Roman" w:hAnsi="Times New Roman"/>
          <w:sz w:val="24"/>
          <w:szCs w:val="24"/>
        </w:rPr>
        <w:t>65</w:t>
      </w:r>
      <w:r w:rsidR="00066686" w:rsidRPr="000B4D89">
        <w:rPr>
          <w:rFonts w:ascii="Times New Roman" w:hAnsi="Times New Roman"/>
          <w:sz w:val="24"/>
          <w:szCs w:val="24"/>
        </w:rPr>
        <w:t xml:space="preserve"> </w:t>
      </w:r>
      <w:r w:rsidR="00164BC5" w:rsidRPr="000B4D89">
        <w:rPr>
          <w:rFonts w:ascii="Times New Roman" w:hAnsi="Times New Roman"/>
          <w:sz w:val="24"/>
          <w:szCs w:val="24"/>
        </w:rPr>
        <w:t>notification letters mailed each year</w:t>
      </w:r>
      <w:r w:rsidRPr="000B4D89">
        <w:rPr>
          <w:rFonts w:ascii="Times New Roman" w:hAnsi="Times New Roman"/>
          <w:sz w:val="24"/>
          <w:szCs w:val="24"/>
        </w:rPr>
        <w:t>.</w:t>
      </w:r>
      <w:r w:rsidR="00164BC5" w:rsidRPr="000B4D89">
        <w:rPr>
          <w:rFonts w:ascii="Times New Roman" w:hAnsi="Times New Roman"/>
          <w:sz w:val="24"/>
          <w:szCs w:val="24"/>
        </w:rPr>
        <w:t xml:space="preserve"> This yields a burden of </w:t>
      </w:r>
      <w:r w:rsidRPr="000B4D89">
        <w:rPr>
          <w:rFonts w:ascii="Times New Roman" w:hAnsi="Times New Roman"/>
          <w:sz w:val="24"/>
          <w:szCs w:val="24"/>
        </w:rPr>
        <w:t>32.5</w:t>
      </w:r>
      <w:r w:rsidR="00066686" w:rsidRPr="000B4D89">
        <w:rPr>
          <w:rFonts w:ascii="Times New Roman" w:hAnsi="Times New Roman"/>
          <w:sz w:val="24"/>
          <w:szCs w:val="24"/>
        </w:rPr>
        <w:t xml:space="preserve"> </w:t>
      </w:r>
      <w:r w:rsidR="00164BC5" w:rsidRPr="000B4D89">
        <w:rPr>
          <w:rFonts w:ascii="Times New Roman" w:hAnsi="Times New Roman"/>
          <w:sz w:val="24"/>
          <w:szCs w:val="24"/>
        </w:rPr>
        <w:t>hours annually.</w:t>
      </w:r>
      <w:r w:rsidR="00892469" w:rsidRPr="000B4D89">
        <w:rPr>
          <w:rFonts w:ascii="Times New Roman" w:hAnsi="Times New Roman"/>
          <w:sz w:val="24"/>
          <w:szCs w:val="24"/>
        </w:rPr>
        <w:t xml:space="preserve"> Applying the wage rate yields </w:t>
      </w:r>
      <w:r w:rsidR="006C2CFC" w:rsidRPr="000B4D89">
        <w:rPr>
          <w:rFonts w:ascii="Times New Roman" w:hAnsi="Times New Roman"/>
          <w:sz w:val="24"/>
          <w:szCs w:val="24"/>
        </w:rPr>
        <w:t xml:space="preserve">the result presented in Table 6.   </w:t>
      </w:r>
    </w:p>
    <w:p w14:paraId="587BBA02" w14:textId="77777777" w:rsidR="00164BC5" w:rsidRPr="000B4D89" w:rsidRDefault="00164BC5" w:rsidP="000B4D89">
      <w:pPr>
        <w:pStyle w:val="NoSpacing"/>
        <w:rPr>
          <w:rFonts w:ascii="Times New Roman" w:hAnsi="Times New Roman"/>
          <w:sz w:val="24"/>
          <w:szCs w:val="24"/>
        </w:rPr>
      </w:pPr>
    </w:p>
    <w:p w14:paraId="1D9BB246" w14:textId="3308CA71"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cost of mailing a notification can vary depending on whether it is sent to an embassy in the U</w:t>
      </w:r>
      <w:r w:rsidR="00D13CA1" w:rsidRPr="000B4D89">
        <w:rPr>
          <w:rFonts w:ascii="Times New Roman" w:hAnsi="Times New Roman"/>
          <w:sz w:val="24"/>
          <w:szCs w:val="24"/>
        </w:rPr>
        <w:t>.</w:t>
      </w:r>
      <w:r w:rsidRPr="000B4D89">
        <w:rPr>
          <w:rFonts w:ascii="Times New Roman" w:hAnsi="Times New Roman"/>
          <w:sz w:val="24"/>
          <w:szCs w:val="24"/>
        </w:rPr>
        <w:t>S</w:t>
      </w:r>
      <w:r w:rsidR="00D13CA1" w:rsidRPr="000B4D89">
        <w:rPr>
          <w:rFonts w:ascii="Times New Roman" w:hAnsi="Times New Roman"/>
          <w:sz w:val="24"/>
          <w:szCs w:val="24"/>
        </w:rPr>
        <w:t>.</w:t>
      </w:r>
      <w:r w:rsidRPr="000B4D89">
        <w:rPr>
          <w:rFonts w:ascii="Times New Roman" w:hAnsi="Times New Roman"/>
          <w:sz w:val="24"/>
          <w:szCs w:val="24"/>
        </w:rPr>
        <w:t xml:space="preserve"> or to an overseas destination</w:t>
      </w:r>
      <w:r w:rsidR="00BF7F7B" w:rsidRPr="000B4D89">
        <w:rPr>
          <w:rFonts w:ascii="Times New Roman" w:hAnsi="Times New Roman"/>
          <w:sz w:val="24"/>
          <w:szCs w:val="24"/>
        </w:rPr>
        <w:t>. A</w:t>
      </w:r>
      <w:r w:rsidRPr="000B4D89">
        <w:rPr>
          <w:rFonts w:ascii="Times New Roman" w:hAnsi="Times New Roman"/>
          <w:sz w:val="24"/>
          <w:szCs w:val="24"/>
        </w:rPr>
        <w:t xml:space="preserve">ssuming </w:t>
      </w:r>
      <w:r w:rsidR="00BF7F7B" w:rsidRPr="000B4D89">
        <w:rPr>
          <w:rFonts w:ascii="Times New Roman" w:hAnsi="Times New Roman"/>
          <w:sz w:val="24"/>
          <w:szCs w:val="24"/>
        </w:rPr>
        <w:t>delivery via</w:t>
      </w:r>
      <w:r w:rsidR="003A3AF6" w:rsidRPr="000B4D89">
        <w:rPr>
          <w:rFonts w:ascii="Times New Roman" w:hAnsi="Times New Roman"/>
          <w:sz w:val="24"/>
          <w:szCs w:val="24"/>
        </w:rPr>
        <w:t xml:space="preserve"> </w:t>
      </w:r>
      <w:r w:rsidRPr="000B4D89">
        <w:rPr>
          <w:rFonts w:ascii="Times New Roman" w:hAnsi="Times New Roman"/>
          <w:sz w:val="24"/>
          <w:szCs w:val="24"/>
        </w:rPr>
        <w:t xml:space="preserve">registered </w:t>
      </w:r>
      <w:r w:rsidR="003A3AF6" w:rsidRPr="000B4D89">
        <w:rPr>
          <w:rFonts w:ascii="Times New Roman" w:hAnsi="Times New Roman"/>
          <w:sz w:val="24"/>
          <w:szCs w:val="24"/>
        </w:rPr>
        <w:t xml:space="preserve">mail </w:t>
      </w:r>
      <w:r w:rsidRPr="000B4D89">
        <w:rPr>
          <w:rFonts w:ascii="Times New Roman" w:hAnsi="Times New Roman"/>
          <w:sz w:val="24"/>
          <w:szCs w:val="24"/>
        </w:rPr>
        <w:t>with a return receipt</w:t>
      </w:r>
      <w:r w:rsidR="00BF7F7B" w:rsidRPr="000B4D89">
        <w:rPr>
          <w:rFonts w:ascii="Times New Roman" w:hAnsi="Times New Roman"/>
          <w:sz w:val="24"/>
          <w:szCs w:val="24"/>
        </w:rPr>
        <w:t>,</w:t>
      </w:r>
      <w:r w:rsidR="00100945" w:rsidRPr="000B4D89">
        <w:rPr>
          <w:rFonts w:ascii="Times New Roman" w:hAnsi="Times New Roman"/>
          <w:sz w:val="24"/>
          <w:szCs w:val="24"/>
        </w:rPr>
        <w:t xml:space="preserve"> </w:t>
      </w:r>
      <w:r w:rsidR="006C2CFC" w:rsidRPr="000B4D89">
        <w:rPr>
          <w:rFonts w:ascii="Times New Roman" w:hAnsi="Times New Roman"/>
          <w:sz w:val="24"/>
          <w:szCs w:val="24"/>
        </w:rPr>
        <w:t>c</w:t>
      </w:r>
      <w:r w:rsidR="00100945" w:rsidRPr="000B4D89">
        <w:rPr>
          <w:rFonts w:ascii="Times New Roman" w:hAnsi="Times New Roman"/>
          <w:sz w:val="24"/>
          <w:szCs w:val="24"/>
        </w:rPr>
        <w:t>osts for domestic</w:t>
      </w:r>
      <w:r w:rsidR="003A3AF6" w:rsidRPr="000B4D89">
        <w:rPr>
          <w:rFonts w:ascii="Times New Roman" w:hAnsi="Times New Roman"/>
          <w:sz w:val="24"/>
          <w:szCs w:val="24"/>
        </w:rPr>
        <w:t xml:space="preserve"> mail</w:t>
      </w:r>
      <w:r w:rsidR="00100945" w:rsidRPr="000B4D89">
        <w:rPr>
          <w:rFonts w:ascii="Times New Roman" w:hAnsi="Times New Roman"/>
          <w:sz w:val="24"/>
          <w:szCs w:val="24"/>
        </w:rPr>
        <w:t xml:space="preserve"> total $16.29</w:t>
      </w:r>
      <w:r w:rsidR="006C2CFC" w:rsidRPr="000B4D89">
        <w:rPr>
          <w:rFonts w:ascii="Times New Roman" w:hAnsi="Times New Roman"/>
          <w:sz w:val="24"/>
          <w:szCs w:val="24"/>
        </w:rPr>
        <w:t xml:space="preserve"> per mailing, and costs for international mail total $19.00 per mailing. The average mailing cost of $17.65 is used and applied across the total number of notifications</w:t>
      </w:r>
      <w:r w:rsidR="008E27E7" w:rsidRPr="000B4D89">
        <w:rPr>
          <w:rFonts w:ascii="Times New Roman" w:hAnsi="Times New Roman"/>
          <w:sz w:val="24"/>
          <w:szCs w:val="24"/>
        </w:rPr>
        <w:t xml:space="preserve"> (3,090 as estimated </w:t>
      </w:r>
      <w:r w:rsidR="00D13CA1" w:rsidRPr="000B4D89">
        <w:rPr>
          <w:rFonts w:ascii="Times New Roman" w:hAnsi="Times New Roman"/>
          <w:sz w:val="24"/>
          <w:szCs w:val="24"/>
        </w:rPr>
        <w:t xml:space="preserve">as number of notices </w:t>
      </w:r>
      <w:r w:rsidR="008E27E7" w:rsidRPr="000B4D89">
        <w:rPr>
          <w:rFonts w:ascii="Times New Roman" w:hAnsi="Times New Roman"/>
          <w:sz w:val="24"/>
          <w:szCs w:val="24"/>
        </w:rPr>
        <w:t>in section 6(a))</w:t>
      </w:r>
      <w:r w:rsidR="006C2CFC" w:rsidRPr="000B4D89">
        <w:rPr>
          <w:rFonts w:ascii="Times New Roman" w:hAnsi="Times New Roman"/>
          <w:sz w:val="24"/>
          <w:szCs w:val="24"/>
        </w:rPr>
        <w:t xml:space="preserve"> to yield th</w:t>
      </w:r>
      <w:r w:rsidR="008E27E7" w:rsidRPr="000B4D89">
        <w:rPr>
          <w:rFonts w:ascii="Times New Roman" w:hAnsi="Times New Roman"/>
          <w:sz w:val="24"/>
          <w:szCs w:val="24"/>
        </w:rPr>
        <w:t>e</w:t>
      </w:r>
      <w:r w:rsidR="006C2CFC" w:rsidRPr="000B4D89">
        <w:rPr>
          <w:rFonts w:ascii="Times New Roman" w:hAnsi="Times New Roman"/>
          <w:sz w:val="24"/>
          <w:szCs w:val="24"/>
        </w:rPr>
        <w:t xml:space="preserve"> result presented in Table 6</w:t>
      </w:r>
      <w:r w:rsidR="008E27E7" w:rsidRPr="000B4D89">
        <w:rPr>
          <w:rFonts w:ascii="Times New Roman" w:hAnsi="Times New Roman"/>
          <w:sz w:val="24"/>
          <w:szCs w:val="24"/>
        </w:rPr>
        <w:t>.</w:t>
      </w:r>
    </w:p>
    <w:p w14:paraId="7912EF35" w14:textId="77777777" w:rsidR="00164BC5" w:rsidRPr="000B4D89" w:rsidRDefault="00164BC5" w:rsidP="000B4D89">
      <w:pPr>
        <w:pStyle w:val="NoSpacing"/>
        <w:rPr>
          <w:rFonts w:ascii="Times New Roman" w:hAnsi="Times New Roman"/>
          <w:sz w:val="24"/>
          <w:szCs w:val="24"/>
        </w:rPr>
      </w:pPr>
    </w:p>
    <w:p w14:paraId="666FC4E7" w14:textId="25A0AE81"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00F76E33" w:rsidRPr="00D07928">
        <w:rPr>
          <w:rFonts w:ascii="Times New Roman" w:hAnsi="Times New Roman"/>
          <w:b/>
          <w:sz w:val="24"/>
          <w:szCs w:val="24"/>
        </w:rPr>
        <w:t xml:space="preserve">Task </w:t>
      </w:r>
      <w:r w:rsidR="00D07928">
        <w:rPr>
          <w:rFonts w:ascii="Times New Roman" w:hAnsi="Times New Roman"/>
          <w:b/>
          <w:sz w:val="24"/>
          <w:szCs w:val="24"/>
        </w:rPr>
        <w:t>3</w:t>
      </w:r>
      <w:r w:rsidR="00F76E33" w:rsidRPr="000B4D89">
        <w:rPr>
          <w:rFonts w:ascii="Times New Roman" w:hAnsi="Times New Roman"/>
          <w:b/>
          <w:sz w:val="24"/>
          <w:szCs w:val="24"/>
        </w:rPr>
        <w:t>: Responding to requests for information and clarification from companies and importing countries</w:t>
      </w:r>
      <w:r w:rsidR="00D64D56" w:rsidRPr="000B4D89">
        <w:rPr>
          <w:rFonts w:ascii="Times New Roman" w:hAnsi="Times New Roman"/>
          <w:b/>
          <w:sz w:val="24"/>
          <w:szCs w:val="24"/>
        </w:rPr>
        <w:t>.</w:t>
      </w:r>
      <w:r w:rsidR="00F76E33" w:rsidRPr="000B4D89">
        <w:rPr>
          <w:rFonts w:ascii="Times New Roman" w:hAnsi="Times New Roman"/>
          <w:sz w:val="24"/>
          <w:szCs w:val="24"/>
        </w:rPr>
        <w:t xml:space="preserve"> </w:t>
      </w:r>
      <w:r w:rsidRPr="000B4D89">
        <w:rPr>
          <w:rFonts w:ascii="Times New Roman" w:hAnsi="Times New Roman"/>
          <w:sz w:val="24"/>
          <w:szCs w:val="24"/>
        </w:rPr>
        <w:t xml:space="preserve">The burden described above covers the routine tasks of handing both incoming notices and outgoing notifications.  The totals above also include a certain amount of time spent responding to routine requests for information, since data are not available to separate this out from the other tasks.  Based on </w:t>
      </w:r>
      <w:r w:rsidR="00BF7F7B" w:rsidRPr="000B4D89">
        <w:rPr>
          <w:rFonts w:ascii="Times New Roman" w:hAnsi="Times New Roman"/>
          <w:sz w:val="24"/>
          <w:szCs w:val="24"/>
        </w:rPr>
        <w:t>EPA experience</w:t>
      </w:r>
      <w:r w:rsidRPr="000B4D89">
        <w:rPr>
          <w:rFonts w:ascii="Times New Roman" w:hAnsi="Times New Roman"/>
          <w:sz w:val="24"/>
          <w:szCs w:val="24"/>
        </w:rPr>
        <w:t xml:space="preserve">, the work of responding to non-routine requests for information and clarification from industry and importing countries, and handling other </w:t>
      </w:r>
      <w:r w:rsidR="008E7EC6" w:rsidRPr="000B4D89">
        <w:rPr>
          <w:rFonts w:ascii="Times New Roman" w:hAnsi="Times New Roman"/>
          <w:sz w:val="24"/>
          <w:szCs w:val="24"/>
        </w:rPr>
        <w:t>tasks associated with the TSCA s</w:t>
      </w:r>
      <w:r w:rsidRPr="000B4D89">
        <w:rPr>
          <w:rFonts w:ascii="Times New Roman" w:hAnsi="Times New Roman"/>
          <w:sz w:val="24"/>
          <w:szCs w:val="24"/>
        </w:rPr>
        <w:t xml:space="preserve">ection 12(b) program can be expected to require about 20% </w:t>
      </w:r>
      <w:r w:rsidR="00BF7F7B" w:rsidRPr="000B4D89">
        <w:rPr>
          <w:rFonts w:ascii="Times New Roman" w:hAnsi="Times New Roman"/>
          <w:sz w:val="24"/>
          <w:szCs w:val="24"/>
        </w:rPr>
        <w:t>an</w:t>
      </w:r>
      <w:r w:rsidRPr="000B4D89">
        <w:rPr>
          <w:rFonts w:ascii="Times New Roman" w:hAnsi="Times New Roman"/>
          <w:sz w:val="24"/>
          <w:szCs w:val="24"/>
        </w:rPr>
        <w:t xml:space="preserve"> EPA employee</w:t>
      </w:r>
      <w:r w:rsidR="00BF7F7B" w:rsidRPr="000B4D89">
        <w:rPr>
          <w:rFonts w:ascii="Times New Roman" w:hAnsi="Times New Roman"/>
          <w:sz w:val="24"/>
          <w:szCs w:val="24"/>
        </w:rPr>
        <w:t>’s time</w:t>
      </w:r>
      <w:r w:rsidRPr="000B4D89">
        <w:rPr>
          <w:rFonts w:ascii="Times New Roman" w:hAnsi="Times New Roman"/>
          <w:sz w:val="24"/>
          <w:szCs w:val="24"/>
        </w:rPr>
        <w:t xml:space="preserve">, or roughly 400 hours per year.  </w:t>
      </w:r>
      <w:r w:rsidR="00892469" w:rsidRPr="000B4D89">
        <w:rPr>
          <w:rFonts w:ascii="Times New Roman" w:hAnsi="Times New Roman"/>
          <w:sz w:val="24"/>
          <w:szCs w:val="24"/>
        </w:rPr>
        <w:t xml:space="preserve">Applying the wage rate yields </w:t>
      </w:r>
      <w:r w:rsidR="00D67ECD" w:rsidRPr="000B4D89">
        <w:rPr>
          <w:rFonts w:ascii="Times New Roman" w:hAnsi="Times New Roman"/>
          <w:sz w:val="24"/>
          <w:szCs w:val="24"/>
        </w:rPr>
        <w:t>the result in Table 6.</w:t>
      </w:r>
      <w:r w:rsidR="00892469" w:rsidRPr="000B4D89">
        <w:rPr>
          <w:rFonts w:ascii="Times New Roman" w:hAnsi="Times New Roman"/>
          <w:sz w:val="24"/>
          <w:szCs w:val="24"/>
        </w:rPr>
        <w:t xml:space="preserve"> </w:t>
      </w:r>
    </w:p>
    <w:p w14:paraId="5EDAA6CF" w14:textId="77777777" w:rsidR="00892469" w:rsidRDefault="00892469" w:rsidP="00164BC5">
      <w:pPr>
        <w:numPr>
          <w:ilvl w:val="12"/>
          <w:numId w:val="0"/>
        </w:numPr>
        <w:tabs>
          <w:tab w:val="left" w:pos="720"/>
          <w:tab w:val="left" w:pos="1440"/>
        </w:tabs>
        <w:ind w:left="1440" w:hanging="1440"/>
        <w:rPr>
          <w:sz w:val="24"/>
          <w:szCs w:val="24"/>
        </w:rPr>
      </w:pPr>
    </w:p>
    <w:tbl>
      <w:tblPr>
        <w:tblW w:w="9730" w:type="dxa"/>
        <w:tblInd w:w="98" w:type="dxa"/>
        <w:tblLook w:val="04A0" w:firstRow="1" w:lastRow="0" w:firstColumn="1" w:lastColumn="0" w:noHBand="0" w:noVBand="1"/>
      </w:tblPr>
      <w:tblGrid>
        <w:gridCol w:w="5860"/>
        <w:gridCol w:w="2070"/>
        <w:gridCol w:w="1800"/>
      </w:tblGrid>
      <w:tr w:rsidR="00892469" w:rsidRPr="00892469" w14:paraId="3BED26E7" w14:textId="77777777" w:rsidTr="00892469">
        <w:trPr>
          <w:trHeight w:val="735"/>
        </w:trPr>
        <w:tc>
          <w:tcPr>
            <w:tcW w:w="973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5B7039" w14:textId="77777777" w:rsidR="00892469" w:rsidRPr="00892469" w:rsidRDefault="00892469" w:rsidP="00892469">
            <w:pPr>
              <w:autoSpaceDE/>
              <w:autoSpaceDN/>
              <w:adjustRightInd/>
              <w:rPr>
                <w:b/>
                <w:bCs/>
                <w:color w:val="000000"/>
                <w:sz w:val="24"/>
                <w:szCs w:val="24"/>
              </w:rPr>
            </w:pPr>
            <w:r w:rsidRPr="00892469">
              <w:rPr>
                <w:b/>
                <w:bCs/>
                <w:color w:val="000000"/>
                <w:sz w:val="24"/>
                <w:szCs w:val="24"/>
              </w:rPr>
              <w:t>TABLE 6: ESTIMATED BURDEN AND COSTS FOR THE FEDERAL GOVERNMENT</w:t>
            </w:r>
          </w:p>
        </w:tc>
      </w:tr>
      <w:tr w:rsidR="00892469" w:rsidRPr="00892469" w14:paraId="3F948666" w14:textId="77777777" w:rsidTr="00892469">
        <w:trPr>
          <w:trHeight w:val="315"/>
        </w:trPr>
        <w:tc>
          <w:tcPr>
            <w:tcW w:w="5860" w:type="dxa"/>
            <w:tcBorders>
              <w:top w:val="nil"/>
              <w:left w:val="single" w:sz="8" w:space="0" w:color="000000"/>
              <w:bottom w:val="nil"/>
              <w:right w:val="nil"/>
            </w:tcBorders>
            <w:shd w:val="clear" w:color="auto" w:fill="auto"/>
            <w:vAlign w:val="center"/>
            <w:hideMark/>
          </w:tcPr>
          <w:p w14:paraId="13FA50D9" w14:textId="77777777" w:rsidR="00892469" w:rsidRPr="00892469" w:rsidRDefault="00892469" w:rsidP="00892469">
            <w:pPr>
              <w:autoSpaceDE/>
              <w:autoSpaceDN/>
              <w:adjustRightInd/>
              <w:rPr>
                <w:color w:val="000000"/>
                <w:sz w:val="22"/>
                <w:szCs w:val="22"/>
              </w:rPr>
            </w:pPr>
            <w:r w:rsidRPr="00892469">
              <w:rPr>
                <w:color w:val="000000"/>
                <w:sz w:val="22"/>
                <w:szCs w:val="22"/>
              </w:rPr>
              <w:t>ACTIVITY</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04FC6203" w14:textId="77777777" w:rsidR="00892469" w:rsidRPr="00892469" w:rsidRDefault="00892469" w:rsidP="00892469">
            <w:pPr>
              <w:autoSpaceDE/>
              <w:autoSpaceDN/>
              <w:adjustRightInd/>
              <w:jc w:val="center"/>
              <w:rPr>
                <w:color w:val="000000"/>
                <w:sz w:val="22"/>
                <w:szCs w:val="22"/>
              </w:rPr>
            </w:pPr>
            <w:r w:rsidRPr="00892469">
              <w:rPr>
                <w:color w:val="000000"/>
                <w:sz w:val="22"/>
                <w:szCs w:val="22"/>
              </w:rPr>
              <w:t>BURDEN (hours)</w:t>
            </w:r>
          </w:p>
        </w:tc>
        <w:tc>
          <w:tcPr>
            <w:tcW w:w="1800" w:type="dxa"/>
            <w:tcBorders>
              <w:top w:val="nil"/>
              <w:left w:val="nil"/>
              <w:bottom w:val="single" w:sz="8" w:space="0" w:color="000000"/>
              <w:right w:val="single" w:sz="8" w:space="0" w:color="000000"/>
            </w:tcBorders>
            <w:shd w:val="clear" w:color="auto" w:fill="auto"/>
            <w:vAlign w:val="center"/>
            <w:hideMark/>
          </w:tcPr>
          <w:p w14:paraId="6148C403" w14:textId="77777777" w:rsidR="00892469" w:rsidRPr="00892469" w:rsidRDefault="00892469" w:rsidP="00892469">
            <w:pPr>
              <w:autoSpaceDE/>
              <w:autoSpaceDN/>
              <w:adjustRightInd/>
              <w:jc w:val="center"/>
              <w:rPr>
                <w:color w:val="000000"/>
                <w:sz w:val="22"/>
                <w:szCs w:val="22"/>
              </w:rPr>
            </w:pPr>
            <w:r w:rsidRPr="00892469">
              <w:rPr>
                <w:color w:val="000000"/>
                <w:sz w:val="22"/>
                <w:szCs w:val="22"/>
              </w:rPr>
              <w:t>COST</w:t>
            </w:r>
          </w:p>
        </w:tc>
      </w:tr>
      <w:tr w:rsidR="00892469" w:rsidRPr="00892469" w14:paraId="110EBCF1" w14:textId="77777777" w:rsidTr="00D13CA1">
        <w:trPr>
          <w:trHeight w:val="322"/>
        </w:trPr>
        <w:tc>
          <w:tcPr>
            <w:tcW w:w="5860" w:type="dxa"/>
            <w:tcBorders>
              <w:top w:val="single" w:sz="8" w:space="0" w:color="000000"/>
              <w:left w:val="single" w:sz="8" w:space="0" w:color="000000"/>
              <w:bottom w:val="nil"/>
              <w:right w:val="nil"/>
            </w:tcBorders>
            <w:shd w:val="clear" w:color="auto" w:fill="auto"/>
            <w:vAlign w:val="center"/>
            <w:hideMark/>
          </w:tcPr>
          <w:p w14:paraId="3FF4D2B1" w14:textId="77777777" w:rsidR="00892469" w:rsidRPr="00892469" w:rsidRDefault="00892469" w:rsidP="00892469">
            <w:pPr>
              <w:autoSpaceDE/>
              <w:autoSpaceDN/>
              <w:adjustRightInd/>
              <w:rPr>
                <w:color w:val="000000"/>
                <w:sz w:val="22"/>
                <w:szCs w:val="22"/>
              </w:rPr>
            </w:pPr>
            <w:r w:rsidRPr="00892469">
              <w:rPr>
                <w:color w:val="000000"/>
                <w:sz w:val="22"/>
                <w:szCs w:val="22"/>
              </w:rPr>
              <w:t>Task 1. Processing of notices from companies</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2E43AFC3"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309.0</w:t>
            </w:r>
          </w:p>
        </w:tc>
        <w:tc>
          <w:tcPr>
            <w:tcW w:w="1800" w:type="dxa"/>
            <w:tcBorders>
              <w:top w:val="nil"/>
              <w:left w:val="nil"/>
              <w:bottom w:val="single" w:sz="8" w:space="0" w:color="000000"/>
              <w:right w:val="single" w:sz="8" w:space="0" w:color="000000"/>
            </w:tcBorders>
            <w:shd w:val="clear" w:color="auto" w:fill="auto"/>
            <w:vAlign w:val="center"/>
            <w:hideMark/>
          </w:tcPr>
          <w:p w14:paraId="75BA8F0C"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$24,383</w:t>
            </w:r>
          </w:p>
        </w:tc>
      </w:tr>
      <w:tr w:rsidR="00892469" w:rsidRPr="00892469" w14:paraId="4E743158" w14:textId="77777777" w:rsidTr="00D13CA1">
        <w:trPr>
          <w:trHeight w:val="340"/>
        </w:trPr>
        <w:tc>
          <w:tcPr>
            <w:tcW w:w="5860" w:type="dxa"/>
            <w:tcBorders>
              <w:top w:val="single" w:sz="8" w:space="0" w:color="000000"/>
              <w:left w:val="single" w:sz="8" w:space="0" w:color="000000"/>
              <w:bottom w:val="nil"/>
              <w:right w:val="nil"/>
            </w:tcBorders>
            <w:shd w:val="clear" w:color="auto" w:fill="auto"/>
            <w:vAlign w:val="center"/>
            <w:hideMark/>
          </w:tcPr>
          <w:p w14:paraId="7D732D82" w14:textId="77777777" w:rsidR="00892469" w:rsidRPr="00892469" w:rsidRDefault="00892469" w:rsidP="00892469">
            <w:pPr>
              <w:autoSpaceDE/>
              <w:autoSpaceDN/>
              <w:adjustRightInd/>
              <w:rPr>
                <w:color w:val="000000"/>
                <w:sz w:val="22"/>
                <w:szCs w:val="22"/>
              </w:rPr>
            </w:pPr>
            <w:r w:rsidRPr="00892469">
              <w:rPr>
                <w:color w:val="000000"/>
                <w:sz w:val="22"/>
                <w:szCs w:val="22"/>
              </w:rPr>
              <w:t>Task 2. Processing of notifications to importing countries</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46A5CAC3"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32.5</w:t>
            </w:r>
          </w:p>
        </w:tc>
        <w:tc>
          <w:tcPr>
            <w:tcW w:w="1800" w:type="dxa"/>
            <w:tcBorders>
              <w:top w:val="nil"/>
              <w:left w:val="nil"/>
              <w:bottom w:val="single" w:sz="8" w:space="0" w:color="000000"/>
              <w:right w:val="single" w:sz="8" w:space="0" w:color="000000"/>
            </w:tcBorders>
            <w:shd w:val="clear" w:color="auto" w:fill="auto"/>
            <w:vAlign w:val="center"/>
            <w:hideMark/>
          </w:tcPr>
          <w:p w14:paraId="61608250"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$2,565</w:t>
            </w:r>
          </w:p>
        </w:tc>
      </w:tr>
      <w:tr w:rsidR="00892469" w:rsidRPr="00892469" w14:paraId="4E4F5310" w14:textId="77777777" w:rsidTr="00D13CA1">
        <w:trPr>
          <w:trHeight w:val="340"/>
        </w:trPr>
        <w:tc>
          <w:tcPr>
            <w:tcW w:w="5860" w:type="dxa"/>
            <w:tcBorders>
              <w:top w:val="single" w:sz="8" w:space="0" w:color="000000"/>
              <w:left w:val="single" w:sz="8" w:space="0" w:color="000000"/>
              <w:bottom w:val="nil"/>
              <w:right w:val="nil"/>
            </w:tcBorders>
            <w:shd w:val="clear" w:color="auto" w:fill="auto"/>
            <w:vAlign w:val="center"/>
            <w:hideMark/>
          </w:tcPr>
          <w:p w14:paraId="5A95E797" w14:textId="77777777" w:rsidR="00892469" w:rsidRPr="00892469" w:rsidRDefault="00892469" w:rsidP="00892469">
            <w:pPr>
              <w:autoSpaceDE/>
              <w:autoSpaceDN/>
              <w:adjustRightInd/>
              <w:rPr>
                <w:color w:val="000000"/>
                <w:sz w:val="22"/>
                <w:szCs w:val="22"/>
              </w:rPr>
            </w:pPr>
            <w:r w:rsidRPr="00892469">
              <w:rPr>
                <w:color w:val="000000"/>
                <w:sz w:val="22"/>
                <w:szCs w:val="22"/>
              </w:rPr>
              <w:t>Task 3. EPA staff time, responding to information requests, etc.</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43E277E7"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400.0</w:t>
            </w:r>
          </w:p>
        </w:tc>
        <w:tc>
          <w:tcPr>
            <w:tcW w:w="1800" w:type="dxa"/>
            <w:tcBorders>
              <w:top w:val="nil"/>
              <w:left w:val="nil"/>
              <w:bottom w:val="single" w:sz="8" w:space="0" w:color="000000"/>
              <w:right w:val="single" w:sz="8" w:space="0" w:color="000000"/>
            </w:tcBorders>
            <w:shd w:val="clear" w:color="auto" w:fill="auto"/>
            <w:vAlign w:val="center"/>
            <w:hideMark/>
          </w:tcPr>
          <w:p w14:paraId="621EAFE8"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$31,564</w:t>
            </w:r>
          </w:p>
        </w:tc>
      </w:tr>
      <w:tr w:rsidR="00892469" w:rsidRPr="00892469" w14:paraId="41BBFC29" w14:textId="77777777" w:rsidTr="00D13CA1">
        <w:trPr>
          <w:trHeight w:val="340"/>
        </w:trPr>
        <w:tc>
          <w:tcPr>
            <w:tcW w:w="5860" w:type="dxa"/>
            <w:tcBorders>
              <w:top w:val="single" w:sz="8" w:space="0" w:color="000000"/>
              <w:left w:val="single" w:sz="8" w:space="0" w:color="000000"/>
              <w:bottom w:val="single" w:sz="8" w:space="0" w:color="000000"/>
              <w:right w:val="nil"/>
            </w:tcBorders>
            <w:shd w:val="clear" w:color="auto" w:fill="auto"/>
            <w:vAlign w:val="center"/>
            <w:hideMark/>
          </w:tcPr>
          <w:p w14:paraId="54326959" w14:textId="77777777" w:rsidR="00892469" w:rsidRPr="00892469" w:rsidRDefault="00892469" w:rsidP="00892469">
            <w:pPr>
              <w:autoSpaceDE/>
              <w:autoSpaceDN/>
              <w:adjustRightInd/>
              <w:rPr>
                <w:color w:val="000000"/>
                <w:sz w:val="22"/>
                <w:szCs w:val="22"/>
              </w:rPr>
            </w:pPr>
            <w:r w:rsidRPr="00892469">
              <w:rPr>
                <w:color w:val="000000"/>
                <w:sz w:val="22"/>
                <w:szCs w:val="22"/>
              </w:rPr>
              <w:t>Mailing cost of notifications from EPA</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2D0061B0"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02B05510" w14:textId="77777777" w:rsidR="00892469" w:rsidRPr="00892469" w:rsidRDefault="00892469" w:rsidP="00892469">
            <w:pPr>
              <w:autoSpaceDE/>
              <w:autoSpaceDN/>
              <w:adjustRightInd/>
              <w:jc w:val="right"/>
              <w:rPr>
                <w:color w:val="000000"/>
                <w:sz w:val="22"/>
                <w:szCs w:val="22"/>
              </w:rPr>
            </w:pPr>
            <w:r w:rsidRPr="00892469">
              <w:rPr>
                <w:color w:val="000000"/>
                <w:sz w:val="22"/>
                <w:szCs w:val="22"/>
              </w:rPr>
              <w:t>$1,147</w:t>
            </w:r>
          </w:p>
        </w:tc>
      </w:tr>
      <w:tr w:rsidR="00892469" w:rsidRPr="00892469" w14:paraId="2EE56FC6" w14:textId="77777777" w:rsidTr="00892469">
        <w:trPr>
          <w:trHeight w:val="465"/>
        </w:trPr>
        <w:tc>
          <w:tcPr>
            <w:tcW w:w="5860" w:type="dxa"/>
            <w:tcBorders>
              <w:top w:val="nil"/>
              <w:left w:val="single" w:sz="8" w:space="0" w:color="000000"/>
              <w:bottom w:val="single" w:sz="8" w:space="0" w:color="000000"/>
              <w:right w:val="nil"/>
            </w:tcBorders>
            <w:shd w:val="clear" w:color="auto" w:fill="auto"/>
            <w:vAlign w:val="center"/>
            <w:hideMark/>
          </w:tcPr>
          <w:p w14:paraId="63C59752" w14:textId="77777777" w:rsidR="00892469" w:rsidRPr="00892469" w:rsidRDefault="00892469" w:rsidP="00892469">
            <w:pPr>
              <w:autoSpaceDE/>
              <w:autoSpaceDN/>
              <w:adjustRightInd/>
              <w:rPr>
                <w:b/>
                <w:bCs/>
                <w:color w:val="000000"/>
                <w:sz w:val="22"/>
                <w:szCs w:val="22"/>
              </w:rPr>
            </w:pPr>
            <w:r w:rsidRPr="00892469">
              <w:rPr>
                <w:b/>
                <w:bCs/>
                <w:color w:val="000000"/>
                <w:sz w:val="22"/>
                <w:szCs w:val="22"/>
              </w:rPr>
              <w:t>Total</w:t>
            </w:r>
          </w:p>
        </w:tc>
        <w:tc>
          <w:tcPr>
            <w:tcW w:w="2070" w:type="dxa"/>
            <w:tcBorders>
              <w:top w:val="nil"/>
              <w:left w:val="single" w:sz="8" w:space="0" w:color="000000"/>
              <w:bottom w:val="single" w:sz="8" w:space="0" w:color="000000"/>
              <w:right w:val="single" w:sz="8" w:space="0" w:color="000000"/>
            </w:tcBorders>
            <w:shd w:val="clear" w:color="auto" w:fill="auto"/>
            <w:vAlign w:val="center"/>
            <w:hideMark/>
          </w:tcPr>
          <w:p w14:paraId="2E4B213F" w14:textId="77777777" w:rsidR="00892469" w:rsidRPr="00892469" w:rsidRDefault="00892469" w:rsidP="00892469">
            <w:pPr>
              <w:autoSpaceDE/>
              <w:autoSpaceDN/>
              <w:adjustRightInd/>
              <w:jc w:val="right"/>
              <w:rPr>
                <w:b/>
                <w:bCs/>
                <w:color w:val="000000"/>
                <w:sz w:val="22"/>
                <w:szCs w:val="22"/>
              </w:rPr>
            </w:pPr>
            <w:r w:rsidRPr="00892469">
              <w:rPr>
                <w:b/>
                <w:bCs/>
                <w:color w:val="000000"/>
                <w:sz w:val="22"/>
                <w:szCs w:val="22"/>
              </w:rPr>
              <w:t>741.5</w:t>
            </w:r>
          </w:p>
        </w:tc>
        <w:tc>
          <w:tcPr>
            <w:tcW w:w="1800" w:type="dxa"/>
            <w:tcBorders>
              <w:top w:val="nil"/>
              <w:left w:val="nil"/>
              <w:bottom w:val="single" w:sz="8" w:space="0" w:color="000000"/>
              <w:right w:val="single" w:sz="8" w:space="0" w:color="000000"/>
            </w:tcBorders>
            <w:shd w:val="clear" w:color="auto" w:fill="auto"/>
            <w:vAlign w:val="center"/>
            <w:hideMark/>
          </w:tcPr>
          <w:p w14:paraId="13473C6A" w14:textId="77777777" w:rsidR="00892469" w:rsidRPr="00892469" w:rsidRDefault="00892469" w:rsidP="00892469">
            <w:pPr>
              <w:autoSpaceDE/>
              <w:autoSpaceDN/>
              <w:adjustRightInd/>
              <w:jc w:val="right"/>
              <w:rPr>
                <w:b/>
                <w:bCs/>
                <w:color w:val="000000"/>
                <w:sz w:val="22"/>
                <w:szCs w:val="22"/>
              </w:rPr>
            </w:pPr>
            <w:r w:rsidRPr="00892469">
              <w:rPr>
                <w:b/>
                <w:bCs/>
                <w:color w:val="000000"/>
                <w:sz w:val="22"/>
                <w:szCs w:val="22"/>
              </w:rPr>
              <w:t>$59,659</w:t>
            </w:r>
          </w:p>
        </w:tc>
      </w:tr>
    </w:tbl>
    <w:p w14:paraId="7DC2BC44" w14:textId="77777777" w:rsidR="003D45EC" w:rsidRDefault="00164BC5" w:rsidP="00164BC5">
      <w:pPr>
        <w:numPr>
          <w:ilvl w:val="12"/>
          <w:numId w:val="0"/>
        </w:numPr>
        <w:tabs>
          <w:tab w:val="left" w:pos="720"/>
          <w:tab w:val="left" w:pos="1440"/>
        </w:tabs>
        <w:ind w:left="1440" w:hanging="1440"/>
        <w:rPr>
          <w:sz w:val="24"/>
          <w:szCs w:val="24"/>
        </w:rPr>
      </w:pPr>
      <w:r w:rsidRPr="00A77684">
        <w:rPr>
          <w:sz w:val="24"/>
          <w:szCs w:val="24"/>
        </w:rPr>
        <w:tab/>
      </w:r>
    </w:p>
    <w:p w14:paraId="69325DDD" w14:textId="77777777" w:rsidR="00A511CE" w:rsidRDefault="00BF7F7B" w:rsidP="000B4D89">
      <w:pPr>
        <w:pStyle w:val="NoSpacing"/>
        <w:rPr>
          <w:rFonts w:ascii="Times New Roman" w:hAnsi="Times New Roman"/>
          <w:sz w:val="24"/>
          <w:szCs w:val="24"/>
        </w:rPr>
      </w:pPr>
      <w:r w:rsidRPr="000B4D89">
        <w:rPr>
          <w:rFonts w:ascii="Times New Roman" w:hAnsi="Times New Roman"/>
          <w:sz w:val="24"/>
          <w:szCs w:val="24"/>
        </w:rPr>
        <w:tab/>
      </w:r>
    </w:p>
    <w:p w14:paraId="7BE4CAF6" w14:textId="77777777" w:rsidR="00A511CE" w:rsidRDefault="00A511CE">
      <w:pPr>
        <w:autoSpaceDE/>
        <w:autoSpaceDN/>
        <w:adjustRightInd/>
        <w:spacing w:after="200" w:line="276" w:lineRule="auto"/>
        <w:rPr>
          <w:rFonts w:eastAsia="Calibri"/>
          <w:sz w:val="24"/>
          <w:szCs w:val="24"/>
        </w:rPr>
      </w:pPr>
      <w:r>
        <w:rPr>
          <w:sz w:val="24"/>
          <w:szCs w:val="24"/>
        </w:rPr>
        <w:br w:type="page"/>
      </w:r>
    </w:p>
    <w:p w14:paraId="6A8DC8E9" w14:textId="4C47DC8C" w:rsidR="00164BC5" w:rsidRPr="000B4D89" w:rsidRDefault="00164BC5" w:rsidP="00A511CE">
      <w:pPr>
        <w:pStyle w:val="NoSpacing"/>
        <w:ind w:firstLine="720"/>
        <w:rPr>
          <w:rFonts w:ascii="Times New Roman" w:hAnsi="Times New Roman"/>
          <w:b/>
          <w:sz w:val="24"/>
          <w:szCs w:val="24"/>
        </w:rPr>
      </w:pPr>
      <w:r w:rsidRPr="000B4D89">
        <w:rPr>
          <w:rFonts w:ascii="Times New Roman" w:hAnsi="Times New Roman"/>
          <w:b/>
          <w:sz w:val="24"/>
          <w:szCs w:val="24"/>
        </w:rPr>
        <w:t>6(d)</w:t>
      </w:r>
      <w:r w:rsidRPr="000B4D89">
        <w:rPr>
          <w:rFonts w:ascii="Times New Roman" w:hAnsi="Times New Roman"/>
          <w:b/>
          <w:sz w:val="24"/>
          <w:szCs w:val="24"/>
        </w:rPr>
        <w:tab/>
        <w:t>Bottom Line Burden Hours and Cost Tables</w:t>
      </w:r>
    </w:p>
    <w:p w14:paraId="5C617759" w14:textId="77777777" w:rsidR="00164BC5" w:rsidRPr="000B4D89" w:rsidRDefault="00164BC5" w:rsidP="000B4D89">
      <w:pPr>
        <w:pStyle w:val="NoSpacing"/>
        <w:rPr>
          <w:rFonts w:ascii="Times New Roman" w:hAnsi="Times New Roman"/>
          <w:sz w:val="24"/>
          <w:szCs w:val="24"/>
        </w:rPr>
      </w:pPr>
    </w:p>
    <w:p w14:paraId="222C6FF8" w14:textId="77777777" w:rsidR="00164BC5" w:rsidRPr="000B4D89" w:rsidRDefault="00164BC5" w:rsidP="000B4D89">
      <w:pPr>
        <w:pStyle w:val="NoSpacing"/>
        <w:ind w:left="720" w:firstLine="720"/>
        <w:rPr>
          <w:rFonts w:ascii="Times New Roman" w:hAnsi="Times New Roman"/>
          <w:sz w:val="24"/>
          <w:szCs w:val="24"/>
          <w:u w:val="single"/>
        </w:rPr>
      </w:pPr>
      <w:r w:rsidRPr="000B4D89">
        <w:rPr>
          <w:rFonts w:ascii="Times New Roman" w:hAnsi="Times New Roman"/>
          <w:sz w:val="24"/>
          <w:szCs w:val="24"/>
          <w:u w:val="single"/>
        </w:rPr>
        <w:t>Respondent Burden and Costs</w:t>
      </w:r>
    </w:p>
    <w:p w14:paraId="1DD04062" w14:textId="77777777" w:rsidR="00164BC5" w:rsidRPr="000B4D89" w:rsidRDefault="00164BC5" w:rsidP="000B4D89">
      <w:pPr>
        <w:pStyle w:val="NoSpacing"/>
        <w:rPr>
          <w:rFonts w:ascii="Times New Roman" w:hAnsi="Times New Roman"/>
          <w:sz w:val="24"/>
          <w:szCs w:val="24"/>
        </w:rPr>
      </w:pPr>
    </w:p>
    <w:p w14:paraId="737F7881" w14:textId="13254D6E" w:rsidR="00AF6D25" w:rsidRPr="000B4D89" w:rsidRDefault="00AF6D25" w:rsidP="000B4D89">
      <w:pPr>
        <w:pStyle w:val="NoSpacing"/>
        <w:ind w:left="720" w:firstLine="720"/>
        <w:rPr>
          <w:rFonts w:ascii="Times New Roman" w:hAnsi="Times New Roman"/>
          <w:sz w:val="24"/>
          <w:szCs w:val="24"/>
        </w:rPr>
      </w:pPr>
      <w:r w:rsidRPr="000B4D89">
        <w:rPr>
          <w:rFonts w:ascii="Times New Roman" w:hAnsi="Times New Roman"/>
          <w:sz w:val="24"/>
          <w:szCs w:val="24"/>
        </w:rPr>
        <w:t>Total number of respondents = 240</w:t>
      </w:r>
    </w:p>
    <w:p w14:paraId="7C3EE006" w14:textId="47370A06" w:rsidR="00AF6D25" w:rsidRPr="000B4D89" w:rsidRDefault="00AF6D25" w:rsidP="000B4D89">
      <w:pPr>
        <w:pStyle w:val="NoSpacing"/>
        <w:ind w:left="720" w:firstLine="720"/>
        <w:rPr>
          <w:rFonts w:ascii="Times New Roman" w:hAnsi="Times New Roman"/>
          <w:sz w:val="24"/>
          <w:szCs w:val="24"/>
        </w:rPr>
      </w:pPr>
      <w:r w:rsidRPr="000B4D89">
        <w:rPr>
          <w:rFonts w:ascii="Times New Roman" w:hAnsi="Times New Roman"/>
          <w:sz w:val="24"/>
          <w:szCs w:val="24"/>
        </w:rPr>
        <w:t>Total number of responses = 3,</w:t>
      </w:r>
      <w:r w:rsidR="00B461F5">
        <w:rPr>
          <w:rFonts w:ascii="Times New Roman" w:hAnsi="Times New Roman"/>
          <w:sz w:val="24"/>
          <w:szCs w:val="24"/>
        </w:rPr>
        <w:t>570</w:t>
      </w:r>
    </w:p>
    <w:p w14:paraId="5942A76C" w14:textId="734B2B90" w:rsidR="00164BC5" w:rsidRPr="000B4D89" w:rsidRDefault="00164BC5" w:rsidP="000B4D89">
      <w:pPr>
        <w:pStyle w:val="NoSpacing"/>
        <w:ind w:left="720" w:firstLine="720"/>
        <w:rPr>
          <w:rFonts w:ascii="Times New Roman" w:hAnsi="Times New Roman"/>
          <w:sz w:val="24"/>
          <w:szCs w:val="24"/>
        </w:rPr>
      </w:pPr>
      <w:r w:rsidRPr="000B4D89">
        <w:rPr>
          <w:rFonts w:ascii="Times New Roman" w:hAnsi="Times New Roman"/>
          <w:sz w:val="24"/>
          <w:szCs w:val="24"/>
        </w:rPr>
        <w:t xml:space="preserve">Total respondent annual burden = </w:t>
      </w:r>
      <w:r w:rsidR="00E350C0" w:rsidRPr="000B4D89">
        <w:rPr>
          <w:rFonts w:ascii="Times New Roman" w:hAnsi="Times New Roman"/>
          <w:sz w:val="24"/>
          <w:szCs w:val="24"/>
        </w:rPr>
        <w:t xml:space="preserve">4,032 </w:t>
      </w:r>
      <w:r w:rsidRPr="000B4D89">
        <w:rPr>
          <w:rFonts w:ascii="Times New Roman" w:hAnsi="Times New Roman"/>
          <w:sz w:val="24"/>
          <w:szCs w:val="24"/>
        </w:rPr>
        <w:t>hours</w:t>
      </w:r>
    </w:p>
    <w:p w14:paraId="6D1DC06F" w14:textId="58F244A2" w:rsidR="00164BC5" w:rsidRPr="000B4D89" w:rsidRDefault="00164BC5" w:rsidP="000B4D89">
      <w:pPr>
        <w:pStyle w:val="NoSpacing"/>
        <w:ind w:left="720" w:firstLine="720"/>
        <w:rPr>
          <w:rFonts w:ascii="Times New Roman" w:hAnsi="Times New Roman"/>
          <w:sz w:val="24"/>
          <w:szCs w:val="24"/>
        </w:rPr>
      </w:pPr>
      <w:r w:rsidRPr="000B4D89">
        <w:rPr>
          <w:rFonts w:ascii="Times New Roman" w:hAnsi="Times New Roman"/>
          <w:sz w:val="24"/>
          <w:szCs w:val="24"/>
        </w:rPr>
        <w:t xml:space="preserve">Total respondent annual costs = </w:t>
      </w:r>
      <w:r w:rsidR="00E350C0" w:rsidRPr="000B4D89">
        <w:rPr>
          <w:rFonts w:ascii="Times New Roman" w:hAnsi="Times New Roman"/>
          <w:sz w:val="24"/>
          <w:szCs w:val="24"/>
        </w:rPr>
        <w:t>$278,118</w:t>
      </w:r>
    </w:p>
    <w:p w14:paraId="296C593D" w14:textId="77777777" w:rsidR="00164BC5" w:rsidRPr="000B4D89" w:rsidRDefault="00164BC5" w:rsidP="000B4D89">
      <w:pPr>
        <w:pStyle w:val="NoSpacing"/>
        <w:rPr>
          <w:rFonts w:ascii="Times New Roman" w:hAnsi="Times New Roman"/>
          <w:sz w:val="24"/>
          <w:szCs w:val="24"/>
        </w:rPr>
      </w:pPr>
    </w:p>
    <w:p w14:paraId="3CA836D4" w14:textId="77777777" w:rsidR="00164BC5" w:rsidRPr="000B4D89" w:rsidRDefault="00164BC5" w:rsidP="000B4D89">
      <w:pPr>
        <w:pStyle w:val="NoSpacing"/>
        <w:rPr>
          <w:rFonts w:ascii="Times New Roman" w:hAnsi="Times New Roman"/>
          <w:sz w:val="24"/>
          <w:szCs w:val="24"/>
          <w:u w:val="single"/>
        </w:rPr>
      </w:pPr>
      <w:r w:rsidRPr="000B4D89">
        <w:rPr>
          <w:rFonts w:ascii="Times New Roman" w:hAnsi="Times New Roman"/>
          <w:sz w:val="24"/>
          <w:szCs w:val="24"/>
        </w:rPr>
        <w:tab/>
      </w:r>
      <w:r w:rsidRPr="000B4D89">
        <w:rPr>
          <w:rFonts w:ascii="Times New Roman" w:hAnsi="Times New Roman"/>
          <w:sz w:val="24"/>
          <w:szCs w:val="24"/>
        </w:rPr>
        <w:tab/>
      </w:r>
      <w:r w:rsidRPr="000B4D89">
        <w:rPr>
          <w:rFonts w:ascii="Times New Roman" w:hAnsi="Times New Roman"/>
          <w:sz w:val="24"/>
          <w:szCs w:val="24"/>
          <w:u w:val="single"/>
        </w:rPr>
        <w:t>Agency Burden and Costs</w:t>
      </w:r>
    </w:p>
    <w:p w14:paraId="1C4C294D" w14:textId="77777777" w:rsidR="00164BC5" w:rsidRPr="000B4D89" w:rsidRDefault="00164BC5" w:rsidP="000B4D89">
      <w:pPr>
        <w:pStyle w:val="NoSpacing"/>
        <w:rPr>
          <w:rFonts w:ascii="Times New Roman" w:hAnsi="Times New Roman"/>
          <w:sz w:val="24"/>
          <w:szCs w:val="24"/>
        </w:rPr>
      </w:pPr>
    </w:p>
    <w:p w14:paraId="30D930FC" w14:textId="25D31D57"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sz w:val="24"/>
          <w:szCs w:val="24"/>
        </w:rPr>
        <w:tab/>
        <w:t xml:space="preserve">Agency burden: </w:t>
      </w:r>
      <w:r w:rsidR="00100945" w:rsidRPr="000B4D89">
        <w:rPr>
          <w:rFonts w:ascii="Times New Roman" w:hAnsi="Times New Roman"/>
          <w:sz w:val="24"/>
          <w:szCs w:val="24"/>
        </w:rPr>
        <w:t xml:space="preserve"> 741.5 </w:t>
      </w:r>
      <w:r w:rsidRPr="000B4D89">
        <w:rPr>
          <w:rFonts w:ascii="Times New Roman" w:hAnsi="Times New Roman"/>
          <w:sz w:val="24"/>
          <w:szCs w:val="24"/>
        </w:rPr>
        <w:t>hours</w:t>
      </w:r>
    </w:p>
    <w:p w14:paraId="17390E5D" w14:textId="07E0EC11"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r>
      <w:r w:rsidRPr="000B4D89">
        <w:rPr>
          <w:rFonts w:ascii="Times New Roman" w:hAnsi="Times New Roman"/>
          <w:sz w:val="24"/>
          <w:szCs w:val="24"/>
        </w:rPr>
        <w:tab/>
        <w:t>Agency annual costs = $5</w:t>
      </w:r>
      <w:r w:rsidR="00100945" w:rsidRPr="000B4D89">
        <w:rPr>
          <w:rFonts w:ascii="Times New Roman" w:hAnsi="Times New Roman"/>
          <w:sz w:val="24"/>
          <w:szCs w:val="24"/>
        </w:rPr>
        <w:t>9</w:t>
      </w:r>
      <w:r w:rsidRPr="000B4D89">
        <w:rPr>
          <w:rFonts w:ascii="Times New Roman" w:hAnsi="Times New Roman"/>
          <w:sz w:val="24"/>
          <w:szCs w:val="24"/>
        </w:rPr>
        <w:t>,</w:t>
      </w:r>
      <w:r w:rsidR="003D45EC" w:rsidRPr="000B4D89">
        <w:rPr>
          <w:rFonts w:ascii="Times New Roman" w:hAnsi="Times New Roman"/>
          <w:sz w:val="24"/>
          <w:szCs w:val="24"/>
        </w:rPr>
        <w:t>659</w:t>
      </w:r>
    </w:p>
    <w:p w14:paraId="02E8BEF6" w14:textId="77777777" w:rsidR="00164BC5" w:rsidRPr="00A77684" w:rsidRDefault="00164BC5" w:rsidP="00164BC5">
      <w:pPr>
        <w:numPr>
          <w:ilvl w:val="12"/>
          <w:numId w:val="0"/>
        </w:numPr>
        <w:rPr>
          <w:sz w:val="24"/>
          <w:szCs w:val="24"/>
        </w:rPr>
      </w:pPr>
    </w:p>
    <w:p w14:paraId="35F2872F" w14:textId="69A73256" w:rsidR="00164BC5" w:rsidRPr="000B4D89" w:rsidRDefault="00164BC5" w:rsidP="000B4D89">
      <w:pPr>
        <w:pStyle w:val="NoSpacing"/>
        <w:rPr>
          <w:rFonts w:ascii="Times New Roman" w:hAnsi="Times New Roman"/>
          <w:b/>
          <w:sz w:val="24"/>
          <w:szCs w:val="24"/>
        </w:rPr>
      </w:pPr>
      <w:r w:rsidRPr="00A77684">
        <w:tab/>
      </w:r>
      <w:r w:rsidRPr="000B4D89">
        <w:rPr>
          <w:rFonts w:ascii="Times New Roman" w:hAnsi="Times New Roman"/>
          <w:b/>
          <w:sz w:val="24"/>
          <w:szCs w:val="24"/>
        </w:rPr>
        <w:t>6(e)</w:t>
      </w:r>
      <w:r w:rsidRPr="000B4D89">
        <w:rPr>
          <w:rFonts w:ascii="Times New Roman" w:hAnsi="Times New Roman"/>
          <w:b/>
          <w:sz w:val="24"/>
          <w:szCs w:val="24"/>
        </w:rPr>
        <w:tab/>
        <w:t xml:space="preserve">Reasons for Change in Burden </w:t>
      </w:r>
    </w:p>
    <w:p w14:paraId="3438E92C" w14:textId="77777777" w:rsidR="00164BC5" w:rsidRPr="000B4D89" w:rsidRDefault="00164BC5" w:rsidP="000B4D89">
      <w:pPr>
        <w:pStyle w:val="NoSpacing"/>
        <w:rPr>
          <w:rFonts w:ascii="Times New Roman" w:hAnsi="Times New Roman"/>
          <w:sz w:val="24"/>
          <w:szCs w:val="24"/>
        </w:rPr>
      </w:pPr>
    </w:p>
    <w:p w14:paraId="06561853" w14:textId="68F56F20"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There is </w:t>
      </w:r>
      <w:r w:rsidR="00E668E2">
        <w:rPr>
          <w:rFonts w:ascii="Times New Roman" w:hAnsi="Times New Roman"/>
          <w:sz w:val="24"/>
          <w:szCs w:val="24"/>
        </w:rPr>
        <w:t>an increase of 7 hours</w:t>
      </w:r>
      <w:r w:rsidR="00CA180D" w:rsidRPr="000B4D89">
        <w:rPr>
          <w:rFonts w:ascii="Times New Roman" w:hAnsi="Times New Roman"/>
          <w:sz w:val="24"/>
          <w:szCs w:val="24"/>
        </w:rPr>
        <w:t xml:space="preserve"> </w:t>
      </w:r>
      <w:r w:rsidR="00E668E2">
        <w:rPr>
          <w:rFonts w:ascii="Times New Roman" w:hAnsi="Times New Roman"/>
          <w:sz w:val="24"/>
          <w:szCs w:val="24"/>
        </w:rPr>
        <w:t>in</w:t>
      </w:r>
      <w:r w:rsidR="00CA180D" w:rsidRPr="000B4D89">
        <w:rPr>
          <w:rFonts w:ascii="Times New Roman" w:hAnsi="Times New Roman"/>
          <w:sz w:val="24"/>
          <w:szCs w:val="24"/>
        </w:rPr>
        <w:t xml:space="preserve"> the estimate of respondent burden hours</w:t>
      </w:r>
      <w:r w:rsidRPr="000B4D89">
        <w:rPr>
          <w:rFonts w:ascii="Times New Roman" w:hAnsi="Times New Roman"/>
          <w:sz w:val="24"/>
          <w:szCs w:val="24"/>
        </w:rPr>
        <w:t xml:space="preserve"> compared with that identified in the information collection most recently approved by OMB</w:t>
      </w:r>
      <w:r w:rsidR="00E668E2">
        <w:rPr>
          <w:rFonts w:ascii="Times New Roman" w:hAnsi="Times New Roman"/>
          <w:sz w:val="24"/>
          <w:szCs w:val="24"/>
        </w:rPr>
        <w:t xml:space="preserve"> (from 4,025 hours to 4,032 hours)</w:t>
      </w:r>
      <w:r w:rsidR="00CA180D" w:rsidRPr="000B4D89">
        <w:rPr>
          <w:rFonts w:ascii="Times New Roman" w:hAnsi="Times New Roman"/>
          <w:sz w:val="24"/>
          <w:szCs w:val="24"/>
        </w:rPr>
        <w:t xml:space="preserve">.  </w:t>
      </w:r>
      <w:r w:rsidR="00E668E2">
        <w:rPr>
          <w:rFonts w:ascii="Times New Roman" w:hAnsi="Times New Roman"/>
          <w:sz w:val="24"/>
          <w:szCs w:val="24"/>
        </w:rPr>
        <w:t xml:space="preserve">This increase reflects the correction of </w:t>
      </w:r>
      <w:r w:rsidR="00534D33">
        <w:rPr>
          <w:rFonts w:ascii="Times New Roman" w:hAnsi="Times New Roman"/>
          <w:sz w:val="24"/>
          <w:szCs w:val="24"/>
        </w:rPr>
        <w:t xml:space="preserve">minor </w:t>
      </w:r>
      <w:r w:rsidR="00E668E2">
        <w:rPr>
          <w:rFonts w:ascii="Times New Roman" w:hAnsi="Times New Roman"/>
          <w:sz w:val="24"/>
          <w:szCs w:val="24"/>
        </w:rPr>
        <w:t xml:space="preserve">arithmetic errors in the previous submission. </w:t>
      </w:r>
      <w:r w:rsidR="00CA180D" w:rsidRPr="000B4D89">
        <w:rPr>
          <w:rFonts w:ascii="Times New Roman" w:hAnsi="Times New Roman"/>
          <w:sz w:val="24"/>
          <w:szCs w:val="24"/>
        </w:rPr>
        <w:t>Given the absence of factors driving change, EPA believes this to be the appropriate estimate, which is based on best available information</w:t>
      </w:r>
      <w:r w:rsidR="00BF7F7B" w:rsidRPr="000B4D89">
        <w:rPr>
          <w:rFonts w:ascii="Times New Roman" w:hAnsi="Times New Roman"/>
          <w:sz w:val="24"/>
          <w:szCs w:val="24"/>
        </w:rPr>
        <w:t>,</w:t>
      </w:r>
      <w:r w:rsidR="00CA180D" w:rsidRPr="000B4D89">
        <w:rPr>
          <w:rFonts w:ascii="Times New Roman" w:hAnsi="Times New Roman"/>
          <w:sz w:val="24"/>
          <w:szCs w:val="24"/>
        </w:rPr>
        <w:t xml:space="preserve"> and on</w:t>
      </w:r>
      <w:r w:rsidRPr="000B4D89">
        <w:rPr>
          <w:rFonts w:ascii="Times New Roman" w:hAnsi="Times New Roman"/>
          <w:sz w:val="24"/>
          <w:szCs w:val="24"/>
        </w:rPr>
        <w:t xml:space="preserve"> EPA</w:t>
      </w:r>
      <w:r w:rsidR="00E42670" w:rsidRPr="000B4D89">
        <w:rPr>
          <w:rFonts w:ascii="Times New Roman" w:hAnsi="Times New Roman"/>
          <w:sz w:val="24"/>
          <w:szCs w:val="24"/>
        </w:rPr>
        <w:t xml:space="preserve">’s </w:t>
      </w:r>
      <w:r w:rsidR="00CB359F" w:rsidRPr="000B4D89">
        <w:rPr>
          <w:rFonts w:ascii="Times New Roman" w:hAnsi="Times New Roman"/>
          <w:sz w:val="24"/>
          <w:szCs w:val="24"/>
        </w:rPr>
        <w:t xml:space="preserve">most </w:t>
      </w:r>
      <w:r w:rsidR="00E42670" w:rsidRPr="000B4D89">
        <w:rPr>
          <w:rFonts w:ascii="Times New Roman" w:hAnsi="Times New Roman"/>
          <w:sz w:val="24"/>
          <w:szCs w:val="24"/>
        </w:rPr>
        <w:t>recent experience with TSCA s</w:t>
      </w:r>
      <w:r w:rsidRPr="000B4D89">
        <w:rPr>
          <w:rFonts w:ascii="Times New Roman" w:hAnsi="Times New Roman"/>
          <w:sz w:val="24"/>
          <w:szCs w:val="24"/>
        </w:rPr>
        <w:t xml:space="preserve">ection 12(b) notices.  </w:t>
      </w:r>
    </w:p>
    <w:p w14:paraId="102D704C" w14:textId="77777777" w:rsidR="00CA180D" w:rsidRPr="000B4D89" w:rsidRDefault="00CA180D" w:rsidP="000B4D89">
      <w:pPr>
        <w:pStyle w:val="NoSpacing"/>
        <w:rPr>
          <w:rFonts w:ascii="Times New Roman" w:hAnsi="Times New Roman"/>
          <w:sz w:val="24"/>
          <w:szCs w:val="24"/>
        </w:rPr>
      </w:pPr>
    </w:p>
    <w:p w14:paraId="7336023F" w14:textId="77777777" w:rsidR="00164BC5" w:rsidRPr="000B4D89" w:rsidRDefault="00164BC5" w:rsidP="000B4D89">
      <w:pPr>
        <w:pStyle w:val="NoSpacing"/>
        <w:rPr>
          <w:rFonts w:ascii="Times New Roman" w:hAnsi="Times New Roman"/>
          <w:b/>
          <w:sz w:val="24"/>
          <w:szCs w:val="24"/>
        </w:rPr>
      </w:pPr>
      <w:r w:rsidRPr="000B4D89">
        <w:rPr>
          <w:rFonts w:ascii="Times New Roman" w:hAnsi="Times New Roman"/>
          <w:sz w:val="24"/>
          <w:szCs w:val="24"/>
        </w:rPr>
        <w:tab/>
      </w:r>
      <w:r w:rsidRPr="000B4D89">
        <w:rPr>
          <w:rFonts w:ascii="Times New Roman" w:hAnsi="Times New Roman"/>
          <w:b/>
          <w:sz w:val="24"/>
          <w:szCs w:val="24"/>
        </w:rPr>
        <w:t>6(f)</w:t>
      </w:r>
      <w:r w:rsidRPr="000B4D89">
        <w:rPr>
          <w:rFonts w:ascii="Times New Roman" w:hAnsi="Times New Roman"/>
          <w:b/>
          <w:sz w:val="24"/>
          <w:szCs w:val="24"/>
        </w:rPr>
        <w:tab/>
        <w:t>Burden Statement</w:t>
      </w:r>
    </w:p>
    <w:p w14:paraId="7A012638" w14:textId="77777777" w:rsidR="00164BC5" w:rsidRPr="000B4D89" w:rsidRDefault="00164BC5" w:rsidP="000B4D89">
      <w:pPr>
        <w:pStyle w:val="NoSpacing"/>
        <w:rPr>
          <w:rFonts w:ascii="Times New Roman" w:hAnsi="Times New Roman"/>
          <w:sz w:val="24"/>
          <w:szCs w:val="24"/>
        </w:rPr>
      </w:pPr>
    </w:p>
    <w:p w14:paraId="19242284" w14:textId="3E692F70"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 xml:space="preserve">The annual public burden for this collection of information, which is approved under OMB Control No. 2070-0030, is estimated to </w:t>
      </w:r>
      <w:r w:rsidR="00D91D0E" w:rsidRPr="000B4D89">
        <w:rPr>
          <w:rFonts w:ascii="Times New Roman" w:hAnsi="Times New Roman"/>
          <w:sz w:val="24"/>
          <w:szCs w:val="24"/>
        </w:rPr>
        <w:t xml:space="preserve">have a per-response burden of </w:t>
      </w:r>
      <w:r w:rsidRPr="000B4D89">
        <w:rPr>
          <w:rFonts w:ascii="Times New Roman" w:hAnsi="Times New Roman"/>
          <w:sz w:val="24"/>
          <w:szCs w:val="24"/>
        </w:rPr>
        <w:t xml:space="preserve">1.3 hours per </w:t>
      </w:r>
      <w:r w:rsidR="00D91D0E" w:rsidRPr="000B4D89">
        <w:rPr>
          <w:rFonts w:ascii="Times New Roman" w:hAnsi="Times New Roman"/>
          <w:sz w:val="24"/>
          <w:szCs w:val="24"/>
        </w:rPr>
        <w:t>noti</w:t>
      </w:r>
      <w:r w:rsidR="003F7AC5" w:rsidRPr="000B4D89">
        <w:rPr>
          <w:rFonts w:ascii="Times New Roman" w:hAnsi="Times New Roman"/>
          <w:sz w:val="24"/>
          <w:szCs w:val="24"/>
        </w:rPr>
        <w:t>ce</w:t>
      </w:r>
      <w:r w:rsidR="00D91D0E" w:rsidRPr="000B4D89">
        <w:rPr>
          <w:rFonts w:ascii="Times New Roman" w:hAnsi="Times New Roman"/>
          <w:sz w:val="24"/>
          <w:szCs w:val="24"/>
        </w:rPr>
        <w:t xml:space="preserve">, </w:t>
      </w:r>
      <w:r w:rsidR="008C30D3" w:rsidRPr="000B4D89">
        <w:rPr>
          <w:rFonts w:ascii="Times New Roman" w:hAnsi="Times New Roman"/>
          <w:sz w:val="24"/>
          <w:szCs w:val="24"/>
        </w:rPr>
        <w:t xml:space="preserve">and </w:t>
      </w:r>
      <w:r w:rsidR="00D91D0E" w:rsidRPr="000B4D89">
        <w:rPr>
          <w:rFonts w:ascii="Times New Roman" w:hAnsi="Times New Roman"/>
          <w:sz w:val="24"/>
          <w:szCs w:val="24"/>
        </w:rPr>
        <w:t>a per-respondent burden of 1</w:t>
      </w:r>
      <w:r w:rsidR="00F86742" w:rsidRPr="000B4D89">
        <w:rPr>
          <w:rFonts w:ascii="Times New Roman" w:hAnsi="Times New Roman"/>
          <w:sz w:val="24"/>
          <w:szCs w:val="24"/>
        </w:rPr>
        <w:t>6</w:t>
      </w:r>
      <w:r w:rsidR="00D91D0E" w:rsidRPr="000B4D89">
        <w:rPr>
          <w:rFonts w:ascii="Times New Roman" w:hAnsi="Times New Roman"/>
          <w:sz w:val="24"/>
          <w:szCs w:val="24"/>
        </w:rPr>
        <w:t>.</w:t>
      </w:r>
      <w:r w:rsidR="00F86742" w:rsidRPr="000B4D89">
        <w:rPr>
          <w:rFonts w:ascii="Times New Roman" w:hAnsi="Times New Roman"/>
          <w:sz w:val="24"/>
          <w:szCs w:val="24"/>
        </w:rPr>
        <w:t>8</w:t>
      </w:r>
      <w:r w:rsidR="00D91D0E" w:rsidRPr="000B4D89">
        <w:rPr>
          <w:rFonts w:ascii="Times New Roman" w:hAnsi="Times New Roman"/>
          <w:sz w:val="24"/>
          <w:szCs w:val="24"/>
        </w:rPr>
        <w:t xml:space="preserve"> hours per f</w:t>
      </w:r>
      <w:r w:rsidR="00F86742" w:rsidRPr="000B4D89">
        <w:rPr>
          <w:rFonts w:ascii="Times New Roman" w:hAnsi="Times New Roman"/>
          <w:sz w:val="24"/>
          <w:szCs w:val="24"/>
        </w:rPr>
        <w:t>i</w:t>
      </w:r>
      <w:r w:rsidR="00D91D0E" w:rsidRPr="000B4D89">
        <w:rPr>
          <w:rFonts w:ascii="Times New Roman" w:hAnsi="Times New Roman"/>
          <w:sz w:val="24"/>
          <w:szCs w:val="24"/>
        </w:rPr>
        <w:t>rm</w:t>
      </w:r>
      <w:r w:rsidR="008C30D3" w:rsidRPr="000B4D89">
        <w:rPr>
          <w:rFonts w:ascii="Times New Roman" w:hAnsi="Times New Roman"/>
          <w:sz w:val="24"/>
          <w:szCs w:val="24"/>
        </w:rPr>
        <w:t xml:space="preserve"> (at 13 noti</w:t>
      </w:r>
      <w:r w:rsidR="003F7AC5" w:rsidRPr="000B4D89">
        <w:rPr>
          <w:rFonts w:ascii="Times New Roman" w:hAnsi="Times New Roman"/>
          <w:sz w:val="24"/>
          <w:szCs w:val="24"/>
        </w:rPr>
        <w:t>ces</w:t>
      </w:r>
      <w:r w:rsidR="008C30D3" w:rsidRPr="000B4D89">
        <w:rPr>
          <w:rFonts w:ascii="Times New Roman" w:hAnsi="Times New Roman"/>
          <w:sz w:val="24"/>
          <w:szCs w:val="24"/>
        </w:rPr>
        <w:t xml:space="preserve"> per firm)</w:t>
      </w:r>
      <w:r w:rsidRPr="000B4D89">
        <w:rPr>
          <w:rFonts w:ascii="Times New Roman" w:hAnsi="Times New Roman"/>
          <w:sz w:val="24"/>
          <w:szCs w:val="24"/>
        </w:rPr>
        <w:t>.</w:t>
      </w:r>
      <w:r w:rsidR="008C30D3" w:rsidRPr="000B4D89">
        <w:rPr>
          <w:rFonts w:ascii="Times New Roman" w:hAnsi="Times New Roman"/>
          <w:sz w:val="24"/>
          <w:szCs w:val="24"/>
        </w:rPr>
        <w:t xml:space="preserve"> </w:t>
      </w:r>
      <w:r w:rsidRPr="000B4D89">
        <w:rPr>
          <w:rFonts w:ascii="Times New Roman" w:hAnsi="Times New Roman"/>
          <w:sz w:val="24"/>
          <w:szCs w:val="24"/>
        </w:rPr>
        <w:t>Burden is defined in 5 CFR 1320.3(b).  An agency may not conduct or sponsor, and a person is not required to respond to, a collection of information unless it displays a currently valid OMB control number.  The OMB control number for this information collection appears above.  In addition, the OMB control numbers for EPA’s regulation, after initial display in the final rule, are listed in 40 CFR part 9.</w:t>
      </w:r>
    </w:p>
    <w:p w14:paraId="1A4CD249" w14:textId="77777777" w:rsidR="00164BC5" w:rsidRPr="000B4D89" w:rsidRDefault="00164BC5" w:rsidP="000B4D89">
      <w:pPr>
        <w:pStyle w:val="NoSpacing"/>
        <w:rPr>
          <w:rFonts w:ascii="Times New Roman" w:hAnsi="Times New Roman"/>
          <w:sz w:val="24"/>
          <w:szCs w:val="24"/>
        </w:rPr>
      </w:pPr>
    </w:p>
    <w:p w14:paraId="102BF411" w14:textId="033F233E" w:rsidR="00164BC5" w:rsidRPr="000B4D89" w:rsidRDefault="00164BC5" w:rsidP="000B4D89">
      <w:pPr>
        <w:pStyle w:val="NoSpacing"/>
        <w:rPr>
          <w:rFonts w:ascii="Times New Roman" w:hAnsi="Times New Roman"/>
          <w:sz w:val="24"/>
          <w:szCs w:val="24"/>
        </w:rPr>
      </w:pPr>
      <w:r w:rsidRPr="000B4D89">
        <w:rPr>
          <w:rFonts w:ascii="Times New Roman" w:hAnsi="Times New Roman"/>
          <w:sz w:val="24"/>
          <w:szCs w:val="24"/>
        </w:rPr>
        <w:tab/>
        <w:t>The Agency has established a public docket for this ICR under Docket ID No. EPA-HQ-OPPT-201</w:t>
      </w:r>
      <w:r w:rsidR="00F944C8" w:rsidRPr="000B4D89">
        <w:rPr>
          <w:rFonts w:ascii="Times New Roman" w:hAnsi="Times New Roman"/>
          <w:sz w:val="24"/>
          <w:szCs w:val="24"/>
        </w:rPr>
        <w:t>5</w:t>
      </w:r>
      <w:r w:rsidRPr="000B4D89">
        <w:rPr>
          <w:rFonts w:ascii="Times New Roman" w:hAnsi="Times New Roman"/>
          <w:sz w:val="24"/>
          <w:szCs w:val="24"/>
        </w:rPr>
        <w:t>-0</w:t>
      </w:r>
      <w:r w:rsidR="00F944C8" w:rsidRPr="000B4D89">
        <w:rPr>
          <w:rFonts w:ascii="Times New Roman" w:hAnsi="Times New Roman"/>
          <w:sz w:val="24"/>
          <w:szCs w:val="24"/>
        </w:rPr>
        <w:t>435</w:t>
      </w:r>
      <w:r w:rsidRPr="000B4D89">
        <w:rPr>
          <w:rFonts w:ascii="Times New Roman" w:hAnsi="Times New Roman"/>
          <w:sz w:val="24"/>
          <w:szCs w:val="24"/>
        </w:rPr>
        <w:t xml:space="preserve">, 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 </w:t>
      </w:r>
    </w:p>
    <w:p w14:paraId="013EF6D6" w14:textId="77777777" w:rsidR="00164BC5" w:rsidRPr="000B4D89" w:rsidRDefault="00164BC5" w:rsidP="000B4D89">
      <w:pPr>
        <w:pStyle w:val="NoSpacing"/>
        <w:rPr>
          <w:rFonts w:ascii="Times New Roman" w:hAnsi="Times New Roman"/>
          <w:sz w:val="24"/>
          <w:szCs w:val="24"/>
        </w:rPr>
      </w:pPr>
    </w:p>
    <w:p w14:paraId="67902E3B" w14:textId="3D8BCE20" w:rsidR="00FF09DF" w:rsidRDefault="00164BC5" w:rsidP="000B4D89">
      <w:pPr>
        <w:pStyle w:val="NoSpacing"/>
        <w:ind w:firstLine="720"/>
        <w:rPr>
          <w:rFonts w:ascii="Times New Roman" w:hAnsi="Times New Roman"/>
          <w:sz w:val="24"/>
          <w:szCs w:val="24"/>
        </w:rPr>
      </w:pPr>
      <w:r w:rsidRPr="000B4D89">
        <w:rPr>
          <w:rFonts w:ascii="Times New Roman" w:hAnsi="Times New Roman"/>
          <w:sz w:val="24"/>
          <w:szCs w:val="24"/>
        </w:rPr>
        <w:t>Submit your comments referencing Docket ID No. EPA-HQ-OPPT-</w:t>
      </w:r>
      <w:r w:rsidR="00F944C8" w:rsidRPr="000B4D89">
        <w:rPr>
          <w:rFonts w:ascii="Times New Roman" w:hAnsi="Times New Roman"/>
          <w:sz w:val="24"/>
          <w:szCs w:val="24"/>
        </w:rPr>
        <w:t xml:space="preserve">2015-0435 </w:t>
      </w:r>
      <w:r w:rsidRPr="000B4D89">
        <w:rPr>
          <w:rFonts w:ascii="Times New Roman" w:hAnsi="Times New Roman"/>
          <w:sz w:val="24"/>
          <w:szCs w:val="24"/>
        </w:rPr>
        <w:t>and OMB Control No. 2070-0030,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14:paraId="47DB2428" w14:textId="77777777" w:rsidR="00FF09DF" w:rsidRPr="00375BC7" w:rsidRDefault="00FF09DF" w:rsidP="00FF09DF">
      <w:pPr>
        <w:ind w:left="720" w:hanging="720"/>
        <w:jc w:val="center"/>
        <w:rPr>
          <w:b/>
          <w:sz w:val="24"/>
          <w:szCs w:val="24"/>
        </w:rPr>
      </w:pPr>
      <w:r w:rsidRPr="00375BC7">
        <w:rPr>
          <w:b/>
          <w:sz w:val="24"/>
          <w:szCs w:val="24"/>
        </w:rPr>
        <w:t>ATTACHMENTS TO THE SUPPORTING STATEMENT</w:t>
      </w:r>
    </w:p>
    <w:p w14:paraId="3D06DFEF" w14:textId="77777777" w:rsidR="00FF09DF" w:rsidRPr="00375BC7" w:rsidRDefault="00FF09DF" w:rsidP="00FF09DF">
      <w:pPr>
        <w:ind w:left="720" w:hanging="720"/>
        <w:rPr>
          <w:b/>
          <w:sz w:val="24"/>
          <w:szCs w:val="24"/>
        </w:rPr>
      </w:pPr>
    </w:p>
    <w:p w14:paraId="4BC99FA7" w14:textId="77777777" w:rsidR="00FF09DF" w:rsidRPr="00375BC7" w:rsidRDefault="00FF09DF" w:rsidP="00FF09DF">
      <w:pPr>
        <w:ind w:firstLine="720"/>
        <w:rPr>
          <w:sz w:val="24"/>
          <w:szCs w:val="24"/>
        </w:rPr>
      </w:pPr>
      <w:r w:rsidRPr="00375BC7">
        <w:rPr>
          <w:sz w:val="24"/>
          <w:szCs w:val="24"/>
        </w:rPr>
        <w:t xml:space="preserve">Attachments to the supporting statement are available in the public docket established for this ICR under docket identification number </w:t>
      </w:r>
      <w:r w:rsidRPr="00375BC7">
        <w:rPr>
          <w:b/>
          <w:sz w:val="24"/>
          <w:szCs w:val="24"/>
        </w:rPr>
        <w:t>EPA-HQ-OPP</w:t>
      </w:r>
      <w:r>
        <w:rPr>
          <w:b/>
          <w:sz w:val="24"/>
          <w:szCs w:val="24"/>
        </w:rPr>
        <w:t>T</w:t>
      </w:r>
      <w:r w:rsidRPr="00375BC7">
        <w:rPr>
          <w:b/>
          <w:sz w:val="24"/>
          <w:szCs w:val="24"/>
        </w:rPr>
        <w:t>-</w:t>
      </w:r>
      <w:r w:rsidRPr="00A942D2">
        <w:rPr>
          <w:b/>
          <w:bCs/>
          <w:sz w:val="24"/>
          <w:szCs w:val="24"/>
        </w:rPr>
        <w:t>201</w:t>
      </w:r>
      <w:r>
        <w:rPr>
          <w:b/>
          <w:bCs/>
          <w:sz w:val="24"/>
          <w:szCs w:val="24"/>
        </w:rPr>
        <w:t>5</w:t>
      </w:r>
      <w:r w:rsidRPr="00A942D2">
        <w:rPr>
          <w:b/>
          <w:bCs/>
          <w:sz w:val="24"/>
          <w:szCs w:val="24"/>
        </w:rPr>
        <w:t>-0</w:t>
      </w:r>
      <w:r>
        <w:rPr>
          <w:b/>
          <w:bCs/>
          <w:sz w:val="24"/>
          <w:szCs w:val="24"/>
        </w:rPr>
        <w:t>435</w:t>
      </w:r>
      <w:r w:rsidRPr="00375BC7">
        <w:rPr>
          <w:sz w:val="24"/>
          <w:szCs w:val="24"/>
        </w:rPr>
        <w:t xml:space="preserve">.  These attachments are available for online viewing at </w:t>
      </w:r>
      <w:hyperlink r:id="rId11" w:history="1">
        <w:r w:rsidRPr="00375BC7">
          <w:rPr>
            <w:rStyle w:val="Hyperlink"/>
            <w:sz w:val="24"/>
            <w:szCs w:val="24"/>
          </w:rPr>
          <w:t>www.regulations.gov</w:t>
        </w:r>
      </w:hyperlink>
      <w:r w:rsidRPr="00375BC7">
        <w:rPr>
          <w:sz w:val="24"/>
          <w:szCs w:val="24"/>
        </w:rPr>
        <w:t>.</w:t>
      </w:r>
    </w:p>
    <w:p w14:paraId="10FE9C9E" w14:textId="77777777" w:rsidR="00FF09DF" w:rsidRPr="00375BC7" w:rsidRDefault="00FF09DF" w:rsidP="00FF09DF">
      <w:pPr>
        <w:ind w:left="720" w:hanging="720"/>
        <w:rPr>
          <w:b/>
          <w:sz w:val="24"/>
          <w:szCs w:val="24"/>
        </w:rPr>
      </w:pPr>
    </w:p>
    <w:p w14:paraId="68E92EF0" w14:textId="77777777" w:rsidR="003D415C" w:rsidRDefault="003D415C" w:rsidP="003D415C">
      <w:pPr>
        <w:numPr>
          <w:ilvl w:val="12"/>
          <w:numId w:val="0"/>
        </w:numPr>
        <w:rPr>
          <w:sz w:val="24"/>
          <w:szCs w:val="24"/>
        </w:rPr>
      </w:pPr>
      <w:r w:rsidRPr="003D415C">
        <w:rPr>
          <w:b/>
          <w:sz w:val="24"/>
          <w:szCs w:val="24"/>
        </w:rPr>
        <w:t>Attachment 1:</w:t>
      </w:r>
      <w:r w:rsidRPr="003D415C">
        <w:rPr>
          <w:b/>
          <w:sz w:val="24"/>
          <w:szCs w:val="24"/>
        </w:rPr>
        <w:tab/>
        <w:t>Toxic Substances Control Act, Section 12(b) (15 U.S.C. 2611(b)).</w:t>
      </w:r>
      <w:r w:rsidRPr="003D415C">
        <w:rPr>
          <w:sz w:val="24"/>
          <w:szCs w:val="24"/>
        </w:rPr>
        <w:t xml:space="preserve"> Also </w:t>
      </w:r>
    </w:p>
    <w:p w14:paraId="478D8BD1" w14:textId="4C359D4C" w:rsidR="003D415C" w:rsidRDefault="003D415C" w:rsidP="003D415C">
      <w:pPr>
        <w:numPr>
          <w:ilvl w:val="12"/>
          <w:numId w:val="0"/>
        </w:numPr>
        <w:rPr>
          <w:sz w:val="24"/>
          <w:szCs w:val="24"/>
        </w:rPr>
      </w:pPr>
      <w:r>
        <w:rPr>
          <w:sz w:val="24"/>
          <w:szCs w:val="24"/>
        </w:rPr>
        <w:tab/>
      </w:r>
      <w:r>
        <w:rPr>
          <w:sz w:val="24"/>
          <w:szCs w:val="24"/>
        </w:rPr>
        <w:tab/>
      </w:r>
      <w:r>
        <w:rPr>
          <w:sz w:val="24"/>
          <w:szCs w:val="24"/>
        </w:rPr>
        <w:tab/>
      </w:r>
      <w:r w:rsidRPr="003D415C">
        <w:rPr>
          <w:sz w:val="24"/>
          <w:szCs w:val="24"/>
        </w:rPr>
        <w:t xml:space="preserve">available online at </w:t>
      </w:r>
      <w:hyperlink r:id="rId12" w:history="1">
        <w:r w:rsidRPr="00EF7EA6">
          <w:rPr>
            <w:rStyle w:val="Hyperlink"/>
            <w:sz w:val="24"/>
            <w:szCs w:val="24"/>
          </w:rPr>
          <w:t>http://www.epa.gov/tsca-import-export-requirements</w:t>
        </w:r>
      </w:hyperlink>
      <w:r>
        <w:rPr>
          <w:sz w:val="24"/>
          <w:szCs w:val="24"/>
        </w:rPr>
        <w:t>.</w:t>
      </w:r>
    </w:p>
    <w:p w14:paraId="4480FE49" w14:textId="77777777" w:rsidR="003D415C" w:rsidRPr="003D415C" w:rsidRDefault="003D415C" w:rsidP="003D415C">
      <w:pPr>
        <w:numPr>
          <w:ilvl w:val="12"/>
          <w:numId w:val="0"/>
        </w:numPr>
        <w:rPr>
          <w:b/>
          <w:sz w:val="24"/>
          <w:szCs w:val="24"/>
        </w:rPr>
      </w:pPr>
    </w:p>
    <w:p w14:paraId="4E442355" w14:textId="77777777" w:rsidR="003D415C" w:rsidRDefault="003D415C" w:rsidP="003D415C">
      <w:pPr>
        <w:numPr>
          <w:ilvl w:val="12"/>
          <w:numId w:val="0"/>
        </w:numPr>
        <w:rPr>
          <w:sz w:val="24"/>
          <w:szCs w:val="24"/>
        </w:rPr>
      </w:pPr>
      <w:r w:rsidRPr="003D415C">
        <w:rPr>
          <w:b/>
          <w:sz w:val="24"/>
          <w:szCs w:val="24"/>
        </w:rPr>
        <w:t>Attachment 2:</w:t>
      </w:r>
      <w:r w:rsidRPr="003D415C">
        <w:rPr>
          <w:b/>
          <w:sz w:val="24"/>
          <w:szCs w:val="24"/>
        </w:rPr>
        <w:tab/>
        <w:t xml:space="preserve">Chemical Imports and Exports (40 CFR 707, Subpart D).  </w:t>
      </w:r>
      <w:r w:rsidRPr="003D415C">
        <w:rPr>
          <w:sz w:val="24"/>
          <w:szCs w:val="24"/>
        </w:rPr>
        <w:t xml:space="preserve">Also available </w:t>
      </w:r>
    </w:p>
    <w:p w14:paraId="54CAF4DB" w14:textId="525EC694" w:rsidR="003D415C" w:rsidRDefault="003D415C" w:rsidP="003D415C">
      <w:pPr>
        <w:numPr>
          <w:ilvl w:val="12"/>
          <w:numId w:val="0"/>
        </w:numPr>
        <w:rPr>
          <w:sz w:val="24"/>
          <w:szCs w:val="24"/>
        </w:rPr>
      </w:pPr>
      <w:r>
        <w:rPr>
          <w:sz w:val="24"/>
          <w:szCs w:val="24"/>
        </w:rPr>
        <w:tab/>
      </w:r>
      <w:r>
        <w:rPr>
          <w:sz w:val="24"/>
          <w:szCs w:val="24"/>
        </w:rPr>
        <w:tab/>
      </w:r>
      <w:r>
        <w:rPr>
          <w:sz w:val="24"/>
          <w:szCs w:val="24"/>
        </w:rPr>
        <w:tab/>
        <w:t>online</w:t>
      </w:r>
      <w:r w:rsidRPr="003D415C">
        <w:rPr>
          <w:sz w:val="24"/>
          <w:szCs w:val="24"/>
        </w:rPr>
        <w:t xml:space="preserve"> at</w:t>
      </w:r>
      <w:r w:rsidRPr="003D415C">
        <w:rPr>
          <w:b/>
          <w:sz w:val="24"/>
          <w:szCs w:val="24"/>
        </w:rPr>
        <w:t xml:space="preserve"> </w:t>
      </w:r>
      <w:hyperlink r:id="rId13" w:history="1">
        <w:r w:rsidRPr="00EF7EA6">
          <w:rPr>
            <w:rStyle w:val="Hyperlink"/>
            <w:sz w:val="24"/>
            <w:szCs w:val="24"/>
          </w:rPr>
          <w:t>http://www.epa.gov/tsca-import-export-requirements</w:t>
        </w:r>
      </w:hyperlink>
      <w:r>
        <w:rPr>
          <w:sz w:val="24"/>
          <w:szCs w:val="24"/>
        </w:rPr>
        <w:t xml:space="preserve">. </w:t>
      </w:r>
    </w:p>
    <w:p w14:paraId="18F50A70" w14:textId="77777777" w:rsidR="003D415C" w:rsidRDefault="003D415C" w:rsidP="003D415C">
      <w:pPr>
        <w:numPr>
          <w:ilvl w:val="12"/>
          <w:numId w:val="0"/>
        </w:numPr>
        <w:rPr>
          <w:sz w:val="24"/>
          <w:szCs w:val="24"/>
        </w:rPr>
      </w:pPr>
    </w:p>
    <w:p w14:paraId="2F90362B" w14:textId="02D72545" w:rsidR="0096252F" w:rsidRDefault="003D415C" w:rsidP="003D415C">
      <w:pPr>
        <w:numPr>
          <w:ilvl w:val="12"/>
          <w:numId w:val="0"/>
        </w:numPr>
        <w:rPr>
          <w:b/>
          <w:sz w:val="24"/>
          <w:szCs w:val="24"/>
        </w:rPr>
      </w:pPr>
      <w:r w:rsidRPr="0096252F">
        <w:rPr>
          <w:b/>
          <w:sz w:val="24"/>
          <w:szCs w:val="24"/>
        </w:rPr>
        <w:t>Attachment 3:</w:t>
      </w:r>
      <w:r w:rsidRPr="0096252F">
        <w:rPr>
          <w:b/>
          <w:sz w:val="24"/>
          <w:szCs w:val="24"/>
        </w:rPr>
        <w:tab/>
        <w:t xml:space="preserve">Copy of Public Comment Received by EPA from the American </w:t>
      </w:r>
    </w:p>
    <w:p w14:paraId="0B9E2908" w14:textId="0481F733" w:rsidR="003D415C" w:rsidRPr="0096252F" w:rsidRDefault="0096252F" w:rsidP="003D415C">
      <w:pPr>
        <w:numPr>
          <w:ilvl w:val="12"/>
          <w:numId w:val="0"/>
        </w:numPr>
        <w:rPr>
          <w:b/>
          <w:sz w:val="24"/>
          <w:szCs w:val="24"/>
        </w:rPr>
      </w:pPr>
      <w:r>
        <w:rPr>
          <w:b/>
          <w:sz w:val="24"/>
          <w:szCs w:val="24"/>
        </w:rPr>
        <w:tab/>
      </w:r>
      <w:r>
        <w:rPr>
          <w:b/>
          <w:sz w:val="24"/>
          <w:szCs w:val="24"/>
        </w:rPr>
        <w:tab/>
      </w:r>
      <w:r>
        <w:rPr>
          <w:b/>
          <w:sz w:val="24"/>
          <w:szCs w:val="24"/>
        </w:rPr>
        <w:tab/>
      </w:r>
      <w:r w:rsidR="003D415C" w:rsidRPr="0096252F">
        <w:rPr>
          <w:b/>
          <w:sz w:val="24"/>
          <w:szCs w:val="24"/>
        </w:rPr>
        <w:t>Petroleum Institute (API)</w:t>
      </w:r>
    </w:p>
    <w:p w14:paraId="4D98D02D" w14:textId="77777777" w:rsidR="003D415C" w:rsidRPr="0096252F" w:rsidRDefault="003D415C" w:rsidP="003D415C">
      <w:pPr>
        <w:numPr>
          <w:ilvl w:val="12"/>
          <w:numId w:val="0"/>
        </w:numPr>
        <w:rPr>
          <w:b/>
          <w:sz w:val="24"/>
          <w:szCs w:val="24"/>
        </w:rPr>
      </w:pPr>
    </w:p>
    <w:p w14:paraId="4AAC0FD2" w14:textId="1407D1EB" w:rsidR="003D415C" w:rsidRPr="0096252F" w:rsidRDefault="003D415C" w:rsidP="003D415C">
      <w:pPr>
        <w:numPr>
          <w:ilvl w:val="12"/>
          <w:numId w:val="0"/>
        </w:numPr>
        <w:rPr>
          <w:b/>
          <w:sz w:val="24"/>
          <w:szCs w:val="24"/>
        </w:rPr>
      </w:pPr>
      <w:r w:rsidRPr="0096252F">
        <w:rPr>
          <w:b/>
          <w:sz w:val="24"/>
          <w:szCs w:val="24"/>
        </w:rPr>
        <w:t>Attachment 4:</w:t>
      </w:r>
      <w:r w:rsidRPr="0096252F">
        <w:rPr>
          <w:b/>
          <w:sz w:val="24"/>
          <w:szCs w:val="24"/>
        </w:rPr>
        <w:tab/>
        <w:t>Copy of EPA’s Response to Public Comment from API</w:t>
      </w:r>
    </w:p>
    <w:p w14:paraId="45E7D191" w14:textId="77777777" w:rsidR="003D415C" w:rsidRPr="0096252F" w:rsidRDefault="003D415C" w:rsidP="003D415C">
      <w:pPr>
        <w:numPr>
          <w:ilvl w:val="12"/>
          <w:numId w:val="0"/>
        </w:numPr>
        <w:rPr>
          <w:b/>
          <w:sz w:val="24"/>
          <w:szCs w:val="24"/>
        </w:rPr>
      </w:pPr>
    </w:p>
    <w:p w14:paraId="0F9F5AA3" w14:textId="095973A2" w:rsidR="003D415C" w:rsidRDefault="003D415C" w:rsidP="003D415C">
      <w:pPr>
        <w:numPr>
          <w:ilvl w:val="12"/>
          <w:numId w:val="0"/>
        </w:numPr>
        <w:rPr>
          <w:b/>
          <w:sz w:val="24"/>
          <w:szCs w:val="24"/>
        </w:rPr>
      </w:pPr>
      <w:r w:rsidRPr="0096252F">
        <w:rPr>
          <w:b/>
          <w:sz w:val="24"/>
          <w:szCs w:val="24"/>
        </w:rPr>
        <w:t>Attachment 5:</w:t>
      </w:r>
      <w:r w:rsidR="0096252F">
        <w:rPr>
          <w:b/>
          <w:sz w:val="24"/>
          <w:szCs w:val="24"/>
        </w:rPr>
        <w:tab/>
      </w:r>
      <w:r w:rsidR="0096252F" w:rsidRPr="0096252F">
        <w:rPr>
          <w:b/>
          <w:sz w:val="24"/>
          <w:szCs w:val="24"/>
        </w:rPr>
        <w:t>Copy of Consultations Message Sent by EPA to Potential Respondents</w:t>
      </w:r>
    </w:p>
    <w:p w14:paraId="09204583" w14:textId="77777777" w:rsidR="003D415C" w:rsidRDefault="003D415C" w:rsidP="00FF09DF">
      <w:pPr>
        <w:numPr>
          <w:ilvl w:val="12"/>
          <w:numId w:val="0"/>
        </w:numPr>
        <w:jc w:val="center"/>
        <w:rPr>
          <w:b/>
          <w:sz w:val="24"/>
          <w:szCs w:val="24"/>
        </w:rPr>
      </w:pPr>
    </w:p>
    <w:p w14:paraId="23C659AE" w14:textId="77777777" w:rsidR="0096252F" w:rsidRDefault="0096252F">
      <w:pPr>
        <w:autoSpaceDE/>
        <w:autoSpaceDN/>
        <w:adjustRightInd/>
        <w:spacing w:after="200" w:line="276" w:lineRule="auto"/>
        <w:rPr>
          <w:b/>
          <w:sz w:val="24"/>
          <w:szCs w:val="24"/>
        </w:rPr>
      </w:pPr>
      <w:r>
        <w:rPr>
          <w:b/>
          <w:sz w:val="24"/>
          <w:szCs w:val="24"/>
        </w:rPr>
        <w:br w:type="page"/>
      </w:r>
    </w:p>
    <w:p w14:paraId="4137653C" w14:textId="47B5C7FF" w:rsidR="00164BC5" w:rsidRPr="00A77684" w:rsidRDefault="00375BC7" w:rsidP="00FF09DF">
      <w:pPr>
        <w:numPr>
          <w:ilvl w:val="12"/>
          <w:numId w:val="0"/>
        </w:numPr>
        <w:jc w:val="center"/>
        <w:rPr>
          <w:b/>
          <w:sz w:val="24"/>
          <w:szCs w:val="24"/>
        </w:rPr>
      </w:pPr>
      <w:r w:rsidRPr="00A77684">
        <w:rPr>
          <w:b/>
          <w:sz w:val="24"/>
          <w:szCs w:val="24"/>
        </w:rPr>
        <w:t>SOURCES</w:t>
      </w:r>
    </w:p>
    <w:p w14:paraId="053385B8" w14:textId="77777777" w:rsidR="00164BC5" w:rsidRPr="00A77684" w:rsidRDefault="00164BC5" w:rsidP="00164BC5">
      <w:pPr>
        <w:numPr>
          <w:ilvl w:val="12"/>
          <w:numId w:val="0"/>
        </w:numPr>
        <w:ind w:left="720" w:hanging="720"/>
        <w:rPr>
          <w:sz w:val="24"/>
          <w:szCs w:val="24"/>
        </w:rPr>
      </w:pPr>
    </w:p>
    <w:p w14:paraId="249D8BEF" w14:textId="77777777" w:rsidR="00164BC5" w:rsidRDefault="00164BC5" w:rsidP="00164BC5">
      <w:pPr>
        <w:numPr>
          <w:ilvl w:val="12"/>
          <w:numId w:val="0"/>
        </w:numPr>
        <w:ind w:left="720" w:hanging="720"/>
        <w:rPr>
          <w:sz w:val="24"/>
          <w:szCs w:val="24"/>
        </w:rPr>
      </w:pPr>
      <w:r w:rsidRPr="00A77684">
        <w:rPr>
          <w:sz w:val="24"/>
          <w:szCs w:val="24"/>
        </w:rPr>
        <w:t>40 CFR Parts 707 and 799. Federal Register: November 14, 2006. Volume 71, Number 219 Rules and Regulations 66234-66245. January 2009 &lt;wais.access.gpo.gov&gt;.</w:t>
      </w:r>
    </w:p>
    <w:p w14:paraId="765EA5A8" w14:textId="77777777" w:rsidR="00DC688A" w:rsidRDefault="00DC688A" w:rsidP="00164BC5">
      <w:pPr>
        <w:numPr>
          <w:ilvl w:val="12"/>
          <w:numId w:val="0"/>
        </w:numPr>
        <w:ind w:left="720" w:hanging="720"/>
        <w:rPr>
          <w:sz w:val="24"/>
          <w:szCs w:val="24"/>
        </w:rPr>
      </w:pPr>
    </w:p>
    <w:p w14:paraId="1A00B099" w14:textId="77777777" w:rsidR="00FA69C9" w:rsidRPr="00AD30AB" w:rsidRDefault="00FA69C9" w:rsidP="00FA69C9">
      <w:pPr>
        <w:autoSpaceDE/>
        <w:autoSpaceDN/>
        <w:adjustRightInd/>
        <w:spacing w:after="180" w:line="264" w:lineRule="auto"/>
        <w:ind w:left="720" w:hanging="720"/>
        <w:rPr>
          <w:noProof/>
          <w:sz w:val="24"/>
          <w:szCs w:val="24"/>
        </w:rPr>
      </w:pPr>
      <w:r w:rsidRPr="00AD30AB">
        <w:rPr>
          <w:noProof/>
          <w:sz w:val="24"/>
          <w:szCs w:val="24"/>
        </w:rPr>
        <w:t xml:space="preserve">Rice, C. (2002). </w:t>
      </w:r>
      <w:r w:rsidRPr="00AD30AB">
        <w:rPr>
          <w:i/>
          <w:iCs/>
          <w:noProof/>
          <w:sz w:val="24"/>
          <w:szCs w:val="24"/>
        </w:rPr>
        <w:t>Wage Rates for Economic Analysis of the Toxic Release Inventory Program.</w:t>
      </w:r>
      <w:r w:rsidRPr="00AD30AB">
        <w:rPr>
          <w:noProof/>
          <w:sz w:val="24"/>
          <w:szCs w:val="24"/>
        </w:rPr>
        <w:t xml:space="preserve"> Washington, D.C.: U.S. EPA, Office of Pollution Prevention and Toxics, Economics and Policy Analysis Branch.</w:t>
      </w:r>
    </w:p>
    <w:p w14:paraId="07D0268A" w14:textId="77777777" w:rsidR="00AF309E" w:rsidRPr="00AD30AB" w:rsidRDefault="00AF309E" w:rsidP="00AF309E">
      <w:pPr>
        <w:autoSpaceDE/>
        <w:autoSpaceDN/>
        <w:adjustRightInd/>
        <w:spacing w:after="180" w:line="264" w:lineRule="auto"/>
        <w:ind w:left="720" w:hanging="720"/>
        <w:rPr>
          <w:noProof/>
          <w:sz w:val="24"/>
          <w:szCs w:val="24"/>
        </w:rPr>
      </w:pPr>
      <w:r w:rsidRPr="00AD30AB">
        <w:rPr>
          <w:noProof/>
          <w:sz w:val="24"/>
          <w:szCs w:val="24"/>
        </w:rPr>
        <w:t xml:space="preserve">U.S. Bureau of Labor Statistics. (2014). </w:t>
      </w:r>
      <w:r w:rsidRPr="00AD30AB">
        <w:rPr>
          <w:i/>
          <w:iCs/>
          <w:noProof/>
          <w:sz w:val="24"/>
          <w:szCs w:val="24"/>
        </w:rPr>
        <w:t>Employer Costs for Employee Compensation Supplementary Tables: December 2006 - June 2014.</w:t>
      </w:r>
      <w:r w:rsidRPr="00AD30AB">
        <w:rPr>
          <w:noProof/>
          <w:sz w:val="24"/>
          <w:szCs w:val="24"/>
        </w:rPr>
        <w:t xml:space="preserve"> Retrieved October 2014, from http://www.bls.gov/ncs/ect/sp/ecsuphst.pdf</w:t>
      </w:r>
    </w:p>
    <w:p w14:paraId="2CFCBDDB" w14:textId="7C6B36BD" w:rsidR="00A251E7" w:rsidRPr="00AD30AB" w:rsidRDefault="00A251E7" w:rsidP="00AD30AB">
      <w:pPr>
        <w:autoSpaceDE/>
        <w:autoSpaceDN/>
        <w:adjustRightInd/>
        <w:ind w:left="720" w:hanging="720"/>
        <w:rPr>
          <w:noProof/>
          <w:sz w:val="24"/>
          <w:szCs w:val="24"/>
        </w:rPr>
      </w:pPr>
      <w:r w:rsidRPr="00AD30AB">
        <w:rPr>
          <w:noProof/>
          <w:sz w:val="24"/>
          <w:szCs w:val="24"/>
        </w:rPr>
        <w:t xml:space="preserve">U.S. EPA. (2002). </w:t>
      </w:r>
      <w:r w:rsidRPr="00AD30AB">
        <w:rPr>
          <w:i/>
          <w:noProof/>
          <w:sz w:val="24"/>
          <w:szCs w:val="24"/>
        </w:rPr>
        <w:t xml:space="preserve">Revised </w:t>
      </w:r>
      <w:r w:rsidRPr="00AD30AB">
        <w:rPr>
          <w:i/>
          <w:iCs/>
          <w:noProof/>
          <w:sz w:val="24"/>
          <w:szCs w:val="24"/>
        </w:rPr>
        <w:t>Economic Analysis for the Amended Inventory Update Rule: Final Report (EPA-HQ-OPPT-2002-0054-0279).</w:t>
      </w:r>
      <w:r w:rsidRPr="00AD30AB">
        <w:rPr>
          <w:noProof/>
          <w:sz w:val="24"/>
          <w:szCs w:val="24"/>
        </w:rPr>
        <w:t xml:space="preserve"> Washington, D.C.: Office of Pollution Prevention and Toxics, Economics and Policy Analysis Branch.</w:t>
      </w:r>
    </w:p>
    <w:p w14:paraId="2752B9BF" w14:textId="77777777" w:rsidR="00A251E7" w:rsidRDefault="00A251E7" w:rsidP="00164BC5">
      <w:pPr>
        <w:ind w:left="720" w:hanging="720"/>
        <w:rPr>
          <w:sz w:val="24"/>
          <w:szCs w:val="24"/>
        </w:rPr>
      </w:pPr>
    </w:p>
    <w:p w14:paraId="2BAC9474" w14:textId="178350E1" w:rsidR="00A251E7" w:rsidRPr="00A77684" w:rsidRDefault="00AF309E" w:rsidP="00164BC5">
      <w:pPr>
        <w:ind w:left="720" w:hanging="720"/>
        <w:rPr>
          <w:sz w:val="24"/>
          <w:szCs w:val="24"/>
        </w:rPr>
      </w:pPr>
      <w:r>
        <w:rPr>
          <w:color w:val="222222"/>
          <w:sz w:val="24"/>
          <w:szCs w:val="24"/>
          <w:shd w:val="clear" w:color="auto" w:fill="FFFFFF"/>
        </w:rPr>
        <w:t xml:space="preserve">U.S. </w:t>
      </w:r>
      <w:r w:rsidR="00A251E7" w:rsidRPr="00AD30AB">
        <w:rPr>
          <w:color w:val="222222"/>
          <w:sz w:val="24"/>
          <w:szCs w:val="24"/>
          <w:shd w:val="clear" w:color="auto" w:fill="FFFFFF"/>
        </w:rPr>
        <w:t>EPA,</w:t>
      </w:r>
      <w:r>
        <w:rPr>
          <w:color w:val="222222"/>
          <w:sz w:val="24"/>
          <w:szCs w:val="24"/>
          <w:shd w:val="clear" w:color="auto" w:fill="FFFFFF"/>
        </w:rPr>
        <w:t xml:space="preserve"> (</w:t>
      </w:r>
      <w:r w:rsidR="00A251E7" w:rsidRPr="00AD30AB">
        <w:rPr>
          <w:color w:val="222222"/>
          <w:sz w:val="24"/>
          <w:szCs w:val="24"/>
          <w:shd w:val="clear" w:color="auto" w:fill="FFFFFF"/>
        </w:rPr>
        <w:t>2009</w:t>
      </w:r>
      <w:r>
        <w:rPr>
          <w:color w:val="222222"/>
          <w:sz w:val="24"/>
          <w:szCs w:val="24"/>
          <w:shd w:val="clear" w:color="auto" w:fill="FFFFFF"/>
        </w:rPr>
        <w:t>)</w:t>
      </w:r>
      <w:r w:rsidR="00A251E7" w:rsidRPr="00AD30AB">
        <w:rPr>
          <w:color w:val="222222"/>
          <w:sz w:val="24"/>
          <w:szCs w:val="24"/>
          <w:shd w:val="clear" w:color="auto" w:fill="FFFFFF"/>
        </w:rPr>
        <w:t>.</w:t>
      </w:r>
      <w:r>
        <w:rPr>
          <w:color w:val="222222"/>
          <w:sz w:val="24"/>
          <w:szCs w:val="24"/>
          <w:shd w:val="clear" w:color="auto" w:fill="FFFFFF"/>
        </w:rPr>
        <w:t xml:space="preserve"> </w:t>
      </w:r>
      <w:r w:rsidR="00A251E7" w:rsidRPr="00AD30AB">
        <w:rPr>
          <w:i/>
          <w:iCs/>
          <w:color w:val="222222"/>
          <w:sz w:val="24"/>
          <w:szCs w:val="24"/>
          <w:shd w:val="clear" w:color="auto" w:fill="FFFFFF"/>
        </w:rPr>
        <w:t>ICR Handbook EPA’s Guide to Writing Information Collection Requests under the Paperwork Reduction Act of 1995.</w:t>
      </w:r>
      <w:r w:rsidR="00A251E7" w:rsidRPr="00AD30AB">
        <w:rPr>
          <w:rStyle w:val="apple-converted-space"/>
          <w:i/>
          <w:iCs/>
          <w:color w:val="222222"/>
          <w:sz w:val="24"/>
          <w:szCs w:val="24"/>
          <w:shd w:val="clear" w:color="auto" w:fill="FFFFFF"/>
        </w:rPr>
        <w:t> </w:t>
      </w:r>
      <w:r w:rsidR="00A251E7" w:rsidRPr="00AD30AB">
        <w:rPr>
          <w:color w:val="222222"/>
          <w:sz w:val="24"/>
          <w:szCs w:val="24"/>
          <w:shd w:val="clear" w:color="auto" w:fill="FFFFFF"/>
        </w:rPr>
        <w:t>Revised 10/2009</w:t>
      </w:r>
      <w:r w:rsidRPr="00AF309E">
        <w:rPr>
          <w:color w:val="222222"/>
          <w:sz w:val="24"/>
          <w:szCs w:val="24"/>
          <w:shd w:val="clear" w:color="auto" w:fill="FFFFFF"/>
        </w:rPr>
        <w:t xml:space="preserve"> </w:t>
      </w:r>
      <w:r>
        <w:rPr>
          <w:color w:val="222222"/>
          <w:sz w:val="24"/>
          <w:szCs w:val="24"/>
          <w:shd w:val="clear" w:color="auto" w:fill="FFFFFF"/>
        </w:rPr>
        <w:t xml:space="preserve">Washington, D.C.: </w:t>
      </w:r>
      <w:r w:rsidRPr="009A61BE">
        <w:rPr>
          <w:color w:val="222222"/>
          <w:sz w:val="24"/>
          <w:szCs w:val="24"/>
          <w:shd w:val="clear" w:color="auto" w:fill="FFFFFF"/>
        </w:rPr>
        <w:t>U.S. EPA, Office of Environmental Information</w:t>
      </w:r>
      <w:r>
        <w:rPr>
          <w:color w:val="222222"/>
          <w:sz w:val="24"/>
          <w:szCs w:val="24"/>
          <w:shd w:val="clear" w:color="auto" w:fill="FFFFFF"/>
        </w:rPr>
        <w:t>.</w:t>
      </w:r>
    </w:p>
    <w:p w14:paraId="114578DE" w14:textId="77777777" w:rsidR="00DC688A" w:rsidRPr="00A77684" w:rsidRDefault="00DC688A" w:rsidP="00164BC5">
      <w:pPr>
        <w:ind w:left="720" w:hanging="720"/>
        <w:rPr>
          <w:sz w:val="24"/>
          <w:szCs w:val="24"/>
        </w:rPr>
      </w:pPr>
    </w:p>
    <w:p w14:paraId="5EDAC954" w14:textId="6A709B45" w:rsidR="00AF309E" w:rsidRDefault="00AF309E" w:rsidP="00AF309E">
      <w:pPr>
        <w:autoSpaceDE/>
        <w:autoSpaceDN/>
        <w:adjustRightInd/>
        <w:ind w:left="720" w:hanging="720"/>
        <w:rPr>
          <w:noProof/>
          <w:sz w:val="24"/>
          <w:szCs w:val="24"/>
        </w:rPr>
      </w:pPr>
      <w:r w:rsidRPr="009A61BE">
        <w:rPr>
          <w:noProof/>
          <w:sz w:val="24"/>
          <w:szCs w:val="24"/>
        </w:rPr>
        <w:t>U.S. EPA. (200</w:t>
      </w:r>
      <w:r>
        <w:rPr>
          <w:noProof/>
          <w:sz w:val="24"/>
          <w:szCs w:val="24"/>
        </w:rPr>
        <w:t>6</w:t>
      </w:r>
      <w:r w:rsidRPr="009A61BE">
        <w:rPr>
          <w:noProof/>
          <w:sz w:val="24"/>
          <w:szCs w:val="24"/>
        </w:rPr>
        <w:t xml:space="preserve">). </w:t>
      </w:r>
      <w:r w:rsidRPr="00AD30AB">
        <w:rPr>
          <w:i/>
          <w:sz w:val="24"/>
          <w:szCs w:val="24"/>
        </w:rPr>
        <w:t>Final Economic Analysis of the Amendments to TSCA Section 12(b) Export Notification Requirements</w:t>
      </w:r>
      <w:r w:rsidRPr="00A77684">
        <w:rPr>
          <w:sz w:val="24"/>
          <w:szCs w:val="24"/>
        </w:rPr>
        <w:t xml:space="preserve">. </w:t>
      </w:r>
      <w:r w:rsidRPr="009A61BE">
        <w:rPr>
          <w:noProof/>
          <w:sz w:val="24"/>
          <w:szCs w:val="24"/>
        </w:rPr>
        <w:t>Washington, D.C.: Office of Pollution Prevention and Toxics, Economics and Policy Analysis Branch.</w:t>
      </w:r>
    </w:p>
    <w:p w14:paraId="15BF20A7" w14:textId="77777777" w:rsidR="00AF309E" w:rsidRPr="00AF309E" w:rsidRDefault="00AF309E" w:rsidP="00AF309E">
      <w:pPr>
        <w:autoSpaceDE/>
        <w:autoSpaceDN/>
        <w:adjustRightInd/>
        <w:ind w:left="720" w:hanging="720"/>
        <w:rPr>
          <w:noProof/>
          <w:sz w:val="24"/>
          <w:szCs w:val="24"/>
        </w:rPr>
      </w:pPr>
    </w:p>
    <w:p w14:paraId="2199D204" w14:textId="77C4E3BF" w:rsidR="00AF309E" w:rsidRDefault="00AF309E" w:rsidP="00AF309E">
      <w:pPr>
        <w:autoSpaceDE/>
        <w:autoSpaceDN/>
        <w:adjustRightInd/>
        <w:spacing w:after="180" w:line="264" w:lineRule="auto"/>
        <w:ind w:left="720" w:hanging="720"/>
        <w:rPr>
          <w:noProof/>
          <w:sz w:val="24"/>
          <w:szCs w:val="24"/>
        </w:rPr>
      </w:pPr>
      <w:r w:rsidRPr="00AD30AB">
        <w:rPr>
          <w:noProof/>
          <w:sz w:val="24"/>
          <w:szCs w:val="24"/>
        </w:rPr>
        <w:t>U.S. Office of Personnel Management. (201</w:t>
      </w:r>
      <w:r>
        <w:rPr>
          <w:noProof/>
          <w:sz w:val="24"/>
          <w:szCs w:val="24"/>
        </w:rPr>
        <w:t>5</w:t>
      </w:r>
      <w:r w:rsidRPr="00AD30AB">
        <w:rPr>
          <w:noProof/>
          <w:sz w:val="24"/>
          <w:szCs w:val="24"/>
        </w:rPr>
        <w:t xml:space="preserve">). </w:t>
      </w:r>
      <w:r w:rsidRPr="00AD30AB">
        <w:rPr>
          <w:i/>
          <w:iCs/>
          <w:noProof/>
          <w:sz w:val="24"/>
          <w:szCs w:val="24"/>
        </w:rPr>
        <w:t>Salary Table 201</w:t>
      </w:r>
      <w:r>
        <w:rPr>
          <w:i/>
          <w:iCs/>
          <w:noProof/>
          <w:sz w:val="24"/>
          <w:szCs w:val="24"/>
        </w:rPr>
        <w:t>5</w:t>
      </w:r>
      <w:r w:rsidRPr="00AD30AB">
        <w:rPr>
          <w:i/>
          <w:iCs/>
          <w:noProof/>
          <w:sz w:val="24"/>
          <w:szCs w:val="24"/>
        </w:rPr>
        <w:t>-</w:t>
      </w:r>
      <w:r w:rsidRPr="00AF309E">
        <w:rPr>
          <w:sz w:val="24"/>
          <w:szCs w:val="24"/>
        </w:rPr>
        <w:t xml:space="preserve"> </w:t>
      </w:r>
      <w:r w:rsidRPr="00AD30AB">
        <w:rPr>
          <w:i/>
          <w:sz w:val="24"/>
          <w:szCs w:val="24"/>
        </w:rPr>
        <w:t>DCB, Washington-Baltimore-Northern Virginia, DC-MD-PA-VA-WV</w:t>
      </w:r>
      <w:r w:rsidR="00D13CA1">
        <w:rPr>
          <w:sz w:val="24"/>
          <w:szCs w:val="24"/>
        </w:rPr>
        <w:t xml:space="preserve">. </w:t>
      </w:r>
      <w:r w:rsidRPr="00AD30AB">
        <w:rPr>
          <w:noProof/>
          <w:sz w:val="24"/>
          <w:szCs w:val="24"/>
        </w:rPr>
        <w:t xml:space="preserve">Retrieved February 27, 2015 from Pay &amp; Leave: Salaries &amp; Wages: </w:t>
      </w:r>
      <w:hyperlink r:id="rId14" w:history="1">
        <w:r w:rsidR="00A816D1" w:rsidRPr="00AD30AB">
          <w:rPr>
            <w:rStyle w:val="Hyperlink"/>
            <w:sz w:val="24"/>
            <w:szCs w:val="24"/>
          </w:rPr>
          <w:t>www.opm.gov/policy-data-oversight/pay-leave/salaries-wages/salary-tables/14Tables/html/DCB_h.aspx</w:t>
        </w:r>
      </w:hyperlink>
      <w:r w:rsidR="00A816D1">
        <w:rPr>
          <w:noProof/>
          <w:sz w:val="24"/>
          <w:szCs w:val="24"/>
        </w:rPr>
        <w:t>.</w:t>
      </w:r>
    </w:p>
    <w:p w14:paraId="73F1F11C" w14:textId="36DE4167" w:rsidR="00A816D1" w:rsidRPr="00AD30AB" w:rsidRDefault="00A816D1" w:rsidP="00AF309E">
      <w:pPr>
        <w:autoSpaceDE/>
        <w:autoSpaceDN/>
        <w:adjustRightInd/>
        <w:spacing w:after="180" w:line="264" w:lineRule="auto"/>
        <w:ind w:left="720" w:hanging="720"/>
        <w:rPr>
          <w:sz w:val="24"/>
          <w:szCs w:val="24"/>
        </w:rPr>
      </w:pPr>
      <w:r>
        <w:rPr>
          <w:noProof/>
          <w:sz w:val="24"/>
          <w:szCs w:val="24"/>
        </w:rPr>
        <w:t xml:space="preserve">U.S. Postal Service (2015). </w:t>
      </w:r>
      <w:r w:rsidRPr="00AD30AB">
        <w:rPr>
          <w:i/>
          <w:noProof/>
          <w:sz w:val="24"/>
          <w:szCs w:val="24"/>
        </w:rPr>
        <w:t>Postage Price Calcu</w:t>
      </w:r>
      <w:r>
        <w:rPr>
          <w:i/>
          <w:noProof/>
          <w:sz w:val="24"/>
          <w:szCs w:val="24"/>
        </w:rPr>
        <w:t>l</w:t>
      </w:r>
      <w:r w:rsidRPr="00AD30AB">
        <w:rPr>
          <w:i/>
          <w:noProof/>
          <w:sz w:val="24"/>
          <w:szCs w:val="24"/>
        </w:rPr>
        <w:t>a</w:t>
      </w:r>
      <w:r>
        <w:rPr>
          <w:i/>
          <w:noProof/>
          <w:sz w:val="24"/>
          <w:szCs w:val="24"/>
        </w:rPr>
        <w:t>t</w:t>
      </w:r>
      <w:r w:rsidRPr="00AD30AB">
        <w:rPr>
          <w:i/>
          <w:noProof/>
          <w:sz w:val="24"/>
          <w:szCs w:val="24"/>
        </w:rPr>
        <w:t>or</w:t>
      </w:r>
      <w:r>
        <w:rPr>
          <w:noProof/>
          <w:sz w:val="24"/>
          <w:szCs w:val="24"/>
        </w:rPr>
        <w:t xml:space="preserve"> (web-based). Domestic and International Rates. Retrieved </w:t>
      </w:r>
      <w:r w:rsidR="00802D57">
        <w:rPr>
          <w:noProof/>
          <w:sz w:val="24"/>
          <w:szCs w:val="24"/>
        </w:rPr>
        <w:t xml:space="preserve">September 10-11, 2015 from </w:t>
      </w:r>
      <w:r w:rsidRPr="00A816D1">
        <w:rPr>
          <w:noProof/>
          <w:sz w:val="24"/>
          <w:szCs w:val="24"/>
        </w:rPr>
        <w:t>http://postcalc.usps.com</w:t>
      </w:r>
      <w:r w:rsidR="00802D57">
        <w:rPr>
          <w:noProof/>
          <w:sz w:val="24"/>
          <w:szCs w:val="24"/>
        </w:rPr>
        <w:t>.</w:t>
      </w:r>
    </w:p>
    <w:p w14:paraId="26C2FC1C" w14:textId="329785AC" w:rsidR="001E11FE" w:rsidRPr="00FF09DF" w:rsidRDefault="001E11FE" w:rsidP="00FF09DF">
      <w:pPr>
        <w:autoSpaceDE/>
        <w:autoSpaceDN/>
        <w:adjustRightInd/>
        <w:spacing w:after="200" w:line="276" w:lineRule="auto"/>
        <w:rPr>
          <w:b/>
          <w:sz w:val="24"/>
          <w:szCs w:val="24"/>
        </w:rPr>
      </w:pPr>
    </w:p>
    <w:sectPr w:rsidR="001E11FE" w:rsidRPr="00FF09DF" w:rsidSect="00375BC7">
      <w:headerReference w:type="default" r:id="rId15"/>
      <w:footerReference w:type="default" r:id="rId16"/>
      <w:pgSz w:w="12240" w:h="15840"/>
      <w:pgMar w:top="1080" w:right="1080" w:bottom="1080"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012FA" w14:textId="77777777" w:rsidR="00354743" w:rsidRDefault="00354743" w:rsidP="00164BC5">
      <w:r>
        <w:separator/>
      </w:r>
    </w:p>
  </w:endnote>
  <w:endnote w:type="continuationSeparator" w:id="0">
    <w:p w14:paraId="6B1A2433" w14:textId="77777777" w:rsidR="00354743" w:rsidRDefault="00354743" w:rsidP="00164BC5">
      <w:r>
        <w:continuationSeparator/>
      </w:r>
    </w:p>
  </w:endnote>
  <w:endnote w:type="continuationNotice" w:id="1">
    <w:p w14:paraId="56B30E9E" w14:textId="77777777" w:rsidR="00354743" w:rsidRDefault="00354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94582"/>
      <w:docPartObj>
        <w:docPartGallery w:val="Page Numbers (Bottom of Page)"/>
        <w:docPartUnique/>
      </w:docPartObj>
    </w:sdtPr>
    <w:sdtEndPr/>
    <w:sdtContent>
      <w:sdt>
        <w:sdtPr>
          <w:id w:val="565050477"/>
          <w:docPartObj>
            <w:docPartGallery w:val="Page Numbers (Top of Page)"/>
            <w:docPartUnique/>
          </w:docPartObj>
        </w:sdtPr>
        <w:sdtEndPr/>
        <w:sdtContent>
          <w:p w14:paraId="31B95CA7" w14:textId="4AFD368E" w:rsidR="00354743" w:rsidRPr="00375BC7" w:rsidRDefault="00354743" w:rsidP="00375BC7">
            <w:pPr>
              <w:pStyle w:val="Footer"/>
              <w:spacing w:before="120"/>
              <w:jc w:val="center"/>
            </w:pPr>
            <w:r w:rsidRPr="00375BC7">
              <w:t xml:space="preserve">Page </w:t>
            </w:r>
            <w:r>
              <w:fldChar w:fldCharType="begin"/>
            </w:r>
            <w:r>
              <w:instrText xml:space="preserve"> PAGE </w:instrText>
            </w:r>
            <w:r>
              <w:fldChar w:fldCharType="separate"/>
            </w:r>
            <w:r w:rsidR="00F7202D">
              <w:rPr>
                <w:noProof/>
              </w:rPr>
              <w:t>1</w:t>
            </w:r>
            <w:r>
              <w:rPr>
                <w:noProof/>
              </w:rPr>
              <w:fldChar w:fldCharType="end"/>
            </w:r>
            <w:r w:rsidRPr="00375BC7">
              <w:t xml:space="preserve"> of </w:t>
            </w:r>
            <w:r w:rsidR="00F7202D">
              <w:fldChar w:fldCharType="begin"/>
            </w:r>
            <w:r w:rsidR="00F7202D">
              <w:instrText xml:space="preserve"> NUMPAGES  </w:instrText>
            </w:r>
            <w:r w:rsidR="00F7202D">
              <w:fldChar w:fldCharType="separate"/>
            </w:r>
            <w:r w:rsidR="00F7202D">
              <w:rPr>
                <w:noProof/>
              </w:rPr>
              <w:t>3</w:t>
            </w:r>
            <w:r w:rsidR="00F7202D">
              <w:rPr>
                <w:noProof/>
              </w:rPr>
              <w:fldChar w:fldCharType="end"/>
            </w:r>
          </w:p>
        </w:sdtContent>
      </w:sdt>
    </w:sdtContent>
  </w:sdt>
  <w:p w14:paraId="2F2443AB" w14:textId="77777777" w:rsidR="00354743" w:rsidRDefault="00354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CF896" w14:textId="77777777" w:rsidR="00354743" w:rsidRDefault="00354743" w:rsidP="00164BC5">
      <w:r>
        <w:separator/>
      </w:r>
    </w:p>
  </w:footnote>
  <w:footnote w:type="continuationSeparator" w:id="0">
    <w:p w14:paraId="28C526B0" w14:textId="77777777" w:rsidR="00354743" w:rsidRDefault="00354743" w:rsidP="00164BC5">
      <w:r>
        <w:continuationSeparator/>
      </w:r>
    </w:p>
  </w:footnote>
  <w:footnote w:type="continuationNotice" w:id="1">
    <w:p w14:paraId="14C9CC8F" w14:textId="77777777" w:rsidR="00354743" w:rsidRDefault="003547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3D56C" w14:textId="77777777" w:rsidR="00354743" w:rsidRDefault="00354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CB8"/>
    <w:multiLevelType w:val="hybridMultilevel"/>
    <w:tmpl w:val="21761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3E772C"/>
    <w:multiLevelType w:val="singleLevel"/>
    <w:tmpl w:val="616E2C00"/>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2">
    <w:nsid w:val="311F2AB5"/>
    <w:multiLevelType w:val="singleLevel"/>
    <w:tmpl w:val="5FCEE0B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553A4E30"/>
    <w:multiLevelType w:val="hybridMultilevel"/>
    <w:tmpl w:val="80E0A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2F7C8C"/>
    <w:multiLevelType w:val="hybridMultilevel"/>
    <w:tmpl w:val="A2CE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EB3781"/>
    <w:multiLevelType w:val="hybridMultilevel"/>
    <w:tmpl w:val="208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F70F5A"/>
    <w:multiLevelType w:val="hybridMultilevel"/>
    <w:tmpl w:val="79DA1870"/>
    <w:lvl w:ilvl="0" w:tplc="111A57B6">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C5"/>
    <w:rsid w:val="0000313B"/>
    <w:rsid w:val="00023F2C"/>
    <w:rsid w:val="00066686"/>
    <w:rsid w:val="00074C79"/>
    <w:rsid w:val="00086BA3"/>
    <w:rsid w:val="0009582F"/>
    <w:rsid w:val="000B07C1"/>
    <w:rsid w:val="000B4D89"/>
    <w:rsid w:val="000C25BC"/>
    <w:rsid w:val="000E7294"/>
    <w:rsid w:val="000F1077"/>
    <w:rsid w:val="00100945"/>
    <w:rsid w:val="00113B8F"/>
    <w:rsid w:val="00117843"/>
    <w:rsid w:val="00136449"/>
    <w:rsid w:val="00150932"/>
    <w:rsid w:val="00164426"/>
    <w:rsid w:val="00164BC5"/>
    <w:rsid w:val="00166BFF"/>
    <w:rsid w:val="001D7F44"/>
    <w:rsid w:val="001E11FE"/>
    <w:rsid w:val="00200419"/>
    <w:rsid w:val="002152FF"/>
    <w:rsid w:val="0022587D"/>
    <w:rsid w:val="00230725"/>
    <w:rsid w:val="00232B77"/>
    <w:rsid w:val="002348D1"/>
    <w:rsid w:val="0027028E"/>
    <w:rsid w:val="00272635"/>
    <w:rsid w:val="0029280F"/>
    <w:rsid w:val="002C423D"/>
    <w:rsid w:val="002E6820"/>
    <w:rsid w:val="002F6BAC"/>
    <w:rsid w:val="0032335C"/>
    <w:rsid w:val="00331CF3"/>
    <w:rsid w:val="0034142D"/>
    <w:rsid w:val="00354743"/>
    <w:rsid w:val="00375BC7"/>
    <w:rsid w:val="00376EB0"/>
    <w:rsid w:val="00382624"/>
    <w:rsid w:val="00393698"/>
    <w:rsid w:val="00393F06"/>
    <w:rsid w:val="003A3AF6"/>
    <w:rsid w:val="003D415C"/>
    <w:rsid w:val="003D45EC"/>
    <w:rsid w:val="003F7AC5"/>
    <w:rsid w:val="00414DC7"/>
    <w:rsid w:val="00434D1E"/>
    <w:rsid w:val="00462E37"/>
    <w:rsid w:val="00477976"/>
    <w:rsid w:val="004903AC"/>
    <w:rsid w:val="00491B83"/>
    <w:rsid w:val="004A78D7"/>
    <w:rsid w:val="004B08FA"/>
    <w:rsid w:val="004C1A3B"/>
    <w:rsid w:val="004C6B8E"/>
    <w:rsid w:val="004E15EA"/>
    <w:rsid w:val="00520CDD"/>
    <w:rsid w:val="00532DD6"/>
    <w:rsid w:val="00534D33"/>
    <w:rsid w:val="005836C2"/>
    <w:rsid w:val="00585E17"/>
    <w:rsid w:val="005B490E"/>
    <w:rsid w:val="005C725D"/>
    <w:rsid w:val="005D27A5"/>
    <w:rsid w:val="005E6835"/>
    <w:rsid w:val="006406D7"/>
    <w:rsid w:val="00647CBA"/>
    <w:rsid w:val="006531CF"/>
    <w:rsid w:val="00656057"/>
    <w:rsid w:val="00682C40"/>
    <w:rsid w:val="0069767F"/>
    <w:rsid w:val="006A21B0"/>
    <w:rsid w:val="006A416D"/>
    <w:rsid w:val="006B3B3D"/>
    <w:rsid w:val="006B7ABE"/>
    <w:rsid w:val="006C2CFC"/>
    <w:rsid w:val="006D7C6D"/>
    <w:rsid w:val="007470EF"/>
    <w:rsid w:val="00750328"/>
    <w:rsid w:val="00753D6A"/>
    <w:rsid w:val="0078008B"/>
    <w:rsid w:val="007A1D4A"/>
    <w:rsid w:val="007C4586"/>
    <w:rsid w:val="00802D57"/>
    <w:rsid w:val="00824F1E"/>
    <w:rsid w:val="0085319E"/>
    <w:rsid w:val="00892469"/>
    <w:rsid w:val="008C08B8"/>
    <w:rsid w:val="008C26EB"/>
    <w:rsid w:val="008C30D3"/>
    <w:rsid w:val="008D2ADD"/>
    <w:rsid w:val="008E27E7"/>
    <w:rsid w:val="008E7EC6"/>
    <w:rsid w:val="00900BE3"/>
    <w:rsid w:val="00907C3C"/>
    <w:rsid w:val="0096252F"/>
    <w:rsid w:val="0099352D"/>
    <w:rsid w:val="0099752C"/>
    <w:rsid w:val="009A6806"/>
    <w:rsid w:val="009D5C57"/>
    <w:rsid w:val="00A12367"/>
    <w:rsid w:val="00A251E7"/>
    <w:rsid w:val="00A326B5"/>
    <w:rsid w:val="00A45270"/>
    <w:rsid w:val="00A511CE"/>
    <w:rsid w:val="00A601EF"/>
    <w:rsid w:val="00A816D1"/>
    <w:rsid w:val="00AA4ABF"/>
    <w:rsid w:val="00AB7D89"/>
    <w:rsid w:val="00AD30AB"/>
    <w:rsid w:val="00AD436B"/>
    <w:rsid w:val="00AD5F99"/>
    <w:rsid w:val="00AE44D9"/>
    <w:rsid w:val="00AF309E"/>
    <w:rsid w:val="00AF4C97"/>
    <w:rsid w:val="00AF6D25"/>
    <w:rsid w:val="00AF7533"/>
    <w:rsid w:val="00B26D01"/>
    <w:rsid w:val="00B461F5"/>
    <w:rsid w:val="00B71EB6"/>
    <w:rsid w:val="00B90F92"/>
    <w:rsid w:val="00B97C9D"/>
    <w:rsid w:val="00BB6D54"/>
    <w:rsid w:val="00BC0D37"/>
    <w:rsid w:val="00BE2EB5"/>
    <w:rsid w:val="00BF7F7B"/>
    <w:rsid w:val="00C105ED"/>
    <w:rsid w:val="00C15C83"/>
    <w:rsid w:val="00C26826"/>
    <w:rsid w:val="00C4173B"/>
    <w:rsid w:val="00C57E86"/>
    <w:rsid w:val="00C63C09"/>
    <w:rsid w:val="00C771DC"/>
    <w:rsid w:val="00C87304"/>
    <w:rsid w:val="00C94459"/>
    <w:rsid w:val="00CA180D"/>
    <w:rsid w:val="00CB182A"/>
    <w:rsid w:val="00CB359F"/>
    <w:rsid w:val="00CE0B00"/>
    <w:rsid w:val="00D0079A"/>
    <w:rsid w:val="00D0162E"/>
    <w:rsid w:val="00D07928"/>
    <w:rsid w:val="00D13CA1"/>
    <w:rsid w:val="00D27CD9"/>
    <w:rsid w:val="00D344D2"/>
    <w:rsid w:val="00D41D08"/>
    <w:rsid w:val="00D449E0"/>
    <w:rsid w:val="00D61E67"/>
    <w:rsid w:val="00D64D56"/>
    <w:rsid w:val="00D67ECD"/>
    <w:rsid w:val="00D91D0E"/>
    <w:rsid w:val="00D926F2"/>
    <w:rsid w:val="00D950EF"/>
    <w:rsid w:val="00DC688A"/>
    <w:rsid w:val="00DC7655"/>
    <w:rsid w:val="00E07846"/>
    <w:rsid w:val="00E168DA"/>
    <w:rsid w:val="00E350C0"/>
    <w:rsid w:val="00E42670"/>
    <w:rsid w:val="00E668E2"/>
    <w:rsid w:val="00E71881"/>
    <w:rsid w:val="00E94A09"/>
    <w:rsid w:val="00EA213E"/>
    <w:rsid w:val="00EE1FE7"/>
    <w:rsid w:val="00EE221F"/>
    <w:rsid w:val="00F032C9"/>
    <w:rsid w:val="00F069A5"/>
    <w:rsid w:val="00F11B23"/>
    <w:rsid w:val="00F7202D"/>
    <w:rsid w:val="00F76E33"/>
    <w:rsid w:val="00F86742"/>
    <w:rsid w:val="00F944C8"/>
    <w:rsid w:val="00FA69C9"/>
    <w:rsid w:val="00FC154B"/>
    <w:rsid w:val="00FD039D"/>
    <w:rsid w:val="00FE3CF4"/>
    <w:rsid w:val="00FF09DF"/>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0E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C5"/>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64BC5"/>
    <w:pPr>
      <w:autoSpaceDE w:val="0"/>
      <w:autoSpaceDN w:val="0"/>
      <w:adjustRightInd w:val="0"/>
      <w:spacing w:after="0" w:line="240" w:lineRule="auto"/>
      <w:ind w:left="720"/>
    </w:pPr>
    <w:rPr>
      <w:rFonts w:eastAsia="Times New Roman" w:cs="Times New Roman"/>
      <w:szCs w:val="24"/>
    </w:rPr>
  </w:style>
  <w:style w:type="character" w:styleId="Hyperlink">
    <w:name w:val="Hyperlink"/>
    <w:basedOn w:val="DefaultParagraphFont"/>
    <w:rsid w:val="00164BC5"/>
    <w:rPr>
      <w:color w:val="0000FF"/>
      <w:u w:val="single"/>
    </w:rPr>
  </w:style>
  <w:style w:type="paragraph" w:styleId="NoSpacing">
    <w:name w:val="No Spacing"/>
    <w:uiPriority w:val="1"/>
    <w:qFormat/>
    <w:rsid w:val="00164BC5"/>
    <w:pPr>
      <w:spacing w:after="0" w:line="240" w:lineRule="auto"/>
    </w:pPr>
    <w:rPr>
      <w:rFonts w:ascii="Calibri" w:eastAsia="Calibri" w:hAnsi="Calibri" w:cs="Times New Roman"/>
      <w:sz w:val="22"/>
    </w:rPr>
  </w:style>
  <w:style w:type="character" w:styleId="FollowedHyperlink">
    <w:name w:val="FollowedHyperlink"/>
    <w:basedOn w:val="DefaultParagraphFont"/>
    <w:uiPriority w:val="99"/>
    <w:semiHidden/>
    <w:unhideWhenUsed/>
    <w:rsid w:val="00164BC5"/>
    <w:rPr>
      <w:color w:val="800080" w:themeColor="followedHyperlink"/>
      <w:u w:val="single"/>
    </w:rPr>
  </w:style>
  <w:style w:type="paragraph" w:styleId="BalloonText">
    <w:name w:val="Balloon Text"/>
    <w:basedOn w:val="Normal"/>
    <w:link w:val="BalloonTextChar"/>
    <w:uiPriority w:val="99"/>
    <w:semiHidden/>
    <w:unhideWhenUsed/>
    <w:rsid w:val="00164BC5"/>
    <w:rPr>
      <w:rFonts w:ascii="Tahoma" w:hAnsi="Tahoma" w:cs="Tahoma"/>
      <w:sz w:val="16"/>
      <w:szCs w:val="16"/>
    </w:rPr>
  </w:style>
  <w:style w:type="character" w:customStyle="1" w:styleId="BalloonTextChar">
    <w:name w:val="Balloon Text Char"/>
    <w:basedOn w:val="DefaultParagraphFont"/>
    <w:link w:val="BalloonText"/>
    <w:uiPriority w:val="99"/>
    <w:semiHidden/>
    <w:rsid w:val="00164BC5"/>
    <w:rPr>
      <w:rFonts w:ascii="Tahoma" w:eastAsia="Times New Roman" w:hAnsi="Tahoma" w:cs="Tahoma"/>
      <w:sz w:val="16"/>
      <w:szCs w:val="16"/>
    </w:rPr>
  </w:style>
  <w:style w:type="paragraph" w:styleId="Header">
    <w:name w:val="header"/>
    <w:basedOn w:val="Normal"/>
    <w:link w:val="HeaderChar"/>
    <w:uiPriority w:val="99"/>
    <w:unhideWhenUsed/>
    <w:rsid w:val="00C63C09"/>
    <w:pPr>
      <w:tabs>
        <w:tab w:val="center" w:pos="4680"/>
        <w:tab w:val="right" w:pos="9360"/>
      </w:tabs>
    </w:pPr>
  </w:style>
  <w:style w:type="character" w:customStyle="1" w:styleId="HeaderChar">
    <w:name w:val="Header Char"/>
    <w:basedOn w:val="DefaultParagraphFont"/>
    <w:link w:val="Header"/>
    <w:uiPriority w:val="99"/>
    <w:rsid w:val="00C63C09"/>
    <w:rPr>
      <w:rFonts w:eastAsia="Times New Roman" w:cs="Times New Roman"/>
      <w:sz w:val="20"/>
      <w:szCs w:val="20"/>
    </w:rPr>
  </w:style>
  <w:style w:type="paragraph" w:styleId="Footer">
    <w:name w:val="footer"/>
    <w:basedOn w:val="Normal"/>
    <w:link w:val="FooterChar"/>
    <w:uiPriority w:val="99"/>
    <w:unhideWhenUsed/>
    <w:rsid w:val="00C63C09"/>
    <w:pPr>
      <w:tabs>
        <w:tab w:val="center" w:pos="4680"/>
        <w:tab w:val="right" w:pos="9360"/>
      </w:tabs>
    </w:pPr>
  </w:style>
  <w:style w:type="character" w:customStyle="1" w:styleId="FooterChar">
    <w:name w:val="Footer Char"/>
    <w:basedOn w:val="DefaultParagraphFont"/>
    <w:link w:val="Footer"/>
    <w:uiPriority w:val="99"/>
    <w:rsid w:val="00C63C09"/>
    <w:rPr>
      <w:rFonts w:eastAsia="Times New Roman" w:cs="Times New Roman"/>
      <w:sz w:val="20"/>
      <w:szCs w:val="20"/>
    </w:rPr>
  </w:style>
  <w:style w:type="character" w:styleId="CommentReference">
    <w:name w:val="annotation reference"/>
    <w:basedOn w:val="DefaultParagraphFont"/>
    <w:uiPriority w:val="99"/>
    <w:semiHidden/>
    <w:unhideWhenUsed/>
    <w:rsid w:val="005E6835"/>
    <w:rPr>
      <w:sz w:val="16"/>
      <w:szCs w:val="16"/>
    </w:rPr>
  </w:style>
  <w:style w:type="paragraph" w:styleId="CommentText">
    <w:name w:val="annotation text"/>
    <w:basedOn w:val="Normal"/>
    <w:link w:val="CommentTextChar"/>
    <w:uiPriority w:val="99"/>
    <w:unhideWhenUsed/>
    <w:rsid w:val="005E6835"/>
  </w:style>
  <w:style w:type="character" w:customStyle="1" w:styleId="CommentTextChar">
    <w:name w:val="Comment Text Char"/>
    <w:basedOn w:val="DefaultParagraphFont"/>
    <w:link w:val="CommentText"/>
    <w:uiPriority w:val="99"/>
    <w:rsid w:val="005E683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835"/>
    <w:rPr>
      <w:b/>
      <w:bCs/>
    </w:rPr>
  </w:style>
  <w:style w:type="character" w:customStyle="1" w:styleId="CommentSubjectChar">
    <w:name w:val="Comment Subject Char"/>
    <w:basedOn w:val="CommentTextChar"/>
    <w:link w:val="CommentSubject"/>
    <w:uiPriority w:val="99"/>
    <w:semiHidden/>
    <w:rsid w:val="005E6835"/>
    <w:rPr>
      <w:rFonts w:eastAsia="Times New Roman" w:cs="Times New Roman"/>
      <w:b/>
      <w:bCs/>
      <w:sz w:val="20"/>
      <w:szCs w:val="20"/>
    </w:rPr>
  </w:style>
  <w:style w:type="paragraph" w:styleId="ListParagraph">
    <w:name w:val="List Paragraph"/>
    <w:basedOn w:val="Normal"/>
    <w:uiPriority w:val="34"/>
    <w:qFormat/>
    <w:rsid w:val="00D0079A"/>
    <w:pPr>
      <w:ind w:left="720"/>
      <w:contextualSpacing/>
    </w:pPr>
  </w:style>
  <w:style w:type="character" w:customStyle="1" w:styleId="apple-converted-space">
    <w:name w:val="apple-converted-space"/>
    <w:basedOn w:val="DefaultParagraphFont"/>
    <w:rsid w:val="00A25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BC5"/>
    <w:pPr>
      <w:autoSpaceDE w:val="0"/>
      <w:autoSpaceDN w:val="0"/>
      <w:adjustRightInd w:val="0"/>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64BC5"/>
    <w:pPr>
      <w:autoSpaceDE w:val="0"/>
      <w:autoSpaceDN w:val="0"/>
      <w:adjustRightInd w:val="0"/>
      <w:spacing w:after="0" w:line="240" w:lineRule="auto"/>
      <w:ind w:left="720"/>
    </w:pPr>
    <w:rPr>
      <w:rFonts w:eastAsia="Times New Roman" w:cs="Times New Roman"/>
      <w:szCs w:val="24"/>
    </w:rPr>
  </w:style>
  <w:style w:type="character" w:styleId="Hyperlink">
    <w:name w:val="Hyperlink"/>
    <w:basedOn w:val="DefaultParagraphFont"/>
    <w:rsid w:val="00164BC5"/>
    <w:rPr>
      <w:color w:val="0000FF"/>
      <w:u w:val="single"/>
    </w:rPr>
  </w:style>
  <w:style w:type="paragraph" w:styleId="NoSpacing">
    <w:name w:val="No Spacing"/>
    <w:uiPriority w:val="1"/>
    <w:qFormat/>
    <w:rsid w:val="00164BC5"/>
    <w:pPr>
      <w:spacing w:after="0" w:line="240" w:lineRule="auto"/>
    </w:pPr>
    <w:rPr>
      <w:rFonts w:ascii="Calibri" w:eastAsia="Calibri" w:hAnsi="Calibri" w:cs="Times New Roman"/>
      <w:sz w:val="22"/>
    </w:rPr>
  </w:style>
  <w:style w:type="character" w:styleId="FollowedHyperlink">
    <w:name w:val="FollowedHyperlink"/>
    <w:basedOn w:val="DefaultParagraphFont"/>
    <w:uiPriority w:val="99"/>
    <w:semiHidden/>
    <w:unhideWhenUsed/>
    <w:rsid w:val="00164BC5"/>
    <w:rPr>
      <w:color w:val="800080" w:themeColor="followedHyperlink"/>
      <w:u w:val="single"/>
    </w:rPr>
  </w:style>
  <w:style w:type="paragraph" w:styleId="BalloonText">
    <w:name w:val="Balloon Text"/>
    <w:basedOn w:val="Normal"/>
    <w:link w:val="BalloonTextChar"/>
    <w:uiPriority w:val="99"/>
    <w:semiHidden/>
    <w:unhideWhenUsed/>
    <w:rsid w:val="00164BC5"/>
    <w:rPr>
      <w:rFonts w:ascii="Tahoma" w:hAnsi="Tahoma" w:cs="Tahoma"/>
      <w:sz w:val="16"/>
      <w:szCs w:val="16"/>
    </w:rPr>
  </w:style>
  <w:style w:type="character" w:customStyle="1" w:styleId="BalloonTextChar">
    <w:name w:val="Balloon Text Char"/>
    <w:basedOn w:val="DefaultParagraphFont"/>
    <w:link w:val="BalloonText"/>
    <w:uiPriority w:val="99"/>
    <w:semiHidden/>
    <w:rsid w:val="00164BC5"/>
    <w:rPr>
      <w:rFonts w:ascii="Tahoma" w:eastAsia="Times New Roman" w:hAnsi="Tahoma" w:cs="Tahoma"/>
      <w:sz w:val="16"/>
      <w:szCs w:val="16"/>
    </w:rPr>
  </w:style>
  <w:style w:type="paragraph" w:styleId="Header">
    <w:name w:val="header"/>
    <w:basedOn w:val="Normal"/>
    <w:link w:val="HeaderChar"/>
    <w:uiPriority w:val="99"/>
    <w:unhideWhenUsed/>
    <w:rsid w:val="00C63C09"/>
    <w:pPr>
      <w:tabs>
        <w:tab w:val="center" w:pos="4680"/>
        <w:tab w:val="right" w:pos="9360"/>
      </w:tabs>
    </w:pPr>
  </w:style>
  <w:style w:type="character" w:customStyle="1" w:styleId="HeaderChar">
    <w:name w:val="Header Char"/>
    <w:basedOn w:val="DefaultParagraphFont"/>
    <w:link w:val="Header"/>
    <w:uiPriority w:val="99"/>
    <w:rsid w:val="00C63C09"/>
    <w:rPr>
      <w:rFonts w:eastAsia="Times New Roman" w:cs="Times New Roman"/>
      <w:sz w:val="20"/>
      <w:szCs w:val="20"/>
    </w:rPr>
  </w:style>
  <w:style w:type="paragraph" w:styleId="Footer">
    <w:name w:val="footer"/>
    <w:basedOn w:val="Normal"/>
    <w:link w:val="FooterChar"/>
    <w:uiPriority w:val="99"/>
    <w:unhideWhenUsed/>
    <w:rsid w:val="00C63C09"/>
    <w:pPr>
      <w:tabs>
        <w:tab w:val="center" w:pos="4680"/>
        <w:tab w:val="right" w:pos="9360"/>
      </w:tabs>
    </w:pPr>
  </w:style>
  <w:style w:type="character" w:customStyle="1" w:styleId="FooterChar">
    <w:name w:val="Footer Char"/>
    <w:basedOn w:val="DefaultParagraphFont"/>
    <w:link w:val="Footer"/>
    <w:uiPriority w:val="99"/>
    <w:rsid w:val="00C63C09"/>
    <w:rPr>
      <w:rFonts w:eastAsia="Times New Roman" w:cs="Times New Roman"/>
      <w:sz w:val="20"/>
      <w:szCs w:val="20"/>
    </w:rPr>
  </w:style>
  <w:style w:type="character" w:styleId="CommentReference">
    <w:name w:val="annotation reference"/>
    <w:basedOn w:val="DefaultParagraphFont"/>
    <w:uiPriority w:val="99"/>
    <w:semiHidden/>
    <w:unhideWhenUsed/>
    <w:rsid w:val="005E6835"/>
    <w:rPr>
      <w:sz w:val="16"/>
      <w:szCs w:val="16"/>
    </w:rPr>
  </w:style>
  <w:style w:type="paragraph" w:styleId="CommentText">
    <w:name w:val="annotation text"/>
    <w:basedOn w:val="Normal"/>
    <w:link w:val="CommentTextChar"/>
    <w:uiPriority w:val="99"/>
    <w:unhideWhenUsed/>
    <w:rsid w:val="005E6835"/>
  </w:style>
  <w:style w:type="character" w:customStyle="1" w:styleId="CommentTextChar">
    <w:name w:val="Comment Text Char"/>
    <w:basedOn w:val="DefaultParagraphFont"/>
    <w:link w:val="CommentText"/>
    <w:uiPriority w:val="99"/>
    <w:rsid w:val="005E683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835"/>
    <w:rPr>
      <w:b/>
      <w:bCs/>
    </w:rPr>
  </w:style>
  <w:style w:type="character" w:customStyle="1" w:styleId="CommentSubjectChar">
    <w:name w:val="Comment Subject Char"/>
    <w:basedOn w:val="CommentTextChar"/>
    <w:link w:val="CommentSubject"/>
    <w:uiPriority w:val="99"/>
    <w:semiHidden/>
    <w:rsid w:val="005E6835"/>
    <w:rPr>
      <w:rFonts w:eastAsia="Times New Roman" w:cs="Times New Roman"/>
      <w:b/>
      <w:bCs/>
      <w:sz w:val="20"/>
      <w:szCs w:val="20"/>
    </w:rPr>
  </w:style>
  <w:style w:type="paragraph" w:styleId="ListParagraph">
    <w:name w:val="List Paragraph"/>
    <w:basedOn w:val="Normal"/>
    <w:uiPriority w:val="34"/>
    <w:qFormat/>
    <w:rsid w:val="00D0079A"/>
    <w:pPr>
      <w:ind w:left="720"/>
      <w:contextualSpacing/>
    </w:pPr>
  </w:style>
  <w:style w:type="character" w:customStyle="1" w:styleId="apple-converted-space">
    <w:name w:val="apple-converted-space"/>
    <w:basedOn w:val="DefaultParagraphFont"/>
    <w:rsid w:val="00A2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6136">
      <w:bodyDiv w:val="1"/>
      <w:marLeft w:val="0"/>
      <w:marRight w:val="0"/>
      <w:marTop w:val="0"/>
      <w:marBottom w:val="0"/>
      <w:divBdr>
        <w:top w:val="none" w:sz="0" w:space="0" w:color="auto"/>
        <w:left w:val="none" w:sz="0" w:space="0" w:color="auto"/>
        <w:bottom w:val="none" w:sz="0" w:space="0" w:color="auto"/>
        <w:right w:val="none" w:sz="0" w:space="0" w:color="auto"/>
      </w:divBdr>
    </w:div>
    <w:div w:id="325279190">
      <w:bodyDiv w:val="1"/>
      <w:marLeft w:val="0"/>
      <w:marRight w:val="0"/>
      <w:marTop w:val="0"/>
      <w:marBottom w:val="0"/>
      <w:divBdr>
        <w:top w:val="none" w:sz="0" w:space="0" w:color="auto"/>
        <w:left w:val="none" w:sz="0" w:space="0" w:color="auto"/>
        <w:bottom w:val="none" w:sz="0" w:space="0" w:color="auto"/>
        <w:right w:val="none" w:sz="0" w:space="0" w:color="auto"/>
      </w:divBdr>
    </w:div>
    <w:div w:id="438529821">
      <w:bodyDiv w:val="1"/>
      <w:marLeft w:val="0"/>
      <w:marRight w:val="0"/>
      <w:marTop w:val="0"/>
      <w:marBottom w:val="0"/>
      <w:divBdr>
        <w:top w:val="none" w:sz="0" w:space="0" w:color="auto"/>
        <w:left w:val="none" w:sz="0" w:space="0" w:color="auto"/>
        <w:bottom w:val="none" w:sz="0" w:space="0" w:color="auto"/>
        <w:right w:val="none" w:sz="0" w:space="0" w:color="auto"/>
      </w:divBdr>
    </w:div>
    <w:div w:id="594560918">
      <w:bodyDiv w:val="1"/>
      <w:marLeft w:val="0"/>
      <w:marRight w:val="0"/>
      <w:marTop w:val="0"/>
      <w:marBottom w:val="0"/>
      <w:divBdr>
        <w:top w:val="none" w:sz="0" w:space="0" w:color="auto"/>
        <w:left w:val="none" w:sz="0" w:space="0" w:color="auto"/>
        <w:bottom w:val="none" w:sz="0" w:space="0" w:color="auto"/>
        <w:right w:val="none" w:sz="0" w:space="0" w:color="auto"/>
      </w:divBdr>
    </w:div>
    <w:div w:id="751585314">
      <w:bodyDiv w:val="1"/>
      <w:marLeft w:val="0"/>
      <w:marRight w:val="0"/>
      <w:marTop w:val="0"/>
      <w:marBottom w:val="0"/>
      <w:divBdr>
        <w:top w:val="none" w:sz="0" w:space="0" w:color="auto"/>
        <w:left w:val="none" w:sz="0" w:space="0" w:color="auto"/>
        <w:bottom w:val="none" w:sz="0" w:space="0" w:color="auto"/>
        <w:right w:val="none" w:sz="0" w:space="0" w:color="auto"/>
      </w:divBdr>
    </w:div>
    <w:div w:id="1188249996">
      <w:bodyDiv w:val="1"/>
      <w:marLeft w:val="0"/>
      <w:marRight w:val="0"/>
      <w:marTop w:val="0"/>
      <w:marBottom w:val="0"/>
      <w:divBdr>
        <w:top w:val="none" w:sz="0" w:space="0" w:color="auto"/>
        <w:left w:val="none" w:sz="0" w:space="0" w:color="auto"/>
        <w:bottom w:val="none" w:sz="0" w:space="0" w:color="auto"/>
        <w:right w:val="none" w:sz="0" w:space="0" w:color="auto"/>
      </w:divBdr>
    </w:div>
    <w:div w:id="1196118635">
      <w:bodyDiv w:val="1"/>
      <w:marLeft w:val="0"/>
      <w:marRight w:val="0"/>
      <w:marTop w:val="0"/>
      <w:marBottom w:val="0"/>
      <w:divBdr>
        <w:top w:val="none" w:sz="0" w:space="0" w:color="auto"/>
        <w:left w:val="none" w:sz="0" w:space="0" w:color="auto"/>
        <w:bottom w:val="none" w:sz="0" w:space="0" w:color="auto"/>
        <w:right w:val="none" w:sz="0" w:space="0" w:color="auto"/>
      </w:divBdr>
    </w:div>
    <w:div w:id="1294751386">
      <w:bodyDiv w:val="1"/>
      <w:marLeft w:val="0"/>
      <w:marRight w:val="0"/>
      <w:marTop w:val="0"/>
      <w:marBottom w:val="0"/>
      <w:divBdr>
        <w:top w:val="none" w:sz="0" w:space="0" w:color="auto"/>
        <w:left w:val="none" w:sz="0" w:space="0" w:color="auto"/>
        <w:bottom w:val="none" w:sz="0" w:space="0" w:color="auto"/>
        <w:right w:val="none" w:sz="0" w:space="0" w:color="auto"/>
      </w:divBdr>
    </w:div>
    <w:div w:id="1431311188">
      <w:bodyDiv w:val="1"/>
      <w:marLeft w:val="0"/>
      <w:marRight w:val="0"/>
      <w:marTop w:val="0"/>
      <w:marBottom w:val="0"/>
      <w:divBdr>
        <w:top w:val="none" w:sz="0" w:space="0" w:color="auto"/>
        <w:left w:val="none" w:sz="0" w:space="0" w:color="auto"/>
        <w:bottom w:val="none" w:sz="0" w:space="0" w:color="auto"/>
        <w:right w:val="none" w:sz="0" w:space="0" w:color="auto"/>
      </w:divBdr>
    </w:div>
    <w:div w:id="1687440250">
      <w:bodyDiv w:val="1"/>
      <w:marLeft w:val="0"/>
      <w:marRight w:val="0"/>
      <w:marTop w:val="0"/>
      <w:marBottom w:val="0"/>
      <w:divBdr>
        <w:top w:val="none" w:sz="0" w:space="0" w:color="auto"/>
        <w:left w:val="none" w:sz="0" w:space="0" w:color="auto"/>
        <w:bottom w:val="none" w:sz="0" w:space="0" w:color="auto"/>
        <w:right w:val="none" w:sz="0" w:space="0" w:color="auto"/>
      </w:divBdr>
    </w:div>
    <w:div w:id="1757628937">
      <w:bodyDiv w:val="1"/>
      <w:marLeft w:val="0"/>
      <w:marRight w:val="0"/>
      <w:marTop w:val="0"/>
      <w:marBottom w:val="0"/>
      <w:divBdr>
        <w:top w:val="none" w:sz="0" w:space="0" w:color="auto"/>
        <w:left w:val="none" w:sz="0" w:space="0" w:color="auto"/>
        <w:bottom w:val="none" w:sz="0" w:space="0" w:color="auto"/>
        <w:right w:val="none" w:sz="0" w:space="0" w:color="auto"/>
      </w:divBdr>
    </w:div>
    <w:div w:id="1935242212">
      <w:bodyDiv w:val="1"/>
      <w:marLeft w:val="0"/>
      <w:marRight w:val="0"/>
      <w:marTop w:val="0"/>
      <w:marBottom w:val="0"/>
      <w:divBdr>
        <w:top w:val="none" w:sz="0" w:space="0" w:color="auto"/>
        <w:left w:val="none" w:sz="0" w:space="0" w:color="auto"/>
        <w:bottom w:val="none" w:sz="0" w:space="0" w:color="auto"/>
        <w:right w:val="none" w:sz="0" w:space="0" w:color="auto"/>
      </w:divBdr>
    </w:div>
    <w:div w:id="1956787130">
      <w:bodyDiv w:val="1"/>
      <w:marLeft w:val="0"/>
      <w:marRight w:val="0"/>
      <w:marTop w:val="0"/>
      <w:marBottom w:val="0"/>
      <w:divBdr>
        <w:top w:val="none" w:sz="0" w:space="0" w:color="auto"/>
        <w:left w:val="none" w:sz="0" w:space="0" w:color="auto"/>
        <w:bottom w:val="none" w:sz="0" w:space="0" w:color="auto"/>
        <w:right w:val="none" w:sz="0" w:space="0" w:color="auto"/>
      </w:divBdr>
    </w:div>
    <w:div w:id="1962878926">
      <w:bodyDiv w:val="1"/>
      <w:marLeft w:val="0"/>
      <w:marRight w:val="0"/>
      <w:marTop w:val="0"/>
      <w:marBottom w:val="0"/>
      <w:divBdr>
        <w:top w:val="none" w:sz="0" w:space="0" w:color="auto"/>
        <w:left w:val="none" w:sz="0" w:space="0" w:color="auto"/>
        <w:bottom w:val="none" w:sz="0" w:space="0" w:color="auto"/>
        <w:right w:val="none" w:sz="0" w:space="0" w:color="auto"/>
      </w:divBdr>
    </w:div>
    <w:div w:id="2076051116">
      <w:bodyDiv w:val="1"/>
      <w:marLeft w:val="0"/>
      <w:marRight w:val="0"/>
      <w:marTop w:val="0"/>
      <w:marBottom w:val="0"/>
      <w:divBdr>
        <w:top w:val="none" w:sz="0" w:space="0" w:color="auto"/>
        <w:left w:val="none" w:sz="0" w:space="0" w:color="auto"/>
        <w:bottom w:val="none" w:sz="0" w:space="0" w:color="auto"/>
        <w:right w:val="none" w:sz="0" w:space="0" w:color="auto"/>
      </w:divBdr>
    </w:div>
    <w:div w:id="21408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tsca-import-export-require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tsca-import-export-require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pa.gov/opptintr/chemtest/pubs/sunsettable.html" TargetMode="External"/><Relationship Id="rId4" Type="http://schemas.microsoft.com/office/2007/relationships/stylesWithEffects" Target="stylesWithEffects.xml"/><Relationship Id="rId9" Type="http://schemas.openxmlformats.org/officeDocument/2006/relationships/hyperlink" Target="http://www.epa.gov/oppt/import-export/pubs/12_b_listFinal_08-21-2012.pdf" TargetMode="External"/><Relationship Id="rId14" Type="http://schemas.openxmlformats.org/officeDocument/2006/relationships/hyperlink" Target="http://www.opm.gov/policy-data-oversight/pay-leave/salaries-wages/salary-tables/14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6255-574D-4CDC-8C37-60B39F3B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5736</Words>
  <Characters>32700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SYSTEM</cp:lastModifiedBy>
  <cp:revision>2</cp:revision>
  <cp:lastPrinted>2015-09-11T23:05:00Z</cp:lastPrinted>
  <dcterms:created xsi:type="dcterms:W3CDTF">2017-11-03T16:17:00Z</dcterms:created>
  <dcterms:modified xsi:type="dcterms:W3CDTF">2017-11-03T16:17:00Z</dcterms:modified>
</cp:coreProperties>
</file>