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1D2EC1" w:rsidRDefault="001D2EC1" w:rsidP="001D2EC1">
      <w:pPr>
        <w:widowControl/>
        <w:tabs>
          <w:tab w:val="center" w:pos="5040"/>
        </w:tabs>
        <w:jc w:val="center"/>
      </w:pPr>
      <w:r w:rsidRPr="001D2EC1">
        <w:t>Supporting Statement for</w:t>
      </w:r>
    </w:p>
    <w:p w14:paraId="3DC2D599" w14:textId="77777777" w:rsidR="00912316" w:rsidRPr="00912316" w:rsidRDefault="00912316" w:rsidP="00912316">
      <w:pPr>
        <w:widowControl/>
        <w:tabs>
          <w:tab w:val="center" w:pos="5040"/>
        </w:tabs>
        <w:jc w:val="center"/>
        <w:rPr>
          <w:b/>
          <w:bCs/>
        </w:rPr>
      </w:pPr>
      <w:r>
        <w:rPr>
          <w:b/>
          <w:bCs/>
        </w:rPr>
        <w:t>FERC-923</w:t>
      </w:r>
      <w:r w:rsidR="009D6B6D" w:rsidRPr="001D2EC1">
        <w:rPr>
          <w:b/>
          <w:bCs/>
        </w:rPr>
        <w:t xml:space="preserve">, </w:t>
      </w:r>
      <w:r w:rsidRPr="00912316">
        <w:rPr>
          <w:b/>
          <w:bCs/>
        </w:rPr>
        <w:t xml:space="preserve">Communication of Operational Information </w:t>
      </w:r>
    </w:p>
    <w:p w14:paraId="3443459D" w14:textId="76891F0D" w:rsidR="009D6B6D" w:rsidRPr="001D2EC1" w:rsidRDefault="00912316" w:rsidP="00912316">
      <w:pPr>
        <w:widowControl/>
        <w:tabs>
          <w:tab w:val="center" w:pos="5040"/>
        </w:tabs>
        <w:jc w:val="center"/>
        <w:rPr>
          <w:b/>
        </w:rPr>
      </w:pPr>
      <w:r w:rsidRPr="00912316">
        <w:rPr>
          <w:b/>
          <w:bCs/>
        </w:rPr>
        <w:t>between Natural Gas Pipelines and Electric Transmission Operators</w:t>
      </w:r>
    </w:p>
    <w:p w14:paraId="13D26165" w14:textId="77777777" w:rsidR="009D6B6D" w:rsidRPr="001D2EC1" w:rsidRDefault="009D6B6D" w:rsidP="001D2EC1">
      <w:pPr>
        <w:widowControl/>
        <w:tabs>
          <w:tab w:val="center" w:pos="5040"/>
        </w:tabs>
        <w:jc w:val="center"/>
      </w:pPr>
    </w:p>
    <w:p w14:paraId="7B9BEC05" w14:textId="77777777" w:rsidR="00C2125D" w:rsidRDefault="009D6B6D" w:rsidP="00912316">
      <w:pPr>
        <w:widowControl/>
        <w:tabs>
          <w:tab w:val="center" w:pos="5040"/>
        </w:tabs>
        <w:rPr>
          <w:bCs/>
        </w:rPr>
      </w:pPr>
      <w:r w:rsidRPr="001D2EC1">
        <w:rPr>
          <w:bCs/>
        </w:rPr>
        <w:t xml:space="preserve">The Federal Energy Regulatory Commission (Commission or FERC) requests that the Office of Management and Budget (OMB) review and approve </w:t>
      </w:r>
      <w:r w:rsidR="00912316">
        <w:rPr>
          <w:b/>
          <w:bCs/>
        </w:rPr>
        <w:t>FERC-923</w:t>
      </w:r>
      <w:r w:rsidR="0064706B">
        <w:rPr>
          <w:b/>
          <w:bCs/>
        </w:rPr>
        <w:t xml:space="preserve"> (</w:t>
      </w:r>
      <w:r w:rsidR="00912316" w:rsidRPr="00912316">
        <w:rPr>
          <w:b/>
          <w:bCs/>
        </w:rPr>
        <w:t>Communicat</w:t>
      </w:r>
      <w:r w:rsidR="00912316">
        <w:rPr>
          <w:b/>
          <w:bCs/>
        </w:rPr>
        <w:t xml:space="preserve">ion of Operational Information </w:t>
      </w:r>
      <w:r w:rsidR="00912316" w:rsidRPr="00912316">
        <w:rPr>
          <w:b/>
          <w:bCs/>
        </w:rPr>
        <w:t>between Natural Gas Pipelines and Electric Transmission Operators</w:t>
      </w:r>
      <w:r w:rsidR="00912316">
        <w:rPr>
          <w:b/>
          <w:bCs/>
        </w:rPr>
        <w:t>)</w:t>
      </w:r>
      <w:r w:rsidR="0064706B">
        <w:rPr>
          <w:b/>
          <w:bCs/>
        </w:rPr>
        <w:t xml:space="preserve"> </w:t>
      </w:r>
      <w:r w:rsidR="0035481D" w:rsidRPr="001D2EC1">
        <w:rPr>
          <w:bCs/>
        </w:rPr>
        <w:t>(</w:t>
      </w:r>
      <w:r w:rsidR="00912316">
        <w:rPr>
          <w:bCs/>
        </w:rPr>
        <w:t>OMB Control No. 1902-0265</w:t>
      </w:r>
      <w:r w:rsidR="00E32773" w:rsidRPr="001D2EC1">
        <w:rPr>
          <w:bCs/>
        </w:rPr>
        <w:t>)</w:t>
      </w:r>
      <w:r w:rsidR="005D6791" w:rsidRPr="001D2EC1">
        <w:rPr>
          <w:bCs/>
        </w:rPr>
        <w:t>,</w:t>
      </w:r>
      <w:r w:rsidR="00E32773" w:rsidRPr="001D2EC1">
        <w:rPr>
          <w:bCs/>
        </w:rPr>
        <w:t xml:space="preserve"> for a three-</w:t>
      </w:r>
      <w:r w:rsidRPr="001D2EC1">
        <w:rPr>
          <w:bCs/>
        </w:rPr>
        <w:t xml:space="preserve">year period.  </w:t>
      </w:r>
    </w:p>
    <w:p w14:paraId="3637D488" w14:textId="77777777" w:rsidR="00C2125D" w:rsidRDefault="00C2125D" w:rsidP="00912316">
      <w:pPr>
        <w:widowControl/>
        <w:tabs>
          <w:tab w:val="center" w:pos="5040"/>
        </w:tabs>
        <w:rPr>
          <w:bCs/>
        </w:rPr>
      </w:pPr>
    </w:p>
    <w:p w14:paraId="08EF0C81" w14:textId="27BA6EC2" w:rsidR="009D6B6D" w:rsidRPr="00912316" w:rsidRDefault="0042188F" w:rsidP="00912316">
      <w:pPr>
        <w:widowControl/>
        <w:tabs>
          <w:tab w:val="center" w:pos="5040"/>
        </w:tabs>
        <w:rPr>
          <w:b/>
          <w:bCs/>
        </w:rPr>
      </w:pPr>
      <w:r>
        <w:rPr>
          <w:bCs/>
        </w:rPr>
        <w:t>In Order No. 787, the Commission</w:t>
      </w:r>
      <w:r w:rsidRPr="0042188F">
        <w:rPr>
          <w:bCs/>
        </w:rPr>
        <w:t xml:space="preserve"> amend</w:t>
      </w:r>
      <w:r>
        <w:rPr>
          <w:bCs/>
        </w:rPr>
        <w:t>ed its</w:t>
      </w:r>
      <w:r w:rsidRPr="0042188F">
        <w:rPr>
          <w:bCs/>
        </w:rPr>
        <w:t xml:space="preserve"> regulations to provide explicit authority to interstate natural gas pipelines and public utilities that own, operate, or control facilities</w:t>
      </w:r>
      <w:r>
        <w:rPr>
          <w:bCs/>
        </w:rPr>
        <w:t xml:space="preserve"> </w:t>
      </w:r>
      <w:r w:rsidRPr="0042188F">
        <w:rPr>
          <w:bCs/>
        </w:rPr>
        <w:t>used for the transmission of electric energy in interstate commerce to share non-public,</w:t>
      </w:r>
      <w:r>
        <w:rPr>
          <w:bCs/>
        </w:rPr>
        <w:t xml:space="preserve"> </w:t>
      </w:r>
      <w:r w:rsidRPr="0042188F">
        <w:rPr>
          <w:bCs/>
        </w:rPr>
        <w:t>operational information with each other for the purpose of promoting reliable service or</w:t>
      </w:r>
      <w:r>
        <w:rPr>
          <w:bCs/>
        </w:rPr>
        <w:t xml:space="preserve"> </w:t>
      </w:r>
      <w:r w:rsidRPr="0042188F">
        <w:rPr>
          <w:bCs/>
        </w:rPr>
        <w:t>operational planning on either the public utility’s or pipeline’s system</w:t>
      </w:r>
      <w:r w:rsidR="005C095D">
        <w:rPr>
          <w:bCs/>
        </w:rPr>
        <w:t xml:space="preserve">. </w:t>
      </w:r>
      <w:r w:rsidR="0021208A">
        <w:rPr>
          <w:bCs/>
        </w:rPr>
        <w:t>FERC-</w:t>
      </w:r>
      <w:r w:rsidR="00912316">
        <w:rPr>
          <w:bCs/>
        </w:rPr>
        <w:t>923</w:t>
      </w:r>
      <w:r w:rsidR="007D3EF2">
        <w:t xml:space="preserve"> </w:t>
      </w:r>
      <w:r w:rsidR="00CC615D">
        <w:t xml:space="preserve">is an existing data collection with </w:t>
      </w:r>
      <w:r w:rsidR="009D6B6D" w:rsidRPr="001D2EC1">
        <w:t xml:space="preserve">reporting requirement in 18 Code of Federal Regulations (CFR) </w:t>
      </w:r>
      <w:r w:rsidR="0064706B" w:rsidRPr="00992C1B">
        <w:t xml:space="preserve">Parts </w:t>
      </w:r>
      <w:r w:rsidR="00912316">
        <w:t>284.12 and 38.2.</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55D19C16" w14:textId="72F63762" w:rsidR="00912316" w:rsidRDefault="00912316" w:rsidP="00912316">
      <w:r>
        <w:t>In recent years, reliance on natural gas as a fuel for electric generation has steadily increased.    This trend is expected to continue into the future, resulting in greater interdependence between the natura</w:t>
      </w:r>
      <w:r w:rsidR="00594C60">
        <w:t xml:space="preserve">l gas and electric industries. </w:t>
      </w:r>
      <w:r>
        <w:t xml:space="preserve"> Several events</w:t>
      </w:r>
      <w:r w:rsidR="00B21329">
        <w:t xml:space="preserve"> over the last few years</w:t>
      </w:r>
      <w:r w:rsidR="00B21329" w:rsidRPr="00B21329">
        <w:rPr>
          <w:rStyle w:val="FootnoteReference"/>
          <w:vertAlign w:val="superscript"/>
        </w:rPr>
        <w:footnoteReference w:id="1"/>
      </w:r>
      <w:r w:rsidR="00B21329" w:rsidRPr="00B21329">
        <w:rPr>
          <w:vertAlign w:val="superscript"/>
        </w:rPr>
        <w:t xml:space="preserve"> </w:t>
      </w:r>
      <w:r>
        <w:t>demonstrated the crucial interconnection between natural gas pipelines and electric transmission operators and the need for robust communication between these industry sectors to ensure that both systems operate safely and effectively for th</w:t>
      </w:r>
      <w:r w:rsidR="00594C60">
        <w:t>e benefit of their customers</w:t>
      </w:r>
      <w:r>
        <w:t xml:space="preserve">.  </w:t>
      </w:r>
    </w:p>
    <w:p w14:paraId="655DCB3C" w14:textId="77777777" w:rsidR="00912316" w:rsidRDefault="00912316" w:rsidP="00912316"/>
    <w:p w14:paraId="3F090EFF" w14:textId="69B8E8AF" w:rsidR="00912316" w:rsidRPr="00912316" w:rsidRDefault="00B342A4" w:rsidP="00912316">
      <w:r>
        <w:t>The applicable</w:t>
      </w:r>
      <w:r w:rsidR="00912316" w:rsidRPr="00912316">
        <w:t xml:space="preserve"> regulations are in 18</w:t>
      </w:r>
      <w:r w:rsidR="00912316">
        <w:t xml:space="preserve"> </w:t>
      </w:r>
      <w:r w:rsidR="00912316" w:rsidRPr="00912316">
        <w:t>CFR:</w:t>
      </w:r>
    </w:p>
    <w:p w14:paraId="4841D1BD" w14:textId="31FA05D8" w:rsidR="00912316" w:rsidRPr="00912316" w:rsidRDefault="00B342A4" w:rsidP="00912316">
      <w:pPr>
        <w:pStyle w:val="ListParagraph"/>
        <w:numPr>
          <w:ilvl w:val="0"/>
          <w:numId w:val="11"/>
        </w:numPr>
        <w:rPr>
          <w:rFonts w:ascii="Times New Roman" w:hAnsi="Times New Roman"/>
          <w:sz w:val="24"/>
          <w:szCs w:val="24"/>
        </w:rPr>
      </w:pPr>
      <w:r>
        <w:rPr>
          <w:rFonts w:ascii="Times New Roman" w:hAnsi="Times New Roman"/>
          <w:sz w:val="24"/>
          <w:szCs w:val="24"/>
        </w:rPr>
        <w:t xml:space="preserve">Part </w:t>
      </w:r>
      <w:r w:rsidR="00912316" w:rsidRPr="00912316">
        <w:rPr>
          <w:rFonts w:ascii="Times New Roman" w:hAnsi="Times New Roman"/>
          <w:sz w:val="24"/>
          <w:szCs w:val="24"/>
        </w:rPr>
        <w:t>38.2 which applies to any public utility that owns, operates, or controls facilities used for the transmission of electric energy in interstate commerce subject to a No-Conduit Rule, and</w:t>
      </w:r>
    </w:p>
    <w:p w14:paraId="69442AEA" w14:textId="7AE84A57" w:rsidR="00912316" w:rsidRPr="00912316" w:rsidRDefault="00B342A4" w:rsidP="00912316">
      <w:pPr>
        <w:pStyle w:val="ListParagraph"/>
        <w:numPr>
          <w:ilvl w:val="0"/>
          <w:numId w:val="11"/>
        </w:numPr>
        <w:rPr>
          <w:rFonts w:ascii="Times New Roman" w:hAnsi="Times New Roman"/>
          <w:sz w:val="24"/>
          <w:szCs w:val="24"/>
        </w:rPr>
      </w:pPr>
      <w:r>
        <w:rPr>
          <w:rFonts w:ascii="Times New Roman" w:hAnsi="Times New Roman"/>
          <w:sz w:val="24"/>
          <w:szCs w:val="24"/>
        </w:rPr>
        <w:t xml:space="preserve">Part </w:t>
      </w:r>
      <w:r w:rsidR="007B3A75">
        <w:rPr>
          <w:rFonts w:ascii="Times New Roman" w:hAnsi="Times New Roman"/>
          <w:sz w:val="24"/>
          <w:szCs w:val="24"/>
        </w:rPr>
        <w:t>284.12(b)(4)</w:t>
      </w:r>
      <w:r w:rsidR="00912316" w:rsidRPr="00912316">
        <w:rPr>
          <w:rFonts w:ascii="Times New Roman" w:hAnsi="Times New Roman"/>
          <w:sz w:val="24"/>
          <w:szCs w:val="24"/>
        </w:rPr>
        <w:t xml:space="preserve"> which applies to any interstate pipeline.  </w:t>
      </w:r>
    </w:p>
    <w:p w14:paraId="6231B397" w14:textId="27D04718" w:rsidR="0064706B" w:rsidRPr="00912316" w:rsidRDefault="00912316" w:rsidP="00912316">
      <w:r w:rsidRPr="00912316">
        <w:t>The</w:t>
      </w:r>
      <w:r w:rsidR="00B342A4">
        <w:t>se</w:t>
      </w:r>
      <w:r w:rsidRPr="00912316">
        <w:t xml:space="preserve"> sections</w:t>
      </w:r>
      <w:r w:rsidR="007B3A75">
        <w:t xml:space="preserve"> (Parts 38.2 and 284.12(b)(4)</w:t>
      </w:r>
      <w:r w:rsidR="00E53F82">
        <w:t>)</w:t>
      </w:r>
      <w:r w:rsidR="007B3A75">
        <w:t xml:space="preserve"> </w:t>
      </w:r>
      <w:r w:rsidRPr="00912316">
        <w:t xml:space="preserve">authorize public utilities providing transmission service and interstate natural gas pipelines to share non-public, operational information when such information is for the purpose of promoting reliable </w:t>
      </w:r>
      <w:r w:rsidR="00B342A4">
        <w:t>service or operational planning.</w:t>
      </w:r>
    </w:p>
    <w:p w14:paraId="095CE0E8" w14:textId="77777777" w:rsidR="001F3ADE" w:rsidRPr="00912316"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3FC1AF88" w14:textId="01F05656" w:rsidR="007B3A75" w:rsidRDefault="007B3A75" w:rsidP="007B3A75">
      <w:r>
        <w:t>Note that this non-public information will be communicated and shared between transmission operators and i</w:t>
      </w:r>
      <w:r w:rsidR="004D7445">
        <w:t>s not being submitted to FERC.</w:t>
      </w:r>
    </w:p>
    <w:p w14:paraId="0477BF57" w14:textId="77777777" w:rsidR="007B3A75" w:rsidRDefault="007B3A75" w:rsidP="007B3A75"/>
    <w:p w14:paraId="597CEEF6" w14:textId="54C9815D" w:rsidR="008060D2" w:rsidRPr="00FC04B5" w:rsidRDefault="007B3A75" w:rsidP="007B3A75">
      <w:r>
        <w:t>Entities from both electric and natural gas industries have already begun efforts to improve coordination</w:t>
      </w:r>
      <w:r w:rsidR="00CE4952">
        <w:t xml:space="preserve"> and enhanced system reliability</w:t>
      </w:r>
      <w:r w:rsidR="00711320">
        <w:t xml:space="preserve"> by sharing non-public, operational information</w:t>
      </w:r>
      <w:r>
        <w:t xml:space="preserve"> </w:t>
      </w:r>
      <w:r w:rsidR="00CE4952">
        <w:t xml:space="preserve">and </w:t>
      </w:r>
      <w:r w:rsidR="00CE4952">
        <w:lastRenderedPageBreak/>
        <w:t>continu</w:t>
      </w:r>
      <w:r w:rsidR="00711320">
        <w:t>ed</w:t>
      </w:r>
      <w:r>
        <w:t xml:space="preserve"> sharing of non-public, operational information between transmission operators </w:t>
      </w:r>
      <w:r w:rsidR="00711320">
        <w:t>should</w:t>
      </w:r>
      <w:r>
        <w:t xml:space="preserve"> </w:t>
      </w:r>
      <w:r w:rsidR="00711320">
        <w:t xml:space="preserve">continue to </w:t>
      </w:r>
      <w:r>
        <w:t>enhance system reliability and contingency planning in both industries.  The information sharing and communications between industry entities are voluntary; there are restrictions on providing the non-public information to third parties or marketing entities</w:t>
      </w:r>
      <w:r w:rsidR="008060D2" w:rsidRPr="00AE5B29">
        <w:t xml:space="preserve">.  </w:t>
      </w:r>
    </w:p>
    <w:p w14:paraId="32B2D492" w14:textId="77777777" w:rsidR="00980E8E" w:rsidRPr="00980E8E" w:rsidRDefault="00980E8E" w:rsidP="00980E8E">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3067CD89" w14:textId="057EFEE7" w:rsidR="007B3A75" w:rsidRDefault="00711320" w:rsidP="007B3A75">
      <w:r>
        <w:t xml:space="preserve">In its Order No. 787, </w:t>
      </w:r>
      <w:r w:rsidR="007B3A75">
        <w:t>FERC remov</w:t>
      </w:r>
      <w:r>
        <w:t>ed</w:t>
      </w:r>
      <w:r w:rsidR="007B3A75">
        <w:t xml:space="preserve"> actual or perceived impediments to the information sharing and communications of non-public, operational</w:t>
      </w:r>
      <w:r w:rsidR="004D7445">
        <w:t xml:space="preserve"> data</w:t>
      </w:r>
      <w:r w:rsidR="007B3A75">
        <w:t xml:space="preserve"> between transmission operators.  The permitted communications are voluntary.  FERC is not prescribing the content, medium, format, or frequency for the information sharing and communications; those decisions will be made by the transmission operators, depending on their needs for maintaining reliability or operational planning.  </w:t>
      </w:r>
      <w:r w:rsidR="0042188F">
        <w:t>As such, no physical or electronic</w:t>
      </w:r>
      <w:r w:rsidR="00C2125D">
        <w:t xml:space="preserve"> form for the</w:t>
      </w:r>
      <w:r w:rsidR="0042188F">
        <w:t xml:space="preserve"> FERC-923 </w:t>
      </w:r>
      <w:r w:rsidR="00C2125D">
        <w:t xml:space="preserve">information collection </w:t>
      </w:r>
      <w:r w:rsidR="0042188F">
        <w:t>exists.</w:t>
      </w:r>
    </w:p>
    <w:p w14:paraId="1944DEF5" w14:textId="77777777" w:rsidR="007B3A75" w:rsidRDefault="007B3A75" w:rsidP="007B3A75"/>
    <w:p w14:paraId="1133AECD" w14:textId="77777777" w:rsidR="00042ECE" w:rsidRDefault="00042ECE" w:rsidP="00042ECE"/>
    <w:p w14:paraId="0E702588"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44C363AB" w14:textId="1A3E4050" w:rsidR="00BD4039" w:rsidRDefault="007B3A75" w:rsidP="00042ECE">
      <w:r w:rsidRPr="007B3A75">
        <w:t>The operational information the transmission operators may choose to share is non-public and in many cases current or time-sensitive operational data.  The tariff filings are generally public.  The information is not publicly available elsewhere</w:t>
      </w:r>
      <w:r>
        <w:t>.</w:t>
      </w:r>
    </w:p>
    <w:p w14:paraId="01E02908" w14:textId="77777777" w:rsidR="008060D2" w:rsidRPr="00BD4039" w:rsidRDefault="008060D2"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4F5E6715" w14:textId="77777777" w:rsidR="00B21778" w:rsidRDefault="00B21778" w:rsidP="00B21778"/>
    <w:p w14:paraId="73A56BD0" w14:textId="0E5AA912" w:rsidR="00B21778" w:rsidRDefault="00B21778" w:rsidP="00B21778">
      <w:r>
        <w:t>The information sharing is voluntary (regardless of size) and between transmission operators that believe sharing the non-public, operational information is useful for the purposes of reliability and operational planning.</w:t>
      </w:r>
    </w:p>
    <w:p w14:paraId="2C260CF0" w14:textId="77777777" w:rsidR="00B21778" w:rsidRDefault="00B21778" w:rsidP="00B21778"/>
    <w:p w14:paraId="6A972740" w14:textId="5F19E9F8" w:rsidR="008060D2" w:rsidRPr="00AE5B29" w:rsidRDefault="00B21778" w:rsidP="00B21778">
      <w:r>
        <w:t xml:space="preserve">None of the entities impacted by FERC-923 </w:t>
      </w:r>
      <w:r w:rsidR="004D7445">
        <w:t>are</w:t>
      </w:r>
      <w:r>
        <w:t xml:space="preserve"> “small”</w:t>
      </w:r>
      <w:r w:rsidR="00042ECE">
        <w:t>.</w:t>
      </w:r>
    </w:p>
    <w:p w14:paraId="2329B0A1" w14:textId="77777777" w:rsidR="005240A1" w:rsidRDefault="005240A1" w:rsidP="005240A1">
      <w:pPr>
        <w:pStyle w:val="FERCparanumber"/>
        <w:numPr>
          <w:ilvl w:val="0"/>
          <w:numId w:val="0"/>
        </w:numPr>
        <w:tabs>
          <w:tab w:val="num" w:pos="0"/>
        </w:tabs>
        <w:rPr>
          <w:sz w:val="24"/>
        </w:rPr>
      </w:pPr>
    </w:p>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1F8302FC" w14:textId="77777777" w:rsidR="00B21778" w:rsidRDefault="00B21778" w:rsidP="00B21778">
      <w:r>
        <w:t xml:space="preserve">The frequency and content of the information being shared is not mandated by FERC; rather it is determined by the affected entities based on operational circumstances. (FERC, however, estimates the frequency of this information sharing to be 12 times per year, based on operational circumstances and needs.)  The goal of the inter-industry communications is to promote operational planning and reliability on either the interstate natural gas pipeline’s or utility’s system.  </w:t>
      </w:r>
    </w:p>
    <w:p w14:paraId="00164EA0" w14:textId="77777777" w:rsidR="00B21778" w:rsidRDefault="00B21778" w:rsidP="00B21778"/>
    <w:p w14:paraId="621621A2" w14:textId="1649B414" w:rsidR="00042ECE" w:rsidRPr="00E77B24" w:rsidRDefault="00B21778" w:rsidP="00B21778">
      <w:r>
        <w:lastRenderedPageBreak/>
        <w:t>The requirement to submit the tariff filing to FERC enable</w:t>
      </w:r>
      <w:r w:rsidR="00711320">
        <w:t>d</w:t>
      </w:r>
      <w:r>
        <w:t xml:space="preserve"> the transmission operators to have these inter-industry communications to improve operational planning and reliability on either the interstate natural gas pipeline’s or utility’s system</w:t>
      </w:r>
      <w:r w:rsidR="00042ECE">
        <w:t>.</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9B1F23B" w14:textId="46BAD2DE" w:rsidR="00BB6095" w:rsidRPr="001D2EC1" w:rsidRDefault="009D6E84" w:rsidP="00042ECE">
      <w:r w:rsidRPr="009D6E84">
        <w:t>There are no special circumstances</w:t>
      </w:r>
      <w:r w:rsidR="00CB3EA0" w:rsidRPr="000B2C9D">
        <w:t>.</w:t>
      </w:r>
      <w:r w:rsidR="00BB6095" w:rsidRPr="001D2EC1">
        <w:t xml:space="preserve"> </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2921DAFD" w:rsidR="00BB6095" w:rsidRPr="001D2EC1" w:rsidRDefault="00BB6095" w:rsidP="00BB6095">
      <w:r w:rsidRPr="00E138E1">
        <w:t>In accordance with OMB requirements, the Commission published a 60-day notice</w:t>
      </w:r>
      <w:bookmarkStart w:id="0" w:name="_Ref332712251"/>
      <w:r w:rsidRPr="00E138E1">
        <w:rPr>
          <w:rStyle w:val="FootnoteReference"/>
          <w:vertAlign w:val="superscript"/>
        </w:rPr>
        <w:footnoteReference w:id="2"/>
      </w:r>
      <w:bookmarkEnd w:id="0"/>
      <w:r w:rsidRPr="00E138E1">
        <w:t xml:space="preserve"> and a 30-day notice</w:t>
      </w:r>
      <w:r w:rsidRPr="00E138E1">
        <w:rPr>
          <w:rStyle w:val="FootnoteReference"/>
          <w:vertAlign w:val="superscript"/>
        </w:rPr>
        <w:footnoteReference w:id="3"/>
      </w:r>
      <w:r w:rsidRPr="00E138E1">
        <w:t xml:space="preserve"> to the public regarding this information collection on </w:t>
      </w:r>
      <w:r w:rsidR="009D6E84">
        <w:t>8/16</w:t>
      </w:r>
      <w:r w:rsidR="00CB3EA0">
        <w:t>/</w:t>
      </w:r>
      <w:r w:rsidR="00CB3EA0" w:rsidRPr="00916B2C">
        <w:t>2016</w:t>
      </w:r>
      <w:r w:rsidRPr="00916B2C">
        <w:t xml:space="preserve"> and </w:t>
      </w:r>
      <w:r w:rsidR="00916B2C" w:rsidRPr="00916B2C">
        <w:t>10/24</w:t>
      </w:r>
      <w:r w:rsidR="006C1E96" w:rsidRPr="00916B2C">
        <w:t>/2016</w:t>
      </w:r>
      <w:r w:rsidRPr="00916B2C">
        <w:t>,</w:t>
      </w:r>
      <w:r w:rsidRPr="00E138E1">
        <w:t xml:space="preserve"> respectively. Within the public notice, the Commission noted that it would be requesting a three-year extension of the public reporting burden with no change to the existing requirements concerning the collection of data.  The Commission received no comments.</w:t>
      </w:r>
      <w:r w:rsidRPr="001D2EC1">
        <w:t xml:space="preserve">  </w:t>
      </w:r>
    </w:p>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520716E5" w:rsidR="00BB6095" w:rsidRPr="001D2EC1" w:rsidRDefault="00BB6095" w:rsidP="00BB6095">
      <w:pPr>
        <w:widowControl/>
      </w:pPr>
      <w:r w:rsidRPr="001D2EC1">
        <w:t xml:space="preserve">There are no payments or gifts to respondents </w:t>
      </w:r>
      <w:r w:rsidR="007B025D">
        <w:t>of</w:t>
      </w:r>
      <w:r w:rsidRPr="001D2EC1">
        <w:t xml:space="preserve"> this collection.</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3394BE8E" w14:textId="646CB8E9" w:rsidR="009D6E84" w:rsidRDefault="009D6E84" w:rsidP="009D6E84">
      <w:r>
        <w:t>The sharing of the non-public data occurs between transmission operators; the data are not provided to FERC.  Recipients of the non-public, operational information are subject to a No-Conduit Rule that prohibits subsequent disclosure of that information to a third party or marketing function employee.</w:t>
      </w:r>
    </w:p>
    <w:p w14:paraId="6C5F2194" w14:textId="77777777" w:rsidR="009D6E84" w:rsidRDefault="009D6E84" w:rsidP="009D6E84"/>
    <w:p w14:paraId="6CEF4A13" w14:textId="18981C5C" w:rsidR="00FA5F94" w:rsidRDefault="009D6E84" w:rsidP="009D6E84">
      <w:r>
        <w:t>The tariff filings are generally public information.  Filers may request special treatment under 18 CFR 388.112</w:t>
      </w:r>
      <w:r w:rsidR="00FA5F94" w:rsidRPr="00662AB3">
        <w:t>.</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E017004" w:rsidR="00BB6095" w:rsidRPr="001D2EC1" w:rsidRDefault="00C444C6" w:rsidP="00BB6095">
      <w:pPr>
        <w:widowControl/>
        <w:rPr>
          <w:b/>
        </w:rPr>
      </w:pPr>
      <w:r w:rsidRPr="00C444C6">
        <w:t>The voluntary sharing of the non-public, operational information occurs between transmission operators; the data are not provided to FERC.  The content and frequency of the data being shared is determined by the entities involved based on reliability needs and the operational situation</w:t>
      </w:r>
      <w:r>
        <w:t>.</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1495"/>
        <w:gridCol w:w="1495"/>
        <w:gridCol w:w="1409"/>
        <w:gridCol w:w="1310"/>
        <w:gridCol w:w="1316"/>
        <w:gridCol w:w="1234"/>
      </w:tblGrid>
      <w:tr w:rsidR="00C444C6" w:rsidRPr="00D77538" w14:paraId="55C3568D" w14:textId="77777777" w:rsidTr="00467949">
        <w:trPr>
          <w:cantSplit/>
        </w:trPr>
        <w:tc>
          <w:tcPr>
            <w:tcW w:w="5000" w:type="pct"/>
            <w:gridSpan w:val="7"/>
            <w:tcBorders>
              <w:bottom w:val="single" w:sz="4" w:space="0" w:color="auto"/>
            </w:tcBorders>
            <w:shd w:val="clear" w:color="auto" w:fill="D9D9D9"/>
          </w:tcPr>
          <w:p w14:paraId="1ABCC1A3" w14:textId="77777777" w:rsidR="00C444C6" w:rsidRPr="0077685B" w:rsidRDefault="00C444C6" w:rsidP="00467949">
            <w:pPr>
              <w:tabs>
                <w:tab w:val="left" w:pos="720"/>
              </w:tabs>
              <w:jc w:val="center"/>
              <w:rPr>
                <w:b/>
                <w:sz w:val="20"/>
                <w:szCs w:val="20"/>
              </w:rPr>
            </w:pPr>
            <w:r w:rsidRPr="0077685B">
              <w:rPr>
                <w:b/>
                <w:sz w:val="20"/>
                <w:szCs w:val="20"/>
              </w:rPr>
              <w:t>FERC-923, Communication of Operational Information Between</w:t>
            </w:r>
          </w:p>
          <w:p w14:paraId="565D5644" w14:textId="77777777" w:rsidR="00C444C6" w:rsidRPr="006A60CF" w:rsidRDefault="00C444C6" w:rsidP="00467949">
            <w:pPr>
              <w:jc w:val="center"/>
              <w:rPr>
                <w:rFonts w:eastAsia="Calibri"/>
                <w:b/>
                <w:sz w:val="20"/>
                <w:szCs w:val="20"/>
              </w:rPr>
            </w:pPr>
            <w:r w:rsidRPr="0077685B">
              <w:rPr>
                <w:b/>
                <w:sz w:val="20"/>
                <w:szCs w:val="20"/>
              </w:rPr>
              <w:t>Natural Gas Pipelines and Electric Transmission Operators</w:t>
            </w:r>
          </w:p>
        </w:tc>
      </w:tr>
      <w:tr w:rsidR="00C444C6" w:rsidRPr="00D77538" w14:paraId="6FF53709" w14:textId="77777777" w:rsidTr="00467949">
        <w:trPr>
          <w:cantSplit/>
        </w:trPr>
        <w:tc>
          <w:tcPr>
            <w:tcW w:w="878" w:type="pct"/>
            <w:shd w:val="clear" w:color="auto" w:fill="D9D9D9"/>
          </w:tcPr>
          <w:p w14:paraId="41DC55FC" w14:textId="77777777" w:rsidR="00C444C6" w:rsidRPr="006A60CF" w:rsidRDefault="00C444C6" w:rsidP="00467949">
            <w:pPr>
              <w:jc w:val="center"/>
              <w:rPr>
                <w:rFonts w:eastAsia="Calibri"/>
                <w:b/>
                <w:sz w:val="20"/>
                <w:szCs w:val="20"/>
              </w:rPr>
            </w:pPr>
          </w:p>
        </w:tc>
        <w:tc>
          <w:tcPr>
            <w:tcW w:w="746" w:type="pct"/>
            <w:shd w:val="clear" w:color="auto" w:fill="D9D9D9"/>
            <w:vAlign w:val="bottom"/>
          </w:tcPr>
          <w:p w14:paraId="3CDB7A91" w14:textId="77777777" w:rsidR="00C444C6" w:rsidRPr="006A60CF" w:rsidRDefault="00C444C6" w:rsidP="00467949">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4AF9D43B" w14:textId="77777777" w:rsidR="00C444C6" w:rsidRPr="006A60CF" w:rsidRDefault="00C444C6" w:rsidP="00467949">
            <w:pPr>
              <w:jc w:val="center"/>
              <w:rPr>
                <w:rFonts w:eastAsia="Calibri"/>
                <w:b/>
                <w:sz w:val="20"/>
                <w:szCs w:val="20"/>
              </w:rPr>
            </w:pPr>
            <w:r w:rsidRPr="006A60CF">
              <w:rPr>
                <w:rFonts w:eastAsia="Calibri"/>
                <w:b/>
                <w:sz w:val="20"/>
                <w:szCs w:val="20"/>
              </w:rPr>
              <w:t>Annual Number of Responses per Respondent</w:t>
            </w:r>
          </w:p>
          <w:p w14:paraId="6D4FC72E" w14:textId="77777777" w:rsidR="00C444C6" w:rsidRPr="006A60CF" w:rsidRDefault="00C444C6" w:rsidP="00467949">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28991132" w14:textId="77777777" w:rsidR="00C444C6" w:rsidRPr="006A60CF" w:rsidRDefault="00C444C6" w:rsidP="00467949">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13356AC8" w14:textId="77777777" w:rsidR="00C444C6" w:rsidRPr="006A60CF" w:rsidRDefault="00C444C6" w:rsidP="00467949">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4"/>
            </w:r>
          </w:p>
          <w:p w14:paraId="034E364E" w14:textId="77777777" w:rsidR="00C444C6" w:rsidRPr="006A60CF" w:rsidRDefault="00C444C6" w:rsidP="00467949">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6A85F1ED" w14:textId="77777777" w:rsidR="00C444C6" w:rsidRPr="006A60CF" w:rsidRDefault="00C444C6" w:rsidP="00467949">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2F9EF5A8" w14:textId="77777777" w:rsidR="00C444C6" w:rsidRPr="006A60CF" w:rsidRDefault="00C444C6" w:rsidP="00467949">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0042EF5F" w14:textId="77777777" w:rsidR="00C444C6" w:rsidRPr="006A60CF" w:rsidRDefault="00C444C6" w:rsidP="00467949">
            <w:pPr>
              <w:jc w:val="center"/>
              <w:rPr>
                <w:rFonts w:eastAsia="Calibri"/>
                <w:b/>
                <w:sz w:val="20"/>
                <w:szCs w:val="20"/>
              </w:rPr>
            </w:pPr>
            <w:r w:rsidRPr="006A60CF">
              <w:rPr>
                <w:rFonts w:eastAsia="Calibri"/>
                <w:b/>
                <w:sz w:val="20"/>
                <w:szCs w:val="20"/>
              </w:rPr>
              <w:t>Cost per Respondent</w:t>
            </w:r>
          </w:p>
          <w:p w14:paraId="22E5D1FA" w14:textId="77777777" w:rsidR="00C444C6" w:rsidRPr="006A60CF" w:rsidRDefault="00C444C6" w:rsidP="00467949">
            <w:pPr>
              <w:jc w:val="center"/>
              <w:rPr>
                <w:rFonts w:eastAsia="Calibri"/>
                <w:b/>
                <w:sz w:val="20"/>
                <w:szCs w:val="20"/>
              </w:rPr>
            </w:pPr>
            <w:r w:rsidRPr="006A60CF">
              <w:rPr>
                <w:rFonts w:eastAsia="Calibri"/>
                <w:b/>
                <w:sz w:val="20"/>
                <w:szCs w:val="20"/>
              </w:rPr>
              <w:t xml:space="preserve"> ($)</w:t>
            </w:r>
          </w:p>
          <w:p w14:paraId="65B51BB7" w14:textId="77777777" w:rsidR="00C444C6" w:rsidRPr="006A60CF" w:rsidRDefault="00C444C6" w:rsidP="00467949">
            <w:pPr>
              <w:jc w:val="center"/>
              <w:rPr>
                <w:rFonts w:eastAsia="Calibri"/>
                <w:b/>
                <w:sz w:val="20"/>
                <w:szCs w:val="20"/>
              </w:rPr>
            </w:pPr>
            <w:r w:rsidRPr="006A60CF">
              <w:rPr>
                <w:rFonts w:eastAsia="Calibri"/>
                <w:b/>
                <w:sz w:val="20"/>
                <w:szCs w:val="20"/>
              </w:rPr>
              <w:t>(5)÷(1)</w:t>
            </w:r>
          </w:p>
        </w:tc>
      </w:tr>
      <w:tr w:rsidR="00C444C6" w:rsidRPr="00D77538" w14:paraId="33FAB1FE" w14:textId="77777777" w:rsidTr="00467949">
        <w:trPr>
          <w:cantSplit/>
        </w:trPr>
        <w:tc>
          <w:tcPr>
            <w:tcW w:w="878" w:type="pct"/>
          </w:tcPr>
          <w:p w14:paraId="2D4D4244" w14:textId="77777777" w:rsidR="00C444C6" w:rsidRPr="001E55FA" w:rsidRDefault="00C444C6" w:rsidP="00467949">
            <w:pPr>
              <w:rPr>
                <w:rFonts w:eastAsia="Calibri"/>
                <w:sz w:val="20"/>
                <w:szCs w:val="20"/>
              </w:rPr>
            </w:pPr>
            <w:r w:rsidRPr="001E55FA">
              <w:rPr>
                <w:sz w:val="20"/>
                <w:szCs w:val="20"/>
              </w:rPr>
              <w:t>Public Utility Transmission Operator, communications</w:t>
            </w:r>
          </w:p>
        </w:tc>
        <w:tc>
          <w:tcPr>
            <w:tcW w:w="746" w:type="pct"/>
          </w:tcPr>
          <w:p w14:paraId="07F3F70F" w14:textId="77777777" w:rsidR="00C444C6" w:rsidRPr="00E9559F" w:rsidRDefault="00C444C6" w:rsidP="00467949">
            <w:pPr>
              <w:jc w:val="right"/>
              <w:rPr>
                <w:rFonts w:eastAsia="Calibri"/>
                <w:sz w:val="20"/>
                <w:szCs w:val="20"/>
              </w:rPr>
            </w:pPr>
            <w:r>
              <w:rPr>
                <w:rFonts w:eastAsia="Calibri"/>
                <w:sz w:val="20"/>
                <w:szCs w:val="20"/>
              </w:rPr>
              <w:t>164</w:t>
            </w:r>
            <w:r w:rsidRPr="003E7BE6">
              <w:rPr>
                <w:rStyle w:val="FootnoteReference"/>
                <w:rFonts w:eastAsia="Calibri"/>
                <w:sz w:val="20"/>
                <w:szCs w:val="20"/>
                <w:vertAlign w:val="superscript"/>
              </w:rPr>
              <w:footnoteReference w:id="5"/>
            </w:r>
          </w:p>
          <w:p w14:paraId="3559B173" w14:textId="77777777" w:rsidR="00C444C6" w:rsidRPr="006A60CF" w:rsidRDefault="00C444C6" w:rsidP="00467949">
            <w:pPr>
              <w:jc w:val="right"/>
              <w:rPr>
                <w:rFonts w:eastAsia="Calibri"/>
                <w:sz w:val="20"/>
                <w:szCs w:val="20"/>
              </w:rPr>
            </w:pPr>
          </w:p>
        </w:tc>
        <w:tc>
          <w:tcPr>
            <w:tcW w:w="746" w:type="pct"/>
          </w:tcPr>
          <w:p w14:paraId="4CF948B1" w14:textId="77777777" w:rsidR="00C444C6" w:rsidRPr="006A60CF" w:rsidRDefault="00C444C6" w:rsidP="00467949">
            <w:pPr>
              <w:jc w:val="right"/>
              <w:rPr>
                <w:rFonts w:eastAsia="Calibri"/>
                <w:sz w:val="20"/>
                <w:szCs w:val="20"/>
              </w:rPr>
            </w:pPr>
            <w:r>
              <w:rPr>
                <w:rFonts w:eastAsia="Calibri"/>
                <w:sz w:val="20"/>
                <w:szCs w:val="20"/>
              </w:rPr>
              <w:t>12</w:t>
            </w:r>
          </w:p>
        </w:tc>
        <w:tc>
          <w:tcPr>
            <w:tcW w:w="703" w:type="pct"/>
          </w:tcPr>
          <w:p w14:paraId="126685D2" w14:textId="77777777" w:rsidR="00C444C6" w:rsidRPr="006A60CF" w:rsidRDefault="00C444C6" w:rsidP="00467949">
            <w:pPr>
              <w:jc w:val="right"/>
              <w:rPr>
                <w:rFonts w:eastAsia="Calibri"/>
                <w:sz w:val="20"/>
                <w:szCs w:val="20"/>
              </w:rPr>
            </w:pPr>
            <w:r>
              <w:rPr>
                <w:rFonts w:eastAsia="Calibri"/>
                <w:sz w:val="20"/>
                <w:szCs w:val="20"/>
              </w:rPr>
              <w:t>1,968</w:t>
            </w:r>
          </w:p>
        </w:tc>
        <w:tc>
          <w:tcPr>
            <w:tcW w:w="654" w:type="pct"/>
          </w:tcPr>
          <w:p w14:paraId="022882C3" w14:textId="77777777" w:rsidR="00C444C6" w:rsidRPr="006A60CF" w:rsidRDefault="00C444C6" w:rsidP="00467949">
            <w:pPr>
              <w:jc w:val="right"/>
              <w:rPr>
                <w:rFonts w:eastAsia="Calibri"/>
                <w:sz w:val="20"/>
                <w:szCs w:val="20"/>
              </w:rPr>
            </w:pPr>
            <w:r>
              <w:rPr>
                <w:rFonts w:eastAsia="Calibri"/>
                <w:sz w:val="20"/>
                <w:szCs w:val="20"/>
              </w:rPr>
              <w:t>0.5 hrs.;</w:t>
            </w:r>
          </w:p>
          <w:p w14:paraId="672D3287" w14:textId="77777777" w:rsidR="00C444C6" w:rsidRPr="006A60CF" w:rsidRDefault="00C444C6" w:rsidP="00467949">
            <w:pPr>
              <w:jc w:val="right"/>
              <w:rPr>
                <w:rFonts w:eastAsia="Calibri"/>
                <w:sz w:val="20"/>
                <w:szCs w:val="20"/>
              </w:rPr>
            </w:pPr>
            <w:r>
              <w:rPr>
                <w:rFonts w:eastAsia="Calibri"/>
                <w:sz w:val="20"/>
                <w:szCs w:val="20"/>
              </w:rPr>
              <w:t>$37.25</w:t>
            </w:r>
          </w:p>
        </w:tc>
        <w:tc>
          <w:tcPr>
            <w:tcW w:w="657" w:type="pct"/>
          </w:tcPr>
          <w:p w14:paraId="4BF84E05" w14:textId="77777777" w:rsidR="00C444C6" w:rsidRPr="006A60CF" w:rsidRDefault="00C444C6" w:rsidP="00467949">
            <w:pPr>
              <w:jc w:val="right"/>
              <w:rPr>
                <w:rFonts w:eastAsia="Calibri"/>
                <w:sz w:val="20"/>
                <w:szCs w:val="20"/>
              </w:rPr>
            </w:pPr>
            <w:r>
              <w:rPr>
                <w:rFonts w:eastAsia="Calibri"/>
                <w:sz w:val="20"/>
                <w:szCs w:val="20"/>
              </w:rPr>
              <w:t xml:space="preserve"> 984 hrs.;</w:t>
            </w:r>
          </w:p>
          <w:p w14:paraId="0FD5F2A8" w14:textId="77777777" w:rsidR="00C444C6" w:rsidRPr="006A60CF" w:rsidRDefault="00C444C6" w:rsidP="00467949">
            <w:pPr>
              <w:jc w:val="right"/>
              <w:rPr>
                <w:rFonts w:eastAsia="Calibri"/>
                <w:sz w:val="20"/>
                <w:szCs w:val="20"/>
              </w:rPr>
            </w:pPr>
            <w:r>
              <w:rPr>
                <w:rFonts w:eastAsia="Calibri"/>
                <w:sz w:val="20"/>
                <w:szCs w:val="20"/>
              </w:rPr>
              <w:t>$73,308</w:t>
            </w:r>
            <w:r w:rsidRPr="006A60CF">
              <w:rPr>
                <w:rFonts w:eastAsia="Calibri"/>
                <w:sz w:val="20"/>
                <w:szCs w:val="20"/>
              </w:rPr>
              <w:t xml:space="preserve"> </w:t>
            </w:r>
          </w:p>
        </w:tc>
        <w:tc>
          <w:tcPr>
            <w:tcW w:w="616" w:type="pct"/>
          </w:tcPr>
          <w:p w14:paraId="1DCACC88" w14:textId="77777777" w:rsidR="00C444C6" w:rsidRPr="006A60CF" w:rsidRDefault="00C444C6" w:rsidP="00467949">
            <w:pPr>
              <w:jc w:val="right"/>
              <w:rPr>
                <w:rFonts w:eastAsia="Calibri"/>
                <w:sz w:val="20"/>
                <w:szCs w:val="20"/>
              </w:rPr>
            </w:pPr>
            <w:r>
              <w:rPr>
                <w:rFonts w:eastAsia="Calibri"/>
                <w:sz w:val="20"/>
                <w:szCs w:val="20"/>
              </w:rPr>
              <w:t>$447</w:t>
            </w:r>
            <w:r w:rsidRPr="006A60CF">
              <w:rPr>
                <w:rFonts w:eastAsia="Calibri"/>
                <w:sz w:val="20"/>
                <w:szCs w:val="20"/>
              </w:rPr>
              <w:t xml:space="preserve"> </w:t>
            </w:r>
          </w:p>
          <w:p w14:paraId="08154B69" w14:textId="77777777" w:rsidR="00C444C6" w:rsidRPr="006A60CF" w:rsidRDefault="00C444C6" w:rsidP="00467949">
            <w:pPr>
              <w:jc w:val="right"/>
              <w:rPr>
                <w:rFonts w:eastAsia="Calibri"/>
                <w:sz w:val="20"/>
                <w:szCs w:val="20"/>
              </w:rPr>
            </w:pPr>
          </w:p>
        </w:tc>
      </w:tr>
      <w:tr w:rsidR="00C444C6" w:rsidRPr="00D77538" w14:paraId="58BC1C5A" w14:textId="77777777" w:rsidTr="00467949">
        <w:trPr>
          <w:cantSplit/>
        </w:trPr>
        <w:tc>
          <w:tcPr>
            <w:tcW w:w="878" w:type="pct"/>
          </w:tcPr>
          <w:p w14:paraId="338B359D" w14:textId="77777777" w:rsidR="00C444C6" w:rsidRPr="001E55FA" w:rsidRDefault="00C444C6" w:rsidP="00467949">
            <w:pPr>
              <w:rPr>
                <w:rFonts w:eastAsia="Calibri"/>
                <w:sz w:val="20"/>
                <w:szCs w:val="20"/>
              </w:rPr>
            </w:pPr>
            <w:r w:rsidRPr="001E55FA">
              <w:rPr>
                <w:sz w:val="20"/>
                <w:szCs w:val="20"/>
              </w:rPr>
              <w:t>Interstate Natural Gas Pipelines, communications</w:t>
            </w:r>
          </w:p>
        </w:tc>
        <w:tc>
          <w:tcPr>
            <w:tcW w:w="746" w:type="pct"/>
          </w:tcPr>
          <w:p w14:paraId="7E94A7CA" w14:textId="77777777" w:rsidR="00C444C6" w:rsidRDefault="00C444C6" w:rsidP="00467949">
            <w:pPr>
              <w:jc w:val="right"/>
              <w:rPr>
                <w:rFonts w:eastAsia="Calibri"/>
                <w:sz w:val="20"/>
                <w:szCs w:val="20"/>
              </w:rPr>
            </w:pPr>
            <w:r>
              <w:rPr>
                <w:rFonts w:eastAsia="Calibri"/>
                <w:sz w:val="20"/>
                <w:szCs w:val="20"/>
              </w:rPr>
              <w:t>155</w:t>
            </w:r>
          </w:p>
        </w:tc>
        <w:tc>
          <w:tcPr>
            <w:tcW w:w="746" w:type="pct"/>
          </w:tcPr>
          <w:p w14:paraId="27F5F5D5" w14:textId="77777777" w:rsidR="00C444C6" w:rsidRDefault="00C444C6" w:rsidP="00467949">
            <w:pPr>
              <w:jc w:val="right"/>
              <w:rPr>
                <w:rFonts w:eastAsia="Calibri"/>
                <w:sz w:val="20"/>
                <w:szCs w:val="20"/>
              </w:rPr>
            </w:pPr>
            <w:r>
              <w:rPr>
                <w:rFonts w:eastAsia="Calibri"/>
                <w:sz w:val="20"/>
                <w:szCs w:val="20"/>
              </w:rPr>
              <w:t>12</w:t>
            </w:r>
          </w:p>
        </w:tc>
        <w:tc>
          <w:tcPr>
            <w:tcW w:w="703" w:type="pct"/>
          </w:tcPr>
          <w:p w14:paraId="21E4B330" w14:textId="77777777" w:rsidR="00C444C6" w:rsidRDefault="00C444C6" w:rsidP="00467949">
            <w:pPr>
              <w:jc w:val="right"/>
              <w:rPr>
                <w:rFonts w:eastAsia="Calibri"/>
                <w:sz w:val="20"/>
                <w:szCs w:val="20"/>
              </w:rPr>
            </w:pPr>
            <w:r>
              <w:rPr>
                <w:rFonts w:eastAsia="Calibri"/>
                <w:sz w:val="20"/>
                <w:szCs w:val="20"/>
              </w:rPr>
              <w:t>1,860</w:t>
            </w:r>
          </w:p>
        </w:tc>
        <w:tc>
          <w:tcPr>
            <w:tcW w:w="654" w:type="pct"/>
          </w:tcPr>
          <w:p w14:paraId="5DBB04DD" w14:textId="77777777" w:rsidR="00C444C6" w:rsidRDefault="00C444C6" w:rsidP="00467949">
            <w:pPr>
              <w:jc w:val="right"/>
              <w:rPr>
                <w:rFonts w:eastAsia="Calibri"/>
                <w:sz w:val="20"/>
                <w:szCs w:val="20"/>
              </w:rPr>
            </w:pPr>
            <w:r>
              <w:rPr>
                <w:rFonts w:eastAsia="Calibri"/>
                <w:sz w:val="20"/>
                <w:szCs w:val="20"/>
              </w:rPr>
              <w:t>0.5 hrs.;</w:t>
            </w:r>
          </w:p>
          <w:p w14:paraId="6AB6769D" w14:textId="77777777" w:rsidR="00C444C6" w:rsidRDefault="00C444C6" w:rsidP="00467949">
            <w:pPr>
              <w:jc w:val="right"/>
              <w:rPr>
                <w:rFonts w:eastAsia="Calibri"/>
                <w:sz w:val="20"/>
                <w:szCs w:val="20"/>
              </w:rPr>
            </w:pPr>
            <w:r>
              <w:rPr>
                <w:rFonts w:eastAsia="Calibri"/>
                <w:sz w:val="20"/>
                <w:szCs w:val="20"/>
              </w:rPr>
              <w:t>$37.25</w:t>
            </w:r>
          </w:p>
        </w:tc>
        <w:tc>
          <w:tcPr>
            <w:tcW w:w="657" w:type="pct"/>
          </w:tcPr>
          <w:p w14:paraId="74F14730" w14:textId="77777777" w:rsidR="00C444C6" w:rsidRDefault="00C444C6" w:rsidP="00467949">
            <w:pPr>
              <w:jc w:val="right"/>
              <w:rPr>
                <w:rFonts w:eastAsia="Calibri"/>
                <w:sz w:val="20"/>
                <w:szCs w:val="20"/>
              </w:rPr>
            </w:pPr>
            <w:r>
              <w:rPr>
                <w:rFonts w:eastAsia="Calibri"/>
                <w:sz w:val="20"/>
                <w:szCs w:val="20"/>
              </w:rPr>
              <w:t>930 hrs.;</w:t>
            </w:r>
          </w:p>
          <w:p w14:paraId="6744FAB1" w14:textId="77777777" w:rsidR="00C444C6" w:rsidRDefault="00C444C6" w:rsidP="00467949">
            <w:pPr>
              <w:jc w:val="right"/>
              <w:rPr>
                <w:rFonts w:eastAsia="Calibri"/>
                <w:sz w:val="20"/>
                <w:szCs w:val="20"/>
              </w:rPr>
            </w:pPr>
            <w:r>
              <w:rPr>
                <w:rFonts w:eastAsia="Calibri"/>
                <w:sz w:val="20"/>
                <w:szCs w:val="20"/>
              </w:rPr>
              <w:t>$69,285</w:t>
            </w:r>
          </w:p>
        </w:tc>
        <w:tc>
          <w:tcPr>
            <w:tcW w:w="616" w:type="pct"/>
          </w:tcPr>
          <w:p w14:paraId="5C5234B0" w14:textId="77777777" w:rsidR="00C444C6" w:rsidRDefault="00C444C6" w:rsidP="00467949">
            <w:pPr>
              <w:jc w:val="right"/>
              <w:rPr>
                <w:rFonts w:eastAsia="Calibri"/>
                <w:sz w:val="20"/>
                <w:szCs w:val="20"/>
              </w:rPr>
            </w:pPr>
            <w:r>
              <w:rPr>
                <w:rFonts w:eastAsia="Calibri"/>
                <w:sz w:val="20"/>
                <w:szCs w:val="20"/>
              </w:rPr>
              <w:t>$447</w:t>
            </w:r>
          </w:p>
        </w:tc>
      </w:tr>
      <w:tr w:rsidR="00C444C6" w:rsidRPr="00D77538" w14:paraId="19C3586C" w14:textId="77777777" w:rsidTr="00467949">
        <w:trPr>
          <w:cantSplit/>
        </w:trPr>
        <w:tc>
          <w:tcPr>
            <w:tcW w:w="878" w:type="pct"/>
          </w:tcPr>
          <w:p w14:paraId="43988F6C" w14:textId="77777777" w:rsidR="00C444C6" w:rsidRPr="00C17B12" w:rsidRDefault="00C444C6" w:rsidP="00467949">
            <w:pPr>
              <w:rPr>
                <w:b/>
                <w:sz w:val="20"/>
                <w:szCs w:val="20"/>
              </w:rPr>
            </w:pPr>
            <w:r w:rsidRPr="00C17B12">
              <w:rPr>
                <w:b/>
                <w:sz w:val="20"/>
                <w:szCs w:val="20"/>
              </w:rPr>
              <w:t>TOTAL</w:t>
            </w:r>
          </w:p>
        </w:tc>
        <w:tc>
          <w:tcPr>
            <w:tcW w:w="1492" w:type="pct"/>
            <w:gridSpan w:val="2"/>
            <w:shd w:val="clear" w:color="auto" w:fill="D9D9D9"/>
          </w:tcPr>
          <w:p w14:paraId="4EC2FD32" w14:textId="77777777" w:rsidR="00C444C6" w:rsidRDefault="00C444C6" w:rsidP="00467949">
            <w:pPr>
              <w:jc w:val="right"/>
              <w:rPr>
                <w:rFonts w:eastAsia="Calibri"/>
                <w:sz w:val="20"/>
                <w:szCs w:val="20"/>
              </w:rPr>
            </w:pPr>
          </w:p>
        </w:tc>
        <w:tc>
          <w:tcPr>
            <w:tcW w:w="703" w:type="pct"/>
          </w:tcPr>
          <w:p w14:paraId="297854A3" w14:textId="77777777" w:rsidR="00C444C6" w:rsidRDefault="00C444C6" w:rsidP="00467949">
            <w:pPr>
              <w:jc w:val="right"/>
              <w:rPr>
                <w:rFonts w:eastAsia="Calibri"/>
                <w:sz w:val="20"/>
                <w:szCs w:val="20"/>
              </w:rPr>
            </w:pPr>
            <w:r>
              <w:rPr>
                <w:rFonts w:eastAsia="Calibri"/>
                <w:sz w:val="20"/>
                <w:szCs w:val="20"/>
              </w:rPr>
              <w:t>3,828</w:t>
            </w:r>
          </w:p>
        </w:tc>
        <w:tc>
          <w:tcPr>
            <w:tcW w:w="654" w:type="pct"/>
            <w:shd w:val="clear" w:color="auto" w:fill="D9D9D9"/>
          </w:tcPr>
          <w:p w14:paraId="0853B328" w14:textId="77777777" w:rsidR="00C444C6" w:rsidRDefault="00C444C6" w:rsidP="00467949">
            <w:pPr>
              <w:jc w:val="right"/>
              <w:rPr>
                <w:rFonts w:eastAsia="Calibri"/>
                <w:sz w:val="20"/>
                <w:szCs w:val="20"/>
              </w:rPr>
            </w:pPr>
          </w:p>
        </w:tc>
        <w:tc>
          <w:tcPr>
            <w:tcW w:w="657" w:type="pct"/>
          </w:tcPr>
          <w:p w14:paraId="0E0CB304" w14:textId="77777777" w:rsidR="00C444C6" w:rsidRDefault="00C444C6" w:rsidP="00467949">
            <w:pPr>
              <w:jc w:val="right"/>
              <w:rPr>
                <w:rFonts w:eastAsia="Calibri"/>
                <w:sz w:val="20"/>
                <w:szCs w:val="20"/>
              </w:rPr>
            </w:pPr>
            <w:r>
              <w:rPr>
                <w:rFonts w:eastAsia="Calibri"/>
                <w:sz w:val="20"/>
                <w:szCs w:val="20"/>
              </w:rPr>
              <w:t>1,914 hrs.;</w:t>
            </w:r>
          </w:p>
          <w:p w14:paraId="183C5DBF" w14:textId="77777777" w:rsidR="00C444C6" w:rsidRDefault="00C444C6" w:rsidP="00467949">
            <w:pPr>
              <w:jc w:val="right"/>
              <w:rPr>
                <w:rFonts w:eastAsia="Calibri"/>
                <w:sz w:val="20"/>
                <w:szCs w:val="20"/>
              </w:rPr>
            </w:pPr>
            <w:r>
              <w:rPr>
                <w:rFonts w:eastAsia="Calibri"/>
                <w:sz w:val="20"/>
                <w:szCs w:val="20"/>
              </w:rPr>
              <w:t>$142,593</w:t>
            </w:r>
          </w:p>
        </w:tc>
        <w:tc>
          <w:tcPr>
            <w:tcW w:w="616" w:type="pct"/>
            <w:shd w:val="clear" w:color="auto" w:fill="D9D9D9"/>
          </w:tcPr>
          <w:p w14:paraId="5EE53231" w14:textId="77777777" w:rsidR="00C444C6" w:rsidRDefault="00C444C6" w:rsidP="00467949">
            <w:pPr>
              <w:jc w:val="right"/>
              <w:rPr>
                <w:rFonts w:eastAsia="Calibri"/>
                <w:sz w:val="20"/>
                <w:szCs w:val="20"/>
              </w:rPr>
            </w:pPr>
          </w:p>
        </w:tc>
      </w:tr>
    </w:tbl>
    <w:p w14:paraId="1C3AB85B" w14:textId="77777777" w:rsidR="00BB6095" w:rsidRPr="00BB6095" w:rsidRDefault="00BB6095"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6C55F3AE" w14:textId="77777777" w:rsidTr="00D97B44">
        <w:tc>
          <w:tcPr>
            <w:tcW w:w="1756" w:type="pct"/>
            <w:shd w:val="clear" w:color="auto" w:fill="D9D9D9"/>
            <w:vAlign w:val="center"/>
          </w:tcPr>
          <w:p w14:paraId="420D71F3" w14:textId="77777777" w:rsidR="00EF40FF" w:rsidRPr="001D2EC1"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6"/>
            </w:r>
          </w:p>
        </w:tc>
        <w:tc>
          <w:tcPr>
            <w:tcW w:w="1627" w:type="pct"/>
            <w:shd w:val="clear" w:color="auto" w:fill="auto"/>
            <w:vAlign w:val="center"/>
          </w:tcPr>
          <w:p w14:paraId="169BBF54" w14:textId="246575FC" w:rsidR="00EF40FF" w:rsidRPr="001D2EC1" w:rsidRDefault="00A9510B"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0.15</w:t>
            </w:r>
          </w:p>
        </w:tc>
        <w:tc>
          <w:tcPr>
            <w:tcW w:w="1617" w:type="pct"/>
            <w:shd w:val="clear" w:color="auto" w:fill="auto"/>
            <w:vAlign w:val="center"/>
          </w:tcPr>
          <w:p w14:paraId="7007B84E" w14:textId="7E38A35A" w:rsidR="00EF40FF" w:rsidRPr="001D2EC1" w:rsidRDefault="006B0369"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3E7BE6">
              <w:rPr>
                <w:rFonts w:ascii="Times New Roman" w:hAnsi="Times New Roman"/>
                <w:sz w:val="24"/>
                <w:szCs w:val="24"/>
              </w:rPr>
              <w:t>23,198</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7"/>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8"/>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675225F8" w:rsidR="00EF40FF" w:rsidRPr="001D2EC1" w:rsidRDefault="006441AD"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5DDF9E04" w:rsidR="00EF40FF" w:rsidRPr="001D2EC1" w:rsidRDefault="00714117"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3E7BE6">
              <w:rPr>
                <w:rFonts w:ascii="Times New Roman" w:hAnsi="Times New Roman"/>
                <w:sz w:val="24"/>
                <w:szCs w:val="24"/>
              </w:rPr>
              <w:t>28,679</w:t>
            </w:r>
          </w:p>
        </w:tc>
      </w:tr>
    </w:tbl>
    <w:p w14:paraId="6E71933C" w14:textId="77777777" w:rsidR="00EF40FF" w:rsidRPr="001D2EC1" w:rsidRDefault="00EF40FF"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 xml:space="preserve">The Commission bases its estimate of the “Analysis and Processing of Filings” cost to the Federal Government on salaries and benefits for professional and clerical support.  This </w:t>
      </w:r>
      <w:r w:rsidRPr="001D2EC1">
        <w:lastRenderedPageBreak/>
        <w:t>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06192D7C" w14:textId="503E279E" w:rsidR="00545B62" w:rsidRDefault="00E56439" w:rsidP="001D1355">
      <w:r>
        <w:t xml:space="preserve">The Commission </w:t>
      </w:r>
      <w:r w:rsidR="001D1355">
        <w:t xml:space="preserve">is </w:t>
      </w:r>
      <w:r w:rsidR="00E53F82">
        <w:t>making slight modifications to</w:t>
      </w:r>
      <w:r w:rsidR="00AE5792">
        <w:t xml:space="preserve"> the reporting burden for the FERC-923 information collecti</w:t>
      </w:r>
      <w:r w:rsidR="006E10EF">
        <w:t>on.  .</w:t>
      </w:r>
    </w:p>
    <w:p w14:paraId="0C6CB827" w14:textId="77777777" w:rsidR="00CF35FE" w:rsidRDefault="00CF35FE" w:rsidP="001D1355"/>
    <w:p w14:paraId="137E7775" w14:textId="77777777" w:rsidR="00CF35FE" w:rsidRDefault="00CF35FE" w:rsidP="001D1355"/>
    <w:p w14:paraId="69C82DD1" w14:textId="743296E8" w:rsidR="00CF35FE" w:rsidRPr="00577C40" w:rsidRDefault="00CF35FE" w:rsidP="001D1355">
      <w:pPr>
        <w:rPr>
          <w:b/>
        </w:rPr>
      </w:pPr>
      <w:r w:rsidRPr="00577C40">
        <w:rPr>
          <w:b/>
        </w:rPr>
        <w:t>Changes due to Agency Discretion:</w:t>
      </w:r>
    </w:p>
    <w:p w14:paraId="338870E9" w14:textId="2AD57D17" w:rsidR="00F21B1A" w:rsidRDefault="005026BF" w:rsidP="001D1355">
      <w:r>
        <w:t xml:space="preserve">Burden associated with tariff changes is no longer included in the burden associated with FERC-923 because tariff changes, if </w:t>
      </w:r>
      <w:r w:rsidR="00CE4952">
        <w:t>needed</w:t>
      </w:r>
      <w:r>
        <w:t xml:space="preserve">, were completed during </w:t>
      </w:r>
      <w:r w:rsidR="00F21B1A">
        <w:t xml:space="preserve">the initial implementation of </w:t>
      </w:r>
      <w:r w:rsidR="00CE4952">
        <w:t xml:space="preserve">Order No. 787 </w:t>
      </w:r>
      <w:r w:rsidR="00F21B1A">
        <w:t>information sharing and communications between entities</w:t>
      </w:r>
      <w:r w:rsidR="00F21B1A" w:rsidRPr="008A38D0">
        <w:rPr>
          <w:rStyle w:val="FootnoteReference"/>
          <w:vertAlign w:val="superscript"/>
        </w:rPr>
        <w:footnoteReference w:id="9"/>
      </w:r>
      <w:bookmarkStart w:id="1" w:name="_GoBack"/>
      <w:bookmarkEnd w:id="1"/>
      <w:r w:rsidR="004D7445">
        <w:t xml:space="preserve">.  </w:t>
      </w:r>
      <w:r w:rsidR="00F63BBE">
        <w:t>(</w:t>
      </w:r>
      <w:r w:rsidR="004D7445">
        <w:t xml:space="preserve">The remaining burden is associated only with </w:t>
      </w:r>
      <w:r w:rsidR="00F63BBE">
        <w:t xml:space="preserve">ongoing </w:t>
      </w:r>
      <w:r w:rsidR="004D7445">
        <w:t>non-public information sharing between respondent entities.</w:t>
      </w:r>
      <w:r w:rsidR="00F63BBE">
        <w:t>)</w:t>
      </w:r>
    </w:p>
    <w:p w14:paraId="5F724CFF" w14:textId="77777777" w:rsidR="00F63BBE" w:rsidRDefault="00F63BBE" w:rsidP="00F63BBE">
      <w:pPr>
        <w:rPr>
          <w:b/>
        </w:rPr>
      </w:pPr>
    </w:p>
    <w:p w14:paraId="1E5F5006" w14:textId="77777777" w:rsidR="00F63BBE" w:rsidRPr="005429AA" w:rsidRDefault="00F63BBE" w:rsidP="00F63BBE">
      <w:pPr>
        <w:rPr>
          <w:b/>
        </w:rPr>
      </w:pPr>
      <w:r w:rsidRPr="005429AA">
        <w:rPr>
          <w:b/>
        </w:rPr>
        <w:t>Changes due to Adjustment in Estimate:</w:t>
      </w:r>
    </w:p>
    <w:p w14:paraId="498DC95A" w14:textId="58129AFC" w:rsidR="00F63BBE" w:rsidRDefault="00F63BBE" w:rsidP="00F63BBE">
      <w:r>
        <w:t>The increase in responses is due to an expected increase in the number of respondents over the next three year clearance period.  The increase in respondents is due to normal market fluctuation</w:t>
      </w:r>
      <w:r>
        <w:t xml:space="preserve"> (e.g., merging or splitting, or entering or exiting the market) </w:t>
      </w:r>
      <w:r>
        <w:t>. It is not a result of any program change or change in reporting/recordkeeping requirements.</w:t>
      </w:r>
    </w:p>
    <w:p w14:paraId="3BE8EB7C" w14:textId="77777777" w:rsidR="008A38D0" w:rsidRDefault="008A38D0" w:rsidP="001D1355"/>
    <w:p w14:paraId="713F7250" w14:textId="73EC5441" w:rsidR="008A38D0" w:rsidRDefault="00CF35FE" w:rsidP="001D1355">
      <w:r>
        <w:t xml:space="preserve">Overall, </w:t>
      </w:r>
      <w:r w:rsidR="008A38D0">
        <w:t>he</w:t>
      </w:r>
      <w:r>
        <w:t xml:space="preserve"> aforementioned </w:t>
      </w:r>
      <w:r w:rsidR="008A38D0">
        <w:t>changes</w:t>
      </w:r>
      <w:r w:rsidR="000F2C6C">
        <w:t xml:space="preserve"> (the removal of burden associated with tariff filing</w:t>
      </w:r>
      <w:r w:rsidR="000D00F6">
        <w:t>s</w:t>
      </w:r>
      <w:r w:rsidR="000F2C6C">
        <w:t xml:space="preserve"> and the small increase in the number of respondents involved in information sharing)</w:t>
      </w:r>
      <w:r w:rsidR="008A38D0">
        <w:t xml:space="preserve"> result in a slight increase in responses and a slight reduction in total annual burden.</w:t>
      </w:r>
    </w:p>
    <w:p w14:paraId="37F0AF8F" w14:textId="77777777" w:rsidR="00F9384F" w:rsidRDefault="00F9384F" w:rsidP="00EF40FF">
      <w:pPr>
        <w:widowControl/>
      </w:pPr>
    </w:p>
    <w:p w14:paraId="0EF2A067" w14:textId="48B6D972" w:rsidR="00545B62" w:rsidRPr="00545B62" w:rsidRDefault="00545B62" w:rsidP="00545B62">
      <w:pPr>
        <w:rPr>
          <w:szCs w:val="26"/>
        </w:rPr>
      </w:pPr>
      <w:r>
        <w:rPr>
          <w:szCs w:val="26"/>
        </w:rPr>
        <w:t xml:space="preserve">The following table shows the </w:t>
      </w:r>
      <w:r w:rsidR="00607DF1">
        <w:rPr>
          <w:szCs w:val="26"/>
        </w:rPr>
        <w:t xml:space="preserve">annual </w:t>
      </w:r>
      <w:r>
        <w:rPr>
          <w:szCs w:val="26"/>
        </w:rPr>
        <w:t>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46C4A5B4" w14:textId="77777777" w:rsidTr="00D97B44">
        <w:trPr>
          <w:trHeight w:val="870"/>
        </w:trPr>
        <w:tc>
          <w:tcPr>
            <w:tcW w:w="1442" w:type="pct"/>
            <w:shd w:val="clear" w:color="auto" w:fill="D9D9D9"/>
            <w:vAlign w:val="bottom"/>
          </w:tcPr>
          <w:p w14:paraId="5E6F18B9" w14:textId="2095B242" w:rsidR="00EF40FF" w:rsidRPr="001D2EC1" w:rsidRDefault="001D1355" w:rsidP="00D97B44">
            <w:pPr>
              <w:jc w:val="center"/>
              <w:rPr>
                <w:b/>
              </w:rPr>
            </w:pPr>
            <w:r>
              <w:rPr>
                <w:b/>
              </w:rPr>
              <w:t>F</w:t>
            </w:r>
            <w:r w:rsidR="003E7BE6">
              <w:rPr>
                <w:b/>
              </w:rPr>
              <w:t>ERC-923</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3CABB50E" w:rsidR="00EF40FF" w:rsidRPr="001D2EC1" w:rsidRDefault="00AE5792" w:rsidP="00D97B44">
            <w:pPr>
              <w:jc w:val="right"/>
            </w:pPr>
            <w:r>
              <w:t>3,828</w:t>
            </w:r>
          </w:p>
        </w:tc>
        <w:tc>
          <w:tcPr>
            <w:tcW w:w="854" w:type="pct"/>
            <w:shd w:val="clear" w:color="auto" w:fill="auto"/>
            <w:vAlign w:val="center"/>
          </w:tcPr>
          <w:p w14:paraId="39A0261D" w14:textId="224DB13B" w:rsidR="00EF40FF" w:rsidRPr="001D2EC1" w:rsidRDefault="00AE5792" w:rsidP="00D97B44">
            <w:pPr>
              <w:jc w:val="right"/>
            </w:pPr>
            <w:r>
              <w:t>3,660</w:t>
            </w:r>
          </w:p>
        </w:tc>
        <w:tc>
          <w:tcPr>
            <w:tcW w:w="1010" w:type="pct"/>
            <w:shd w:val="clear" w:color="auto" w:fill="auto"/>
            <w:vAlign w:val="center"/>
          </w:tcPr>
          <w:p w14:paraId="4FE2F429" w14:textId="4F920DC9" w:rsidR="00EF40FF" w:rsidRPr="001D2EC1" w:rsidRDefault="000F2C6C" w:rsidP="00D97B44">
            <w:pPr>
              <w:jc w:val="right"/>
            </w:pPr>
            <w:r>
              <w:t>180</w:t>
            </w:r>
          </w:p>
        </w:tc>
        <w:tc>
          <w:tcPr>
            <w:tcW w:w="865" w:type="pct"/>
            <w:shd w:val="clear" w:color="auto" w:fill="auto"/>
            <w:vAlign w:val="center"/>
          </w:tcPr>
          <w:p w14:paraId="50BDA9A0" w14:textId="4A8C35C5" w:rsidR="00EF40FF" w:rsidRPr="001D2EC1" w:rsidRDefault="000F2C6C" w:rsidP="00D97B44">
            <w:pPr>
              <w:jc w:val="right"/>
            </w:pPr>
            <w:r>
              <w:t>-12</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7F98E6E3" w:rsidR="00EF40FF" w:rsidRPr="001D2EC1" w:rsidRDefault="00AE5792" w:rsidP="00D97B44">
            <w:pPr>
              <w:jc w:val="right"/>
            </w:pPr>
            <w:r>
              <w:t>1,914</w:t>
            </w:r>
          </w:p>
        </w:tc>
        <w:tc>
          <w:tcPr>
            <w:tcW w:w="854" w:type="pct"/>
            <w:shd w:val="clear" w:color="auto" w:fill="auto"/>
            <w:vAlign w:val="center"/>
          </w:tcPr>
          <w:p w14:paraId="0EED3422" w14:textId="27DE9FEE" w:rsidR="00EF40FF" w:rsidRPr="001D2EC1" w:rsidRDefault="00AE5792" w:rsidP="00D97B44">
            <w:pPr>
              <w:jc w:val="right"/>
            </w:pPr>
            <w:r>
              <w:t>1,920</w:t>
            </w:r>
          </w:p>
        </w:tc>
        <w:tc>
          <w:tcPr>
            <w:tcW w:w="1010" w:type="pct"/>
            <w:shd w:val="clear" w:color="auto" w:fill="auto"/>
            <w:vAlign w:val="center"/>
          </w:tcPr>
          <w:p w14:paraId="3CF5B872" w14:textId="4A755955" w:rsidR="00EF40FF" w:rsidRPr="001D2EC1" w:rsidRDefault="000F2C6C" w:rsidP="00D97B44">
            <w:pPr>
              <w:jc w:val="right"/>
            </w:pPr>
            <w:r>
              <w:t>90</w:t>
            </w:r>
          </w:p>
        </w:tc>
        <w:tc>
          <w:tcPr>
            <w:tcW w:w="865" w:type="pct"/>
            <w:shd w:val="clear" w:color="auto" w:fill="auto"/>
            <w:vAlign w:val="center"/>
          </w:tcPr>
          <w:p w14:paraId="39B1BAD1" w14:textId="124BF76A" w:rsidR="00EF40FF" w:rsidRPr="001D2EC1" w:rsidRDefault="000F2C6C" w:rsidP="00D97B44">
            <w:pPr>
              <w:jc w:val="right"/>
            </w:pPr>
            <w:r>
              <w:t>-96</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p w14:paraId="29960F64" w14:textId="77777777" w:rsidR="00EF40FF" w:rsidRDefault="00EF40FF"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587C08CA" w14:textId="18CF467A" w:rsidR="006441AD" w:rsidRDefault="006441AD" w:rsidP="006441AD">
      <w:r>
        <w:t xml:space="preserve">The expiration date is displayed in a table posted on ferc.gov at </w:t>
      </w:r>
      <w:hyperlink r:id="rId12" w:history="1">
        <w:r w:rsidRPr="00C90564">
          <w:rPr>
            <w:rStyle w:val="Hyperlink"/>
          </w:rPr>
          <w:t>http://www.ferc.gov/docs-filing/info-collections.asp</w:t>
        </w:r>
      </w:hyperlink>
      <w:r>
        <w:t>.</w:t>
      </w:r>
    </w:p>
    <w:p w14:paraId="00403C61" w14:textId="77777777" w:rsidR="00EF40FF" w:rsidRDefault="00EF40FF"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F5790" w14:textId="77777777" w:rsidR="009D065F" w:rsidRDefault="009D065F" w:rsidP="009D6B6D">
      <w:r>
        <w:separator/>
      </w:r>
    </w:p>
  </w:endnote>
  <w:endnote w:type="continuationSeparator" w:id="0">
    <w:p w14:paraId="2D72E6C1" w14:textId="77777777" w:rsidR="009D065F" w:rsidRDefault="009D065F"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77C40">
          <w:rPr>
            <w:noProof/>
          </w:rPr>
          <w:t>6</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9EFA0" w14:textId="77777777" w:rsidR="009D065F" w:rsidRDefault="009D065F" w:rsidP="009D6B6D">
      <w:r>
        <w:separator/>
      </w:r>
    </w:p>
  </w:footnote>
  <w:footnote w:type="continuationSeparator" w:id="0">
    <w:p w14:paraId="07C90B7F" w14:textId="77777777" w:rsidR="009D065F" w:rsidRDefault="009D065F" w:rsidP="009D6B6D">
      <w:r>
        <w:continuationSeparator/>
      </w:r>
    </w:p>
  </w:footnote>
  <w:footnote w:id="1">
    <w:p w14:paraId="6F996059" w14:textId="46B946BC" w:rsidR="00B21329" w:rsidRDefault="00B21329">
      <w:pPr>
        <w:pStyle w:val="FootnoteText"/>
      </w:pPr>
      <w:r>
        <w:rPr>
          <w:rStyle w:val="FootnoteReference"/>
        </w:rPr>
        <w:footnoteRef/>
      </w:r>
      <w:r>
        <w:t xml:space="preserve"> The Southwest Cold Weather Event, for one example.</w:t>
      </w:r>
    </w:p>
  </w:footnote>
  <w:footnote w:id="2">
    <w:p w14:paraId="18216F1D" w14:textId="677D4325" w:rsidR="00BB6095" w:rsidRPr="00E138E1" w:rsidRDefault="00BB6095" w:rsidP="00BB6095">
      <w:pPr>
        <w:pStyle w:val="FootnoteText"/>
      </w:pPr>
      <w:r w:rsidRPr="00E138E1">
        <w:rPr>
          <w:rStyle w:val="FootnoteReference"/>
          <w:vertAlign w:val="superscript"/>
        </w:rPr>
        <w:footnoteRef/>
      </w:r>
      <w:r w:rsidRPr="00E138E1">
        <w:rPr>
          <w:vertAlign w:val="superscript"/>
        </w:rPr>
        <w:t xml:space="preserve"> </w:t>
      </w:r>
      <w:r w:rsidR="00CB3EA0">
        <w:t>81</w:t>
      </w:r>
      <w:r w:rsidRPr="00E138E1">
        <w:t xml:space="preserve"> FR </w:t>
      </w:r>
      <w:r w:rsidR="009D6E84">
        <w:t>54574</w:t>
      </w:r>
    </w:p>
  </w:footnote>
  <w:footnote w:id="3">
    <w:p w14:paraId="55B071AB" w14:textId="2E24481A" w:rsidR="00BB6095" w:rsidRPr="00E138E1" w:rsidRDefault="00BB6095" w:rsidP="00BB6095">
      <w:pPr>
        <w:pStyle w:val="FootnoteText"/>
      </w:pPr>
      <w:r w:rsidRPr="00E138E1">
        <w:rPr>
          <w:rStyle w:val="FootnoteReference"/>
          <w:vertAlign w:val="superscript"/>
        </w:rPr>
        <w:footnoteRef/>
      </w:r>
      <w:r w:rsidRPr="00E138E1">
        <w:rPr>
          <w:vertAlign w:val="superscript"/>
        </w:rPr>
        <w:t xml:space="preserve"> </w:t>
      </w:r>
      <w:r w:rsidR="00CB3EA0">
        <w:t xml:space="preserve">81 </w:t>
      </w:r>
      <w:r w:rsidR="00CB3EA0" w:rsidRPr="004F7BFA">
        <w:t xml:space="preserve">FR </w:t>
      </w:r>
      <w:r w:rsidR="00916B2C">
        <w:t>73092</w:t>
      </w:r>
    </w:p>
  </w:footnote>
  <w:footnote w:id="4">
    <w:p w14:paraId="7623D9CF" w14:textId="0031C329" w:rsidR="00C444C6" w:rsidRPr="00E70710" w:rsidRDefault="00C444C6" w:rsidP="00C444C6">
      <w:pPr>
        <w:pStyle w:val="FootnoteText"/>
      </w:pPr>
      <w:r w:rsidRPr="00E53F82">
        <w:rPr>
          <w:rStyle w:val="FootnoteReference"/>
          <w:vertAlign w:val="superscript"/>
        </w:rPr>
        <w:footnoteRef/>
      </w:r>
      <w:r w:rsidRPr="00E53F82">
        <w:rPr>
          <w:vertAlign w:val="superscript"/>
        </w:rPr>
        <w:t xml:space="preserve"> </w:t>
      </w:r>
      <w:r w:rsidRPr="00E70710">
        <w:t xml:space="preserve">The estimates for cost per response are derived using the following formula: Average Burden Hours per Response * </w:t>
      </w:r>
      <w:r>
        <w:t>$</w:t>
      </w:r>
      <w:r w:rsidRPr="00E70710">
        <w:t>74.50 per Hour = Average Cost per Response.</w:t>
      </w:r>
      <w:r>
        <w:t xml:space="preserve"> </w:t>
      </w:r>
      <w:r w:rsidRPr="008F4977">
        <w:t>The Commission staff believes that the industry’s level and skill set is comparable to FERC</w:t>
      </w:r>
      <w:r>
        <w:t>’</w:t>
      </w:r>
      <w:r w:rsidRPr="005D0285">
        <w:t xml:space="preserve">s </w:t>
      </w:r>
      <w:r w:rsidR="004D7445">
        <w:t xml:space="preserve">2016 figures </w:t>
      </w:r>
      <w:r w:rsidRPr="005D0285">
        <w:t>with an average hourly cost (wages plus benefits) of $74.50</w:t>
      </w:r>
      <w:r w:rsidRPr="008F4977">
        <w:t>.</w:t>
      </w:r>
    </w:p>
  </w:footnote>
  <w:footnote w:id="5">
    <w:p w14:paraId="5867CB57" w14:textId="77777777" w:rsidR="00C444C6" w:rsidRPr="00E70710" w:rsidRDefault="00C444C6" w:rsidP="00C444C6">
      <w:pPr>
        <w:pStyle w:val="FootnoteText"/>
      </w:pPr>
      <w:r w:rsidRPr="00E53F82">
        <w:rPr>
          <w:rStyle w:val="FootnoteReference"/>
          <w:vertAlign w:val="superscript"/>
        </w:rPr>
        <w:footnoteRef/>
      </w:r>
      <w:r w:rsidRPr="00E70710">
        <w:t xml:space="preserve"> The estimate for the number of respondents is based on the North American Electric Reliability Corporation (NERC) Compliance Registry as of July 29, 2016, minus the Transmission Operators within ERCOT.</w:t>
      </w:r>
    </w:p>
  </w:footnote>
  <w:footnote w:id="6">
    <w:p w14:paraId="758C714B" w14:textId="2B29AB34" w:rsidR="00EF40FF" w:rsidRPr="00E138E1" w:rsidRDefault="00EF40FF" w:rsidP="00EF40FF">
      <w:pPr>
        <w:rPr>
          <w:sz w:val="20"/>
          <w:szCs w:val="20"/>
        </w:rPr>
      </w:pPr>
      <w:r w:rsidRPr="00E138E1">
        <w:rPr>
          <w:rStyle w:val="FootnoteReference"/>
          <w:sz w:val="20"/>
          <w:szCs w:val="20"/>
          <w:vertAlign w:val="superscript"/>
        </w:rPr>
        <w:footnoteRef/>
      </w:r>
      <w:r w:rsidR="006441AD">
        <w:rPr>
          <w:sz w:val="20"/>
          <w:szCs w:val="20"/>
        </w:rPr>
        <w:t xml:space="preserve"> Based upon </w:t>
      </w:r>
      <w:r w:rsidR="004D7445">
        <w:rPr>
          <w:sz w:val="20"/>
          <w:szCs w:val="20"/>
        </w:rPr>
        <w:t xml:space="preserve">FERC’s </w:t>
      </w:r>
      <w:r w:rsidR="006441AD">
        <w:rPr>
          <w:sz w:val="20"/>
          <w:szCs w:val="20"/>
        </w:rPr>
        <w:t>2016</w:t>
      </w:r>
      <w:r w:rsidRPr="00E138E1">
        <w:rPr>
          <w:sz w:val="20"/>
          <w:szCs w:val="20"/>
        </w:rPr>
        <w:t xml:space="preserve"> FTE average </w:t>
      </w:r>
      <w:r w:rsidR="00ED3A92">
        <w:rPr>
          <w:sz w:val="20"/>
          <w:szCs w:val="20"/>
        </w:rPr>
        <w:t xml:space="preserve">annual </w:t>
      </w:r>
      <w:r w:rsidRPr="00E138E1">
        <w:rPr>
          <w:sz w:val="20"/>
          <w:szCs w:val="20"/>
        </w:rPr>
        <w:t>s</w:t>
      </w:r>
      <w:r w:rsidR="006441AD">
        <w:rPr>
          <w:sz w:val="20"/>
          <w:szCs w:val="20"/>
        </w:rPr>
        <w:t>alary plus benefits ($154,647</w:t>
      </w:r>
      <w:r w:rsidRPr="00E138E1">
        <w:rPr>
          <w:sz w:val="20"/>
          <w:szCs w:val="20"/>
        </w:rPr>
        <w:t>).</w:t>
      </w:r>
    </w:p>
  </w:footnote>
  <w:footnote w:id="7">
    <w:p w14:paraId="27E34FC5" w14:textId="77777777" w:rsidR="00EF40FF" w:rsidRPr="00E138E1" w:rsidRDefault="00EF40FF" w:rsidP="00EF40FF">
      <w:pPr>
        <w:pStyle w:val="FootnoteText"/>
      </w:pPr>
      <w:r w:rsidRPr="00E138E1">
        <w:rPr>
          <w:rStyle w:val="FootnoteReference"/>
          <w:vertAlign w:val="superscript"/>
        </w:rPr>
        <w:footnoteRef/>
      </w:r>
      <w:r w:rsidRPr="00E138E1">
        <w:rPr>
          <w:vertAlign w:val="superscript"/>
        </w:rPr>
        <w:t xml:space="preserve"> </w:t>
      </w:r>
      <w:r w:rsidRPr="00E138E1">
        <w:t>Paperwork Reduction Act of 1995 (PRA).</w:t>
      </w:r>
    </w:p>
  </w:footnote>
  <w:footnote w:id="8">
    <w:p w14:paraId="5678066A" w14:textId="0C79C1DC" w:rsidR="00EF40FF" w:rsidRPr="00E138E1" w:rsidRDefault="00EF40FF" w:rsidP="00EF40FF">
      <w:pPr>
        <w:pStyle w:val="FootnoteText"/>
      </w:pPr>
      <w:r w:rsidRPr="00E138E1">
        <w:rPr>
          <w:rStyle w:val="FootnoteReference"/>
          <w:vertAlign w:val="superscript"/>
        </w:rPr>
        <w:footnoteRef/>
      </w:r>
      <w:r w:rsidRPr="00E138E1">
        <w:rPr>
          <w:vertAlign w:val="superscript"/>
        </w:rPr>
        <w:t xml:space="preserve"> </w:t>
      </w:r>
      <w:r w:rsidR="00860C58"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 w:id="9">
    <w:p w14:paraId="599FDC4E" w14:textId="4B53AE38" w:rsidR="00F21B1A" w:rsidRDefault="00F21B1A">
      <w:pPr>
        <w:pStyle w:val="FootnoteText"/>
      </w:pPr>
      <w:r w:rsidRPr="00E53F82">
        <w:rPr>
          <w:rStyle w:val="FootnoteReference"/>
          <w:vertAlign w:val="superscript"/>
        </w:rPr>
        <w:footnoteRef/>
      </w:r>
      <w:r w:rsidRPr="00E53F82">
        <w:rPr>
          <w:vertAlign w:val="superscript"/>
        </w:rPr>
        <w:t xml:space="preserve"> </w:t>
      </w:r>
      <w:r>
        <w:t>RM13-17</w:t>
      </w:r>
      <w:r w:rsidR="00E01572">
        <w:t xml:space="preserve">-000, published on </w:t>
      </w:r>
      <w:r w:rsidR="008A38D0">
        <w:t>11/22/2013 (78 FR 70164)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277B7D48" w:rsidR="003A5BA7" w:rsidRDefault="00912316">
    <w:pPr>
      <w:pStyle w:val="Header"/>
    </w:pPr>
    <w:r>
      <w:t>FERC-923</w:t>
    </w:r>
    <w:r w:rsidR="00703122">
      <w:t xml:space="preserve"> (OMB </w:t>
    </w:r>
    <w:r>
      <w:t>Control No. 1902-0265</w:t>
    </w:r>
    <w:r w:rsidR="00703122">
      <w:t>)</w:t>
    </w:r>
  </w:p>
  <w:p w14:paraId="0AA61C4D" w14:textId="219864E1" w:rsidR="005B147F" w:rsidRDefault="005B147F">
    <w:pPr>
      <w:pStyle w:val="Header"/>
    </w:pPr>
    <w:r>
      <w:t>(Updated 1-19-2017)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785FB6"/>
    <w:multiLevelType w:val="hybridMultilevel"/>
    <w:tmpl w:val="31EE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2"/>
  </w:num>
  <w:num w:numId="5">
    <w:abstractNumId w:val="6"/>
  </w:num>
  <w:num w:numId="6">
    <w:abstractNumId w:val="8"/>
  </w:num>
  <w:num w:numId="7">
    <w:abstractNumId w:val="5"/>
  </w:num>
  <w:num w:numId="8">
    <w:abstractNumId w:val="1"/>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084"/>
    <w:rsid w:val="000218B7"/>
    <w:rsid w:val="00042ECE"/>
    <w:rsid w:val="000806CF"/>
    <w:rsid w:val="00082439"/>
    <w:rsid w:val="000969B5"/>
    <w:rsid w:val="000C5C56"/>
    <w:rsid w:val="000D00F6"/>
    <w:rsid w:val="000D0EEE"/>
    <w:rsid w:val="000F2C6C"/>
    <w:rsid w:val="000F53A6"/>
    <w:rsid w:val="001352B5"/>
    <w:rsid w:val="00147917"/>
    <w:rsid w:val="001604C1"/>
    <w:rsid w:val="00181B4A"/>
    <w:rsid w:val="001922FC"/>
    <w:rsid w:val="00192A85"/>
    <w:rsid w:val="001A07E0"/>
    <w:rsid w:val="001B1350"/>
    <w:rsid w:val="001B6647"/>
    <w:rsid w:val="001C042A"/>
    <w:rsid w:val="001D1355"/>
    <w:rsid w:val="001D2EC1"/>
    <w:rsid w:val="001E6D2B"/>
    <w:rsid w:val="001F3ADE"/>
    <w:rsid w:val="001F42E7"/>
    <w:rsid w:val="001F60CC"/>
    <w:rsid w:val="001F703D"/>
    <w:rsid w:val="002000AA"/>
    <w:rsid w:val="0021208A"/>
    <w:rsid w:val="002142A2"/>
    <w:rsid w:val="0024137A"/>
    <w:rsid w:val="002565F8"/>
    <w:rsid w:val="002643FB"/>
    <w:rsid w:val="00267F92"/>
    <w:rsid w:val="002766FC"/>
    <w:rsid w:val="00286E98"/>
    <w:rsid w:val="00295C38"/>
    <w:rsid w:val="002A2B8E"/>
    <w:rsid w:val="002B0890"/>
    <w:rsid w:val="002B4900"/>
    <w:rsid w:val="002D5138"/>
    <w:rsid w:val="002F353A"/>
    <w:rsid w:val="00307F28"/>
    <w:rsid w:val="0032225E"/>
    <w:rsid w:val="00342459"/>
    <w:rsid w:val="00342CA3"/>
    <w:rsid w:val="003431A7"/>
    <w:rsid w:val="0035481D"/>
    <w:rsid w:val="003A4AD2"/>
    <w:rsid w:val="003A6A4F"/>
    <w:rsid w:val="003B7DB9"/>
    <w:rsid w:val="003C429A"/>
    <w:rsid w:val="003D3487"/>
    <w:rsid w:val="003E7BE6"/>
    <w:rsid w:val="00411C97"/>
    <w:rsid w:val="0042188F"/>
    <w:rsid w:val="00426B6E"/>
    <w:rsid w:val="00432DA3"/>
    <w:rsid w:val="004445CE"/>
    <w:rsid w:val="004472EB"/>
    <w:rsid w:val="00454D32"/>
    <w:rsid w:val="004970F6"/>
    <w:rsid w:val="004B0930"/>
    <w:rsid w:val="004D6DEB"/>
    <w:rsid w:val="004D7445"/>
    <w:rsid w:val="004E3B26"/>
    <w:rsid w:val="004F7BFA"/>
    <w:rsid w:val="005026BF"/>
    <w:rsid w:val="00506697"/>
    <w:rsid w:val="005240A1"/>
    <w:rsid w:val="00541938"/>
    <w:rsid w:val="00545B62"/>
    <w:rsid w:val="00560503"/>
    <w:rsid w:val="00577C40"/>
    <w:rsid w:val="00592E82"/>
    <w:rsid w:val="00593CC7"/>
    <w:rsid w:val="00594C60"/>
    <w:rsid w:val="005B147F"/>
    <w:rsid w:val="005C095D"/>
    <w:rsid w:val="005C5DE2"/>
    <w:rsid w:val="005C6866"/>
    <w:rsid w:val="005C6964"/>
    <w:rsid w:val="005D59DD"/>
    <w:rsid w:val="005D6791"/>
    <w:rsid w:val="005D7CA6"/>
    <w:rsid w:val="005F62ED"/>
    <w:rsid w:val="00607DF1"/>
    <w:rsid w:val="00614D21"/>
    <w:rsid w:val="00624BE3"/>
    <w:rsid w:val="006412B5"/>
    <w:rsid w:val="006441AD"/>
    <w:rsid w:val="0064464C"/>
    <w:rsid w:val="0064706B"/>
    <w:rsid w:val="006A1A2E"/>
    <w:rsid w:val="006A6928"/>
    <w:rsid w:val="006B0369"/>
    <w:rsid w:val="006C0F70"/>
    <w:rsid w:val="006C1E96"/>
    <w:rsid w:val="006E10EF"/>
    <w:rsid w:val="006E61A4"/>
    <w:rsid w:val="00703122"/>
    <w:rsid w:val="00711320"/>
    <w:rsid w:val="00714117"/>
    <w:rsid w:val="0075420C"/>
    <w:rsid w:val="007544A8"/>
    <w:rsid w:val="007625CD"/>
    <w:rsid w:val="007722E7"/>
    <w:rsid w:val="00785BAA"/>
    <w:rsid w:val="00790DB8"/>
    <w:rsid w:val="007B025D"/>
    <w:rsid w:val="007B3A75"/>
    <w:rsid w:val="007D3EF2"/>
    <w:rsid w:val="00803D8D"/>
    <w:rsid w:val="008060D2"/>
    <w:rsid w:val="00851D29"/>
    <w:rsid w:val="00860C58"/>
    <w:rsid w:val="00865702"/>
    <w:rsid w:val="00867774"/>
    <w:rsid w:val="00870A54"/>
    <w:rsid w:val="00891C89"/>
    <w:rsid w:val="00893289"/>
    <w:rsid w:val="0089369D"/>
    <w:rsid w:val="008A38B5"/>
    <w:rsid w:val="008A38D0"/>
    <w:rsid w:val="008B1A17"/>
    <w:rsid w:val="008E2C0D"/>
    <w:rsid w:val="00907A71"/>
    <w:rsid w:val="0091154B"/>
    <w:rsid w:val="00912316"/>
    <w:rsid w:val="00916B2C"/>
    <w:rsid w:val="00933292"/>
    <w:rsid w:val="00957DA2"/>
    <w:rsid w:val="00980E8E"/>
    <w:rsid w:val="009B263A"/>
    <w:rsid w:val="009D065F"/>
    <w:rsid w:val="009D6B6D"/>
    <w:rsid w:val="009D6E84"/>
    <w:rsid w:val="00A37A1E"/>
    <w:rsid w:val="00A61BDB"/>
    <w:rsid w:val="00A75D13"/>
    <w:rsid w:val="00A94615"/>
    <w:rsid w:val="00A9510B"/>
    <w:rsid w:val="00AA3F59"/>
    <w:rsid w:val="00AB362C"/>
    <w:rsid w:val="00AC0958"/>
    <w:rsid w:val="00AE5792"/>
    <w:rsid w:val="00AF3118"/>
    <w:rsid w:val="00AF66E0"/>
    <w:rsid w:val="00B13159"/>
    <w:rsid w:val="00B16BAE"/>
    <w:rsid w:val="00B21329"/>
    <w:rsid w:val="00B21778"/>
    <w:rsid w:val="00B2622F"/>
    <w:rsid w:val="00B342A4"/>
    <w:rsid w:val="00B37B5E"/>
    <w:rsid w:val="00B4017A"/>
    <w:rsid w:val="00B61F02"/>
    <w:rsid w:val="00BA2EE0"/>
    <w:rsid w:val="00BB6095"/>
    <w:rsid w:val="00BC5BC5"/>
    <w:rsid w:val="00BD2A12"/>
    <w:rsid w:val="00BD4039"/>
    <w:rsid w:val="00BF493B"/>
    <w:rsid w:val="00C07FC8"/>
    <w:rsid w:val="00C12DC0"/>
    <w:rsid w:val="00C13C94"/>
    <w:rsid w:val="00C13F2D"/>
    <w:rsid w:val="00C2125D"/>
    <w:rsid w:val="00C3086A"/>
    <w:rsid w:val="00C33FDE"/>
    <w:rsid w:val="00C444C6"/>
    <w:rsid w:val="00C651D2"/>
    <w:rsid w:val="00C7666C"/>
    <w:rsid w:val="00C909A2"/>
    <w:rsid w:val="00C97FEE"/>
    <w:rsid w:val="00CA5AF7"/>
    <w:rsid w:val="00CB3EA0"/>
    <w:rsid w:val="00CC615D"/>
    <w:rsid w:val="00CE4952"/>
    <w:rsid w:val="00CF35FE"/>
    <w:rsid w:val="00D00D07"/>
    <w:rsid w:val="00D05C1E"/>
    <w:rsid w:val="00D1721E"/>
    <w:rsid w:val="00D26BE1"/>
    <w:rsid w:val="00D9097D"/>
    <w:rsid w:val="00D93813"/>
    <w:rsid w:val="00DA4553"/>
    <w:rsid w:val="00DE0C3A"/>
    <w:rsid w:val="00DE6B6F"/>
    <w:rsid w:val="00E01572"/>
    <w:rsid w:val="00E138E1"/>
    <w:rsid w:val="00E16543"/>
    <w:rsid w:val="00E32773"/>
    <w:rsid w:val="00E355FA"/>
    <w:rsid w:val="00E40D6E"/>
    <w:rsid w:val="00E46B67"/>
    <w:rsid w:val="00E479BC"/>
    <w:rsid w:val="00E53F82"/>
    <w:rsid w:val="00E56439"/>
    <w:rsid w:val="00E76211"/>
    <w:rsid w:val="00E82BDC"/>
    <w:rsid w:val="00E9609E"/>
    <w:rsid w:val="00EA026E"/>
    <w:rsid w:val="00EB052D"/>
    <w:rsid w:val="00ED3A92"/>
    <w:rsid w:val="00EF40FF"/>
    <w:rsid w:val="00F14D3D"/>
    <w:rsid w:val="00F205D2"/>
    <w:rsid w:val="00F21B1A"/>
    <w:rsid w:val="00F3663C"/>
    <w:rsid w:val="00F528CE"/>
    <w:rsid w:val="00F620F6"/>
    <w:rsid w:val="00F63BBE"/>
    <w:rsid w:val="00F9384F"/>
    <w:rsid w:val="00FA33AC"/>
    <w:rsid w:val="00FA5F94"/>
    <w:rsid w:val="00FC7C5C"/>
    <w:rsid w:val="00FD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F0AE0"/>
  <w15:docId w15:val="{D6EC3B21-BBB4-49FE-A6D9-D41BE7DF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uiPriority w:val="99"/>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uiPriority w:val="99"/>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923</_x0031__x002e__x0020_Collection_x0020_Number>
    <Date xmlns="d6eefc7d-9817-4fa6-84d5-3bc009be21b8">2016-10-27T00:00:00-04:00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IC16-14</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2.xml><?xml version="1.0" encoding="utf-8"?>
<ds:datastoreItem xmlns:ds="http://schemas.openxmlformats.org/officeDocument/2006/customXml" ds:itemID="{31AC678A-27A8-4A1F-8D0C-B3A31E55376D}">
  <ds:schemaRefs>
    <ds:schemaRef ds:uri="http://schemas.microsoft.com/office/2006/metadata/properties"/>
    <ds:schemaRef ds:uri="http://schemas.microsoft.com/office/infopath/2007/PartnerControls"/>
    <ds:schemaRef ds:uri="d6eefc7d-9817-4fa6-84d5-3bc009be21b8"/>
  </ds:schemaRefs>
</ds:datastoreItem>
</file>

<file path=customXml/itemProps3.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5.xml><?xml version="1.0" encoding="utf-8"?>
<ds:datastoreItem xmlns:ds="http://schemas.openxmlformats.org/officeDocument/2006/customXml" ds:itemID="{72E088F1-F659-4FDB-AE20-D0A696A3E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FERC-923 supporting statement</vt:lpstr>
    </vt:vector>
  </TitlesOfParts>
  <Company>Federal Energy Regulatory Commission</Company>
  <LinksUpToDate>false</LinksUpToDate>
  <CharactersWithSpaces>10686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FERC-923 supporting statement</dc:title>
  <dc:creator>Nishi Parekh</dc:creator>
  <cp:lastModifiedBy>Ellen Brown</cp:lastModifiedBy>
  <cp:revision>2</cp:revision>
  <cp:lastPrinted>2015-11-12T19:39:00Z</cp:lastPrinted>
  <dcterms:created xsi:type="dcterms:W3CDTF">2017-01-19T19:40:00Z</dcterms:created>
  <dcterms:modified xsi:type="dcterms:W3CDTF">2017-01-19T19:40:00Z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AdHocReviewCycleID">
    <vt:i4>1739463403</vt:i4>
  </property>
  <property fmtid="{D5CDD505-2E9C-101B-9397-08002B2CF9AE}" pid="4" name="_NewReviewCycle">
    <vt:lpwstr/>
  </property>
  <property fmtid="{D5CDD505-2E9C-101B-9397-08002B2CF9AE}" pid="5" name="_EmailSubject">
    <vt:lpwstr>FERC-923 supporting statement (with tracked changes)</vt:lpwstr>
  </property>
  <property fmtid="{D5CDD505-2E9C-101B-9397-08002B2CF9AE}" pid="6" name="_AuthorEmail">
    <vt:lpwstr>Anthony.May@ferc.gov</vt:lpwstr>
  </property>
  <property fmtid="{D5CDD505-2E9C-101B-9397-08002B2CF9AE}" pid="7" name="_AuthorEmailDisplayName">
    <vt:lpwstr>Anthony May</vt:lpwstr>
  </property>
  <property fmtid="{D5CDD505-2E9C-101B-9397-08002B2CF9AE}" pid="8" name="_ReviewingToolsShownOnce">
    <vt:lpwstr/>
  </property>
</Properties>
</file>