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3400" w:rsidRDefault="000E3400" w:rsidP="000E3400">
      <w:pPr>
        <w:pStyle w:val="CM82"/>
        <w:spacing w:after="185"/>
        <w:rPr>
          <w:rFonts w:cs="New Century Schoolbook"/>
          <w:color w:val="000000"/>
          <w:sz w:val="16"/>
          <w:szCs w:val="16"/>
        </w:rPr>
      </w:pPr>
      <w:proofErr w:type="gramStart"/>
      <w:r>
        <w:rPr>
          <w:sz w:val="22"/>
          <w:szCs w:val="22"/>
        </w:rPr>
        <w:t xml:space="preserve">112 STAT. 2746 PUBLIC LAW 105–285—OCT. 27, 1998 </w:t>
      </w:r>
      <w:r>
        <w:rPr>
          <w:rFonts w:cs="New Century Schoolbook"/>
          <w:color w:val="000000"/>
          <w:sz w:val="16"/>
          <w:szCs w:val="16"/>
        </w:rPr>
        <w:t>42 USC 9917.</w:t>
      </w:r>
      <w:proofErr w:type="gramEnd"/>
      <w:r>
        <w:rPr>
          <w:rFonts w:cs="New Century Schoolbook"/>
          <w:color w:val="000000"/>
          <w:sz w:val="16"/>
          <w:szCs w:val="16"/>
        </w:rPr>
        <w:t xml:space="preserve"> </w:t>
      </w:r>
    </w:p>
    <w:p w:rsidR="000E3400" w:rsidRDefault="000E3400" w:rsidP="000E3400">
      <w:pPr>
        <w:pStyle w:val="CM77"/>
        <w:spacing w:after="75"/>
        <w:rPr>
          <w:rFonts w:cs="New Century Schoolbook"/>
          <w:color w:val="000000"/>
          <w:sz w:val="16"/>
          <w:szCs w:val="16"/>
        </w:rPr>
      </w:pPr>
      <w:proofErr w:type="gramStart"/>
      <w:r>
        <w:rPr>
          <w:rFonts w:cs="New Century Schoolbook"/>
          <w:b/>
          <w:bCs/>
          <w:color w:val="000000"/>
          <w:sz w:val="16"/>
          <w:szCs w:val="16"/>
        </w:rPr>
        <w:t>‘‘SEC. 678E.</w:t>
      </w:r>
      <w:proofErr w:type="gramEnd"/>
      <w:r>
        <w:rPr>
          <w:rFonts w:cs="New Century Schoolbook"/>
          <w:b/>
          <w:bCs/>
          <w:color w:val="000000"/>
          <w:sz w:val="16"/>
          <w:szCs w:val="16"/>
        </w:rPr>
        <w:t xml:space="preserve"> </w:t>
      </w:r>
      <w:proofErr w:type="gramStart"/>
      <w:r>
        <w:rPr>
          <w:rFonts w:cs="New Century Schoolbook"/>
          <w:b/>
          <w:bCs/>
          <w:color w:val="000000"/>
          <w:sz w:val="16"/>
          <w:szCs w:val="16"/>
        </w:rPr>
        <w:t>ACCOUNTABILITY AND REPORTING REQUIREMENTS.</w:t>
      </w:r>
      <w:proofErr w:type="gramEnd"/>
      <w:r>
        <w:rPr>
          <w:rFonts w:cs="New Century Schoolbook"/>
          <w:b/>
          <w:bCs/>
          <w:color w:val="000000"/>
          <w:sz w:val="16"/>
          <w:szCs w:val="16"/>
        </w:rPr>
        <w:t xml:space="preserve"> </w:t>
      </w:r>
    </w:p>
    <w:p w:rsidR="000E3400" w:rsidRDefault="000E3400" w:rsidP="000E3400">
      <w:pPr>
        <w:pStyle w:val="Default"/>
        <w:spacing w:line="206" w:lineRule="atLeast"/>
        <w:ind w:left="800"/>
        <w:rPr>
          <w:sz w:val="20"/>
          <w:szCs w:val="20"/>
        </w:rPr>
      </w:pPr>
      <w:r>
        <w:rPr>
          <w:sz w:val="20"/>
          <w:szCs w:val="20"/>
        </w:rPr>
        <w:t>‘‘(a) S</w:t>
      </w:r>
      <w:r>
        <w:rPr>
          <w:sz w:val="15"/>
          <w:szCs w:val="15"/>
        </w:rPr>
        <w:t xml:space="preserve">TATE </w:t>
      </w:r>
      <w:r>
        <w:rPr>
          <w:sz w:val="20"/>
          <w:szCs w:val="20"/>
        </w:rPr>
        <w:t>A</w:t>
      </w:r>
      <w:r>
        <w:rPr>
          <w:sz w:val="15"/>
          <w:szCs w:val="15"/>
        </w:rPr>
        <w:t xml:space="preserve">CCOUNTABILITY AND </w:t>
      </w:r>
      <w:r>
        <w:rPr>
          <w:sz w:val="20"/>
          <w:szCs w:val="20"/>
        </w:rPr>
        <w:t>R</w:t>
      </w:r>
      <w:r>
        <w:rPr>
          <w:sz w:val="15"/>
          <w:szCs w:val="15"/>
        </w:rPr>
        <w:t xml:space="preserve">EPORTING </w:t>
      </w:r>
      <w:r>
        <w:rPr>
          <w:sz w:val="20"/>
          <w:szCs w:val="20"/>
        </w:rPr>
        <w:t>R</w:t>
      </w:r>
      <w:r>
        <w:rPr>
          <w:sz w:val="15"/>
          <w:szCs w:val="15"/>
        </w:rPr>
        <w:t>EQUIREMENTS</w:t>
      </w:r>
      <w:proofErr w:type="gramStart"/>
      <w:r>
        <w:rPr>
          <w:sz w:val="20"/>
          <w:szCs w:val="20"/>
        </w:rPr>
        <w:t>.—</w:t>
      </w:r>
      <w:proofErr w:type="gramEnd"/>
      <w:r>
        <w:rPr>
          <w:sz w:val="20"/>
          <w:szCs w:val="20"/>
        </w:rPr>
        <w:t xml:space="preserve"> ‘‘(1) P</w:t>
      </w:r>
      <w:r>
        <w:rPr>
          <w:sz w:val="15"/>
          <w:szCs w:val="15"/>
        </w:rPr>
        <w:t>ERFORMANCE MEASUREMENT</w:t>
      </w:r>
      <w:r>
        <w:rPr>
          <w:sz w:val="20"/>
          <w:szCs w:val="20"/>
        </w:rPr>
        <w:t xml:space="preserve">.— </w:t>
      </w:r>
    </w:p>
    <w:p w:rsidR="000E3400" w:rsidRDefault="000E3400" w:rsidP="000E3400">
      <w:pPr>
        <w:pStyle w:val="CM10"/>
        <w:ind w:left="800"/>
        <w:rPr>
          <w:rFonts w:cs="New Century Schoolbook"/>
          <w:color w:val="000000"/>
          <w:sz w:val="20"/>
          <w:szCs w:val="20"/>
        </w:rPr>
      </w:pPr>
      <w:r>
        <w:rPr>
          <w:rFonts w:cs="New Century Schoolbook"/>
          <w:color w:val="000000"/>
          <w:sz w:val="20"/>
          <w:szCs w:val="20"/>
        </w:rPr>
        <w:t>‘‘(A) I</w:t>
      </w:r>
      <w:r>
        <w:rPr>
          <w:rFonts w:cs="New Century Schoolbook"/>
          <w:color w:val="000000"/>
          <w:sz w:val="15"/>
          <w:szCs w:val="15"/>
        </w:rPr>
        <w:t>N GENERAL</w:t>
      </w:r>
      <w:r>
        <w:rPr>
          <w:rFonts w:cs="New Century Schoolbook"/>
          <w:color w:val="000000"/>
          <w:sz w:val="20"/>
          <w:szCs w:val="20"/>
        </w:rPr>
        <w:t xml:space="preserve">.—By October 1, 2001, each State that receives funds under this subtitle shall participate, and shall ensure that all eligible entities in the State participate, in a performance measurement system, which may be a performance measurement system for which the Secretary facilitated development pursuant to subsection (b), or an alternative system that the Secretary is satisfied meets the requirements of subsection (b). </w:t>
      </w:r>
    </w:p>
    <w:p w:rsidR="000E3400" w:rsidRDefault="000E3400" w:rsidP="000E3400">
      <w:pPr>
        <w:pStyle w:val="CM10"/>
        <w:ind w:left="800"/>
        <w:rPr>
          <w:rFonts w:cs="New Century Schoolbook"/>
          <w:color w:val="000000"/>
          <w:sz w:val="20"/>
          <w:szCs w:val="20"/>
        </w:rPr>
      </w:pPr>
      <w:r>
        <w:rPr>
          <w:rFonts w:cs="New Century Schoolbook"/>
          <w:color w:val="000000"/>
          <w:sz w:val="20"/>
          <w:szCs w:val="20"/>
        </w:rPr>
        <w:t>‘‘(B) L</w:t>
      </w:r>
      <w:r>
        <w:rPr>
          <w:rFonts w:cs="New Century Schoolbook"/>
          <w:color w:val="000000"/>
          <w:sz w:val="15"/>
          <w:szCs w:val="15"/>
        </w:rPr>
        <w:t>OCAL AGENCIES</w:t>
      </w:r>
      <w:r>
        <w:rPr>
          <w:rFonts w:cs="New Century Schoolbook"/>
          <w:color w:val="000000"/>
          <w:sz w:val="20"/>
          <w:szCs w:val="20"/>
        </w:rPr>
        <w:t xml:space="preserve">.—The State may elect to have local agencies that are subcontractors of the eligible entities under this subtitle </w:t>
      </w:r>
      <w:proofErr w:type="gramStart"/>
      <w:r>
        <w:rPr>
          <w:rFonts w:cs="New Century Schoolbook"/>
          <w:color w:val="000000"/>
          <w:sz w:val="20"/>
          <w:szCs w:val="20"/>
        </w:rPr>
        <w:t>participate</w:t>
      </w:r>
      <w:proofErr w:type="gramEnd"/>
      <w:r>
        <w:rPr>
          <w:rFonts w:cs="New Century Schoolbook"/>
          <w:color w:val="000000"/>
          <w:sz w:val="20"/>
          <w:szCs w:val="20"/>
        </w:rPr>
        <w:t xml:space="preserve"> in the performance measurement system. If the State makes that election, references in this section to eligible entities shall be considered to include the local agencies. ‘‘(2) A</w:t>
      </w:r>
      <w:r>
        <w:rPr>
          <w:rFonts w:cs="New Century Schoolbook"/>
          <w:color w:val="000000"/>
          <w:sz w:val="15"/>
          <w:szCs w:val="15"/>
        </w:rPr>
        <w:t>NNUAL REPORT</w:t>
      </w:r>
      <w:r>
        <w:rPr>
          <w:rFonts w:cs="New Century Schoolbook"/>
          <w:color w:val="000000"/>
          <w:sz w:val="20"/>
          <w:szCs w:val="20"/>
        </w:rPr>
        <w:t xml:space="preserve">.—Each State shall annually prepare </w:t>
      </w:r>
    </w:p>
    <w:p w:rsidR="000E3400" w:rsidRDefault="000E3400" w:rsidP="000E3400">
      <w:pPr>
        <w:pStyle w:val="CM4"/>
        <w:ind w:left="400"/>
        <w:rPr>
          <w:sz w:val="20"/>
          <w:szCs w:val="20"/>
        </w:rPr>
      </w:pPr>
      <w:proofErr w:type="gramStart"/>
      <w:r>
        <w:rPr>
          <w:rFonts w:cs="New Century Schoolbook"/>
          <w:color w:val="000000"/>
          <w:sz w:val="20"/>
          <w:szCs w:val="20"/>
        </w:rPr>
        <w:t>and</w:t>
      </w:r>
      <w:proofErr w:type="gramEnd"/>
      <w:r>
        <w:rPr>
          <w:rFonts w:cs="New Century Schoolbook"/>
          <w:color w:val="000000"/>
          <w:sz w:val="20"/>
          <w:szCs w:val="20"/>
        </w:rPr>
        <w:t xml:space="preserve"> submit to the Secretary a report on the measured performance of the State and the eligible entities in the State. Prior to the participation of the State in the performance measurement system, the State shall include in the report any information collected by the State relating to such performance. Each State shall also include in the report an accounting of the expenditure of funds received by the State through the community services block grant program, including an accounting of funds spent on administrative costs by the State and the eligible entities, and funds spent by eligible entities on the direct delivery of local services, and shall include information on the number of and characteristics of clients served under this subtitle in the State, based on data collected from the eligible entities. The State shall also include in the report a summary describing the training and technical assistance offered by the State under section </w:t>
      </w:r>
      <w:proofErr w:type="gramStart"/>
      <w:r>
        <w:rPr>
          <w:rFonts w:cs="New Century Schoolbook"/>
          <w:color w:val="000000"/>
          <w:sz w:val="20"/>
          <w:szCs w:val="20"/>
        </w:rPr>
        <w:t>678C(</w:t>
      </w:r>
      <w:proofErr w:type="gramEnd"/>
      <w:r>
        <w:rPr>
          <w:rFonts w:cs="New Century Schoolbook"/>
          <w:color w:val="000000"/>
          <w:sz w:val="20"/>
          <w:szCs w:val="20"/>
        </w:rPr>
        <w:t xml:space="preserve">a)(3) during the year covered by the report. </w:t>
      </w:r>
      <w:proofErr w:type="gramStart"/>
      <w:r>
        <w:rPr>
          <w:rFonts w:cs="New Century Schoolbook"/>
          <w:color w:val="000000"/>
          <w:sz w:val="20"/>
          <w:szCs w:val="20"/>
        </w:rPr>
        <w:t>‘‘(b) S</w:t>
      </w:r>
      <w:r>
        <w:rPr>
          <w:rFonts w:cs="New Century Schoolbook"/>
          <w:color w:val="000000"/>
          <w:sz w:val="15"/>
          <w:szCs w:val="15"/>
        </w:rPr>
        <w:t>ECRETARY</w:t>
      </w:r>
      <w:r>
        <w:rPr>
          <w:rFonts w:cs="New Century Schoolbook"/>
          <w:color w:val="000000"/>
          <w:sz w:val="20"/>
          <w:szCs w:val="20"/>
        </w:rPr>
        <w:t>’</w:t>
      </w:r>
      <w:r>
        <w:rPr>
          <w:rFonts w:cs="New Century Schoolbook"/>
          <w:color w:val="000000"/>
          <w:sz w:val="15"/>
          <w:szCs w:val="15"/>
        </w:rPr>
        <w:t xml:space="preserve">S </w:t>
      </w:r>
      <w:r>
        <w:rPr>
          <w:rFonts w:cs="New Century Schoolbook"/>
          <w:color w:val="000000"/>
          <w:sz w:val="20"/>
          <w:szCs w:val="20"/>
        </w:rPr>
        <w:t>A</w:t>
      </w:r>
      <w:r>
        <w:rPr>
          <w:rFonts w:cs="New Century Schoolbook"/>
          <w:color w:val="000000"/>
          <w:sz w:val="15"/>
          <w:szCs w:val="15"/>
        </w:rPr>
        <w:t xml:space="preserve">CCOUNTABILITY AND </w:t>
      </w:r>
      <w:r>
        <w:rPr>
          <w:rFonts w:cs="New Century Schoolbook"/>
          <w:color w:val="000000"/>
          <w:sz w:val="20"/>
          <w:szCs w:val="20"/>
        </w:rPr>
        <w:t>R</w:t>
      </w:r>
      <w:r>
        <w:rPr>
          <w:rFonts w:cs="New Century Schoolbook"/>
          <w:color w:val="000000"/>
          <w:sz w:val="15"/>
          <w:szCs w:val="15"/>
        </w:rPr>
        <w:t xml:space="preserve">EPORTING </w:t>
      </w:r>
      <w:r>
        <w:rPr>
          <w:rFonts w:cs="New Century Schoolbook"/>
          <w:color w:val="000000"/>
          <w:sz w:val="20"/>
          <w:szCs w:val="20"/>
        </w:rPr>
        <w:t>R</w:t>
      </w:r>
      <w:r>
        <w:rPr>
          <w:rFonts w:cs="New Century Schoolbook"/>
          <w:color w:val="000000"/>
          <w:sz w:val="15"/>
          <w:szCs w:val="15"/>
        </w:rPr>
        <w:t>EQUIRE</w:t>
      </w:r>
      <w:r>
        <w:rPr>
          <w:sz w:val="15"/>
          <w:szCs w:val="15"/>
        </w:rPr>
        <w:t>MENTS</w:t>
      </w:r>
      <w:r>
        <w:rPr>
          <w:sz w:val="20"/>
          <w:szCs w:val="20"/>
        </w:rPr>
        <w:t>.—</w:t>
      </w:r>
      <w:proofErr w:type="gramEnd"/>
    </w:p>
    <w:p w:rsidR="000E3400" w:rsidRPr="000E3400" w:rsidRDefault="000E3400" w:rsidP="000E3400">
      <w:pPr>
        <w:pStyle w:val="CM4"/>
        <w:ind w:left="400"/>
        <w:rPr>
          <w:rFonts w:cs="New Century Schoolbook"/>
          <w:color w:val="000000"/>
          <w:sz w:val="20"/>
          <w:szCs w:val="20"/>
        </w:rPr>
      </w:pPr>
      <w:r>
        <w:rPr>
          <w:sz w:val="20"/>
          <w:szCs w:val="20"/>
        </w:rPr>
        <w:t xml:space="preserve"> ‘‘(1) P</w:t>
      </w:r>
      <w:r>
        <w:rPr>
          <w:sz w:val="15"/>
          <w:szCs w:val="15"/>
        </w:rPr>
        <w:t>ERFORMANCE MEASUREMENT</w:t>
      </w:r>
      <w:r>
        <w:rPr>
          <w:sz w:val="20"/>
          <w:szCs w:val="20"/>
        </w:rPr>
        <w:t>.—The Secretary, in collaboration with the States and with eligible entities throughout the Nation, shall facilitate the development of one or more model performance measurement systems, which may be used by the States and by eligible entities to measure their performance in carrying out the requirements of this subtitle and in achieving the goals of their community action plans. The Secretary shall provide technical assistance, including support for the enhancement of electronic data systems, to States and to eligible entities to enhance their capability to collect and report data for such a system and to aid in their participation in such a system. ‘‘(2) R</w:t>
      </w:r>
      <w:r>
        <w:rPr>
          <w:sz w:val="15"/>
          <w:szCs w:val="15"/>
        </w:rPr>
        <w:t>EPORTING REQUIREMENTS</w:t>
      </w:r>
      <w:r>
        <w:rPr>
          <w:sz w:val="20"/>
          <w:szCs w:val="20"/>
        </w:rPr>
        <w:t xml:space="preserve">.—At the end of each fiscal year beginning after September 30, 1999, the Secretary shall, directly or by grant or contract, prepare a report containing— ‘‘(A) a summary of the planned use of funds by each State, and the eligible entities in the State, under the community services block grant program, as contained in each State plan submitted pursuant to section 676; </w:t>
      </w:r>
      <w:r>
        <w:rPr>
          <w:sz w:val="22"/>
          <w:szCs w:val="22"/>
        </w:rPr>
        <w:t xml:space="preserve">PUBLIC LAW 105–285—OCT. 27, 1998 112 STAT. 2747 </w:t>
      </w:r>
    </w:p>
    <w:p w:rsidR="000E3400" w:rsidRDefault="000E3400" w:rsidP="000E3400">
      <w:pPr>
        <w:pStyle w:val="CM59"/>
        <w:pageBreakBefore/>
        <w:ind w:firstLine="400"/>
        <w:jc w:val="both"/>
        <w:rPr>
          <w:rFonts w:cs="New Century Schoolbook"/>
          <w:color w:val="000000"/>
          <w:sz w:val="20"/>
          <w:szCs w:val="20"/>
        </w:rPr>
      </w:pPr>
      <w:r>
        <w:rPr>
          <w:rFonts w:cs="New Century Schoolbook"/>
          <w:color w:val="000000"/>
          <w:sz w:val="20"/>
          <w:szCs w:val="20"/>
        </w:rPr>
        <w:lastRenderedPageBreak/>
        <w:t xml:space="preserve">‘‘(B) a description of how funds were actually spent by the State and eligible entities in the State, including a breakdown of funds spent on administrative costs and on the direct delivery of local services by eligible entities; </w:t>
      </w:r>
    </w:p>
    <w:p w:rsidR="000E3400" w:rsidRDefault="000E3400" w:rsidP="000E3400">
      <w:pPr>
        <w:pStyle w:val="CM59"/>
        <w:ind w:firstLine="400"/>
        <w:jc w:val="both"/>
        <w:rPr>
          <w:rFonts w:cs="New Century Schoolbook"/>
          <w:color w:val="000000"/>
          <w:sz w:val="20"/>
          <w:szCs w:val="20"/>
        </w:rPr>
      </w:pPr>
      <w:r>
        <w:rPr>
          <w:rFonts w:cs="New Century Schoolbook"/>
          <w:color w:val="000000"/>
          <w:sz w:val="20"/>
          <w:szCs w:val="20"/>
        </w:rPr>
        <w:t xml:space="preserve">‘‘(C) information on the number of entities eligible for funds under this subtitle, the number of low-income persons served under this subtitle, and such demographic data on the low-income populations served by eligible entities as is determined by the Secretary to be feasible; </w:t>
      </w:r>
    </w:p>
    <w:p w:rsidR="000E3400" w:rsidRDefault="000E3400" w:rsidP="000E3400">
      <w:pPr>
        <w:pStyle w:val="CM59"/>
        <w:ind w:firstLine="400"/>
        <w:jc w:val="both"/>
        <w:rPr>
          <w:rFonts w:cs="New Century Schoolbook"/>
          <w:color w:val="000000"/>
          <w:sz w:val="20"/>
          <w:szCs w:val="20"/>
        </w:rPr>
      </w:pPr>
      <w:r>
        <w:rPr>
          <w:rFonts w:cs="New Century Schoolbook"/>
          <w:color w:val="000000"/>
          <w:sz w:val="20"/>
          <w:szCs w:val="20"/>
        </w:rPr>
        <w:t xml:space="preserve">‘‘(D) </w:t>
      </w:r>
      <w:proofErr w:type="gramStart"/>
      <w:r>
        <w:rPr>
          <w:rFonts w:cs="New Century Schoolbook"/>
          <w:color w:val="000000"/>
          <w:sz w:val="20"/>
          <w:szCs w:val="20"/>
        </w:rPr>
        <w:t>a</w:t>
      </w:r>
      <w:proofErr w:type="gramEnd"/>
      <w:r>
        <w:rPr>
          <w:rFonts w:cs="New Century Schoolbook"/>
          <w:color w:val="000000"/>
          <w:sz w:val="20"/>
          <w:szCs w:val="20"/>
        </w:rPr>
        <w:t xml:space="preserve"> comparison of the planned uses of funds for each State and the actual uses of the funds; </w:t>
      </w:r>
    </w:p>
    <w:p w:rsidR="000E3400" w:rsidRDefault="000E3400" w:rsidP="000E3400">
      <w:pPr>
        <w:pStyle w:val="CM59"/>
        <w:ind w:firstLine="400"/>
        <w:jc w:val="both"/>
        <w:rPr>
          <w:rFonts w:cs="New Century Schoolbook"/>
          <w:color w:val="000000"/>
          <w:sz w:val="20"/>
          <w:szCs w:val="20"/>
        </w:rPr>
      </w:pPr>
      <w:r>
        <w:rPr>
          <w:rFonts w:cs="New Century Schoolbook"/>
          <w:color w:val="000000"/>
          <w:sz w:val="20"/>
          <w:szCs w:val="20"/>
        </w:rPr>
        <w:t xml:space="preserve">‘‘(E) a summary of each State’s performance results, and the results for the eligible entities, as collected and submitted by the States in accordance with subsection (a)(2); and </w:t>
      </w:r>
    </w:p>
    <w:p w:rsidR="00433253" w:rsidRPr="000E3400" w:rsidRDefault="000E3400" w:rsidP="00D66ED9">
      <w:pPr>
        <w:pStyle w:val="CM57"/>
        <w:ind w:firstLine="400"/>
        <w:rPr>
          <w:rFonts w:cs="New Century Schoolbook"/>
          <w:color w:val="000000"/>
          <w:sz w:val="20"/>
          <w:szCs w:val="20"/>
        </w:rPr>
      </w:pPr>
      <w:r>
        <w:rPr>
          <w:rFonts w:cs="New Century Schoolbook"/>
          <w:color w:val="000000"/>
          <w:sz w:val="20"/>
          <w:szCs w:val="20"/>
        </w:rPr>
        <w:t xml:space="preserve">‘‘(F) </w:t>
      </w:r>
      <w:proofErr w:type="gramStart"/>
      <w:r>
        <w:rPr>
          <w:rFonts w:cs="New Century Schoolbook"/>
          <w:color w:val="000000"/>
          <w:sz w:val="20"/>
          <w:szCs w:val="20"/>
        </w:rPr>
        <w:t>any</w:t>
      </w:r>
      <w:proofErr w:type="gramEnd"/>
      <w:r>
        <w:rPr>
          <w:rFonts w:cs="New Century Schoolbook"/>
          <w:color w:val="000000"/>
          <w:sz w:val="20"/>
          <w:szCs w:val="20"/>
        </w:rPr>
        <w:t xml:space="preserve"> additional information that the Secretary considers to be appropriate to carry out this subtitle, if the Secretary informs the States of the need for such additional information and allows a reasonable period of time for the States to collect and provide the information. ‘‘(3) S</w:t>
      </w:r>
      <w:r>
        <w:rPr>
          <w:rFonts w:cs="New Century Schoolbook"/>
          <w:color w:val="000000"/>
          <w:sz w:val="15"/>
          <w:szCs w:val="15"/>
        </w:rPr>
        <w:t>UBMISSION</w:t>
      </w:r>
      <w:r>
        <w:rPr>
          <w:rFonts w:cs="New Century Schoolbook"/>
          <w:color w:val="000000"/>
          <w:sz w:val="20"/>
          <w:szCs w:val="20"/>
        </w:rPr>
        <w:t xml:space="preserve">.—The Secretary shall submit to the </w:t>
      </w:r>
      <w:r w:rsidRPr="00B808E2">
        <w:rPr>
          <w:sz w:val="20"/>
          <w:szCs w:val="20"/>
        </w:rPr>
        <w:t>Committee on Education and the Workforce of the House of Representatives and the Committee on Labor and Human Resources of the Senate the report described in paragraph (2), and any comments the Secretary may have with respect to such report. The report shall in</w:t>
      </w:r>
      <w:r w:rsidR="00D66ED9" w:rsidRPr="00B808E2">
        <w:rPr>
          <w:sz w:val="20"/>
          <w:szCs w:val="20"/>
        </w:rPr>
        <w:t xml:space="preserve">clude definitions of direct </w:t>
      </w:r>
      <w:proofErr w:type="spellStart"/>
      <w:r w:rsidR="00D66ED9" w:rsidRPr="00B808E2">
        <w:rPr>
          <w:sz w:val="20"/>
          <w:szCs w:val="20"/>
        </w:rPr>
        <w:t>and</w:t>
      </w:r>
      <w:r w:rsidRPr="00B808E2">
        <w:rPr>
          <w:sz w:val="20"/>
          <w:szCs w:val="20"/>
        </w:rPr>
        <w:t>administrative</w:t>
      </w:r>
      <w:proofErr w:type="spellEnd"/>
      <w:r w:rsidRPr="00B808E2">
        <w:rPr>
          <w:sz w:val="20"/>
          <w:szCs w:val="20"/>
        </w:rPr>
        <w:t xml:space="preserve"> costs used by the Department of Health and Human Services for programs funded under this subtitle. ‘‘(4) C</w:t>
      </w:r>
      <w:r w:rsidRPr="00B808E2">
        <w:rPr>
          <w:sz w:val="15"/>
          <w:szCs w:val="15"/>
        </w:rPr>
        <w:t>OSTS</w:t>
      </w:r>
      <w:r w:rsidRPr="00B808E2">
        <w:rPr>
          <w:sz w:val="20"/>
          <w:szCs w:val="20"/>
        </w:rPr>
        <w:t xml:space="preserve">.—Of the funds reserved under section 674(b)(3), </w:t>
      </w:r>
      <w:r w:rsidRPr="00B808E2">
        <w:rPr>
          <w:rFonts w:cs="New Century Schoolbook"/>
          <w:color w:val="000000"/>
          <w:sz w:val="20"/>
          <w:szCs w:val="20"/>
        </w:rPr>
        <w:t>not more than $350,000 shall be available to carry out the reporting requirements contained in paragraph (2).</w:t>
      </w:r>
      <w:bookmarkStart w:id="0" w:name="_GoBack"/>
      <w:bookmarkEnd w:id="0"/>
    </w:p>
    <w:sectPr w:rsidR="00433253" w:rsidRPr="000E34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New Century Schoolbook">
    <w:altName w:val="New Century Schlbk"/>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3400"/>
    <w:rsid w:val="000E3400"/>
    <w:rsid w:val="00433253"/>
    <w:rsid w:val="00B808E2"/>
    <w:rsid w:val="00D66E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E3400"/>
    <w:pPr>
      <w:autoSpaceDE w:val="0"/>
      <w:autoSpaceDN w:val="0"/>
      <w:adjustRightInd w:val="0"/>
      <w:spacing w:after="0" w:line="240" w:lineRule="auto"/>
    </w:pPr>
    <w:rPr>
      <w:rFonts w:ascii="New Century Schoolbook" w:hAnsi="New Century Schoolbook" w:cs="New Century Schoolbook"/>
      <w:color w:val="000000"/>
      <w:sz w:val="24"/>
      <w:szCs w:val="24"/>
    </w:rPr>
  </w:style>
  <w:style w:type="paragraph" w:customStyle="1" w:styleId="CM82">
    <w:name w:val="CM82"/>
    <w:basedOn w:val="Default"/>
    <w:next w:val="Default"/>
    <w:uiPriority w:val="99"/>
    <w:rsid w:val="000E3400"/>
    <w:rPr>
      <w:rFonts w:cstheme="minorBidi"/>
      <w:color w:val="auto"/>
    </w:rPr>
  </w:style>
  <w:style w:type="paragraph" w:customStyle="1" w:styleId="CM77">
    <w:name w:val="CM77"/>
    <w:basedOn w:val="Default"/>
    <w:next w:val="Default"/>
    <w:uiPriority w:val="99"/>
    <w:rsid w:val="000E3400"/>
    <w:rPr>
      <w:rFonts w:cstheme="minorBidi"/>
      <w:color w:val="auto"/>
    </w:rPr>
  </w:style>
  <w:style w:type="paragraph" w:customStyle="1" w:styleId="CM10">
    <w:name w:val="CM10"/>
    <w:basedOn w:val="Default"/>
    <w:next w:val="Default"/>
    <w:uiPriority w:val="99"/>
    <w:rsid w:val="000E3400"/>
    <w:pPr>
      <w:spacing w:line="203" w:lineRule="atLeast"/>
    </w:pPr>
    <w:rPr>
      <w:rFonts w:cstheme="minorBidi"/>
      <w:color w:val="auto"/>
    </w:rPr>
  </w:style>
  <w:style w:type="paragraph" w:customStyle="1" w:styleId="CM4">
    <w:name w:val="CM4"/>
    <w:basedOn w:val="Default"/>
    <w:next w:val="Default"/>
    <w:uiPriority w:val="99"/>
    <w:rsid w:val="000E3400"/>
    <w:pPr>
      <w:spacing w:line="203" w:lineRule="atLeast"/>
    </w:pPr>
    <w:rPr>
      <w:rFonts w:cstheme="minorBidi"/>
      <w:color w:val="auto"/>
    </w:rPr>
  </w:style>
  <w:style w:type="paragraph" w:customStyle="1" w:styleId="CM59">
    <w:name w:val="CM59"/>
    <w:basedOn w:val="Default"/>
    <w:next w:val="Default"/>
    <w:uiPriority w:val="99"/>
    <w:rsid w:val="000E3400"/>
    <w:pPr>
      <w:spacing w:line="206" w:lineRule="atLeast"/>
    </w:pPr>
    <w:rPr>
      <w:rFonts w:cstheme="minorBidi"/>
      <w:color w:val="auto"/>
    </w:rPr>
  </w:style>
  <w:style w:type="paragraph" w:customStyle="1" w:styleId="CM57">
    <w:name w:val="CM57"/>
    <w:basedOn w:val="Default"/>
    <w:next w:val="Default"/>
    <w:uiPriority w:val="99"/>
    <w:rsid w:val="000E3400"/>
    <w:pPr>
      <w:spacing w:line="200" w:lineRule="atLeast"/>
    </w:pPr>
    <w:rPr>
      <w:rFonts w:cstheme="minorBidi"/>
      <w:color w:val="auto"/>
    </w:rPr>
  </w:style>
  <w:style w:type="paragraph" w:customStyle="1" w:styleId="CM66">
    <w:name w:val="CM66"/>
    <w:basedOn w:val="Default"/>
    <w:next w:val="Default"/>
    <w:uiPriority w:val="99"/>
    <w:rsid w:val="000E3400"/>
    <w:pPr>
      <w:spacing w:line="200" w:lineRule="atLeast"/>
    </w:pPr>
    <w:rPr>
      <w:rFonts w:cstheme="minorBidi"/>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E3400"/>
    <w:pPr>
      <w:autoSpaceDE w:val="0"/>
      <w:autoSpaceDN w:val="0"/>
      <w:adjustRightInd w:val="0"/>
      <w:spacing w:after="0" w:line="240" w:lineRule="auto"/>
    </w:pPr>
    <w:rPr>
      <w:rFonts w:ascii="New Century Schoolbook" w:hAnsi="New Century Schoolbook" w:cs="New Century Schoolbook"/>
      <w:color w:val="000000"/>
      <w:sz w:val="24"/>
      <w:szCs w:val="24"/>
    </w:rPr>
  </w:style>
  <w:style w:type="paragraph" w:customStyle="1" w:styleId="CM82">
    <w:name w:val="CM82"/>
    <w:basedOn w:val="Default"/>
    <w:next w:val="Default"/>
    <w:uiPriority w:val="99"/>
    <w:rsid w:val="000E3400"/>
    <w:rPr>
      <w:rFonts w:cstheme="minorBidi"/>
      <w:color w:val="auto"/>
    </w:rPr>
  </w:style>
  <w:style w:type="paragraph" w:customStyle="1" w:styleId="CM77">
    <w:name w:val="CM77"/>
    <w:basedOn w:val="Default"/>
    <w:next w:val="Default"/>
    <w:uiPriority w:val="99"/>
    <w:rsid w:val="000E3400"/>
    <w:rPr>
      <w:rFonts w:cstheme="minorBidi"/>
      <w:color w:val="auto"/>
    </w:rPr>
  </w:style>
  <w:style w:type="paragraph" w:customStyle="1" w:styleId="CM10">
    <w:name w:val="CM10"/>
    <w:basedOn w:val="Default"/>
    <w:next w:val="Default"/>
    <w:uiPriority w:val="99"/>
    <w:rsid w:val="000E3400"/>
    <w:pPr>
      <w:spacing w:line="203" w:lineRule="atLeast"/>
    </w:pPr>
    <w:rPr>
      <w:rFonts w:cstheme="minorBidi"/>
      <w:color w:val="auto"/>
    </w:rPr>
  </w:style>
  <w:style w:type="paragraph" w:customStyle="1" w:styleId="CM4">
    <w:name w:val="CM4"/>
    <w:basedOn w:val="Default"/>
    <w:next w:val="Default"/>
    <w:uiPriority w:val="99"/>
    <w:rsid w:val="000E3400"/>
    <w:pPr>
      <w:spacing w:line="203" w:lineRule="atLeast"/>
    </w:pPr>
    <w:rPr>
      <w:rFonts w:cstheme="minorBidi"/>
      <w:color w:val="auto"/>
    </w:rPr>
  </w:style>
  <w:style w:type="paragraph" w:customStyle="1" w:styleId="CM59">
    <w:name w:val="CM59"/>
    <w:basedOn w:val="Default"/>
    <w:next w:val="Default"/>
    <w:uiPriority w:val="99"/>
    <w:rsid w:val="000E3400"/>
    <w:pPr>
      <w:spacing w:line="206" w:lineRule="atLeast"/>
    </w:pPr>
    <w:rPr>
      <w:rFonts w:cstheme="minorBidi"/>
      <w:color w:val="auto"/>
    </w:rPr>
  </w:style>
  <w:style w:type="paragraph" w:customStyle="1" w:styleId="CM57">
    <w:name w:val="CM57"/>
    <w:basedOn w:val="Default"/>
    <w:next w:val="Default"/>
    <w:uiPriority w:val="99"/>
    <w:rsid w:val="000E3400"/>
    <w:pPr>
      <w:spacing w:line="200" w:lineRule="atLeast"/>
    </w:pPr>
    <w:rPr>
      <w:rFonts w:cstheme="minorBidi"/>
      <w:color w:val="auto"/>
    </w:rPr>
  </w:style>
  <w:style w:type="paragraph" w:customStyle="1" w:styleId="CM66">
    <w:name w:val="CM66"/>
    <w:basedOn w:val="Default"/>
    <w:next w:val="Default"/>
    <w:uiPriority w:val="99"/>
    <w:rsid w:val="000E3400"/>
    <w:pPr>
      <w:spacing w:line="200" w:lineRule="atLeast"/>
    </w:pPr>
    <w:rPr>
      <w:rFonts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1" ma:contentTypeDescription="Create a new document." ma:contentTypeScope="" ma:versionID="3f28f92473baa052d9af97b4bb9f444f">
  <xsd:schema xmlns:xsd="http://www.w3.org/2001/XMLSchema" xmlns:xs="http://www.w3.org/2001/XMLSchema" xmlns:p="http://schemas.microsoft.com/office/2006/metadata/properties" xmlns:ns2="e059a2d5-a4f8-4fd8-b836-4c9cf26100e7" targetNamespace="http://schemas.microsoft.com/office/2006/metadata/properties" ma:root="true" ma:fieldsID="7b43532d2fcc1596f1e7dfeccbcea2b4"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equest_x0020_Type xmlns="e059a2d5-a4f8-4fd8-b836-4c9cf26100e7" xsi:nil="true"/>
    <Content_x0020_Changes xmlns="e059a2d5-a4f8-4fd8-b836-4c9cf26100e7" xsi:nil="true"/>
    <OMB_x0020_Control_x0020_Number xmlns="e059a2d5-a4f8-4fd8-b836-4c9cf26100e7" xsi:nil="true"/>
    <FR_x0020_Title xmlns="e059a2d5-a4f8-4fd8-b836-4c9cf26100e7" xsi:nil="true"/>
    <ACF_x0020_Tracking_x0020_No_x002e_ xmlns="e059a2d5-a4f8-4fd8-b836-4c9cf26100e7">OCS-0375</ACF_x0020_Tracking_x0020_No_x002e_>
    <Description0 xmlns="e059a2d5-a4f8-4fd8-b836-4c9cf26100e7" xsi:nil="true"/>
  </documentManagement>
</p:properties>
</file>

<file path=customXml/itemProps1.xml><?xml version="1.0" encoding="utf-8"?>
<ds:datastoreItem xmlns:ds="http://schemas.openxmlformats.org/officeDocument/2006/customXml" ds:itemID="{CDA1A56C-50FA-42A9-89A1-00B75238A7D4}"/>
</file>

<file path=customXml/itemProps2.xml><?xml version="1.0" encoding="utf-8"?>
<ds:datastoreItem xmlns:ds="http://schemas.openxmlformats.org/officeDocument/2006/customXml" ds:itemID="{10B3F98D-804B-4E69-84B7-E5D1EC41E545}"/>
</file>

<file path=customXml/itemProps3.xml><?xml version="1.0" encoding="utf-8"?>
<ds:datastoreItem xmlns:ds="http://schemas.openxmlformats.org/officeDocument/2006/customXml" ds:itemID="{DA8BE961-C807-4E07-AC47-F8A7E9B6AAB1}"/>
</file>

<file path=docProps/app.xml><?xml version="1.0" encoding="utf-8"?>
<Properties xmlns="http://schemas.openxmlformats.org/officeDocument/2006/extended-properties" xmlns:vt="http://schemas.openxmlformats.org/officeDocument/2006/docPropsVTypes">
  <Template>Normal.dotm</Template>
  <TotalTime>0</TotalTime>
  <Pages>2</Pages>
  <Words>734</Words>
  <Characters>4185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4910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Windows User</cp:lastModifiedBy>
  <cp:revision>2</cp:revision>
  <dcterms:created xsi:type="dcterms:W3CDTF">2016-10-21T19:41:00Z</dcterms:created>
  <dcterms:modified xsi:type="dcterms:W3CDTF">2016-10-21T19:41:00Z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0x0101002DB6D95E8269FC4EB11D6171060D9B2D</vt:lpwstr>
  </property>
</Properties>
</file>