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D5" w:rsidRPr="002F079C" w:rsidRDefault="00633AD5" w:rsidP="00633AD5">
      <w:pPr>
        <w:tabs>
          <w:tab w:val="center" w:pos="4680"/>
        </w:tabs>
        <w:suppressAutoHyphens/>
        <w:jc w:val="center"/>
        <w:rPr>
          <w:rFonts w:ascii="Times New Roman" w:hAnsi="Times New Roman"/>
          <w:b/>
          <w:sz w:val="24"/>
        </w:rPr>
      </w:pPr>
      <w:bookmarkStart w:id="0" w:name="_GoBack"/>
      <w:bookmarkEnd w:id="0"/>
      <w:r w:rsidRPr="002F079C">
        <w:rPr>
          <w:rFonts w:ascii="Times New Roman" w:hAnsi="Times New Roman"/>
          <w:b/>
          <w:sz w:val="24"/>
        </w:rPr>
        <w:t>THE SUPPORTING STATEMENT</w:t>
      </w:r>
    </w:p>
    <w:p w:rsidR="00633AD5" w:rsidRPr="00633AD5" w:rsidRDefault="00633AD5" w:rsidP="00633AD5">
      <w:pPr>
        <w:tabs>
          <w:tab w:val="left" w:pos="-720"/>
        </w:tabs>
        <w:suppressAutoHyphens/>
        <w:spacing w:after="100" w:afterAutospacing="1"/>
        <w:rPr>
          <w:rFonts w:ascii="Times New Roman" w:hAnsi="Times New Roman"/>
          <w:sz w:val="24"/>
          <w:szCs w:val="24"/>
        </w:rPr>
      </w:pPr>
    </w:p>
    <w:p w:rsidR="00633AD5" w:rsidRPr="00633AD5" w:rsidRDefault="00633AD5" w:rsidP="00633AD5">
      <w:pPr>
        <w:widowControl/>
        <w:spacing w:after="100" w:afterAutospacing="1"/>
        <w:rPr>
          <w:rFonts w:ascii="Times New Roman" w:hAnsi="Times New Roman"/>
          <w:snapToGrid/>
          <w:sz w:val="24"/>
          <w:szCs w:val="24"/>
        </w:rPr>
      </w:pPr>
      <w:r w:rsidRPr="00633AD5">
        <w:rPr>
          <w:rFonts w:ascii="Times New Roman" w:hAnsi="Times New Roman"/>
          <w:b/>
          <w:bCs/>
          <w:snapToGrid/>
          <w:sz w:val="24"/>
          <w:szCs w:val="24"/>
        </w:rPr>
        <w:t>A.  Justification</w:t>
      </w:r>
    </w:p>
    <w:p w:rsidR="002F079C" w:rsidRPr="002F079C" w:rsidRDefault="002F079C" w:rsidP="002F079C">
      <w:pPr>
        <w:widowControl/>
        <w:tabs>
          <w:tab w:val="decimal" w:pos="540"/>
        </w:tabs>
        <w:spacing w:after="100" w:afterAutospacing="1"/>
        <w:ind w:left="360"/>
        <w:rPr>
          <w:rFonts w:ascii="Times New Roman" w:hAnsi="Times New Roman"/>
          <w:snapToGrid/>
          <w:sz w:val="24"/>
          <w:szCs w:val="24"/>
        </w:rPr>
      </w:pPr>
      <w:r w:rsidRPr="002F079C">
        <w:rPr>
          <w:rFonts w:ascii="Times New Roman" w:hAnsi="Times New Roman"/>
          <w:snapToGrid/>
          <w:sz w:val="24"/>
          <w:szCs w:val="24"/>
        </w:rPr>
        <w:tab/>
        <w:t>1.</w:t>
      </w:r>
      <w:r w:rsidRPr="002F079C">
        <w:rPr>
          <w:rFonts w:ascii="Times New Roman" w:hAnsi="Times New Roman"/>
          <w:snapToGrid/>
          <w:sz w:val="24"/>
          <w:szCs w:val="24"/>
        </w:rPr>
        <w:tab/>
        <w:t xml:space="preserve">Circumstances Making the Collection of Information Necessary </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Section 452(a)(11) of the Social Security Act requires the Secretary of the Department of Health and Human Services to promulgate form</w:t>
      </w:r>
      <w:r w:rsidR="00342F8A">
        <w:rPr>
          <w:rFonts w:ascii="Times New Roman" w:hAnsi="Times New Roman"/>
          <w:snapToGrid/>
          <w:sz w:val="24"/>
          <w:szCs w:val="24"/>
        </w:rPr>
        <w:t>s</w:t>
      </w:r>
      <w:r w:rsidRPr="00633AD5">
        <w:rPr>
          <w:rFonts w:ascii="Times New Roman" w:hAnsi="Times New Roman"/>
          <w:snapToGrid/>
          <w:sz w:val="24"/>
          <w:szCs w:val="24"/>
        </w:rPr>
        <w:t xml:space="preserve"> for administrative subpoenas and imposition of liens used by State child support enforcement (Title IV-D) agencies</w:t>
      </w:r>
      <w:r w:rsidR="00342F8A">
        <w:rPr>
          <w:rFonts w:ascii="Times New Roman" w:hAnsi="Times New Roman"/>
          <w:snapToGrid/>
          <w:sz w:val="24"/>
          <w:szCs w:val="24"/>
        </w:rPr>
        <w:t xml:space="preserve"> in interstate cases</w:t>
      </w:r>
      <w:r w:rsidRPr="00633AD5">
        <w:rPr>
          <w:rFonts w:ascii="Times New Roman" w:hAnsi="Times New Roman"/>
          <w:snapToGrid/>
          <w:sz w:val="24"/>
          <w:szCs w:val="24"/>
        </w:rPr>
        <w:t>.  Section 454(9)(E) of the Social Security Act requires each State to cooperate with any other State in using the federal form</w:t>
      </w:r>
      <w:r w:rsidR="00342F8A">
        <w:rPr>
          <w:rFonts w:ascii="Times New Roman" w:hAnsi="Times New Roman"/>
          <w:snapToGrid/>
          <w:sz w:val="24"/>
          <w:szCs w:val="24"/>
        </w:rPr>
        <w:t>s</w:t>
      </w:r>
      <w:r w:rsidRPr="00633AD5">
        <w:rPr>
          <w:rFonts w:ascii="Times New Roman" w:hAnsi="Times New Roman"/>
          <w:snapToGrid/>
          <w:sz w:val="24"/>
          <w:szCs w:val="24"/>
        </w:rPr>
        <w:t xml:space="preserve"> for issuance of administrative subpoenas and imposition of liens in interstate child support cases.  </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2.</w:t>
      </w:r>
      <w:r>
        <w:rPr>
          <w:rFonts w:ascii="Times New Roman" w:hAnsi="Times New Roman"/>
          <w:snapToGrid/>
          <w:sz w:val="24"/>
          <w:szCs w:val="24"/>
        </w:rPr>
        <w:tab/>
      </w:r>
      <w:r w:rsidRPr="0026621A">
        <w:rPr>
          <w:rFonts w:ascii="Times New Roman" w:hAnsi="Times New Roman"/>
          <w:snapToGrid/>
          <w:sz w:val="24"/>
          <w:szCs w:val="24"/>
        </w:rPr>
        <w:t>Purpose and Us</w:t>
      </w:r>
      <w:r>
        <w:rPr>
          <w:rFonts w:ascii="Times New Roman" w:hAnsi="Times New Roman"/>
          <w:snapToGrid/>
          <w:sz w:val="24"/>
          <w:szCs w:val="24"/>
        </w:rPr>
        <w:t>e of the Information Collection</w:t>
      </w:r>
      <w:r w:rsidRPr="00633AD5">
        <w:rPr>
          <w:rFonts w:ascii="Times New Roman" w:hAnsi="Times New Roman"/>
          <w:snapToGrid/>
          <w:sz w:val="24"/>
          <w:szCs w:val="24"/>
        </w:rPr>
        <w:t xml:space="preserve"> </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The </w:t>
      </w:r>
      <w:r w:rsidR="00702D5E">
        <w:rPr>
          <w:rFonts w:ascii="Times New Roman" w:hAnsi="Times New Roman"/>
          <w:snapToGrid/>
          <w:sz w:val="24"/>
          <w:szCs w:val="24"/>
        </w:rPr>
        <w:t>A</w:t>
      </w:r>
      <w:r w:rsidR="00702D5E" w:rsidRPr="00633AD5">
        <w:rPr>
          <w:rFonts w:ascii="Times New Roman" w:hAnsi="Times New Roman"/>
          <w:snapToGrid/>
          <w:sz w:val="24"/>
          <w:szCs w:val="24"/>
        </w:rPr>
        <w:t xml:space="preserve">dministrative </w:t>
      </w:r>
      <w:r w:rsidR="00702D5E">
        <w:rPr>
          <w:rFonts w:ascii="Times New Roman" w:hAnsi="Times New Roman"/>
          <w:snapToGrid/>
          <w:sz w:val="24"/>
          <w:szCs w:val="24"/>
        </w:rPr>
        <w:t>S</w:t>
      </w:r>
      <w:r w:rsidR="00702D5E" w:rsidRPr="00633AD5">
        <w:rPr>
          <w:rFonts w:ascii="Times New Roman" w:hAnsi="Times New Roman"/>
          <w:snapToGrid/>
          <w:sz w:val="24"/>
          <w:szCs w:val="24"/>
        </w:rPr>
        <w:t xml:space="preserve">ubpoena </w:t>
      </w:r>
      <w:r w:rsidRPr="00633AD5">
        <w:rPr>
          <w:rFonts w:ascii="Times New Roman" w:hAnsi="Times New Roman"/>
          <w:snapToGrid/>
          <w:sz w:val="24"/>
          <w:szCs w:val="24"/>
        </w:rPr>
        <w:t>is used by State IV-D agencies to obtain income and other financial information regarding noncustodial parents for purposes of establishing, enforcing</w:t>
      </w:r>
      <w:r w:rsidR="009D6BFD">
        <w:rPr>
          <w:rFonts w:ascii="Times New Roman" w:hAnsi="Times New Roman"/>
          <w:snapToGrid/>
          <w:sz w:val="24"/>
          <w:szCs w:val="24"/>
        </w:rPr>
        <w:t>,</w:t>
      </w:r>
      <w:r w:rsidRPr="00633AD5">
        <w:rPr>
          <w:rFonts w:ascii="Times New Roman" w:hAnsi="Times New Roman"/>
          <w:snapToGrid/>
          <w:sz w:val="24"/>
          <w:szCs w:val="24"/>
        </w:rPr>
        <w:t xml:space="preserve"> and modifying child support orders.  The Social Security Act authorizes each State to send these </w:t>
      </w:r>
      <w:r w:rsidR="00702D5E">
        <w:rPr>
          <w:rFonts w:ascii="Times New Roman" w:hAnsi="Times New Roman"/>
          <w:snapToGrid/>
          <w:sz w:val="24"/>
          <w:szCs w:val="24"/>
        </w:rPr>
        <w:t>Administrative Subpoena</w:t>
      </w:r>
      <w:r w:rsidRPr="00633AD5">
        <w:rPr>
          <w:rFonts w:ascii="Times New Roman" w:hAnsi="Times New Roman"/>
          <w:snapToGrid/>
          <w:sz w:val="24"/>
          <w:szCs w:val="24"/>
        </w:rPr>
        <w:t>s to employers and financial institutions across State lines.</w:t>
      </w:r>
    </w:p>
    <w:p w:rsidR="00B42931" w:rsidRPr="00633AD5" w:rsidRDefault="00B42931" w:rsidP="00633AD5">
      <w:pPr>
        <w:widowControl/>
        <w:spacing w:after="100" w:afterAutospacing="1"/>
        <w:ind w:left="720"/>
        <w:rPr>
          <w:rFonts w:ascii="Times New Roman" w:hAnsi="Times New Roman"/>
          <w:snapToGrid/>
          <w:sz w:val="24"/>
          <w:szCs w:val="24"/>
        </w:rPr>
      </w:pPr>
      <w:r w:rsidRPr="00B42931">
        <w:rPr>
          <w:rFonts w:ascii="Times New Roman" w:hAnsi="Times New Roman"/>
          <w:snapToGrid/>
          <w:sz w:val="24"/>
          <w:szCs w:val="24"/>
        </w:rPr>
        <w:t xml:space="preserve">Section 466 of the Social Security Act requires State IV-D agencies to have procedures to impose liens in cases with </w:t>
      </w:r>
      <w:r w:rsidR="00702D5E">
        <w:rPr>
          <w:rFonts w:ascii="Times New Roman" w:hAnsi="Times New Roman"/>
          <w:snapToGrid/>
          <w:sz w:val="24"/>
          <w:szCs w:val="24"/>
        </w:rPr>
        <w:t>overdue support</w:t>
      </w:r>
      <w:r w:rsidRPr="00B42931">
        <w:rPr>
          <w:rFonts w:ascii="Times New Roman" w:hAnsi="Times New Roman"/>
          <w:snapToGrid/>
          <w:sz w:val="24"/>
          <w:szCs w:val="24"/>
        </w:rPr>
        <w:t>.</w:t>
      </w:r>
      <w:r w:rsidR="00915F61">
        <w:rPr>
          <w:rFonts w:ascii="Times New Roman" w:hAnsi="Times New Roman"/>
          <w:snapToGrid/>
          <w:sz w:val="24"/>
          <w:szCs w:val="24"/>
        </w:rPr>
        <w:t xml:space="preserve"> </w:t>
      </w:r>
      <w:r w:rsidRPr="00B42931">
        <w:rPr>
          <w:rFonts w:ascii="Times New Roman" w:hAnsi="Times New Roman"/>
          <w:snapToGrid/>
          <w:sz w:val="24"/>
          <w:szCs w:val="24"/>
        </w:rPr>
        <w:t xml:space="preserve"> </w:t>
      </w:r>
      <w:r w:rsidR="00915F61">
        <w:rPr>
          <w:rFonts w:ascii="Times New Roman" w:hAnsi="Times New Roman"/>
          <w:snapToGrid/>
          <w:sz w:val="24"/>
          <w:szCs w:val="24"/>
        </w:rPr>
        <w:t>A s</w:t>
      </w:r>
      <w:r w:rsidRPr="00B42931">
        <w:rPr>
          <w:rFonts w:ascii="Times New Roman" w:hAnsi="Times New Roman"/>
          <w:snapToGrid/>
          <w:sz w:val="24"/>
          <w:szCs w:val="24"/>
        </w:rPr>
        <w:t>tate IV-D agency use</w:t>
      </w:r>
      <w:r w:rsidR="00915F61">
        <w:rPr>
          <w:rFonts w:ascii="Times New Roman" w:hAnsi="Times New Roman"/>
          <w:snapToGrid/>
          <w:sz w:val="24"/>
          <w:szCs w:val="24"/>
        </w:rPr>
        <w:t>s</w:t>
      </w:r>
      <w:r w:rsidRPr="00B42931">
        <w:rPr>
          <w:rFonts w:ascii="Times New Roman" w:hAnsi="Times New Roman"/>
          <w:snapToGrid/>
          <w:sz w:val="24"/>
          <w:szCs w:val="24"/>
        </w:rPr>
        <w:t xml:space="preserve"> the </w:t>
      </w:r>
      <w:r w:rsidR="00566210">
        <w:rPr>
          <w:rFonts w:ascii="Times New Roman" w:hAnsi="Times New Roman"/>
          <w:snapToGrid/>
          <w:sz w:val="24"/>
          <w:szCs w:val="24"/>
        </w:rPr>
        <w:t>N</w:t>
      </w:r>
      <w:r w:rsidR="00566210" w:rsidRPr="00B42931">
        <w:rPr>
          <w:rFonts w:ascii="Times New Roman" w:hAnsi="Times New Roman"/>
          <w:snapToGrid/>
          <w:sz w:val="24"/>
          <w:szCs w:val="24"/>
        </w:rPr>
        <w:t xml:space="preserve">otice </w:t>
      </w:r>
      <w:r w:rsidRPr="00B42931">
        <w:rPr>
          <w:rFonts w:ascii="Times New Roman" w:hAnsi="Times New Roman"/>
          <w:snapToGrid/>
          <w:sz w:val="24"/>
          <w:szCs w:val="24"/>
        </w:rPr>
        <w:t xml:space="preserve">of </w:t>
      </w:r>
      <w:r w:rsidR="00566210">
        <w:rPr>
          <w:rFonts w:ascii="Times New Roman" w:hAnsi="Times New Roman"/>
          <w:snapToGrid/>
          <w:sz w:val="24"/>
          <w:szCs w:val="24"/>
        </w:rPr>
        <w:t>L</w:t>
      </w:r>
      <w:r w:rsidRPr="00B42931">
        <w:rPr>
          <w:rFonts w:ascii="Times New Roman" w:hAnsi="Times New Roman"/>
          <w:snapToGrid/>
          <w:sz w:val="24"/>
          <w:szCs w:val="24"/>
        </w:rPr>
        <w:t xml:space="preserve">ien form to file liens across </w:t>
      </w:r>
      <w:r w:rsidR="009D6BFD">
        <w:rPr>
          <w:rFonts w:ascii="Times New Roman" w:hAnsi="Times New Roman"/>
          <w:snapToGrid/>
          <w:sz w:val="24"/>
          <w:szCs w:val="24"/>
        </w:rPr>
        <w:t>S</w:t>
      </w:r>
      <w:r w:rsidRPr="00B42931">
        <w:rPr>
          <w:rFonts w:ascii="Times New Roman" w:hAnsi="Times New Roman"/>
          <w:snapToGrid/>
          <w:sz w:val="24"/>
          <w:szCs w:val="24"/>
        </w:rPr>
        <w:t>tate lines, when it is more effi</w:t>
      </w:r>
      <w:r w:rsidR="009D6BFD">
        <w:rPr>
          <w:rFonts w:ascii="Times New Roman" w:hAnsi="Times New Roman"/>
          <w:snapToGrid/>
          <w:sz w:val="24"/>
          <w:szCs w:val="24"/>
        </w:rPr>
        <w:t>cient than involving the other S</w:t>
      </w:r>
      <w:r w:rsidRPr="00B42931">
        <w:rPr>
          <w:rFonts w:ascii="Times New Roman" w:hAnsi="Times New Roman"/>
          <w:snapToGrid/>
          <w:sz w:val="24"/>
          <w:szCs w:val="24"/>
        </w:rPr>
        <w:t>tate’s IV-D agency.  This form can also be used by custodial parents and their private attorneys in non-IV-D cases.</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3.</w:t>
      </w:r>
      <w:r>
        <w:rPr>
          <w:rFonts w:ascii="Times New Roman" w:hAnsi="Times New Roman"/>
          <w:snapToGrid/>
          <w:sz w:val="24"/>
          <w:szCs w:val="24"/>
        </w:rPr>
        <w:tab/>
      </w:r>
      <w:r w:rsidRPr="0026621A">
        <w:rPr>
          <w:rFonts w:ascii="Times New Roman" w:hAnsi="Times New Roman"/>
          <w:snapToGrid/>
          <w:sz w:val="24"/>
          <w:szCs w:val="24"/>
        </w:rPr>
        <w:t>Use of Improved Information Technology and Burden Reduction</w:t>
      </w:r>
    </w:p>
    <w:p w:rsidR="00633AD5" w:rsidRPr="00633AD5" w:rsidRDefault="00D63329" w:rsidP="00633AD5">
      <w:pPr>
        <w:widowControl/>
        <w:spacing w:after="100" w:afterAutospacing="1"/>
        <w:ind w:left="720"/>
        <w:rPr>
          <w:rFonts w:ascii="Times New Roman" w:hAnsi="Times New Roman"/>
          <w:snapToGrid/>
          <w:sz w:val="24"/>
          <w:szCs w:val="24"/>
        </w:rPr>
      </w:pPr>
      <w:r w:rsidRPr="00D63329">
        <w:rPr>
          <w:rFonts w:ascii="Times New Roman" w:hAnsi="Times New Roman"/>
          <w:snapToGrid/>
          <w:sz w:val="24"/>
          <w:szCs w:val="24"/>
        </w:rPr>
        <w:t>Federal regulations for interstate case processing encourage the use of</w:t>
      </w:r>
      <w:r w:rsidR="009D6BFD">
        <w:rPr>
          <w:rFonts w:ascii="Times New Roman" w:hAnsi="Times New Roman"/>
          <w:snapToGrid/>
          <w:sz w:val="24"/>
          <w:szCs w:val="24"/>
        </w:rPr>
        <w:t xml:space="preserve"> electronic communication, and S</w:t>
      </w:r>
      <w:r w:rsidRPr="00D63329">
        <w:rPr>
          <w:rFonts w:ascii="Times New Roman" w:hAnsi="Times New Roman"/>
          <w:snapToGrid/>
          <w:sz w:val="24"/>
          <w:szCs w:val="24"/>
        </w:rPr>
        <w:t>tate law under the Uniform Intestate Family Support Act (UIFSA) allows the electronic transmission of information as well.</w:t>
      </w:r>
      <w:r w:rsidR="009D6BFD">
        <w:rPr>
          <w:rFonts w:ascii="Times New Roman" w:hAnsi="Times New Roman"/>
          <w:snapToGrid/>
          <w:sz w:val="24"/>
          <w:szCs w:val="24"/>
        </w:rPr>
        <w:t xml:space="preserve">  However, S</w:t>
      </w:r>
      <w:r w:rsidRPr="00D63329">
        <w:rPr>
          <w:rFonts w:ascii="Times New Roman" w:hAnsi="Times New Roman"/>
          <w:snapToGrid/>
          <w:sz w:val="24"/>
          <w:szCs w:val="24"/>
        </w:rPr>
        <w:t>tate law governs intrastate procedures for filing subpoenas and liens and may place restrictions on elect</w:t>
      </w:r>
      <w:r w:rsidR="009D6BFD">
        <w:rPr>
          <w:rFonts w:ascii="Times New Roman" w:hAnsi="Times New Roman"/>
          <w:snapToGrid/>
          <w:sz w:val="24"/>
          <w:szCs w:val="24"/>
        </w:rPr>
        <w:t>ronic procedures in particular S</w:t>
      </w:r>
      <w:r w:rsidRPr="00D63329">
        <w:rPr>
          <w:rFonts w:ascii="Times New Roman" w:hAnsi="Times New Roman"/>
          <w:snapToGrid/>
          <w:sz w:val="24"/>
          <w:szCs w:val="24"/>
        </w:rPr>
        <w:t>tates.</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4.</w:t>
      </w:r>
      <w:r>
        <w:rPr>
          <w:rFonts w:ascii="Times New Roman" w:hAnsi="Times New Roman"/>
          <w:snapToGrid/>
          <w:sz w:val="24"/>
          <w:szCs w:val="24"/>
        </w:rPr>
        <w:tab/>
      </w:r>
      <w:r w:rsidRPr="0026621A">
        <w:rPr>
          <w:rFonts w:ascii="Times New Roman" w:hAnsi="Times New Roman"/>
          <w:snapToGrid/>
          <w:sz w:val="24"/>
          <w:szCs w:val="24"/>
        </w:rPr>
        <w:t>Efforts to Identify Duplication and Use of Similar Information</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In the original development of the </w:t>
      </w:r>
      <w:r w:rsidR="00702D5E">
        <w:rPr>
          <w:rFonts w:ascii="Times New Roman" w:hAnsi="Times New Roman"/>
          <w:snapToGrid/>
          <w:sz w:val="24"/>
          <w:szCs w:val="24"/>
        </w:rPr>
        <w:t>A</w:t>
      </w:r>
      <w:r w:rsidR="00702D5E" w:rsidRPr="00633AD5">
        <w:rPr>
          <w:rFonts w:ascii="Times New Roman" w:hAnsi="Times New Roman"/>
          <w:snapToGrid/>
          <w:sz w:val="24"/>
          <w:szCs w:val="24"/>
        </w:rPr>
        <w:t xml:space="preserve">dministrative </w:t>
      </w:r>
      <w:r w:rsidR="00702D5E">
        <w:rPr>
          <w:rFonts w:ascii="Times New Roman" w:hAnsi="Times New Roman"/>
          <w:snapToGrid/>
          <w:sz w:val="24"/>
          <w:szCs w:val="24"/>
        </w:rPr>
        <w:t>S</w:t>
      </w:r>
      <w:r w:rsidRPr="00633AD5">
        <w:rPr>
          <w:rFonts w:ascii="Times New Roman" w:hAnsi="Times New Roman"/>
          <w:snapToGrid/>
          <w:sz w:val="24"/>
          <w:szCs w:val="24"/>
        </w:rPr>
        <w:t xml:space="preserve">ubpoena and </w:t>
      </w:r>
      <w:r w:rsidR="00566210">
        <w:rPr>
          <w:rFonts w:ascii="Times New Roman" w:hAnsi="Times New Roman"/>
          <w:snapToGrid/>
          <w:sz w:val="24"/>
          <w:szCs w:val="24"/>
        </w:rPr>
        <w:t>N</w:t>
      </w:r>
      <w:r w:rsidR="00566210" w:rsidRPr="00633AD5">
        <w:rPr>
          <w:rFonts w:ascii="Times New Roman" w:hAnsi="Times New Roman"/>
          <w:snapToGrid/>
          <w:sz w:val="24"/>
          <w:szCs w:val="24"/>
        </w:rPr>
        <w:t xml:space="preserve">otice </w:t>
      </w:r>
      <w:r w:rsidRPr="00633AD5">
        <w:rPr>
          <w:rFonts w:ascii="Times New Roman" w:hAnsi="Times New Roman"/>
          <w:snapToGrid/>
          <w:sz w:val="24"/>
          <w:szCs w:val="24"/>
        </w:rPr>
        <w:t xml:space="preserve">of </w:t>
      </w:r>
      <w:r w:rsidR="00566210">
        <w:rPr>
          <w:rFonts w:ascii="Times New Roman" w:hAnsi="Times New Roman"/>
          <w:snapToGrid/>
          <w:sz w:val="24"/>
          <w:szCs w:val="24"/>
        </w:rPr>
        <w:t>L</w:t>
      </w:r>
      <w:r w:rsidRPr="00633AD5">
        <w:rPr>
          <w:rFonts w:ascii="Times New Roman" w:hAnsi="Times New Roman"/>
          <w:snapToGrid/>
          <w:sz w:val="24"/>
          <w:szCs w:val="24"/>
        </w:rPr>
        <w:t>ien, considerable attention was focused on preventing duplication.  At this time, we are not making any changes to the form</w:t>
      </w:r>
      <w:r w:rsidR="00990C36">
        <w:rPr>
          <w:rFonts w:ascii="Times New Roman" w:hAnsi="Times New Roman"/>
          <w:snapToGrid/>
          <w:sz w:val="24"/>
          <w:szCs w:val="24"/>
        </w:rPr>
        <w:t>s</w:t>
      </w:r>
      <w:r w:rsidRPr="00633AD5">
        <w:rPr>
          <w:rFonts w:ascii="Times New Roman" w:hAnsi="Times New Roman"/>
          <w:snapToGrid/>
          <w:sz w:val="24"/>
          <w:szCs w:val="24"/>
        </w:rPr>
        <w:t xml:space="preserve"> that will affect the effort that was previously made to avoid duplication.  The </w:t>
      </w:r>
      <w:r w:rsidR="00702D5E">
        <w:rPr>
          <w:rFonts w:ascii="Times New Roman" w:hAnsi="Times New Roman"/>
          <w:snapToGrid/>
          <w:sz w:val="24"/>
          <w:szCs w:val="24"/>
        </w:rPr>
        <w:t>Administrative Subpoena</w:t>
      </w:r>
      <w:r w:rsidRPr="00633AD5">
        <w:rPr>
          <w:rFonts w:ascii="Times New Roman" w:hAnsi="Times New Roman"/>
          <w:snapToGrid/>
          <w:sz w:val="24"/>
          <w:szCs w:val="24"/>
        </w:rPr>
        <w:t xml:space="preserve"> is to be used in situations where similar information is not already available.</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5.</w:t>
      </w:r>
      <w:r>
        <w:rPr>
          <w:rFonts w:ascii="Times New Roman" w:hAnsi="Times New Roman"/>
          <w:snapToGrid/>
          <w:sz w:val="24"/>
          <w:szCs w:val="24"/>
        </w:rPr>
        <w:tab/>
      </w:r>
      <w:r w:rsidRPr="0026621A">
        <w:rPr>
          <w:rFonts w:ascii="Times New Roman" w:hAnsi="Times New Roman"/>
          <w:snapToGrid/>
          <w:sz w:val="24"/>
          <w:szCs w:val="24"/>
        </w:rPr>
        <w:t xml:space="preserve">Impact on Small Businesses or Other Small Entities </w:t>
      </w:r>
      <w:r w:rsidRPr="00633AD5">
        <w:rPr>
          <w:rFonts w:ascii="Times New Roman" w:hAnsi="Times New Roman"/>
          <w:snapToGrid/>
          <w:sz w:val="24"/>
          <w:szCs w:val="24"/>
        </w:rPr>
        <w:t xml:space="preserve"> </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This collection of information will have no additional impact upon small businesses or other small entities because they are already </w:t>
      </w:r>
      <w:r w:rsidR="00990C36">
        <w:rPr>
          <w:rFonts w:ascii="Times New Roman" w:hAnsi="Times New Roman"/>
          <w:snapToGrid/>
          <w:sz w:val="24"/>
          <w:szCs w:val="24"/>
        </w:rPr>
        <w:t>required</w:t>
      </w:r>
      <w:r w:rsidRPr="00633AD5">
        <w:rPr>
          <w:rFonts w:ascii="Times New Roman" w:hAnsi="Times New Roman"/>
          <w:snapToGrid/>
          <w:sz w:val="24"/>
          <w:szCs w:val="24"/>
        </w:rPr>
        <w:t xml:space="preserve"> to respond to request</w:t>
      </w:r>
      <w:r w:rsidR="00990C36">
        <w:rPr>
          <w:rFonts w:ascii="Times New Roman" w:hAnsi="Times New Roman"/>
          <w:snapToGrid/>
          <w:sz w:val="24"/>
          <w:szCs w:val="24"/>
        </w:rPr>
        <w:t>s</w:t>
      </w:r>
      <w:r w:rsidRPr="00633AD5">
        <w:rPr>
          <w:rFonts w:ascii="Times New Roman" w:hAnsi="Times New Roman"/>
          <w:snapToGrid/>
          <w:sz w:val="24"/>
          <w:szCs w:val="24"/>
        </w:rPr>
        <w:t xml:space="preserve"> for subpoenas and liens </w:t>
      </w:r>
      <w:r w:rsidR="00990C36">
        <w:rPr>
          <w:rFonts w:ascii="Times New Roman" w:hAnsi="Times New Roman"/>
          <w:snapToGrid/>
          <w:sz w:val="24"/>
          <w:szCs w:val="24"/>
        </w:rPr>
        <w:t>in child support cases</w:t>
      </w:r>
      <w:r w:rsidRPr="00633AD5">
        <w:rPr>
          <w:rFonts w:ascii="Times New Roman" w:hAnsi="Times New Roman"/>
          <w:snapToGrid/>
          <w:sz w:val="24"/>
          <w:szCs w:val="24"/>
        </w:rPr>
        <w:t>.</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lastRenderedPageBreak/>
        <w:tab/>
        <w:t>6.</w:t>
      </w:r>
      <w:r>
        <w:rPr>
          <w:rFonts w:ascii="Times New Roman" w:hAnsi="Times New Roman"/>
          <w:snapToGrid/>
          <w:sz w:val="24"/>
          <w:szCs w:val="24"/>
        </w:rPr>
        <w:tab/>
      </w:r>
      <w:r w:rsidRPr="0026621A">
        <w:rPr>
          <w:rFonts w:ascii="Times New Roman" w:hAnsi="Times New Roman"/>
          <w:snapToGrid/>
          <w:sz w:val="24"/>
          <w:szCs w:val="24"/>
        </w:rPr>
        <w:t>Consequences of Collecting the Information Less Frequently</w:t>
      </w:r>
    </w:p>
    <w:p w:rsidR="00633AD5" w:rsidRPr="00633AD5" w:rsidRDefault="00A9032C" w:rsidP="00633AD5">
      <w:pPr>
        <w:widowControl/>
        <w:spacing w:after="100" w:afterAutospacing="1"/>
        <w:ind w:left="720"/>
        <w:rPr>
          <w:rFonts w:ascii="Times New Roman" w:hAnsi="Times New Roman"/>
          <w:snapToGrid/>
          <w:sz w:val="24"/>
          <w:szCs w:val="24"/>
        </w:rPr>
      </w:pPr>
      <w:r w:rsidRPr="00A9032C">
        <w:rPr>
          <w:rFonts w:ascii="Times New Roman" w:hAnsi="Times New Roman"/>
          <w:snapToGrid/>
          <w:sz w:val="24"/>
          <w:szCs w:val="24"/>
        </w:rPr>
        <w:t>This collection of information is required by the Social Security Act in order to col</w:t>
      </w:r>
      <w:r w:rsidR="009D6BFD">
        <w:rPr>
          <w:rFonts w:ascii="Times New Roman" w:hAnsi="Times New Roman"/>
          <w:snapToGrid/>
          <w:sz w:val="24"/>
          <w:szCs w:val="24"/>
        </w:rPr>
        <w:t>lect child support debt across S</w:t>
      </w:r>
      <w:r w:rsidRPr="00A9032C">
        <w:rPr>
          <w:rFonts w:ascii="Times New Roman" w:hAnsi="Times New Roman"/>
          <w:snapToGrid/>
          <w:sz w:val="24"/>
          <w:szCs w:val="24"/>
        </w:rPr>
        <w:t>tate lines.</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7.</w:t>
      </w:r>
      <w:r>
        <w:rPr>
          <w:rFonts w:ascii="Times New Roman" w:hAnsi="Times New Roman"/>
          <w:snapToGrid/>
          <w:sz w:val="24"/>
          <w:szCs w:val="24"/>
        </w:rPr>
        <w:tab/>
      </w:r>
      <w:r w:rsidRPr="0026621A">
        <w:rPr>
          <w:rFonts w:ascii="Times New Roman" w:hAnsi="Times New Roman"/>
          <w:snapToGrid/>
          <w:sz w:val="24"/>
          <w:szCs w:val="24"/>
        </w:rPr>
        <w:t>Special Circumstances Relating to the Guidelines of 5 CFR 1320.5</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There are no special circumstances associated with collection of this information.</w:t>
      </w:r>
    </w:p>
    <w:p w:rsidR="002F079C" w:rsidRPr="00633AD5" w:rsidRDefault="002F079C" w:rsidP="002F079C">
      <w:pPr>
        <w:widowControl/>
        <w:tabs>
          <w:tab w:val="decimal" w:pos="540"/>
        </w:tabs>
        <w:spacing w:after="100" w:afterAutospacing="1"/>
        <w:ind w:left="720" w:hanging="720"/>
        <w:rPr>
          <w:rFonts w:ascii="Times New Roman" w:hAnsi="Times New Roman"/>
          <w:snapToGrid/>
          <w:sz w:val="24"/>
          <w:szCs w:val="24"/>
        </w:rPr>
      </w:pPr>
      <w:r>
        <w:rPr>
          <w:rFonts w:ascii="Times New Roman" w:hAnsi="Times New Roman"/>
          <w:snapToGrid/>
          <w:sz w:val="24"/>
          <w:szCs w:val="24"/>
        </w:rPr>
        <w:tab/>
        <w:t>8.</w:t>
      </w:r>
      <w:r>
        <w:rPr>
          <w:rFonts w:ascii="Times New Roman" w:hAnsi="Times New Roman"/>
          <w:snapToGrid/>
          <w:sz w:val="24"/>
          <w:szCs w:val="24"/>
        </w:rPr>
        <w:tab/>
      </w:r>
      <w:r w:rsidRPr="0026621A">
        <w:rPr>
          <w:rFonts w:ascii="Times New Roman" w:hAnsi="Times New Roman"/>
          <w:snapToGrid/>
          <w:sz w:val="24"/>
          <w:szCs w:val="24"/>
        </w:rPr>
        <w:t>Comments in Response to the Federal Register Notice and Efforts to Consult Outside the Agency</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We published the required 60-day notice in the Federal Register on May 18, 2016, Volume 81, Number 96 on page 31242, soliciting comments on the information collection.  In addition, we sent out a notice about the opportunity to comment to the child support enforcement community via a Dear Colleague Letter (DCL-16-08).  </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Based on the comments we received in response to the 60-day notice, we have determined we need to address several issues, particularly the protection of Personal Identifiable Information (PII), and may need to </w:t>
      </w:r>
      <w:r w:rsidR="005A42A3">
        <w:rPr>
          <w:rFonts w:ascii="Times New Roman" w:hAnsi="Times New Roman"/>
          <w:snapToGrid/>
          <w:sz w:val="24"/>
          <w:szCs w:val="24"/>
        </w:rPr>
        <w:t>revise</w:t>
      </w:r>
      <w:r w:rsidR="005A42A3" w:rsidRPr="00633AD5">
        <w:rPr>
          <w:rFonts w:ascii="Times New Roman" w:hAnsi="Times New Roman"/>
          <w:snapToGrid/>
          <w:sz w:val="24"/>
          <w:szCs w:val="24"/>
        </w:rPr>
        <w:t xml:space="preserve"> </w:t>
      </w:r>
      <w:r w:rsidRPr="00633AD5">
        <w:rPr>
          <w:rFonts w:ascii="Times New Roman" w:hAnsi="Times New Roman"/>
          <w:snapToGrid/>
          <w:sz w:val="24"/>
          <w:szCs w:val="24"/>
        </w:rPr>
        <w:t xml:space="preserve">the Interstate Administrative Subpoena and Notice of Lien forms.  Because multiple changes to the forms may impact </w:t>
      </w:r>
      <w:r w:rsidR="005A42A3">
        <w:rPr>
          <w:rFonts w:ascii="Times New Roman" w:hAnsi="Times New Roman"/>
          <w:snapToGrid/>
          <w:sz w:val="24"/>
          <w:szCs w:val="24"/>
        </w:rPr>
        <w:t>S</w:t>
      </w:r>
      <w:r w:rsidR="005A42A3" w:rsidRPr="00633AD5">
        <w:rPr>
          <w:rFonts w:ascii="Times New Roman" w:hAnsi="Times New Roman"/>
          <w:snapToGrid/>
          <w:sz w:val="24"/>
          <w:szCs w:val="24"/>
        </w:rPr>
        <w:t xml:space="preserve">tate </w:t>
      </w:r>
      <w:r w:rsidR="009D6BFD">
        <w:rPr>
          <w:rFonts w:ascii="Times New Roman" w:hAnsi="Times New Roman"/>
          <w:snapToGrid/>
          <w:sz w:val="24"/>
          <w:szCs w:val="24"/>
        </w:rPr>
        <w:t>and F</w:t>
      </w:r>
      <w:r w:rsidRPr="00633AD5">
        <w:rPr>
          <w:rFonts w:ascii="Times New Roman" w:hAnsi="Times New Roman"/>
          <w:snapToGrid/>
          <w:sz w:val="24"/>
          <w:szCs w:val="24"/>
        </w:rPr>
        <w:t xml:space="preserve">ederal procedures and systems, we need to thoroughly analyze the options for revising the forms, and provide </w:t>
      </w:r>
      <w:r w:rsidR="005A42A3">
        <w:rPr>
          <w:rFonts w:ascii="Times New Roman" w:hAnsi="Times New Roman"/>
          <w:snapToGrid/>
          <w:sz w:val="24"/>
          <w:szCs w:val="24"/>
        </w:rPr>
        <w:t>S</w:t>
      </w:r>
      <w:r w:rsidRPr="00633AD5">
        <w:rPr>
          <w:rFonts w:ascii="Times New Roman" w:hAnsi="Times New Roman"/>
          <w:snapToGrid/>
          <w:sz w:val="24"/>
          <w:szCs w:val="24"/>
        </w:rPr>
        <w:t xml:space="preserve">tates and the public the opportunity to comment on any changes and associated burden.  </w:t>
      </w:r>
      <w:r w:rsidR="001B689D">
        <w:rPr>
          <w:rFonts w:ascii="Times New Roman" w:hAnsi="Times New Roman"/>
          <w:snapToGrid/>
          <w:sz w:val="24"/>
          <w:szCs w:val="24"/>
        </w:rPr>
        <w:t xml:space="preserve">Also we have just </w:t>
      </w:r>
      <w:r w:rsidR="005A42A3">
        <w:rPr>
          <w:rFonts w:ascii="Times New Roman" w:hAnsi="Times New Roman"/>
          <w:snapToGrid/>
          <w:sz w:val="24"/>
          <w:szCs w:val="24"/>
        </w:rPr>
        <w:t xml:space="preserve">substantially revised </w:t>
      </w:r>
      <w:r w:rsidR="001B689D">
        <w:rPr>
          <w:rFonts w:ascii="Times New Roman" w:hAnsi="Times New Roman"/>
          <w:snapToGrid/>
          <w:sz w:val="24"/>
          <w:szCs w:val="24"/>
        </w:rPr>
        <w:t>the Intergovernmental Forms</w:t>
      </w:r>
      <w:r w:rsidR="0083566B">
        <w:rPr>
          <w:rFonts w:ascii="Times New Roman" w:hAnsi="Times New Roman"/>
          <w:snapToGrid/>
          <w:sz w:val="24"/>
          <w:szCs w:val="24"/>
        </w:rPr>
        <w:t xml:space="preserve"> (OMB: </w:t>
      </w:r>
      <w:r w:rsidR="00A97FDA" w:rsidRPr="00A97FDA">
        <w:rPr>
          <w:rFonts w:ascii="Times New Roman" w:hAnsi="Times New Roman"/>
          <w:snapToGrid/>
          <w:sz w:val="24"/>
          <w:szCs w:val="24"/>
        </w:rPr>
        <w:t>0970-0085</w:t>
      </w:r>
      <w:r w:rsidR="0083566B">
        <w:rPr>
          <w:rFonts w:ascii="Times New Roman" w:hAnsi="Times New Roman"/>
          <w:snapToGrid/>
          <w:sz w:val="24"/>
          <w:szCs w:val="24"/>
        </w:rPr>
        <w:t>)</w:t>
      </w:r>
      <w:r w:rsidR="001B689D">
        <w:rPr>
          <w:rFonts w:ascii="Times New Roman" w:hAnsi="Times New Roman"/>
          <w:snapToGrid/>
          <w:sz w:val="24"/>
          <w:szCs w:val="24"/>
        </w:rPr>
        <w:t xml:space="preserve"> and would like the </w:t>
      </w:r>
      <w:r w:rsidR="009D6BFD">
        <w:rPr>
          <w:rFonts w:ascii="Times New Roman" w:hAnsi="Times New Roman"/>
          <w:snapToGrid/>
          <w:sz w:val="24"/>
          <w:szCs w:val="24"/>
        </w:rPr>
        <w:t>L</w:t>
      </w:r>
      <w:r w:rsidR="001B689D">
        <w:rPr>
          <w:rFonts w:ascii="Times New Roman" w:hAnsi="Times New Roman"/>
          <w:snapToGrid/>
          <w:sz w:val="24"/>
          <w:szCs w:val="24"/>
        </w:rPr>
        <w:t xml:space="preserve">ien and </w:t>
      </w:r>
      <w:r w:rsidR="009D6BFD">
        <w:rPr>
          <w:rFonts w:ascii="Times New Roman" w:hAnsi="Times New Roman"/>
          <w:snapToGrid/>
          <w:sz w:val="24"/>
          <w:szCs w:val="24"/>
        </w:rPr>
        <w:t>S</w:t>
      </w:r>
      <w:r w:rsidR="001B689D">
        <w:rPr>
          <w:rFonts w:ascii="Times New Roman" w:hAnsi="Times New Roman"/>
          <w:snapToGrid/>
          <w:sz w:val="24"/>
          <w:szCs w:val="24"/>
        </w:rPr>
        <w:t>ubpoena forms to look similar</w:t>
      </w:r>
      <w:r w:rsidR="006359ED">
        <w:rPr>
          <w:rFonts w:ascii="Times New Roman" w:hAnsi="Times New Roman"/>
          <w:snapToGrid/>
          <w:sz w:val="24"/>
          <w:szCs w:val="24"/>
        </w:rPr>
        <w:t>.</w:t>
      </w:r>
      <w:r w:rsidR="001B689D">
        <w:rPr>
          <w:rFonts w:ascii="Times New Roman" w:hAnsi="Times New Roman"/>
          <w:snapToGrid/>
          <w:sz w:val="24"/>
          <w:szCs w:val="24"/>
        </w:rPr>
        <w:t xml:space="preserve">  Since the Intergovernmental Forms have not</w:t>
      </w:r>
      <w:r w:rsidR="006359ED">
        <w:rPr>
          <w:rFonts w:ascii="Times New Roman" w:hAnsi="Times New Roman"/>
          <w:snapToGrid/>
          <w:sz w:val="24"/>
          <w:szCs w:val="24"/>
        </w:rPr>
        <w:t xml:space="preserve"> yet</w:t>
      </w:r>
      <w:r w:rsidR="001B689D">
        <w:rPr>
          <w:rFonts w:ascii="Times New Roman" w:hAnsi="Times New Roman"/>
          <w:snapToGrid/>
          <w:sz w:val="24"/>
          <w:szCs w:val="24"/>
        </w:rPr>
        <w:t xml:space="preserve"> been approved or implemented</w:t>
      </w:r>
      <w:r w:rsidR="005A42A3">
        <w:rPr>
          <w:rFonts w:ascii="Times New Roman" w:hAnsi="Times New Roman"/>
          <w:snapToGrid/>
          <w:sz w:val="24"/>
          <w:szCs w:val="24"/>
        </w:rPr>
        <w:t>,</w:t>
      </w:r>
      <w:r w:rsidR="001B689D">
        <w:rPr>
          <w:rFonts w:ascii="Times New Roman" w:hAnsi="Times New Roman"/>
          <w:snapToGrid/>
          <w:sz w:val="24"/>
          <w:szCs w:val="24"/>
        </w:rPr>
        <w:t xml:space="preserve"> we </w:t>
      </w:r>
      <w:r w:rsidR="009D6BFD">
        <w:rPr>
          <w:rFonts w:ascii="Times New Roman" w:hAnsi="Times New Roman"/>
          <w:snapToGrid/>
          <w:sz w:val="24"/>
          <w:szCs w:val="24"/>
        </w:rPr>
        <w:t>believe</w:t>
      </w:r>
      <w:r w:rsidR="001B689D">
        <w:rPr>
          <w:rFonts w:ascii="Times New Roman" w:hAnsi="Times New Roman"/>
          <w:snapToGrid/>
          <w:sz w:val="24"/>
          <w:szCs w:val="24"/>
        </w:rPr>
        <w:t xml:space="preserve"> that </w:t>
      </w:r>
      <w:r w:rsidR="008349D6">
        <w:rPr>
          <w:rFonts w:ascii="Times New Roman" w:hAnsi="Times New Roman"/>
          <w:snapToGrid/>
          <w:sz w:val="24"/>
          <w:szCs w:val="24"/>
        </w:rPr>
        <w:t>changes to the lien and subpoena forms are</w:t>
      </w:r>
      <w:r w:rsidR="002F079C">
        <w:rPr>
          <w:rFonts w:ascii="Times New Roman" w:hAnsi="Times New Roman"/>
          <w:snapToGrid/>
          <w:sz w:val="24"/>
          <w:szCs w:val="24"/>
        </w:rPr>
        <w:t xml:space="preserve"> </w:t>
      </w:r>
      <w:r w:rsidR="001B689D">
        <w:rPr>
          <w:rFonts w:ascii="Times New Roman" w:hAnsi="Times New Roman"/>
          <w:snapToGrid/>
          <w:sz w:val="24"/>
          <w:szCs w:val="24"/>
        </w:rPr>
        <w:t xml:space="preserve">premature.  </w:t>
      </w:r>
    </w:p>
    <w:p w:rsidR="00633AD5" w:rsidRPr="00633AD5" w:rsidRDefault="009D6BFD" w:rsidP="00633AD5">
      <w:pPr>
        <w:widowControl/>
        <w:spacing w:after="100" w:afterAutospacing="1"/>
        <w:ind w:left="720"/>
        <w:rPr>
          <w:rFonts w:ascii="Times New Roman" w:hAnsi="Times New Roman"/>
          <w:snapToGrid/>
          <w:sz w:val="24"/>
          <w:szCs w:val="24"/>
        </w:rPr>
      </w:pPr>
      <w:r>
        <w:rPr>
          <w:rFonts w:ascii="Times New Roman" w:hAnsi="Times New Roman"/>
          <w:snapToGrid/>
          <w:sz w:val="24"/>
          <w:szCs w:val="24"/>
        </w:rPr>
        <w:t>W</w:t>
      </w:r>
      <w:r w:rsidR="00633AD5" w:rsidRPr="00633AD5">
        <w:rPr>
          <w:rFonts w:ascii="Times New Roman" w:hAnsi="Times New Roman"/>
          <w:snapToGrid/>
          <w:sz w:val="24"/>
          <w:szCs w:val="24"/>
        </w:rPr>
        <w:t>e are requesting an extension of the current forms without any changes.  Once we complete the analysis of the issues raised in response to the recent 60</w:t>
      </w:r>
      <w:r w:rsidR="005A42A3">
        <w:rPr>
          <w:rFonts w:ascii="Times New Roman" w:hAnsi="Times New Roman"/>
          <w:snapToGrid/>
          <w:sz w:val="24"/>
          <w:szCs w:val="24"/>
        </w:rPr>
        <w:t>-</w:t>
      </w:r>
      <w:r w:rsidR="00633AD5" w:rsidRPr="00633AD5">
        <w:rPr>
          <w:rFonts w:ascii="Times New Roman" w:hAnsi="Times New Roman"/>
          <w:snapToGrid/>
          <w:sz w:val="24"/>
          <w:szCs w:val="24"/>
        </w:rPr>
        <w:t>day notice</w:t>
      </w:r>
      <w:r w:rsidR="0083566B">
        <w:rPr>
          <w:rFonts w:ascii="Times New Roman" w:hAnsi="Times New Roman"/>
          <w:snapToGrid/>
          <w:sz w:val="24"/>
          <w:szCs w:val="24"/>
        </w:rPr>
        <w:t>, and once the Intergovernmental Forms have been approved</w:t>
      </w:r>
      <w:r w:rsidR="00633AD5" w:rsidRPr="00633AD5">
        <w:rPr>
          <w:rFonts w:ascii="Times New Roman" w:hAnsi="Times New Roman"/>
          <w:snapToGrid/>
          <w:sz w:val="24"/>
          <w:szCs w:val="24"/>
        </w:rPr>
        <w:t xml:space="preserve">, we will propose changes to </w:t>
      </w:r>
      <w:r w:rsidR="0083566B" w:rsidRPr="00633AD5">
        <w:rPr>
          <w:rFonts w:ascii="Times New Roman" w:hAnsi="Times New Roman"/>
          <w:snapToGrid/>
          <w:sz w:val="24"/>
          <w:szCs w:val="24"/>
        </w:rPr>
        <w:t>the</w:t>
      </w:r>
      <w:r w:rsidR="0083566B">
        <w:rPr>
          <w:rFonts w:ascii="Times New Roman" w:hAnsi="Times New Roman"/>
          <w:snapToGrid/>
          <w:sz w:val="24"/>
          <w:szCs w:val="24"/>
        </w:rPr>
        <w:t xml:space="preserve"> lien and subpoena </w:t>
      </w:r>
      <w:r w:rsidR="00633AD5" w:rsidRPr="00633AD5">
        <w:rPr>
          <w:rFonts w:ascii="Times New Roman" w:hAnsi="Times New Roman"/>
          <w:snapToGrid/>
          <w:sz w:val="24"/>
          <w:szCs w:val="24"/>
        </w:rPr>
        <w:t xml:space="preserve">forms and associated burden and request a new round of comments under the Paperwork Reduction Act.  The changes will be based on the </w:t>
      </w:r>
      <w:r w:rsidR="00E27144">
        <w:rPr>
          <w:rFonts w:ascii="Times New Roman" w:hAnsi="Times New Roman"/>
          <w:snapToGrid/>
          <w:sz w:val="24"/>
          <w:szCs w:val="24"/>
        </w:rPr>
        <w:t>S</w:t>
      </w:r>
      <w:r w:rsidR="00633AD5" w:rsidRPr="00633AD5">
        <w:rPr>
          <w:rFonts w:ascii="Times New Roman" w:hAnsi="Times New Roman"/>
          <w:snapToGrid/>
          <w:sz w:val="24"/>
          <w:szCs w:val="24"/>
        </w:rPr>
        <w:t>tate</w:t>
      </w:r>
      <w:r w:rsidR="005A42A3">
        <w:rPr>
          <w:rFonts w:ascii="Times New Roman" w:hAnsi="Times New Roman"/>
          <w:snapToGrid/>
          <w:sz w:val="24"/>
          <w:szCs w:val="24"/>
        </w:rPr>
        <w:t>s</w:t>
      </w:r>
      <w:r w:rsidR="00A97FDA">
        <w:rPr>
          <w:rFonts w:ascii="Times New Roman" w:hAnsi="Times New Roman"/>
          <w:snapToGrid/>
          <w:sz w:val="24"/>
          <w:szCs w:val="24"/>
        </w:rPr>
        <w:t>’</w:t>
      </w:r>
      <w:r w:rsidR="00633AD5" w:rsidRPr="00633AD5">
        <w:rPr>
          <w:rFonts w:ascii="Times New Roman" w:hAnsi="Times New Roman"/>
          <w:snapToGrid/>
          <w:sz w:val="24"/>
          <w:szCs w:val="24"/>
        </w:rPr>
        <w:t xml:space="preserve"> needs and the best interest of the program.</w:t>
      </w:r>
      <w:r w:rsidR="001B689D">
        <w:rPr>
          <w:rFonts w:ascii="Times New Roman" w:hAnsi="Times New Roman"/>
          <w:snapToGrid/>
          <w:sz w:val="24"/>
          <w:szCs w:val="24"/>
        </w:rPr>
        <w:t xml:space="preserve">  We plan to involve the </w:t>
      </w:r>
      <w:r w:rsidR="005A42A3">
        <w:rPr>
          <w:rFonts w:ascii="Times New Roman" w:hAnsi="Times New Roman"/>
          <w:snapToGrid/>
          <w:sz w:val="24"/>
          <w:szCs w:val="24"/>
        </w:rPr>
        <w:t>S</w:t>
      </w:r>
      <w:r w:rsidR="001B689D">
        <w:rPr>
          <w:rFonts w:ascii="Times New Roman" w:hAnsi="Times New Roman"/>
          <w:snapToGrid/>
          <w:sz w:val="24"/>
          <w:szCs w:val="24"/>
        </w:rPr>
        <w:t>tates in this process.</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9.</w:t>
      </w:r>
      <w:r>
        <w:rPr>
          <w:rFonts w:ascii="Times New Roman" w:hAnsi="Times New Roman"/>
          <w:snapToGrid/>
          <w:sz w:val="24"/>
          <w:szCs w:val="24"/>
        </w:rPr>
        <w:tab/>
      </w:r>
      <w:r w:rsidRPr="00A33C3D">
        <w:rPr>
          <w:rFonts w:ascii="Times New Roman" w:hAnsi="Times New Roman"/>
          <w:snapToGrid/>
          <w:sz w:val="24"/>
          <w:szCs w:val="24"/>
        </w:rPr>
        <w:t>Explanation of Any Payment or Gift to Respondents</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No payments or gifts are involved.</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10.</w:t>
      </w:r>
      <w:r>
        <w:rPr>
          <w:rFonts w:ascii="Times New Roman" w:hAnsi="Times New Roman"/>
          <w:snapToGrid/>
          <w:sz w:val="24"/>
          <w:szCs w:val="24"/>
        </w:rPr>
        <w:tab/>
      </w:r>
      <w:r w:rsidRPr="00A33C3D">
        <w:rPr>
          <w:rFonts w:ascii="Times New Roman" w:hAnsi="Times New Roman"/>
          <w:snapToGrid/>
          <w:sz w:val="24"/>
          <w:szCs w:val="24"/>
        </w:rPr>
        <w:t>Assurance of Confidentiality Provided to Respondents</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Information the </w:t>
      </w:r>
      <w:r w:rsidR="00E27144">
        <w:rPr>
          <w:rFonts w:ascii="Times New Roman" w:hAnsi="Times New Roman"/>
          <w:snapToGrid/>
          <w:sz w:val="24"/>
          <w:szCs w:val="24"/>
        </w:rPr>
        <w:t>S</w:t>
      </w:r>
      <w:r w:rsidRPr="00633AD5">
        <w:rPr>
          <w:rFonts w:ascii="Times New Roman" w:hAnsi="Times New Roman"/>
          <w:snapToGrid/>
          <w:sz w:val="24"/>
          <w:szCs w:val="24"/>
        </w:rPr>
        <w:t xml:space="preserve">tates collect using the </w:t>
      </w:r>
      <w:r w:rsidR="001C4E06" w:rsidRPr="001C4E06">
        <w:rPr>
          <w:rFonts w:ascii="Times New Roman" w:hAnsi="Times New Roman"/>
          <w:snapToGrid/>
          <w:sz w:val="24"/>
          <w:szCs w:val="24"/>
        </w:rPr>
        <w:t>Interstate Administrative Subpoena and Notice of Lien forms</w:t>
      </w:r>
      <w:r w:rsidRPr="00633AD5">
        <w:rPr>
          <w:rFonts w:ascii="Times New Roman" w:hAnsi="Times New Roman"/>
          <w:snapToGrid/>
          <w:sz w:val="24"/>
          <w:szCs w:val="24"/>
        </w:rPr>
        <w:t xml:space="preserve"> is subject to the confidentiality requirements at </w:t>
      </w:r>
      <w:r w:rsidR="00135772">
        <w:rPr>
          <w:rFonts w:ascii="Times New Roman" w:hAnsi="Times New Roman"/>
          <w:snapToGrid/>
          <w:sz w:val="24"/>
          <w:szCs w:val="24"/>
        </w:rPr>
        <w:t xml:space="preserve">section </w:t>
      </w:r>
      <w:r w:rsidRPr="00633AD5">
        <w:rPr>
          <w:rFonts w:ascii="Times New Roman" w:hAnsi="Times New Roman"/>
          <w:snapToGrid/>
          <w:sz w:val="24"/>
          <w:szCs w:val="24"/>
        </w:rPr>
        <w:t xml:space="preserve">454(26) of the Social Security Act and the </w:t>
      </w:r>
      <w:r w:rsidR="00E27144">
        <w:rPr>
          <w:rFonts w:ascii="Times New Roman" w:hAnsi="Times New Roman"/>
          <w:snapToGrid/>
          <w:sz w:val="24"/>
          <w:szCs w:val="24"/>
        </w:rPr>
        <w:t>S</w:t>
      </w:r>
      <w:r w:rsidRPr="00633AD5">
        <w:rPr>
          <w:rFonts w:ascii="Times New Roman" w:hAnsi="Times New Roman"/>
          <w:snapToGrid/>
          <w:sz w:val="24"/>
          <w:szCs w:val="24"/>
        </w:rPr>
        <w:t xml:space="preserve">tates’ own confidentiality requirements protecting personal </w:t>
      </w:r>
      <w:r w:rsidRPr="00633AD5">
        <w:rPr>
          <w:rFonts w:ascii="Times New Roman" w:hAnsi="Times New Roman"/>
          <w:snapToGrid/>
          <w:sz w:val="24"/>
          <w:szCs w:val="24"/>
        </w:rPr>
        <w:lastRenderedPageBreak/>
        <w:t xml:space="preserve">information in their possession.  It is up to each </w:t>
      </w:r>
      <w:r w:rsidR="00E27144">
        <w:rPr>
          <w:rFonts w:ascii="Times New Roman" w:hAnsi="Times New Roman"/>
          <w:snapToGrid/>
          <w:sz w:val="24"/>
          <w:szCs w:val="24"/>
        </w:rPr>
        <w:t>S</w:t>
      </w:r>
      <w:r w:rsidRPr="00633AD5">
        <w:rPr>
          <w:rFonts w:ascii="Times New Roman" w:hAnsi="Times New Roman"/>
          <w:snapToGrid/>
          <w:sz w:val="24"/>
          <w:szCs w:val="24"/>
        </w:rPr>
        <w:t xml:space="preserve">tate </w:t>
      </w:r>
      <w:r w:rsidR="009D6BFD">
        <w:rPr>
          <w:rFonts w:ascii="Times New Roman" w:hAnsi="Times New Roman"/>
          <w:snapToGrid/>
          <w:sz w:val="24"/>
          <w:szCs w:val="24"/>
        </w:rPr>
        <w:t>to</w:t>
      </w:r>
      <w:r w:rsidRPr="00633AD5">
        <w:rPr>
          <w:rFonts w:ascii="Times New Roman" w:hAnsi="Times New Roman"/>
          <w:snapToGrid/>
          <w:sz w:val="24"/>
          <w:szCs w:val="24"/>
        </w:rPr>
        <w:t xml:space="preserve"> provide an assurance of confidentiality to their respondents.</w:t>
      </w:r>
    </w:p>
    <w:p w:rsidR="002F079C" w:rsidRPr="00633AD5" w:rsidRDefault="002F079C" w:rsidP="002F079C">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11.</w:t>
      </w:r>
      <w:r>
        <w:rPr>
          <w:rFonts w:ascii="Times New Roman" w:hAnsi="Times New Roman"/>
          <w:snapToGrid/>
          <w:sz w:val="24"/>
          <w:szCs w:val="24"/>
        </w:rPr>
        <w:tab/>
      </w:r>
      <w:r w:rsidRPr="00A33C3D">
        <w:rPr>
          <w:rFonts w:ascii="Times New Roman" w:hAnsi="Times New Roman"/>
          <w:snapToGrid/>
          <w:sz w:val="24"/>
          <w:szCs w:val="24"/>
        </w:rPr>
        <w:t>Justification for Sensitive Questions</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This information collection does not involve any questions of a sensitive nature.</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12.</w:t>
      </w:r>
      <w:r>
        <w:rPr>
          <w:rFonts w:ascii="Times New Roman" w:hAnsi="Times New Roman"/>
          <w:snapToGrid/>
          <w:sz w:val="24"/>
          <w:szCs w:val="24"/>
        </w:rPr>
        <w:tab/>
      </w:r>
      <w:r w:rsidRPr="00A33C3D">
        <w:rPr>
          <w:rFonts w:ascii="Times New Roman" w:hAnsi="Times New Roman"/>
          <w:snapToGrid/>
          <w:sz w:val="24"/>
          <w:szCs w:val="24"/>
        </w:rPr>
        <w:t>Estimates of Annualized Burden Hours and Costs</w:t>
      </w:r>
    </w:p>
    <w:tbl>
      <w:tblPr>
        <w:tblW w:w="843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95"/>
        <w:gridCol w:w="1710"/>
        <w:gridCol w:w="1800"/>
        <w:gridCol w:w="1530"/>
      </w:tblGrid>
      <w:tr w:rsidR="00633AD5" w:rsidRPr="00883F52" w:rsidTr="006F57B8">
        <w:tc>
          <w:tcPr>
            <w:tcW w:w="180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Instrument</w:t>
            </w:r>
          </w:p>
        </w:tc>
        <w:tc>
          <w:tcPr>
            <w:tcW w:w="1595"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Number of Respondents</w:t>
            </w:r>
          </w:p>
        </w:tc>
        <w:tc>
          <w:tcPr>
            <w:tcW w:w="171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Number of Responses per Respondent</w:t>
            </w:r>
          </w:p>
        </w:tc>
        <w:tc>
          <w:tcPr>
            <w:tcW w:w="180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Average Burden Hours per Response</w:t>
            </w:r>
          </w:p>
        </w:tc>
        <w:tc>
          <w:tcPr>
            <w:tcW w:w="153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Total Burden Hours</w:t>
            </w:r>
          </w:p>
        </w:tc>
      </w:tr>
      <w:tr w:rsidR="00633AD5" w:rsidRPr="00883F52" w:rsidTr="006F57B8">
        <w:tc>
          <w:tcPr>
            <w:tcW w:w="1800" w:type="dxa"/>
            <w:tcBorders>
              <w:top w:val="single" w:sz="4" w:space="0" w:color="auto"/>
              <w:left w:val="single" w:sz="4" w:space="0" w:color="auto"/>
              <w:bottom w:val="single" w:sz="4" w:space="0" w:color="auto"/>
              <w:right w:val="single" w:sz="4" w:space="0" w:color="auto"/>
            </w:tcBorders>
            <w:hideMark/>
          </w:tcPr>
          <w:p w:rsidR="00883F52"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Administrative Subpoena</w:t>
            </w:r>
          </w:p>
        </w:tc>
        <w:tc>
          <w:tcPr>
            <w:tcW w:w="1595" w:type="dxa"/>
            <w:tcBorders>
              <w:top w:val="single" w:sz="4" w:space="0" w:color="auto"/>
              <w:left w:val="single" w:sz="4" w:space="0" w:color="auto"/>
              <w:bottom w:val="single" w:sz="4" w:space="0" w:color="auto"/>
              <w:right w:val="single" w:sz="4" w:space="0" w:color="auto"/>
            </w:tcBorders>
            <w:hideMark/>
          </w:tcPr>
          <w:p w:rsidR="00883F52"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31,344</w:t>
            </w:r>
          </w:p>
        </w:tc>
        <w:tc>
          <w:tcPr>
            <w:tcW w:w="1710" w:type="dxa"/>
            <w:tcBorders>
              <w:top w:val="single" w:sz="4" w:space="0" w:color="auto"/>
              <w:left w:val="single" w:sz="4" w:space="0" w:color="auto"/>
              <w:bottom w:val="single" w:sz="4" w:space="0" w:color="auto"/>
              <w:right w:val="single" w:sz="4" w:space="0" w:color="auto"/>
            </w:tcBorders>
            <w:hideMark/>
          </w:tcPr>
          <w:p w:rsidR="00883F52"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883F52"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0.50</w:t>
            </w:r>
          </w:p>
        </w:tc>
        <w:tc>
          <w:tcPr>
            <w:tcW w:w="1530" w:type="dxa"/>
            <w:tcBorders>
              <w:top w:val="single" w:sz="4" w:space="0" w:color="auto"/>
              <w:left w:val="single" w:sz="4" w:space="0" w:color="auto"/>
              <w:bottom w:val="single" w:sz="4" w:space="0" w:color="auto"/>
              <w:right w:val="single" w:sz="4" w:space="0" w:color="auto"/>
            </w:tcBorders>
            <w:hideMark/>
          </w:tcPr>
          <w:p w:rsidR="00883F52"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15,672</w:t>
            </w:r>
          </w:p>
        </w:tc>
      </w:tr>
      <w:tr w:rsidR="00633AD5" w:rsidRPr="00883F52" w:rsidTr="006F57B8">
        <w:tc>
          <w:tcPr>
            <w:tcW w:w="180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Notice of Lien</w:t>
            </w:r>
          </w:p>
        </w:tc>
        <w:tc>
          <w:tcPr>
            <w:tcW w:w="1595"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1,916,891</w:t>
            </w:r>
          </w:p>
        </w:tc>
        <w:tc>
          <w:tcPr>
            <w:tcW w:w="171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0.25</w:t>
            </w:r>
          </w:p>
        </w:tc>
        <w:tc>
          <w:tcPr>
            <w:tcW w:w="1530" w:type="dxa"/>
            <w:tcBorders>
              <w:top w:val="single" w:sz="4" w:space="0" w:color="auto"/>
              <w:left w:val="single" w:sz="4" w:space="0" w:color="auto"/>
              <w:bottom w:val="single" w:sz="4" w:space="0" w:color="auto"/>
              <w:right w:val="single" w:sz="4" w:space="0" w:color="auto"/>
            </w:tcBorders>
            <w:hideMark/>
          </w:tcPr>
          <w:p w:rsidR="00633AD5" w:rsidRPr="00883F52" w:rsidRDefault="00633AD5" w:rsidP="00633AD5">
            <w:pPr>
              <w:widowControl/>
              <w:spacing w:after="100" w:afterAutospacing="1"/>
              <w:jc w:val="center"/>
              <w:rPr>
                <w:rFonts w:ascii="Times New Roman" w:hAnsi="Times New Roman"/>
                <w:snapToGrid/>
                <w:sz w:val="24"/>
                <w:szCs w:val="24"/>
              </w:rPr>
            </w:pPr>
            <w:r w:rsidRPr="00883F52">
              <w:rPr>
                <w:rFonts w:ascii="Times New Roman" w:hAnsi="Times New Roman"/>
                <w:snapToGrid/>
                <w:sz w:val="24"/>
                <w:szCs w:val="24"/>
              </w:rPr>
              <w:t>479,223</w:t>
            </w:r>
          </w:p>
        </w:tc>
      </w:tr>
      <w:tr w:rsidR="00633AD5" w:rsidRPr="00883F52" w:rsidTr="006F57B8">
        <w:tc>
          <w:tcPr>
            <w:tcW w:w="1800" w:type="dxa"/>
            <w:tcBorders>
              <w:top w:val="single" w:sz="4" w:space="0" w:color="auto"/>
              <w:left w:val="single" w:sz="4" w:space="0" w:color="auto"/>
              <w:bottom w:val="single" w:sz="4" w:space="0" w:color="auto"/>
              <w:right w:val="single" w:sz="4" w:space="0" w:color="auto"/>
            </w:tcBorders>
          </w:tcPr>
          <w:p w:rsidR="00633AD5" w:rsidRPr="00883F52" w:rsidRDefault="00633AD5" w:rsidP="00633AD5">
            <w:pPr>
              <w:widowControl/>
              <w:spacing w:after="100" w:afterAutospacing="1"/>
              <w:rPr>
                <w:rFonts w:ascii="Times New Roman" w:hAnsi="Times New Roman"/>
                <w:snapToGrid/>
                <w:sz w:val="24"/>
                <w:szCs w:val="24"/>
              </w:rPr>
            </w:pPr>
          </w:p>
        </w:tc>
        <w:tc>
          <w:tcPr>
            <w:tcW w:w="1595" w:type="dxa"/>
            <w:tcBorders>
              <w:top w:val="single" w:sz="4" w:space="0" w:color="auto"/>
              <w:left w:val="single" w:sz="4" w:space="0" w:color="auto"/>
              <w:bottom w:val="single" w:sz="4" w:space="0" w:color="auto"/>
              <w:right w:val="single" w:sz="4" w:space="0" w:color="auto"/>
            </w:tcBorders>
          </w:tcPr>
          <w:p w:rsidR="00633AD5" w:rsidRPr="00883F52" w:rsidRDefault="00633AD5" w:rsidP="00633AD5">
            <w:pPr>
              <w:widowControl/>
              <w:spacing w:after="100" w:afterAutospacing="1"/>
              <w:jc w:val="center"/>
              <w:rPr>
                <w:rFonts w:ascii="Times New Roman" w:hAnsi="Times New Roman"/>
                <w:snapToGrid/>
                <w:sz w:val="24"/>
                <w:szCs w:val="24"/>
              </w:rPr>
            </w:pPr>
          </w:p>
        </w:tc>
        <w:tc>
          <w:tcPr>
            <w:tcW w:w="1710" w:type="dxa"/>
            <w:tcBorders>
              <w:top w:val="single" w:sz="4" w:space="0" w:color="auto"/>
              <w:left w:val="single" w:sz="4" w:space="0" w:color="auto"/>
              <w:bottom w:val="single" w:sz="4" w:space="0" w:color="auto"/>
              <w:right w:val="single" w:sz="4" w:space="0" w:color="auto"/>
            </w:tcBorders>
          </w:tcPr>
          <w:p w:rsidR="00633AD5" w:rsidRPr="00883F52" w:rsidRDefault="00633AD5" w:rsidP="00633AD5">
            <w:pPr>
              <w:widowControl/>
              <w:spacing w:after="100" w:afterAutospacing="1"/>
              <w:jc w:val="center"/>
              <w:rPr>
                <w:rFonts w:ascii="Times New Roman" w:hAnsi="Times New Roman"/>
                <w:snapToGrid/>
                <w:sz w:val="24"/>
                <w:szCs w:val="24"/>
              </w:rPr>
            </w:pPr>
          </w:p>
        </w:tc>
        <w:tc>
          <w:tcPr>
            <w:tcW w:w="1800" w:type="dxa"/>
            <w:tcBorders>
              <w:top w:val="single" w:sz="4" w:space="0" w:color="auto"/>
              <w:left w:val="single" w:sz="4" w:space="0" w:color="auto"/>
              <w:bottom w:val="single" w:sz="4" w:space="0" w:color="auto"/>
              <w:right w:val="single" w:sz="4" w:space="0" w:color="auto"/>
            </w:tcBorders>
          </w:tcPr>
          <w:p w:rsidR="00633AD5" w:rsidRPr="00883F52" w:rsidRDefault="00633AD5" w:rsidP="00633AD5">
            <w:pPr>
              <w:widowControl/>
              <w:spacing w:after="100" w:afterAutospacing="1"/>
              <w:jc w:val="center"/>
              <w:rPr>
                <w:rFonts w:ascii="Times New Roman" w:hAnsi="Times New Roman"/>
                <w:snapToGrid/>
                <w:sz w:val="24"/>
                <w:szCs w:val="24"/>
              </w:rPr>
            </w:pPr>
          </w:p>
        </w:tc>
        <w:tc>
          <w:tcPr>
            <w:tcW w:w="1530" w:type="dxa"/>
            <w:tcBorders>
              <w:top w:val="single" w:sz="4" w:space="0" w:color="auto"/>
              <w:left w:val="single" w:sz="4" w:space="0" w:color="auto"/>
              <w:bottom w:val="single" w:sz="4" w:space="0" w:color="auto"/>
              <w:right w:val="single" w:sz="4" w:space="0" w:color="auto"/>
            </w:tcBorders>
          </w:tcPr>
          <w:p w:rsidR="00633AD5" w:rsidRPr="00883F52" w:rsidRDefault="00633AD5" w:rsidP="00633AD5">
            <w:pPr>
              <w:widowControl/>
              <w:spacing w:after="100" w:afterAutospacing="1"/>
              <w:jc w:val="center"/>
              <w:rPr>
                <w:rFonts w:ascii="Times New Roman" w:hAnsi="Times New Roman"/>
                <w:snapToGrid/>
                <w:sz w:val="24"/>
                <w:szCs w:val="24"/>
              </w:rPr>
            </w:pPr>
          </w:p>
        </w:tc>
      </w:tr>
    </w:tbl>
    <w:p w:rsidR="00633AD5" w:rsidRPr="00883F52" w:rsidRDefault="00633AD5" w:rsidP="00633AD5">
      <w:pPr>
        <w:widowControl/>
        <w:spacing w:after="100" w:afterAutospacing="1"/>
        <w:ind w:left="720"/>
        <w:rPr>
          <w:rFonts w:ascii="Times New Roman" w:hAnsi="Times New Roman"/>
          <w:snapToGrid/>
          <w:sz w:val="24"/>
          <w:szCs w:val="24"/>
        </w:rPr>
      </w:pPr>
      <w:r w:rsidRPr="00883F52">
        <w:rPr>
          <w:rFonts w:ascii="Times New Roman" w:hAnsi="Times New Roman"/>
          <w:snapToGrid/>
          <w:sz w:val="24"/>
          <w:szCs w:val="24"/>
        </w:rPr>
        <w:t xml:space="preserve">Estimated Total Annual Burden Hours:                                                           494,895 </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The figures contained in this table for the Administrative Subpoena instrument are based on</w:t>
      </w:r>
      <w:r w:rsidR="00135772">
        <w:rPr>
          <w:rFonts w:ascii="Times New Roman" w:hAnsi="Times New Roman"/>
          <w:snapToGrid/>
          <w:sz w:val="24"/>
          <w:szCs w:val="24"/>
        </w:rPr>
        <w:t xml:space="preserve"> the Office of Child Support Enforcement’s</w:t>
      </w:r>
      <w:r w:rsidRPr="00633AD5">
        <w:rPr>
          <w:rFonts w:ascii="Times New Roman" w:hAnsi="Times New Roman"/>
          <w:snapToGrid/>
          <w:sz w:val="24"/>
          <w:szCs w:val="24"/>
        </w:rPr>
        <w:t xml:space="preserve"> </w:t>
      </w:r>
      <w:r w:rsidR="00E17AD6">
        <w:rPr>
          <w:rFonts w:ascii="Times New Roman" w:hAnsi="Times New Roman"/>
          <w:snapToGrid/>
          <w:sz w:val="24"/>
          <w:szCs w:val="24"/>
        </w:rPr>
        <w:t xml:space="preserve">(OCSE) </w:t>
      </w:r>
      <w:r w:rsidRPr="00633AD5">
        <w:rPr>
          <w:rFonts w:ascii="Times New Roman" w:hAnsi="Times New Roman"/>
          <w:snapToGrid/>
          <w:sz w:val="24"/>
          <w:szCs w:val="24"/>
        </w:rPr>
        <w:t>Federal Parent Locator Service completing 10,030,162 locates of noncustodial parents, employers, assets or other income in one year.  Noncustodial parent locates would make up at least 75</w:t>
      </w:r>
      <w:r w:rsidR="00135772">
        <w:rPr>
          <w:rFonts w:ascii="Times New Roman" w:hAnsi="Times New Roman"/>
          <w:snapToGrid/>
          <w:sz w:val="24"/>
          <w:szCs w:val="24"/>
        </w:rPr>
        <w:t xml:space="preserve"> percent</w:t>
      </w:r>
      <w:r w:rsidRPr="00633AD5">
        <w:rPr>
          <w:rFonts w:ascii="Times New Roman" w:hAnsi="Times New Roman"/>
          <w:snapToGrid/>
          <w:sz w:val="24"/>
          <w:szCs w:val="24"/>
        </w:rPr>
        <w:t xml:space="preserve"> of the total locates.  The remaining </w:t>
      </w:r>
      <w:r w:rsidR="00135772">
        <w:rPr>
          <w:rFonts w:ascii="Times New Roman" w:hAnsi="Times New Roman"/>
          <w:snapToGrid/>
          <w:sz w:val="24"/>
          <w:szCs w:val="24"/>
        </w:rPr>
        <w:t xml:space="preserve">25 percent, or </w:t>
      </w:r>
      <w:r w:rsidRPr="00633AD5">
        <w:rPr>
          <w:rFonts w:ascii="Times New Roman" w:hAnsi="Times New Roman"/>
          <w:snapToGrid/>
          <w:sz w:val="24"/>
          <w:szCs w:val="24"/>
        </w:rPr>
        <w:t>2,507,541</w:t>
      </w:r>
      <w:r w:rsidR="00135772">
        <w:rPr>
          <w:rFonts w:ascii="Times New Roman" w:hAnsi="Times New Roman"/>
          <w:snapToGrid/>
          <w:sz w:val="24"/>
          <w:szCs w:val="24"/>
        </w:rPr>
        <w:t>,</w:t>
      </w:r>
      <w:r w:rsidRPr="00633AD5">
        <w:rPr>
          <w:rFonts w:ascii="Times New Roman" w:hAnsi="Times New Roman"/>
          <w:snapToGrid/>
          <w:sz w:val="24"/>
          <w:szCs w:val="24"/>
        </w:rPr>
        <w:t xml:space="preserve"> would be the approximate number of locates of employers, assets or other income.  Twenty–five percent of this number (626,885) provides the approximate number of such locates in interstate cases.  In 95</w:t>
      </w:r>
      <w:r w:rsidR="00135772">
        <w:rPr>
          <w:rFonts w:ascii="Times New Roman" w:hAnsi="Times New Roman"/>
          <w:snapToGrid/>
          <w:sz w:val="24"/>
          <w:szCs w:val="24"/>
        </w:rPr>
        <w:t xml:space="preserve"> percent</w:t>
      </w:r>
      <w:r w:rsidRPr="00633AD5">
        <w:rPr>
          <w:rFonts w:ascii="Times New Roman" w:hAnsi="Times New Roman"/>
          <w:snapToGrid/>
          <w:sz w:val="24"/>
          <w:szCs w:val="24"/>
        </w:rPr>
        <w:t xml:space="preserve"> of these interstate locate cases, employers or financial institutions would voluntarily provide the requested information and the State IV-D agency would not need to issue a subpoena.  The remaining 31,344 (5</w:t>
      </w:r>
      <w:r w:rsidR="00135772">
        <w:rPr>
          <w:rFonts w:ascii="Times New Roman" w:hAnsi="Times New Roman"/>
          <w:snapToGrid/>
          <w:sz w:val="24"/>
          <w:szCs w:val="24"/>
        </w:rPr>
        <w:t xml:space="preserve"> percent</w:t>
      </w:r>
      <w:r w:rsidRPr="00633AD5">
        <w:rPr>
          <w:rFonts w:ascii="Times New Roman" w:hAnsi="Times New Roman"/>
          <w:snapToGrid/>
          <w:sz w:val="24"/>
          <w:szCs w:val="24"/>
        </w:rPr>
        <w:t xml:space="preserve">) represent the approximate number of respondents who would not voluntarily provide the requested information and would receive a subpoena.  </w:t>
      </w:r>
      <w:r w:rsidR="00135772">
        <w:rPr>
          <w:rFonts w:ascii="Times New Roman" w:hAnsi="Times New Roman"/>
          <w:snapToGrid/>
          <w:sz w:val="24"/>
          <w:szCs w:val="24"/>
        </w:rPr>
        <w:t xml:space="preserve">OCSE estimates that it takes 30 minutes to issue a subpoena form.  </w:t>
      </w:r>
      <w:r w:rsidRPr="00633AD5">
        <w:rPr>
          <w:rFonts w:ascii="Times New Roman" w:hAnsi="Times New Roman"/>
          <w:snapToGrid/>
          <w:sz w:val="24"/>
          <w:szCs w:val="24"/>
        </w:rPr>
        <w:t>Therefore the burden estimate</w:t>
      </w:r>
      <w:r w:rsidR="00E27144">
        <w:rPr>
          <w:rFonts w:ascii="Times New Roman" w:hAnsi="Times New Roman"/>
          <w:snapToGrid/>
          <w:sz w:val="24"/>
          <w:szCs w:val="24"/>
        </w:rPr>
        <w:t xml:space="preserve"> for the Administrative Subpoena</w:t>
      </w:r>
      <w:r w:rsidRPr="00633AD5">
        <w:rPr>
          <w:rFonts w:ascii="Times New Roman" w:hAnsi="Times New Roman"/>
          <w:snapToGrid/>
          <w:sz w:val="24"/>
          <w:szCs w:val="24"/>
        </w:rPr>
        <w:t xml:space="preserve"> is 15,672 (31,344 </w:t>
      </w:r>
      <w:r w:rsidR="00135772">
        <w:rPr>
          <w:rFonts w:ascii="Times New Roman" w:hAnsi="Times New Roman"/>
          <w:snapToGrid/>
          <w:sz w:val="24"/>
          <w:szCs w:val="24"/>
        </w:rPr>
        <w:t>multiplied by</w:t>
      </w:r>
      <w:r w:rsidRPr="00633AD5">
        <w:rPr>
          <w:rFonts w:ascii="Times New Roman" w:hAnsi="Times New Roman"/>
          <w:snapToGrid/>
          <w:sz w:val="24"/>
          <w:szCs w:val="24"/>
        </w:rPr>
        <w:t xml:space="preserve"> </w:t>
      </w:r>
      <w:r w:rsidR="00AE25F8">
        <w:rPr>
          <w:rFonts w:ascii="Times New Roman" w:hAnsi="Times New Roman"/>
          <w:snapToGrid/>
          <w:sz w:val="24"/>
          <w:szCs w:val="24"/>
        </w:rPr>
        <w:t>0</w:t>
      </w:r>
      <w:r w:rsidRPr="00633AD5">
        <w:rPr>
          <w:rFonts w:ascii="Times New Roman" w:hAnsi="Times New Roman"/>
          <w:snapToGrid/>
          <w:sz w:val="24"/>
          <w:szCs w:val="24"/>
        </w:rPr>
        <w:t>.5 hr).</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The figures contained in this table for the Notice of Lien instrument are based on a total of 12,779,273 cases with orders being established in Fiscal Year 2014.  We estimate that 60 percent of these cases are interstate and non-complying (7,667,564).  We estimate that 25 percent of these cases have property against which a lien could be served (1,916,891).  OCSE estimates that it takes 15 minutes to </w:t>
      </w:r>
      <w:r w:rsidR="00943E04">
        <w:rPr>
          <w:rFonts w:ascii="Times New Roman" w:hAnsi="Times New Roman"/>
          <w:snapToGrid/>
          <w:sz w:val="24"/>
          <w:szCs w:val="24"/>
        </w:rPr>
        <w:t>complete the</w:t>
      </w:r>
      <w:r w:rsidRPr="00633AD5">
        <w:rPr>
          <w:rFonts w:ascii="Times New Roman" w:hAnsi="Times New Roman"/>
          <w:snapToGrid/>
          <w:sz w:val="24"/>
          <w:szCs w:val="24"/>
        </w:rPr>
        <w:t xml:space="preserve"> lien</w:t>
      </w:r>
      <w:r w:rsidR="00943E04">
        <w:rPr>
          <w:rFonts w:ascii="Times New Roman" w:hAnsi="Times New Roman"/>
          <w:snapToGrid/>
          <w:sz w:val="24"/>
          <w:szCs w:val="24"/>
        </w:rPr>
        <w:t xml:space="preserve"> form</w:t>
      </w:r>
      <w:r w:rsidRPr="00633AD5">
        <w:rPr>
          <w:rFonts w:ascii="Times New Roman" w:hAnsi="Times New Roman"/>
          <w:snapToGrid/>
          <w:sz w:val="24"/>
          <w:szCs w:val="24"/>
        </w:rPr>
        <w:t xml:space="preserve">.  Therefore the burden estimate </w:t>
      </w:r>
      <w:r w:rsidR="00E27144">
        <w:rPr>
          <w:rFonts w:ascii="Times New Roman" w:hAnsi="Times New Roman"/>
          <w:snapToGrid/>
          <w:sz w:val="24"/>
          <w:szCs w:val="24"/>
        </w:rPr>
        <w:t xml:space="preserve">for the Notice of Lien </w:t>
      </w:r>
      <w:r w:rsidRPr="00633AD5">
        <w:rPr>
          <w:rFonts w:ascii="Times New Roman" w:hAnsi="Times New Roman"/>
          <w:snapToGrid/>
          <w:sz w:val="24"/>
          <w:szCs w:val="24"/>
        </w:rPr>
        <w:t xml:space="preserve">is 479,223 (1,916,891 </w:t>
      </w:r>
      <w:r w:rsidR="00135772">
        <w:rPr>
          <w:rFonts w:ascii="Times New Roman" w:hAnsi="Times New Roman"/>
          <w:snapToGrid/>
          <w:sz w:val="24"/>
          <w:szCs w:val="24"/>
        </w:rPr>
        <w:t>multiplied by</w:t>
      </w:r>
      <w:r w:rsidR="00AE25F8">
        <w:rPr>
          <w:rFonts w:ascii="Times New Roman" w:hAnsi="Times New Roman"/>
          <w:snapToGrid/>
          <w:sz w:val="24"/>
          <w:szCs w:val="24"/>
        </w:rPr>
        <w:t xml:space="preserve"> 0</w:t>
      </w:r>
      <w:r w:rsidRPr="00633AD5">
        <w:rPr>
          <w:rFonts w:ascii="Times New Roman" w:hAnsi="Times New Roman"/>
          <w:snapToGrid/>
          <w:sz w:val="24"/>
          <w:szCs w:val="24"/>
        </w:rPr>
        <w:t>.25 hr).</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13.</w:t>
      </w:r>
      <w:r>
        <w:rPr>
          <w:rFonts w:ascii="Times New Roman" w:hAnsi="Times New Roman"/>
          <w:snapToGrid/>
          <w:sz w:val="24"/>
          <w:szCs w:val="24"/>
        </w:rPr>
        <w:tab/>
      </w:r>
      <w:r w:rsidRPr="00A33C3D">
        <w:rPr>
          <w:rFonts w:ascii="Times New Roman" w:hAnsi="Times New Roman"/>
          <w:snapToGrid/>
          <w:sz w:val="24"/>
          <w:szCs w:val="24"/>
        </w:rPr>
        <w:t>Estimates of Other Total Annual Cost Burden to Respondents and Record Keepers</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lastRenderedPageBreak/>
        <w:t xml:space="preserve">There is no new annual cost burden to respondents resulting from this collection of information. </w:t>
      </w:r>
      <w:r w:rsidR="00E27144">
        <w:rPr>
          <w:rFonts w:ascii="Times New Roman" w:hAnsi="Times New Roman"/>
          <w:snapToGrid/>
          <w:sz w:val="24"/>
          <w:szCs w:val="24"/>
        </w:rPr>
        <w:t xml:space="preserve"> </w:t>
      </w:r>
      <w:r w:rsidRPr="00633AD5">
        <w:rPr>
          <w:rFonts w:ascii="Times New Roman" w:hAnsi="Times New Roman"/>
          <w:snapToGrid/>
          <w:sz w:val="24"/>
          <w:szCs w:val="24"/>
        </w:rPr>
        <w:t>Respondents already have staff and resources in place to respond to this information collection.</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14.</w:t>
      </w:r>
      <w:r>
        <w:rPr>
          <w:rFonts w:ascii="Times New Roman" w:hAnsi="Times New Roman"/>
          <w:snapToGrid/>
          <w:sz w:val="24"/>
          <w:szCs w:val="24"/>
        </w:rPr>
        <w:tab/>
      </w:r>
      <w:r w:rsidRPr="00A33C3D">
        <w:rPr>
          <w:rFonts w:ascii="Times New Roman" w:hAnsi="Times New Roman"/>
          <w:snapToGrid/>
          <w:sz w:val="24"/>
          <w:szCs w:val="24"/>
        </w:rPr>
        <w:t>Annualized Cost to the Federal Government</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Upon reauthorization of the Interstate Administrative Subpoena and Notice of Interstate Lien, OCSE will post </w:t>
      </w:r>
      <w:r w:rsidR="006359ED">
        <w:rPr>
          <w:rFonts w:ascii="Times New Roman" w:hAnsi="Times New Roman"/>
          <w:snapToGrid/>
          <w:sz w:val="24"/>
          <w:szCs w:val="24"/>
        </w:rPr>
        <w:t xml:space="preserve">them </w:t>
      </w:r>
      <w:r w:rsidRPr="00633AD5">
        <w:rPr>
          <w:rFonts w:ascii="Times New Roman" w:hAnsi="Times New Roman"/>
          <w:snapToGrid/>
          <w:sz w:val="24"/>
          <w:szCs w:val="24"/>
        </w:rPr>
        <w:t xml:space="preserve">on the </w:t>
      </w:r>
      <w:r w:rsidR="00943E04">
        <w:rPr>
          <w:rFonts w:ascii="Times New Roman" w:hAnsi="Times New Roman"/>
          <w:snapToGrid/>
          <w:sz w:val="24"/>
          <w:szCs w:val="24"/>
        </w:rPr>
        <w:t>OCSE</w:t>
      </w:r>
      <w:r w:rsidR="00943E04" w:rsidRPr="00633AD5">
        <w:rPr>
          <w:rFonts w:ascii="Times New Roman" w:hAnsi="Times New Roman"/>
          <w:snapToGrid/>
          <w:sz w:val="24"/>
          <w:szCs w:val="24"/>
        </w:rPr>
        <w:t xml:space="preserve"> </w:t>
      </w:r>
      <w:r w:rsidRPr="00633AD5">
        <w:rPr>
          <w:rFonts w:ascii="Times New Roman" w:hAnsi="Times New Roman"/>
          <w:snapToGrid/>
          <w:sz w:val="24"/>
          <w:szCs w:val="24"/>
        </w:rPr>
        <w:t>website for States to download.  There are no costs to the Federal Government.</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15.</w:t>
      </w:r>
      <w:r>
        <w:rPr>
          <w:rFonts w:ascii="Times New Roman" w:hAnsi="Times New Roman"/>
          <w:snapToGrid/>
          <w:sz w:val="24"/>
          <w:szCs w:val="24"/>
        </w:rPr>
        <w:tab/>
      </w:r>
      <w:r w:rsidRPr="00A33C3D">
        <w:rPr>
          <w:rFonts w:ascii="Times New Roman" w:hAnsi="Times New Roman"/>
          <w:snapToGrid/>
          <w:sz w:val="24"/>
          <w:szCs w:val="24"/>
        </w:rPr>
        <w:t>Explanation for Program Changes or Adjustments</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The adjustment in burden</w:t>
      </w:r>
      <w:r w:rsidR="00B91D92">
        <w:rPr>
          <w:rFonts w:ascii="Times New Roman" w:hAnsi="Times New Roman"/>
          <w:snapToGrid/>
          <w:sz w:val="24"/>
          <w:szCs w:val="24"/>
        </w:rPr>
        <w:t>,</w:t>
      </w:r>
      <w:r w:rsidRPr="00633AD5">
        <w:rPr>
          <w:rFonts w:ascii="Times New Roman" w:hAnsi="Times New Roman"/>
          <w:snapToGrid/>
          <w:sz w:val="24"/>
          <w:szCs w:val="24"/>
        </w:rPr>
        <w:t xml:space="preserve"> for the </w:t>
      </w:r>
      <w:r w:rsidR="00702D5E">
        <w:rPr>
          <w:rFonts w:ascii="Times New Roman" w:hAnsi="Times New Roman"/>
          <w:snapToGrid/>
          <w:sz w:val="24"/>
          <w:szCs w:val="24"/>
        </w:rPr>
        <w:t>Administrative Subpoena</w:t>
      </w:r>
      <w:r w:rsidR="00B91D92">
        <w:rPr>
          <w:rFonts w:ascii="Times New Roman" w:hAnsi="Times New Roman"/>
          <w:snapToGrid/>
          <w:sz w:val="24"/>
          <w:szCs w:val="24"/>
        </w:rPr>
        <w:t>,</w:t>
      </w:r>
      <w:r w:rsidRPr="00633AD5">
        <w:rPr>
          <w:rFonts w:ascii="Times New Roman" w:hAnsi="Times New Roman"/>
          <w:snapToGrid/>
          <w:sz w:val="24"/>
          <w:szCs w:val="24"/>
        </w:rPr>
        <w:t xml:space="preserve"> from the last review of the form is due to a decrease in the number of </w:t>
      </w:r>
      <w:r w:rsidR="00362433">
        <w:rPr>
          <w:rFonts w:ascii="Times New Roman" w:hAnsi="Times New Roman"/>
          <w:snapToGrid/>
          <w:sz w:val="24"/>
          <w:szCs w:val="24"/>
        </w:rPr>
        <w:t>Federal Parent Locator Service locate requests</w:t>
      </w:r>
      <w:r w:rsidR="00352E34">
        <w:rPr>
          <w:rFonts w:ascii="Times New Roman" w:hAnsi="Times New Roman"/>
          <w:snapToGrid/>
          <w:sz w:val="24"/>
          <w:szCs w:val="24"/>
        </w:rPr>
        <w:t xml:space="preserve"> since the last time this burden was calculated</w:t>
      </w:r>
      <w:r w:rsidRPr="00633AD5">
        <w:rPr>
          <w:rFonts w:ascii="Times New Roman" w:hAnsi="Times New Roman"/>
          <w:snapToGrid/>
          <w:sz w:val="24"/>
          <w:szCs w:val="24"/>
        </w:rPr>
        <w:t xml:space="preserve">.  This decrease resulted in a decrease in the number of forms a </w:t>
      </w:r>
      <w:r w:rsidR="009D6BFD">
        <w:rPr>
          <w:rFonts w:ascii="Times New Roman" w:hAnsi="Times New Roman"/>
          <w:snapToGrid/>
          <w:sz w:val="24"/>
          <w:szCs w:val="24"/>
        </w:rPr>
        <w:t>S</w:t>
      </w:r>
      <w:r w:rsidRPr="00633AD5">
        <w:rPr>
          <w:rFonts w:ascii="Times New Roman" w:hAnsi="Times New Roman"/>
          <w:snapToGrid/>
          <w:sz w:val="24"/>
          <w:szCs w:val="24"/>
        </w:rPr>
        <w:t>tate may use</w:t>
      </w:r>
      <w:r w:rsidR="00362433">
        <w:rPr>
          <w:rFonts w:ascii="Times New Roman" w:hAnsi="Times New Roman"/>
          <w:snapToGrid/>
          <w:sz w:val="24"/>
          <w:szCs w:val="24"/>
        </w:rPr>
        <w:t>, based on the calculation described under item 12</w:t>
      </w:r>
      <w:r w:rsidRPr="00633AD5">
        <w:rPr>
          <w:rFonts w:ascii="Times New Roman" w:hAnsi="Times New Roman"/>
          <w:snapToGrid/>
          <w:sz w:val="24"/>
          <w:szCs w:val="24"/>
        </w:rPr>
        <w:t xml:space="preserve">.  The time required to fill out the form itself remains unchanged at 30 minutes.  </w:t>
      </w:r>
    </w:p>
    <w:p w:rsidR="00633AD5" w:rsidRPr="00633AD5" w:rsidRDefault="00E27144" w:rsidP="00633AD5">
      <w:pPr>
        <w:widowControl/>
        <w:spacing w:after="100" w:afterAutospacing="1"/>
        <w:ind w:left="720"/>
        <w:rPr>
          <w:rFonts w:ascii="Times New Roman" w:hAnsi="Times New Roman"/>
          <w:snapToGrid/>
          <w:sz w:val="24"/>
          <w:szCs w:val="24"/>
        </w:rPr>
      </w:pPr>
      <w:r>
        <w:rPr>
          <w:rFonts w:ascii="Times New Roman" w:hAnsi="Times New Roman"/>
          <w:snapToGrid/>
          <w:sz w:val="24"/>
          <w:szCs w:val="24"/>
        </w:rPr>
        <w:t xml:space="preserve">There has been little change in estimated burden for the use of the </w:t>
      </w:r>
      <w:r w:rsidR="00702D5E">
        <w:rPr>
          <w:rFonts w:ascii="Times New Roman" w:hAnsi="Times New Roman"/>
          <w:snapToGrid/>
          <w:sz w:val="24"/>
          <w:szCs w:val="24"/>
        </w:rPr>
        <w:t>Notice of Lien</w:t>
      </w:r>
      <w:r>
        <w:rPr>
          <w:rFonts w:ascii="Times New Roman" w:hAnsi="Times New Roman"/>
          <w:snapToGrid/>
          <w:sz w:val="24"/>
          <w:szCs w:val="24"/>
        </w:rPr>
        <w:t xml:space="preserve"> form b</w:t>
      </w:r>
      <w:r w:rsidR="00633AD5" w:rsidRPr="00633AD5">
        <w:rPr>
          <w:rFonts w:ascii="Times New Roman" w:hAnsi="Times New Roman"/>
          <w:snapToGrid/>
          <w:sz w:val="24"/>
          <w:szCs w:val="24"/>
        </w:rPr>
        <w:t>ecause the number of new interstate cases for each fiscal year has remained relatively constant over time</w:t>
      </w:r>
      <w:r>
        <w:rPr>
          <w:rFonts w:ascii="Times New Roman" w:hAnsi="Times New Roman"/>
          <w:snapToGrid/>
          <w:sz w:val="24"/>
          <w:szCs w:val="24"/>
        </w:rPr>
        <w:t xml:space="preserve">.  </w:t>
      </w:r>
      <w:r w:rsidR="00633AD5" w:rsidRPr="00633AD5">
        <w:rPr>
          <w:rFonts w:ascii="Times New Roman" w:hAnsi="Times New Roman"/>
          <w:snapToGrid/>
          <w:sz w:val="24"/>
          <w:szCs w:val="24"/>
        </w:rPr>
        <w:t xml:space="preserve">The burden </w:t>
      </w:r>
      <w:r w:rsidR="00943E04">
        <w:rPr>
          <w:rFonts w:ascii="Times New Roman" w:hAnsi="Times New Roman"/>
          <w:snapToGrid/>
          <w:sz w:val="24"/>
          <w:szCs w:val="24"/>
        </w:rPr>
        <w:t xml:space="preserve">is slightly adjusted due to a small increase in </w:t>
      </w:r>
      <w:r w:rsidR="00633AD5" w:rsidRPr="00633AD5">
        <w:rPr>
          <w:rFonts w:ascii="Times New Roman" w:hAnsi="Times New Roman"/>
          <w:snapToGrid/>
          <w:sz w:val="24"/>
          <w:szCs w:val="24"/>
        </w:rPr>
        <w:t xml:space="preserve">the number of </w:t>
      </w:r>
      <w:r w:rsidR="00362433" w:rsidRPr="00633AD5">
        <w:rPr>
          <w:rFonts w:ascii="Times New Roman" w:hAnsi="Times New Roman"/>
          <w:snapToGrid/>
          <w:sz w:val="24"/>
          <w:szCs w:val="24"/>
        </w:rPr>
        <w:t xml:space="preserve">cases with orders being established </w:t>
      </w:r>
      <w:r w:rsidR="00943E04">
        <w:rPr>
          <w:rFonts w:ascii="Times New Roman" w:hAnsi="Times New Roman"/>
          <w:snapToGrid/>
          <w:sz w:val="24"/>
          <w:szCs w:val="24"/>
        </w:rPr>
        <w:t xml:space="preserve">since </w:t>
      </w:r>
      <w:r w:rsidR="00633AD5" w:rsidRPr="00633AD5">
        <w:rPr>
          <w:rFonts w:ascii="Times New Roman" w:hAnsi="Times New Roman"/>
          <w:snapToGrid/>
          <w:sz w:val="24"/>
          <w:szCs w:val="24"/>
        </w:rPr>
        <w:t>the last time this burden was calculated.</w:t>
      </w:r>
      <w:r w:rsidR="00352E34">
        <w:rPr>
          <w:rFonts w:ascii="Times New Roman" w:hAnsi="Times New Roman"/>
          <w:snapToGrid/>
          <w:sz w:val="24"/>
          <w:szCs w:val="24"/>
        </w:rPr>
        <w:t xml:space="preserve"> </w:t>
      </w:r>
      <w:r w:rsidR="00352E34" w:rsidRPr="00633AD5">
        <w:rPr>
          <w:rFonts w:ascii="Times New Roman" w:hAnsi="Times New Roman"/>
          <w:snapToGrid/>
          <w:sz w:val="24"/>
          <w:szCs w:val="24"/>
        </w:rPr>
        <w:t>The time required to fill out the for</w:t>
      </w:r>
      <w:r w:rsidR="00352E34">
        <w:rPr>
          <w:rFonts w:ascii="Times New Roman" w:hAnsi="Times New Roman"/>
          <w:snapToGrid/>
          <w:sz w:val="24"/>
          <w:szCs w:val="24"/>
        </w:rPr>
        <w:t>m itself remains unchanged at 15</w:t>
      </w:r>
      <w:r w:rsidR="00352E34" w:rsidRPr="00633AD5">
        <w:rPr>
          <w:rFonts w:ascii="Times New Roman" w:hAnsi="Times New Roman"/>
          <w:snapToGrid/>
          <w:sz w:val="24"/>
          <w:szCs w:val="24"/>
        </w:rPr>
        <w:t xml:space="preserve"> minutes.  </w:t>
      </w:r>
    </w:p>
    <w:p w:rsid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 xml:space="preserve">The changes are </w:t>
      </w:r>
      <w:r w:rsidR="00C40399">
        <w:rPr>
          <w:rFonts w:ascii="Times New Roman" w:hAnsi="Times New Roman"/>
          <w:snapToGrid/>
          <w:sz w:val="24"/>
          <w:szCs w:val="24"/>
        </w:rPr>
        <w:t xml:space="preserve">primarily </w:t>
      </w:r>
      <w:r w:rsidRPr="00633AD5">
        <w:rPr>
          <w:rFonts w:ascii="Times New Roman" w:hAnsi="Times New Roman"/>
          <w:snapToGrid/>
          <w:sz w:val="24"/>
          <w:szCs w:val="24"/>
        </w:rPr>
        <w:t>due to an adjus</w:t>
      </w:r>
      <w:r w:rsidR="009D6BFD">
        <w:rPr>
          <w:rFonts w:ascii="Times New Roman" w:hAnsi="Times New Roman"/>
          <w:snapToGrid/>
          <w:sz w:val="24"/>
          <w:szCs w:val="24"/>
        </w:rPr>
        <w:t>tment in the child support case</w:t>
      </w:r>
      <w:r w:rsidRPr="00633AD5">
        <w:rPr>
          <w:rFonts w:ascii="Times New Roman" w:hAnsi="Times New Roman"/>
          <w:snapToGrid/>
          <w:sz w:val="24"/>
          <w:szCs w:val="24"/>
        </w:rPr>
        <w:t xml:space="preserve">load rather than due to a change in the information collection itself.  </w:t>
      </w:r>
    </w:p>
    <w:p w:rsidR="008927FD" w:rsidRPr="00633AD5" w:rsidRDefault="00F92C06" w:rsidP="00633AD5">
      <w:pPr>
        <w:widowControl/>
        <w:spacing w:after="100" w:afterAutospacing="1"/>
        <w:ind w:left="720"/>
        <w:rPr>
          <w:rFonts w:ascii="Times New Roman" w:hAnsi="Times New Roman"/>
          <w:snapToGrid/>
          <w:sz w:val="24"/>
          <w:szCs w:val="24"/>
        </w:rPr>
      </w:pPr>
      <w:r>
        <w:rPr>
          <w:rFonts w:ascii="Times New Roman" w:hAnsi="Times New Roman"/>
          <w:snapToGrid/>
          <w:sz w:val="24"/>
          <w:szCs w:val="24"/>
        </w:rPr>
        <w:t>In the past, OCSE submitted the Administrative Subpoena and Notice of Lien forms in separate PRA packages.  Since they are both mandated under section 454(9)(E) of the Social Security Act and processed within the same PRA timeframes, OCSE is submitting these forms in one PRA package.</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16.</w:t>
      </w:r>
      <w:r>
        <w:rPr>
          <w:rFonts w:ascii="Times New Roman" w:hAnsi="Times New Roman"/>
          <w:snapToGrid/>
          <w:sz w:val="24"/>
          <w:szCs w:val="24"/>
        </w:rPr>
        <w:tab/>
      </w:r>
      <w:r w:rsidRPr="00A33C3D">
        <w:rPr>
          <w:rFonts w:ascii="Times New Roman" w:hAnsi="Times New Roman"/>
          <w:snapToGrid/>
          <w:sz w:val="24"/>
          <w:szCs w:val="24"/>
        </w:rPr>
        <w:t>Plans for Tabulation and Publication and Project Time Schedule</w:t>
      </w:r>
    </w:p>
    <w:p w:rsidR="00633AD5" w:rsidRPr="00633AD5" w:rsidRDefault="00633AD5" w:rsidP="00633AD5">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There are no plans to publish results of this information.</w:t>
      </w:r>
    </w:p>
    <w:p w:rsidR="008349D6"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17.</w:t>
      </w:r>
      <w:r>
        <w:rPr>
          <w:rFonts w:ascii="Times New Roman" w:hAnsi="Times New Roman"/>
          <w:snapToGrid/>
          <w:sz w:val="24"/>
          <w:szCs w:val="24"/>
        </w:rPr>
        <w:tab/>
      </w:r>
      <w:r w:rsidRPr="00A33C3D">
        <w:rPr>
          <w:rFonts w:ascii="Times New Roman" w:hAnsi="Times New Roman"/>
          <w:snapToGrid/>
          <w:sz w:val="24"/>
          <w:szCs w:val="24"/>
        </w:rPr>
        <w:t>Reason(s) Display of OMB Expiration Date is Inappropriate</w:t>
      </w:r>
      <w:r w:rsidRPr="00633AD5">
        <w:rPr>
          <w:rFonts w:ascii="Times New Roman" w:hAnsi="Times New Roman"/>
          <w:snapToGrid/>
          <w:sz w:val="24"/>
          <w:szCs w:val="24"/>
        </w:rPr>
        <w:t xml:space="preserve"> </w:t>
      </w:r>
    </w:p>
    <w:p w:rsidR="00633AD5" w:rsidRPr="00633AD5" w:rsidRDefault="00633AD5" w:rsidP="008349D6">
      <w:pPr>
        <w:widowControl/>
        <w:spacing w:after="100" w:afterAutospacing="1"/>
        <w:ind w:left="720"/>
        <w:rPr>
          <w:rFonts w:ascii="Times New Roman" w:hAnsi="Times New Roman"/>
          <w:snapToGrid/>
          <w:sz w:val="24"/>
          <w:szCs w:val="24"/>
        </w:rPr>
      </w:pPr>
      <w:r w:rsidRPr="00633AD5">
        <w:rPr>
          <w:rFonts w:ascii="Times New Roman" w:hAnsi="Times New Roman"/>
          <w:snapToGrid/>
          <w:sz w:val="24"/>
          <w:szCs w:val="24"/>
        </w:rPr>
        <w:t>Not applicable.</w:t>
      </w:r>
    </w:p>
    <w:p w:rsidR="008349D6" w:rsidRPr="00633AD5" w:rsidRDefault="008349D6" w:rsidP="008349D6">
      <w:pPr>
        <w:widowControl/>
        <w:tabs>
          <w:tab w:val="decimal" w:pos="540"/>
        </w:tabs>
        <w:spacing w:after="100" w:afterAutospacing="1"/>
        <w:rPr>
          <w:rFonts w:ascii="Times New Roman" w:hAnsi="Times New Roman"/>
          <w:snapToGrid/>
          <w:sz w:val="24"/>
          <w:szCs w:val="24"/>
        </w:rPr>
      </w:pPr>
      <w:r>
        <w:rPr>
          <w:rFonts w:ascii="Times New Roman" w:hAnsi="Times New Roman"/>
          <w:snapToGrid/>
          <w:sz w:val="24"/>
          <w:szCs w:val="24"/>
        </w:rPr>
        <w:tab/>
        <w:t>18.</w:t>
      </w:r>
      <w:r>
        <w:rPr>
          <w:rFonts w:ascii="Times New Roman" w:hAnsi="Times New Roman"/>
          <w:snapToGrid/>
          <w:sz w:val="24"/>
          <w:szCs w:val="24"/>
        </w:rPr>
        <w:tab/>
      </w:r>
      <w:r w:rsidRPr="00A33C3D">
        <w:rPr>
          <w:rFonts w:ascii="Times New Roman" w:hAnsi="Times New Roman"/>
          <w:snapToGrid/>
          <w:sz w:val="24"/>
          <w:szCs w:val="24"/>
        </w:rPr>
        <w:t>Exceptions to Certification for Paperwork Reduction Act Submissions</w:t>
      </w:r>
    </w:p>
    <w:p w:rsidR="00633AD5" w:rsidRPr="00633AD5" w:rsidRDefault="00633AD5" w:rsidP="00633AD5">
      <w:pPr>
        <w:widowControl/>
        <w:tabs>
          <w:tab w:val="left" w:pos="720"/>
        </w:tabs>
        <w:spacing w:after="100" w:afterAutospacing="1"/>
        <w:ind w:left="720"/>
        <w:rPr>
          <w:rFonts w:ascii="Times New Roman" w:hAnsi="Times New Roman"/>
          <w:bCs/>
          <w:snapToGrid/>
          <w:sz w:val="24"/>
          <w:szCs w:val="24"/>
        </w:rPr>
      </w:pPr>
      <w:r w:rsidRPr="00633AD5">
        <w:rPr>
          <w:rFonts w:ascii="Times New Roman" w:hAnsi="Times New Roman"/>
          <w:bCs/>
          <w:snapToGrid/>
          <w:sz w:val="24"/>
          <w:szCs w:val="24"/>
        </w:rPr>
        <w:t>There are no exceptions to the certification statement.</w:t>
      </w:r>
    </w:p>
    <w:p w:rsidR="00633AD5" w:rsidRPr="00633AD5" w:rsidRDefault="00633AD5" w:rsidP="00633AD5">
      <w:pPr>
        <w:widowControl/>
        <w:spacing w:after="100" w:afterAutospacing="1"/>
        <w:rPr>
          <w:rFonts w:ascii="Times New Roman" w:hAnsi="Times New Roman"/>
          <w:snapToGrid/>
          <w:sz w:val="24"/>
          <w:szCs w:val="24"/>
        </w:rPr>
      </w:pPr>
      <w:r w:rsidRPr="00633AD5">
        <w:rPr>
          <w:rFonts w:ascii="Times New Roman" w:hAnsi="Times New Roman"/>
          <w:b/>
          <w:bCs/>
          <w:snapToGrid/>
          <w:sz w:val="24"/>
          <w:szCs w:val="24"/>
        </w:rPr>
        <w:lastRenderedPageBreak/>
        <w:t>B.  Statistical Methods</w:t>
      </w:r>
      <w:r w:rsidRPr="00633AD5">
        <w:rPr>
          <w:rFonts w:ascii="Times New Roman" w:hAnsi="Times New Roman"/>
          <w:snapToGrid/>
          <w:sz w:val="24"/>
          <w:szCs w:val="24"/>
        </w:rPr>
        <w:t xml:space="preserve"> </w:t>
      </w:r>
      <w:r w:rsidRPr="00633AD5">
        <w:rPr>
          <w:rFonts w:ascii="Times New Roman" w:hAnsi="Times New Roman"/>
          <w:b/>
          <w:bCs/>
          <w:snapToGrid/>
          <w:sz w:val="24"/>
          <w:szCs w:val="24"/>
        </w:rPr>
        <w:t>(used for collection of information employing statistical methods)</w:t>
      </w:r>
    </w:p>
    <w:p w:rsidR="00633AD5" w:rsidRPr="00633AD5" w:rsidRDefault="00AE25F8" w:rsidP="00633AD5">
      <w:pPr>
        <w:widowControl/>
        <w:spacing w:after="100" w:afterAutospacing="1"/>
        <w:ind w:left="360"/>
        <w:rPr>
          <w:rFonts w:ascii="Times New Roman" w:hAnsi="Times New Roman"/>
          <w:snapToGrid/>
          <w:sz w:val="24"/>
          <w:szCs w:val="24"/>
        </w:rPr>
      </w:pPr>
      <w:r w:rsidRPr="00AE25F8">
        <w:rPr>
          <w:rFonts w:ascii="Times New Roman" w:hAnsi="Times New Roman"/>
          <w:snapToGrid/>
          <w:sz w:val="24"/>
          <w:szCs w:val="24"/>
        </w:rPr>
        <w:t xml:space="preserve">The </w:t>
      </w:r>
      <w:r w:rsidR="001028C9" w:rsidRPr="00AE25F8">
        <w:rPr>
          <w:rFonts w:ascii="Times New Roman" w:hAnsi="Times New Roman"/>
          <w:snapToGrid/>
          <w:sz w:val="24"/>
          <w:szCs w:val="24"/>
        </w:rPr>
        <w:t>use of these forms does</w:t>
      </w:r>
      <w:r w:rsidRPr="00AE25F8">
        <w:rPr>
          <w:rFonts w:ascii="Times New Roman" w:hAnsi="Times New Roman"/>
          <w:snapToGrid/>
          <w:sz w:val="24"/>
          <w:szCs w:val="24"/>
        </w:rPr>
        <w:t xml:space="preserve"> not require the use of statistical methods.</w:t>
      </w:r>
    </w:p>
    <w:p w:rsidR="00495780" w:rsidRPr="00633AD5" w:rsidRDefault="00495780" w:rsidP="00633AD5">
      <w:pPr>
        <w:spacing w:after="100" w:afterAutospacing="1"/>
        <w:rPr>
          <w:rFonts w:ascii="Times New Roman" w:hAnsi="Times New Roman"/>
          <w:sz w:val="24"/>
          <w:szCs w:val="24"/>
        </w:rPr>
      </w:pPr>
    </w:p>
    <w:sectPr w:rsidR="00495780" w:rsidRPr="00633AD5" w:rsidSect="00A918E4">
      <w:footerReference w:type="default" r:id="rId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1D" w:rsidRDefault="00AA011D">
      <w:r>
        <w:separator/>
      </w:r>
    </w:p>
  </w:endnote>
  <w:endnote w:type="continuationSeparator" w:id="0">
    <w:p w:rsidR="00AA011D" w:rsidRDefault="00AA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AA011D">
    <w:pPr>
      <w:spacing w:before="140" w:line="100" w:lineRule="exact"/>
      <w:rPr>
        <w:sz w:val="10"/>
      </w:rPr>
    </w:pPr>
  </w:p>
  <w:p w:rsidR="00DC1C23" w:rsidRDefault="00AA011D">
    <w:pPr>
      <w:tabs>
        <w:tab w:val="left" w:pos="-720"/>
      </w:tabs>
      <w:suppressAutoHyphens/>
      <w:rPr>
        <w:sz w:val="24"/>
      </w:rPr>
    </w:pPr>
  </w:p>
  <w:p w:rsidR="00DC1C23" w:rsidRDefault="00E27144">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E2714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07818">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E2714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B07818">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1D" w:rsidRDefault="00AA011D">
      <w:r>
        <w:separator/>
      </w:r>
    </w:p>
  </w:footnote>
  <w:footnote w:type="continuationSeparator" w:id="0">
    <w:p w:rsidR="00AA011D" w:rsidRDefault="00AA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D5"/>
    <w:rsid w:val="000030C6"/>
    <w:rsid w:val="001028C9"/>
    <w:rsid w:val="00132C38"/>
    <w:rsid w:val="00135772"/>
    <w:rsid w:val="00150CF7"/>
    <w:rsid w:val="00157452"/>
    <w:rsid w:val="001B689D"/>
    <w:rsid w:val="001C4E06"/>
    <w:rsid w:val="001D2152"/>
    <w:rsid w:val="00204B94"/>
    <w:rsid w:val="002211EA"/>
    <w:rsid w:val="0028291F"/>
    <w:rsid w:val="00290AB1"/>
    <w:rsid w:val="002F079C"/>
    <w:rsid w:val="00342F8A"/>
    <w:rsid w:val="00352E34"/>
    <w:rsid w:val="00362433"/>
    <w:rsid w:val="003767E1"/>
    <w:rsid w:val="003D57A4"/>
    <w:rsid w:val="004132CF"/>
    <w:rsid w:val="0043587B"/>
    <w:rsid w:val="00495780"/>
    <w:rsid w:val="0052290A"/>
    <w:rsid w:val="005337BD"/>
    <w:rsid w:val="00566210"/>
    <w:rsid w:val="005A42A3"/>
    <w:rsid w:val="005E169C"/>
    <w:rsid w:val="005E2A70"/>
    <w:rsid w:val="00633AD5"/>
    <w:rsid w:val="006359ED"/>
    <w:rsid w:val="00702D5E"/>
    <w:rsid w:val="007D0308"/>
    <w:rsid w:val="007E0AE4"/>
    <w:rsid w:val="008349D6"/>
    <w:rsid w:val="0083566B"/>
    <w:rsid w:val="008927FD"/>
    <w:rsid w:val="00915F61"/>
    <w:rsid w:val="00943E04"/>
    <w:rsid w:val="00990C36"/>
    <w:rsid w:val="009A72BF"/>
    <w:rsid w:val="009D6BFD"/>
    <w:rsid w:val="00A02375"/>
    <w:rsid w:val="00A9032C"/>
    <w:rsid w:val="00A97FDA"/>
    <w:rsid w:val="00AA011D"/>
    <w:rsid w:val="00AE25F8"/>
    <w:rsid w:val="00B07818"/>
    <w:rsid w:val="00B201A2"/>
    <w:rsid w:val="00B42931"/>
    <w:rsid w:val="00B831B9"/>
    <w:rsid w:val="00B90DE8"/>
    <w:rsid w:val="00B91D92"/>
    <w:rsid w:val="00BC3EBF"/>
    <w:rsid w:val="00C40399"/>
    <w:rsid w:val="00D63329"/>
    <w:rsid w:val="00D7205A"/>
    <w:rsid w:val="00DE0DFD"/>
    <w:rsid w:val="00E17AD6"/>
    <w:rsid w:val="00E27144"/>
    <w:rsid w:val="00E7485E"/>
    <w:rsid w:val="00E92DF6"/>
    <w:rsid w:val="00EB79F2"/>
    <w:rsid w:val="00EF77F4"/>
    <w:rsid w:val="00F04E5E"/>
    <w:rsid w:val="00F1545F"/>
    <w:rsid w:val="00F15719"/>
    <w:rsid w:val="00F63532"/>
    <w:rsid w:val="00F92C06"/>
    <w:rsid w:val="00FE1ADC"/>
    <w:rsid w:val="00FE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D5"/>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33AD5"/>
    <w:rPr>
      <w:sz w:val="16"/>
      <w:szCs w:val="16"/>
    </w:rPr>
  </w:style>
  <w:style w:type="paragraph" w:styleId="CommentText">
    <w:name w:val="annotation text"/>
    <w:basedOn w:val="Normal"/>
    <w:link w:val="CommentTextChar"/>
    <w:rsid w:val="00633AD5"/>
  </w:style>
  <w:style w:type="character" w:customStyle="1" w:styleId="CommentTextChar">
    <w:name w:val="Comment Text Char"/>
    <w:basedOn w:val="DefaultParagraphFont"/>
    <w:link w:val="CommentText"/>
    <w:rsid w:val="00633AD5"/>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633AD5"/>
    <w:rPr>
      <w:rFonts w:ascii="Tahoma" w:hAnsi="Tahoma" w:cs="Tahoma"/>
      <w:sz w:val="16"/>
      <w:szCs w:val="16"/>
    </w:rPr>
  </w:style>
  <w:style w:type="character" w:customStyle="1" w:styleId="BalloonTextChar">
    <w:name w:val="Balloon Text Char"/>
    <w:basedOn w:val="DefaultParagraphFont"/>
    <w:link w:val="BalloonText"/>
    <w:uiPriority w:val="99"/>
    <w:semiHidden/>
    <w:rsid w:val="00633AD5"/>
    <w:rPr>
      <w:rFonts w:ascii="Tahoma" w:eastAsia="Times New Roman" w:hAnsi="Tahoma" w:cs="Tahoma"/>
      <w:snapToGrid w:val="0"/>
      <w:sz w:val="16"/>
      <w:szCs w:val="16"/>
    </w:rPr>
  </w:style>
  <w:style w:type="paragraph" w:styleId="ListParagraph">
    <w:name w:val="List Paragraph"/>
    <w:basedOn w:val="Normal"/>
    <w:uiPriority w:val="34"/>
    <w:qFormat/>
    <w:rsid w:val="00633AD5"/>
    <w:pPr>
      <w:ind w:left="720"/>
      <w:contextualSpacing/>
    </w:pPr>
  </w:style>
  <w:style w:type="paragraph" w:styleId="CommentSubject">
    <w:name w:val="annotation subject"/>
    <w:basedOn w:val="CommentText"/>
    <w:next w:val="CommentText"/>
    <w:link w:val="CommentSubjectChar"/>
    <w:uiPriority w:val="99"/>
    <w:semiHidden/>
    <w:unhideWhenUsed/>
    <w:rsid w:val="00342F8A"/>
    <w:rPr>
      <w:b/>
      <w:bCs/>
    </w:rPr>
  </w:style>
  <w:style w:type="character" w:customStyle="1" w:styleId="CommentSubjectChar">
    <w:name w:val="Comment Subject Char"/>
    <w:basedOn w:val="CommentTextChar"/>
    <w:link w:val="CommentSubject"/>
    <w:uiPriority w:val="99"/>
    <w:semiHidden/>
    <w:rsid w:val="00342F8A"/>
    <w:rPr>
      <w:rFonts w:ascii="Courier New" w:eastAsia="Times New Roman" w:hAnsi="Courier New"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D5"/>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33AD5"/>
    <w:rPr>
      <w:sz w:val="16"/>
      <w:szCs w:val="16"/>
    </w:rPr>
  </w:style>
  <w:style w:type="paragraph" w:styleId="CommentText">
    <w:name w:val="annotation text"/>
    <w:basedOn w:val="Normal"/>
    <w:link w:val="CommentTextChar"/>
    <w:rsid w:val="00633AD5"/>
  </w:style>
  <w:style w:type="character" w:customStyle="1" w:styleId="CommentTextChar">
    <w:name w:val="Comment Text Char"/>
    <w:basedOn w:val="DefaultParagraphFont"/>
    <w:link w:val="CommentText"/>
    <w:rsid w:val="00633AD5"/>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633AD5"/>
    <w:rPr>
      <w:rFonts w:ascii="Tahoma" w:hAnsi="Tahoma" w:cs="Tahoma"/>
      <w:sz w:val="16"/>
      <w:szCs w:val="16"/>
    </w:rPr>
  </w:style>
  <w:style w:type="character" w:customStyle="1" w:styleId="BalloonTextChar">
    <w:name w:val="Balloon Text Char"/>
    <w:basedOn w:val="DefaultParagraphFont"/>
    <w:link w:val="BalloonText"/>
    <w:uiPriority w:val="99"/>
    <w:semiHidden/>
    <w:rsid w:val="00633AD5"/>
    <w:rPr>
      <w:rFonts w:ascii="Tahoma" w:eastAsia="Times New Roman" w:hAnsi="Tahoma" w:cs="Tahoma"/>
      <w:snapToGrid w:val="0"/>
      <w:sz w:val="16"/>
      <w:szCs w:val="16"/>
    </w:rPr>
  </w:style>
  <w:style w:type="paragraph" w:styleId="ListParagraph">
    <w:name w:val="List Paragraph"/>
    <w:basedOn w:val="Normal"/>
    <w:uiPriority w:val="34"/>
    <w:qFormat/>
    <w:rsid w:val="00633AD5"/>
    <w:pPr>
      <w:ind w:left="720"/>
      <w:contextualSpacing/>
    </w:pPr>
  </w:style>
  <w:style w:type="paragraph" w:styleId="CommentSubject">
    <w:name w:val="annotation subject"/>
    <w:basedOn w:val="CommentText"/>
    <w:next w:val="CommentText"/>
    <w:link w:val="CommentSubjectChar"/>
    <w:uiPriority w:val="99"/>
    <w:semiHidden/>
    <w:unhideWhenUsed/>
    <w:rsid w:val="00342F8A"/>
    <w:rPr>
      <w:b/>
      <w:bCs/>
    </w:rPr>
  </w:style>
  <w:style w:type="character" w:customStyle="1" w:styleId="CommentSubjectChar">
    <w:name w:val="Comment Subject Char"/>
    <w:basedOn w:val="CommentTextChar"/>
    <w:link w:val="CommentSubject"/>
    <w:uiPriority w:val="99"/>
    <w:semiHidden/>
    <w:rsid w:val="00342F8A"/>
    <w:rPr>
      <w:rFonts w:ascii="Courier New" w:eastAsia="Times New Roman" w:hAnsi="Courier New"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2016-10-07T14:12:00Z</cp:lastPrinted>
  <dcterms:created xsi:type="dcterms:W3CDTF">2016-10-07T18:35:00Z</dcterms:created>
  <dcterms:modified xsi:type="dcterms:W3CDTF">2016-10-07T18:35:00Z</dcterms:modified>
</cp:coreProperties>
</file>