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D82" w:rsidRDefault="00F107B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644823" w:rsidRPr="000C0ABA">
        <w:rPr>
          <w:rFonts w:ascii="Times New Roman" w:hAnsi="Times New Roman" w:cs="Times New Roman"/>
        </w:rPr>
        <w:t>Form SSA-1696-U4</w:t>
      </w:r>
    </w:p>
    <w:p w:rsidR="00D40F36" w:rsidRPr="00D40F36" w:rsidRDefault="00D40F36" w:rsidP="00D40F36">
      <w:pPr>
        <w:jc w:val="center"/>
        <w:rPr>
          <w:b/>
        </w:rPr>
      </w:pPr>
      <w:r w:rsidRPr="00D40F36">
        <w:rPr>
          <w:rFonts w:ascii="Times New Roman" w:hAnsi="Times New Roman"/>
          <w:b/>
        </w:rPr>
        <w:t>Appointment of Representative</w:t>
      </w:r>
    </w:p>
    <w:p w:rsidR="00146275" w:rsidRPr="00940151" w:rsidRDefault="00940151" w:rsidP="00F107B7">
      <w:pPr>
        <w:jc w:val="center"/>
        <w:rPr>
          <w:rFonts w:ascii="Times New Roman" w:hAnsi="Times New Roman"/>
          <w:b/>
        </w:rPr>
      </w:pPr>
      <w:r w:rsidRPr="006E7253">
        <w:rPr>
          <w:rFonts w:ascii="Times New Roman" w:hAnsi="Times New Roman"/>
          <w:b/>
          <w:bCs/>
          <w:iCs/>
        </w:rPr>
        <w:t xml:space="preserve">20 CFR 404.1707, 404.1720, </w:t>
      </w:r>
      <w:r w:rsidR="00B1523E">
        <w:rPr>
          <w:rFonts w:ascii="Times New Roman" w:hAnsi="Times New Roman"/>
          <w:b/>
          <w:bCs/>
          <w:iCs/>
        </w:rPr>
        <w:t xml:space="preserve">408.1101, </w:t>
      </w:r>
      <w:r w:rsidRPr="006E7253">
        <w:rPr>
          <w:rFonts w:ascii="Times New Roman" w:hAnsi="Times New Roman"/>
          <w:b/>
          <w:bCs/>
          <w:iCs/>
        </w:rPr>
        <w:t>416.1507</w:t>
      </w:r>
      <w:r w:rsidR="00FB71E6">
        <w:rPr>
          <w:rFonts w:ascii="Times New Roman" w:hAnsi="Times New Roman"/>
          <w:b/>
          <w:bCs/>
          <w:iCs/>
        </w:rPr>
        <w:t>, and 416.1520</w:t>
      </w:r>
    </w:p>
    <w:p w:rsidR="00A45D82" w:rsidRPr="00BC7F42" w:rsidRDefault="008B6774"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644823" w:rsidRPr="000C0ABA">
        <w:rPr>
          <w:rFonts w:ascii="Times New Roman" w:hAnsi="Times New Roman" w:cs="Times New Roman"/>
        </w:rPr>
        <w:t>0527</w:t>
      </w:r>
    </w:p>
    <w:p w:rsidR="00A45D82" w:rsidRPr="00BC7F42" w:rsidRDefault="00A45D82" w:rsidP="00A45D82">
      <w:pPr>
        <w:pStyle w:val="Header"/>
        <w:tabs>
          <w:tab w:val="clear" w:pos="4320"/>
          <w:tab w:val="clear" w:pos="8640"/>
        </w:tabs>
        <w:rPr>
          <w:rFonts w:ascii="Times New Roman" w:hAnsi="Times New Roman"/>
        </w:rPr>
      </w:pPr>
    </w:p>
    <w:p w:rsidR="00A45D82" w:rsidRPr="002321B0" w:rsidRDefault="00A45D82" w:rsidP="00B01D23">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321B0" w:rsidRDefault="002E18CF" w:rsidP="00B01D23">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644823" w:rsidRPr="003D55A2" w:rsidRDefault="00E567E1" w:rsidP="00B01D23">
      <w:pPr>
        <w:tabs>
          <w:tab w:val="num" w:pos="1440"/>
        </w:tabs>
        <w:ind w:left="1440"/>
        <w:rPr>
          <w:rFonts w:ascii="Times New Roman" w:hAnsi="Times New Roman"/>
        </w:rPr>
      </w:pPr>
      <w:r>
        <w:rPr>
          <w:rFonts w:ascii="Times New Roman" w:hAnsi="Times New Roman"/>
        </w:rPr>
        <w:t>People</w:t>
      </w:r>
      <w:r w:rsidR="00644823" w:rsidRPr="003D55A2">
        <w:rPr>
          <w:rFonts w:ascii="Times New Roman" w:hAnsi="Times New Roman"/>
        </w:rPr>
        <w:t xml:space="preserve"> claiming a right or benefit </w:t>
      </w:r>
      <w:r w:rsidR="003D55A2">
        <w:rPr>
          <w:rFonts w:ascii="Times New Roman" w:hAnsi="Times New Roman"/>
        </w:rPr>
        <w:t>(</w:t>
      </w:r>
      <w:r>
        <w:rPr>
          <w:rFonts w:ascii="Times New Roman" w:hAnsi="Times New Roman"/>
        </w:rPr>
        <w:t>recipients</w:t>
      </w:r>
      <w:r w:rsidR="003D55A2">
        <w:rPr>
          <w:rFonts w:ascii="Times New Roman" w:hAnsi="Times New Roman"/>
        </w:rPr>
        <w:t xml:space="preserve">) </w:t>
      </w:r>
      <w:r w:rsidR="00644823" w:rsidRPr="003D55A2">
        <w:rPr>
          <w:rFonts w:ascii="Times New Roman" w:hAnsi="Times New Roman"/>
        </w:rPr>
        <w:t xml:space="preserve">under the </w:t>
      </w:r>
      <w:r w:rsidR="00644823" w:rsidRPr="003D55A2">
        <w:rPr>
          <w:rFonts w:ascii="Times New Roman" w:hAnsi="Times New Roman"/>
          <w:i/>
        </w:rPr>
        <w:t xml:space="preserve">Social Security Act </w:t>
      </w:r>
      <w:r w:rsidR="00644823" w:rsidRPr="00E567E1">
        <w:rPr>
          <w:rFonts w:ascii="Times New Roman" w:hAnsi="Times New Roman"/>
          <w:i/>
        </w:rPr>
        <w:t>(Act)</w:t>
      </w:r>
      <w:r w:rsidR="00644823" w:rsidRPr="00791DA6">
        <w:rPr>
          <w:rFonts w:ascii="Times New Roman" w:hAnsi="Times New Roman"/>
        </w:rPr>
        <w:t xml:space="preserve"> </w:t>
      </w:r>
      <w:r w:rsidR="00644823" w:rsidRPr="003D55A2">
        <w:rPr>
          <w:rFonts w:ascii="Times New Roman" w:hAnsi="Times New Roman"/>
        </w:rPr>
        <w:t xml:space="preserve">must notify the Social Security Administration (SSA) in writing if </w:t>
      </w:r>
      <w:r>
        <w:rPr>
          <w:rFonts w:ascii="Times New Roman" w:hAnsi="Times New Roman"/>
        </w:rPr>
        <w:t>they appoint</w:t>
      </w:r>
      <w:r w:rsidR="00644823" w:rsidRPr="003D55A2">
        <w:rPr>
          <w:rFonts w:ascii="Times New Roman" w:hAnsi="Times New Roman"/>
        </w:rPr>
        <w:t xml:space="preserve"> an individual to represent </w:t>
      </w:r>
      <w:r>
        <w:rPr>
          <w:rFonts w:ascii="Times New Roman" w:hAnsi="Times New Roman"/>
        </w:rPr>
        <w:t>them</w:t>
      </w:r>
      <w:r w:rsidR="00644823" w:rsidRPr="003D55A2">
        <w:rPr>
          <w:rFonts w:ascii="Times New Roman" w:hAnsi="Times New Roman"/>
        </w:rPr>
        <w:t xml:space="preserve"> in dealings with SSA.  In addition, </w:t>
      </w:r>
      <w:r w:rsidR="00CB7A01">
        <w:rPr>
          <w:rFonts w:ascii="Times New Roman" w:hAnsi="Times New Roman"/>
        </w:rPr>
        <w:t xml:space="preserve">regulations require the representative </w:t>
      </w:r>
      <w:r>
        <w:rPr>
          <w:rFonts w:ascii="Times New Roman" w:hAnsi="Times New Roman"/>
        </w:rPr>
        <w:t xml:space="preserve">to </w:t>
      </w:r>
      <w:r w:rsidR="00644823" w:rsidRPr="003D55A2">
        <w:rPr>
          <w:rFonts w:ascii="Times New Roman" w:hAnsi="Times New Roman"/>
        </w:rPr>
        <w:t xml:space="preserve">sign the notice of appointment </w:t>
      </w:r>
      <w:r w:rsidR="0037042B">
        <w:rPr>
          <w:rFonts w:ascii="Times New Roman" w:hAnsi="Times New Roman"/>
        </w:rPr>
        <w:t xml:space="preserve">(i.e. </w:t>
      </w:r>
      <w:r w:rsidR="005B55EA">
        <w:rPr>
          <w:rFonts w:ascii="Times New Roman" w:hAnsi="Times New Roman"/>
        </w:rPr>
        <w:t>F</w:t>
      </w:r>
      <w:r w:rsidR="0037042B">
        <w:rPr>
          <w:rFonts w:ascii="Times New Roman" w:hAnsi="Times New Roman"/>
        </w:rPr>
        <w:t>orm SSA</w:t>
      </w:r>
      <w:r>
        <w:rPr>
          <w:rFonts w:ascii="Times New Roman" w:hAnsi="Times New Roman"/>
        </w:rPr>
        <w:noBreakHyphen/>
      </w:r>
      <w:r w:rsidR="0037042B">
        <w:rPr>
          <w:rFonts w:ascii="Times New Roman" w:hAnsi="Times New Roman"/>
        </w:rPr>
        <w:t>1696</w:t>
      </w:r>
      <w:r>
        <w:rPr>
          <w:rFonts w:ascii="Times New Roman" w:hAnsi="Times New Roman"/>
        </w:rPr>
        <w:noBreakHyphen/>
      </w:r>
      <w:r w:rsidR="00940151">
        <w:rPr>
          <w:rFonts w:ascii="Times New Roman" w:hAnsi="Times New Roman"/>
        </w:rPr>
        <w:t>U</w:t>
      </w:r>
      <w:r w:rsidR="0037042B">
        <w:rPr>
          <w:rFonts w:ascii="Times New Roman" w:hAnsi="Times New Roman"/>
        </w:rPr>
        <w:t>4</w:t>
      </w:r>
      <w:r w:rsidR="00BE2457">
        <w:rPr>
          <w:rFonts w:ascii="Times New Roman" w:hAnsi="Times New Roman"/>
        </w:rPr>
        <w:t>,</w:t>
      </w:r>
      <w:r w:rsidR="0037042B">
        <w:rPr>
          <w:rFonts w:ascii="Times New Roman" w:hAnsi="Times New Roman"/>
        </w:rPr>
        <w:t xml:space="preserve"> Appointment of Representative</w:t>
      </w:r>
      <w:r w:rsidR="00BE2457">
        <w:rPr>
          <w:rFonts w:ascii="Times New Roman" w:hAnsi="Times New Roman"/>
        </w:rPr>
        <w:t>,</w:t>
      </w:r>
      <w:r w:rsidR="0037042B">
        <w:rPr>
          <w:rFonts w:ascii="Times New Roman" w:hAnsi="Times New Roman"/>
        </w:rPr>
        <w:t xml:space="preserve"> or another </w:t>
      </w:r>
      <w:r w:rsidR="00CB7A01">
        <w:rPr>
          <w:rFonts w:ascii="Times New Roman" w:hAnsi="Times New Roman"/>
        </w:rPr>
        <w:t xml:space="preserve">equivalent </w:t>
      </w:r>
      <w:r>
        <w:rPr>
          <w:rFonts w:ascii="Times New Roman" w:hAnsi="Times New Roman"/>
        </w:rPr>
        <w:t xml:space="preserve">in </w:t>
      </w:r>
      <w:r w:rsidR="0037042B">
        <w:rPr>
          <w:rFonts w:ascii="Times New Roman" w:hAnsi="Times New Roman"/>
        </w:rPr>
        <w:t xml:space="preserve">writing) </w:t>
      </w:r>
      <w:r w:rsidR="00644823" w:rsidRPr="003D55A2">
        <w:rPr>
          <w:rFonts w:ascii="Times New Roman" w:hAnsi="Times New Roman"/>
        </w:rPr>
        <w:t xml:space="preserve">if the representative is not an attorney.  The statutory authority for requiring this information is in </w:t>
      </w:r>
      <w:r w:rsidR="00644823" w:rsidRPr="00E567E1">
        <w:rPr>
          <w:rFonts w:ascii="Times New Roman" w:hAnsi="Times New Roman"/>
        </w:rPr>
        <w:t>Sections</w:t>
      </w:r>
      <w:r w:rsidR="00644823" w:rsidRPr="003D55A2">
        <w:rPr>
          <w:rFonts w:ascii="Times New Roman" w:hAnsi="Times New Roman"/>
          <w:i/>
        </w:rPr>
        <w:t xml:space="preserve"> 206</w:t>
      </w:r>
      <w:r w:rsidR="00350FB8">
        <w:rPr>
          <w:rFonts w:ascii="Times New Roman" w:hAnsi="Times New Roman"/>
          <w:i/>
        </w:rPr>
        <w:t xml:space="preserve"> </w:t>
      </w:r>
      <w:r w:rsidR="00644823" w:rsidRPr="003D55A2">
        <w:rPr>
          <w:rFonts w:ascii="Times New Roman" w:hAnsi="Times New Roman"/>
        </w:rPr>
        <w:t>and</w:t>
      </w:r>
      <w:r w:rsidR="00644823" w:rsidRPr="003D55A2">
        <w:rPr>
          <w:rFonts w:ascii="Times New Roman" w:hAnsi="Times New Roman"/>
          <w:i/>
        </w:rPr>
        <w:t xml:space="preserve"> 1631(d)</w:t>
      </w:r>
      <w:r w:rsidR="00350FB8">
        <w:rPr>
          <w:rFonts w:ascii="Times New Roman" w:hAnsi="Times New Roman"/>
          <w:i/>
        </w:rPr>
        <w:t xml:space="preserve"> </w:t>
      </w:r>
      <w:r w:rsidR="00644823" w:rsidRPr="003D55A2">
        <w:rPr>
          <w:rFonts w:ascii="Times New Roman" w:hAnsi="Times New Roman"/>
        </w:rPr>
        <w:t>of the</w:t>
      </w:r>
      <w:r w:rsidR="00644823" w:rsidRPr="003D55A2">
        <w:rPr>
          <w:rFonts w:ascii="Times New Roman" w:hAnsi="Times New Roman"/>
          <w:i/>
        </w:rPr>
        <w:t xml:space="preserve"> </w:t>
      </w:r>
      <w:r w:rsidR="00644823" w:rsidRPr="00350FB8">
        <w:rPr>
          <w:rFonts w:ascii="Times New Roman" w:hAnsi="Times New Roman"/>
          <w:i/>
        </w:rPr>
        <w:t>Act</w:t>
      </w:r>
      <w:r w:rsidR="0073069E" w:rsidRPr="003D55A2">
        <w:rPr>
          <w:rFonts w:ascii="Times New Roman" w:hAnsi="Times New Roman"/>
          <w:i/>
        </w:rPr>
        <w:t>.</w:t>
      </w:r>
      <w:r w:rsidR="00644823" w:rsidRPr="003D55A2">
        <w:rPr>
          <w:rFonts w:ascii="Times New Roman" w:hAnsi="Times New Roman"/>
        </w:rPr>
        <w:t xml:space="preserve">  The implementing regulations are in </w:t>
      </w:r>
      <w:r w:rsidR="00644823" w:rsidRPr="003D55A2">
        <w:rPr>
          <w:rFonts w:ascii="Times New Roman" w:hAnsi="Times New Roman"/>
          <w:i/>
        </w:rPr>
        <w:t xml:space="preserve">20 CFR 404.1707, </w:t>
      </w:r>
      <w:r w:rsidR="00644823" w:rsidRPr="003D55A2">
        <w:rPr>
          <w:rFonts w:ascii="Times New Roman" w:hAnsi="Times New Roman"/>
        </w:rPr>
        <w:t xml:space="preserve">and </w:t>
      </w:r>
      <w:r w:rsidR="00644823" w:rsidRPr="003D55A2">
        <w:rPr>
          <w:rFonts w:ascii="Times New Roman" w:hAnsi="Times New Roman"/>
          <w:i/>
        </w:rPr>
        <w:t xml:space="preserve">416.1507 </w:t>
      </w:r>
      <w:r w:rsidR="00644823" w:rsidRPr="003D55A2">
        <w:rPr>
          <w:rFonts w:ascii="Times New Roman" w:hAnsi="Times New Roman"/>
        </w:rPr>
        <w:t>of the</w:t>
      </w:r>
      <w:r w:rsidR="00644823" w:rsidRPr="003D55A2">
        <w:rPr>
          <w:rFonts w:ascii="Times New Roman" w:hAnsi="Times New Roman"/>
          <w:i/>
        </w:rPr>
        <w:t xml:space="preserve"> Code of Federal Regulations</w:t>
      </w:r>
      <w:r w:rsidR="00644823" w:rsidRPr="003D55A2">
        <w:rPr>
          <w:rFonts w:ascii="Times New Roman" w:hAnsi="Times New Roman"/>
        </w:rPr>
        <w:t xml:space="preserve">.  </w:t>
      </w:r>
      <w:r w:rsidR="00644823" w:rsidRPr="00E567E1">
        <w:rPr>
          <w:rFonts w:ascii="Times New Roman" w:hAnsi="Times New Roman"/>
          <w:iCs/>
        </w:rPr>
        <w:t>Sections</w:t>
      </w:r>
      <w:r w:rsidR="00644823" w:rsidRPr="003D55A2">
        <w:rPr>
          <w:rFonts w:ascii="Times New Roman" w:hAnsi="Times New Roman"/>
          <w:i/>
          <w:iCs/>
        </w:rPr>
        <w:t xml:space="preserve"> 206(a) </w:t>
      </w:r>
      <w:r w:rsidR="00644823" w:rsidRPr="003D55A2">
        <w:rPr>
          <w:rFonts w:ascii="Times New Roman" w:hAnsi="Times New Roman"/>
          <w:iCs/>
        </w:rPr>
        <w:t>and</w:t>
      </w:r>
      <w:r w:rsidR="00644823" w:rsidRPr="003D55A2">
        <w:rPr>
          <w:rFonts w:ascii="Times New Roman" w:hAnsi="Times New Roman"/>
          <w:i/>
          <w:iCs/>
        </w:rPr>
        <w:t xml:space="preserve"> 1631(d)(2) </w:t>
      </w:r>
      <w:r w:rsidR="00644823" w:rsidRPr="003D55A2">
        <w:rPr>
          <w:rFonts w:ascii="Times New Roman" w:hAnsi="Times New Roman"/>
          <w:iCs/>
        </w:rPr>
        <w:t>of the</w:t>
      </w:r>
      <w:r w:rsidR="00644823" w:rsidRPr="003D55A2">
        <w:rPr>
          <w:rFonts w:ascii="Times New Roman" w:hAnsi="Times New Roman"/>
          <w:i/>
          <w:iCs/>
        </w:rPr>
        <w:t xml:space="preserve"> </w:t>
      </w:r>
      <w:r w:rsidR="0073069E" w:rsidRPr="00D7481D">
        <w:rPr>
          <w:rFonts w:ascii="Times New Roman" w:hAnsi="Times New Roman"/>
          <w:i/>
          <w:iCs/>
        </w:rPr>
        <w:t>Act</w:t>
      </w:r>
      <w:r w:rsidR="00644823" w:rsidRPr="00791DA6">
        <w:rPr>
          <w:rFonts w:ascii="Times New Roman" w:hAnsi="Times New Roman"/>
        </w:rPr>
        <w:t xml:space="preserve"> </w:t>
      </w:r>
      <w:r w:rsidR="00644823" w:rsidRPr="003D55A2">
        <w:rPr>
          <w:rFonts w:ascii="Times New Roman" w:hAnsi="Times New Roman"/>
        </w:rPr>
        <w:t xml:space="preserve">provide that when the </w:t>
      </w:r>
      <w:r w:rsidR="0037042B">
        <w:rPr>
          <w:rFonts w:ascii="Times New Roman" w:hAnsi="Times New Roman"/>
        </w:rPr>
        <w:t>individual</w:t>
      </w:r>
      <w:r w:rsidR="0037042B" w:rsidRPr="003D55A2">
        <w:rPr>
          <w:rFonts w:ascii="Times New Roman" w:hAnsi="Times New Roman"/>
        </w:rPr>
        <w:t xml:space="preserve"> </w:t>
      </w:r>
      <w:r w:rsidR="00644823" w:rsidRPr="003D55A2">
        <w:rPr>
          <w:rFonts w:ascii="Times New Roman" w:hAnsi="Times New Roman"/>
        </w:rPr>
        <w:t>representing the claimant is an attorney</w:t>
      </w:r>
      <w:r w:rsidR="009E25B2">
        <w:rPr>
          <w:rFonts w:ascii="Times New Roman" w:hAnsi="Times New Roman"/>
        </w:rPr>
        <w:t xml:space="preserve"> or a non</w:t>
      </w:r>
      <w:r w:rsidR="00D7481D">
        <w:rPr>
          <w:rFonts w:ascii="Times New Roman" w:hAnsi="Times New Roman"/>
        </w:rPr>
        <w:t>-</w:t>
      </w:r>
      <w:r w:rsidR="009E25B2">
        <w:rPr>
          <w:rFonts w:ascii="Times New Roman" w:hAnsi="Times New Roman"/>
        </w:rPr>
        <w:t xml:space="preserve">attorney meeting the requirements in </w:t>
      </w:r>
      <w:r w:rsidR="009E25B2" w:rsidRPr="00E567E1">
        <w:rPr>
          <w:rFonts w:ascii="Times New Roman" w:hAnsi="Times New Roman"/>
        </w:rPr>
        <w:t>Section</w:t>
      </w:r>
      <w:r w:rsidR="009E25B2" w:rsidRPr="00AF309D">
        <w:rPr>
          <w:rFonts w:ascii="Times New Roman" w:hAnsi="Times New Roman"/>
          <w:i/>
        </w:rPr>
        <w:t xml:space="preserve"> 206(e)</w:t>
      </w:r>
      <w:r w:rsidR="009E25B2">
        <w:rPr>
          <w:rFonts w:ascii="Times New Roman" w:hAnsi="Times New Roman"/>
        </w:rPr>
        <w:t xml:space="preserve"> of the </w:t>
      </w:r>
      <w:r w:rsidR="009E25B2" w:rsidRPr="00350FB8">
        <w:rPr>
          <w:rFonts w:ascii="Times New Roman" w:hAnsi="Times New Roman"/>
          <w:i/>
        </w:rPr>
        <w:t>Act</w:t>
      </w:r>
      <w:r w:rsidR="00644823" w:rsidRPr="003D55A2">
        <w:rPr>
          <w:rFonts w:ascii="Times New Roman" w:hAnsi="Times New Roman"/>
        </w:rPr>
        <w:t>, the Commissioner shall certify payment out of past-due benefits a fee equal to as much as 25 percent of past-due benefits</w:t>
      </w:r>
      <w:r w:rsidR="009E25B2" w:rsidRPr="003D55A2">
        <w:rPr>
          <w:rFonts w:ascii="Times New Roman" w:hAnsi="Times New Roman"/>
        </w:rPr>
        <w:t>.</w:t>
      </w:r>
      <w:r w:rsidR="009E25B2">
        <w:t xml:space="preserve"> </w:t>
      </w:r>
      <w:r w:rsidR="00644823" w:rsidRPr="003D55A2">
        <w:rPr>
          <w:rFonts w:ascii="Times New Roman" w:hAnsi="Times New Roman"/>
        </w:rPr>
        <w:t xml:space="preserve">The implementing regulations </w:t>
      </w:r>
      <w:r w:rsidR="00A16861" w:rsidRPr="003D55A2">
        <w:rPr>
          <w:rFonts w:ascii="Times New Roman" w:hAnsi="Times New Roman"/>
        </w:rPr>
        <w:t xml:space="preserve">are </w:t>
      </w:r>
      <w:r w:rsidR="003D55A2" w:rsidRPr="003D55A2">
        <w:rPr>
          <w:rFonts w:ascii="Times New Roman" w:hAnsi="Times New Roman"/>
        </w:rPr>
        <w:t>in</w:t>
      </w:r>
      <w:r w:rsidR="00644823" w:rsidRPr="003D55A2">
        <w:rPr>
          <w:rFonts w:ascii="Times New Roman" w:hAnsi="Times New Roman"/>
        </w:rPr>
        <w:t xml:space="preserve"> </w:t>
      </w:r>
      <w:r w:rsidR="00644823" w:rsidRPr="003D55A2">
        <w:rPr>
          <w:rFonts w:ascii="Times New Roman" w:hAnsi="Times New Roman"/>
          <w:i/>
          <w:iCs/>
        </w:rPr>
        <w:t xml:space="preserve">20 CFR 404.1720 </w:t>
      </w:r>
      <w:r w:rsidR="00644823" w:rsidRPr="003D55A2">
        <w:rPr>
          <w:rFonts w:ascii="Times New Roman" w:hAnsi="Times New Roman"/>
          <w:iCs/>
        </w:rPr>
        <w:t>and</w:t>
      </w:r>
      <w:r w:rsidR="006B611A" w:rsidRPr="003D55A2">
        <w:rPr>
          <w:rFonts w:ascii="Times New Roman" w:hAnsi="Times New Roman"/>
          <w:i/>
          <w:iCs/>
        </w:rPr>
        <w:t xml:space="preserve"> </w:t>
      </w:r>
      <w:r w:rsidR="006B611A" w:rsidRPr="00AF309D">
        <w:rPr>
          <w:rFonts w:ascii="Times New Roman" w:hAnsi="Times New Roman"/>
          <w:i/>
        </w:rPr>
        <w:t>416.1520</w:t>
      </w:r>
      <w:r w:rsidR="006B611A" w:rsidRPr="003D55A2">
        <w:rPr>
          <w:rFonts w:ascii="Times New Roman" w:hAnsi="Times New Roman"/>
        </w:rPr>
        <w:t>.</w:t>
      </w:r>
    </w:p>
    <w:p w:rsidR="009F035E" w:rsidRPr="003D55A2" w:rsidRDefault="009F035E" w:rsidP="00B01D23">
      <w:pPr>
        <w:tabs>
          <w:tab w:val="num" w:pos="1440"/>
        </w:tabs>
        <w:ind w:left="1440"/>
        <w:rPr>
          <w:rFonts w:ascii="Times New Roman" w:hAnsi="Times New Roman"/>
        </w:rPr>
      </w:pPr>
    </w:p>
    <w:p w:rsidR="002E18CF" w:rsidRPr="002E18CF" w:rsidRDefault="00F56A74" w:rsidP="00B01D23">
      <w:pPr>
        <w:numPr>
          <w:ilvl w:val="0"/>
          <w:numId w:val="20"/>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DA5FE6" w:rsidRPr="002937AA" w:rsidRDefault="000A2601" w:rsidP="00B01D23">
      <w:pPr>
        <w:tabs>
          <w:tab w:val="num" w:pos="1440"/>
        </w:tabs>
        <w:ind w:left="1440"/>
        <w:rPr>
          <w:rFonts w:ascii="Times New Roman" w:hAnsi="Times New Roman"/>
        </w:rPr>
      </w:pPr>
      <w:r>
        <w:rPr>
          <w:rFonts w:ascii="Times New Roman" w:hAnsi="Times New Roman"/>
        </w:rPr>
        <w:t xml:space="preserve">Recipients use </w:t>
      </w:r>
      <w:r w:rsidR="00E2382A" w:rsidRPr="003D55A2">
        <w:rPr>
          <w:rFonts w:ascii="Times New Roman" w:hAnsi="Times New Roman"/>
        </w:rPr>
        <w:t xml:space="preserve">Form SSA-1696-U4 to appoint a representative to handle </w:t>
      </w:r>
      <w:r w:rsidR="00E2382A">
        <w:rPr>
          <w:rFonts w:ascii="Times New Roman" w:hAnsi="Times New Roman"/>
        </w:rPr>
        <w:t>their</w:t>
      </w:r>
      <w:r w:rsidR="00E2382A" w:rsidRPr="003D55A2">
        <w:rPr>
          <w:rFonts w:ascii="Times New Roman" w:hAnsi="Times New Roman"/>
        </w:rPr>
        <w:t xml:space="preserve"> claim before SSA.</w:t>
      </w:r>
      <w:r w:rsidR="00E2382A">
        <w:rPr>
          <w:rFonts w:ascii="Times New Roman" w:hAnsi="Times New Roman"/>
        </w:rPr>
        <w:t xml:space="preserve">  </w:t>
      </w:r>
      <w:r w:rsidR="00BE2457">
        <w:rPr>
          <w:rFonts w:ascii="Times New Roman" w:hAnsi="Times New Roman"/>
        </w:rPr>
        <w:t>Recipient</w:t>
      </w:r>
      <w:r>
        <w:rPr>
          <w:rFonts w:ascii="Times New Roman" w:hAnsi="Times New Roman"/>
        </w:rPr>
        <w:t>s</w:t>
      </w:r>
      <w:r w:rsidR="00BE2457">
        <w:rPr>
          <w:rFonts w:ascii="Times New Roman" w:hAnsi="Times New Roman"/>
        </w:rPr>
        <w:t>’</w:t>
      </w:r>
      <w:r w:rsidR="00E2382A" w:rsidRPr="003D55A2">
        <w:rPr>
          <w:rFonts w:ascii="Times New Roman" w:hAnsi="Times New Roman"/>
        </w:rPr>
        <w:t xml:space="preserve"> representative</w:t>
      </w:r>
      <w:r w:rsidR="00BE2457">
        <w:rPr>
          <w:rFonts w:ascii="Times New Roman" w:hAnsi="Times New Roman"/>
        </w:rPr>
        <w:t>s use</w:t>
      </w:r>
      <w:r w:rsidR="00E2382A" w:rsidRPr="003D55A2">
        <w:rPr>
          <w:rFonts w:ascii="Times New Roman" w:hAnsi="Times New Roman"/>
        </w:rPr>
        <w:t xml:space="preserve"> the Form SSA-1696</w:t>
      </w:r>
      <w:r w:rsidR="00E2382A">
        <w:rPr>
          <w:rFonts w:ascii="Times New Roman" w:hAnsi="Times New Roman"/>
        </w:rPr>
        <w:t>-U4</w:t>
      </w:r>
      <w:r w:rsidR="00E2382A" w:rsidRPr="003D55A2">
        <w:rPr>
          <w:rFonts w:ascii="Times New Roman" w:hAnsi="Times New Roman"/>
        </w:rPr>
        <w:t xml:space="preserve"> to indicate whether </w:t>
      </w:r>
      <w:r w:rsidR="00E2382A">
        <w:rPr>
          <w:rFonts w:ascii="Times New Roman" w:hAnsi="Times New Roman"/>
        </w:rPr>
        <w:t>they</w:t>
      </w:r>
      <w:r w:rsidR="00E2382A" w:rsidRPr="003D55A2">
        <w:rPr>
          <w:rFonts w:ascii="Times New Roman" w:hAnsi="Times New Roman"/>
        </w:rPr>
        <w:t xml:space="preserve"> will charge a fee</w:t>
      </w:r>
      <w:r w:rsidR="00E2382A">
        <w:rPr>
          <w:rFonts w:ascii="Times New Roman" w:hAnsi="Times New Roman"/>
        </w:rPr>
        <w:t>,</w:t>
      </w:r>
      <w:r w:rsidR="00E2382A" w:rsidRPr="003D55A2">
        <w:rPr>
          <w:rFonts w:ascii="Times New Roman" w:hAnsi="Times New Roman"/>
        </w:rPr>
        <w:t xml:space="preserve"> and</w:t>
      </w:r>
      <w:r w:rsidR="00E2382A">
        <w:rPr>
          <w:rFonts w:ascii="Times New Roman" w:hAnsi="Times New Roman"/>
        </w:rPr>
        <w:t>,</w:t>
      </w:r>
      <w:r w:rsidR="00E2382A" w:rsidRPr="003D55A2">
        <w:rPr>
          <w:rFonts w:ascii="Times New Roman" w:hAnsi="Times New Roman"/>
        </w:rPr>
        <w:t xml:space="preserve"> if so</w:t>
      </w:r>
      <w:r w:rsidR="00E2382A">
        <w:rPr>
          <w:rFonts w:ascii="Times New Roman" w:hAnsi="Times New Roman"/>
        </w:rPr>
        <w:t>,</w:t>
      </w:r>
      <w:r w:rsidR="00E2382A" w:rsidRPr="003D55A2">
        <w:rPr>
          <w:rFonts w:ascii="Times New Roman" w:hAnsi="Times New Roman"/>
        </w:rPr>
        <w:t xml:space="preserve"> specify </w:t>
      </w:r>
      <w:r w:rsidR="00E2382A">
        <w:rPr>
          <w:rFonts w:ascii="Times New Roman" w:hAnsi="Times New Roman"/>
        </w:rPr>
        <w:t>their</w:t>
      </w:r>
      <w:r w:rsidR="00E2382A" w:rsidRPr="003D55A2">
        <w:rPr>
          <w:rFonts w:ascii="Times New Roman" w:hAnsi="Times New Roman"/>
        </w:rPr>
        <w:t xml:space="preserve"> eligibility for direct fee payment</w:t>
      </w:r>
      <w:r w:rsidR="00E2382A">
        <w:rPr>
          <w:rFonts w:ascii="Times New Roman" w:hAnsi="Times New Roman"/>
        </w:rPr>
        <w:t>.  The representative</w:t>
      </w:r>
      <w:r w:rsidR="00BE2457">
        <w:rPr>
          <w:rFonts w:ascii="Times New Roman" w:hAnsi="Times New Roman"/>
        </w:rPr>
        <w:t>s also use</w:t>
      </w:r>
      <w:r w:rsidR="00E2382A">
        <w:rPr>
          <w:rFonts w:ascii="Times New Roman" w:hAnsi="Times New Roman"/>
        </w:rPr>
        <w:t xml:space="preserve"> Form SSA</w:t>
      </w:r>
      <w:r w:rsidR="00E2382A">
        <w:rPr>
          <w:rFonts w:ascii="Times New Roman" w:hAnsi="Times New Roman"/>
        </w:rPr>
        <w:noBreakHyphen/>
        <w:t>1696</w:t>
      </w:r>
      <w:r w:rsidR="00E2382A">
        <w:rPr>
          <w:rFonts w:ascii="Times New Roman" w:hAnsi="Times New Roman"/>
        </w:rPr>
        <w:noBreakHyphen/>
        <w:t xml:space="preserve">U4 to indicate </w:t>
      </w:r>
      <w:r>
        <w:rPr>
          <w:rFonts w:ascii="Times New Roman" w:hAnsi="Times New Roman"/>
        </w:rPr>
        <w:t>their</w:t>
      </w:r>
      <w:r w:rsidR="00E2382A" w:rsidRPr="003D55A2">
        <w:rPr>
          <w:rFonts w:ascii="Times New Roman" w:hAnsi="Times New Roman"/>
        </w:rPr>
        <w:t xml:space="preserve"> </w:t>
      </w:r>
      <w:r>
        <w:rPr>
          <w:rFonts w:ascii="Times New Roman" w:hAnsi="Times New Roman"/>
        </w:rPr>
        <w:t xml:space="preserve">disbarment </w:t>
      </w:r>
      <w:r w:rsidR="00E2382A" w:rsidRPr="003D55A2">
        <w:rPr>
          <w:rFonts w:ascii="Times New Roman" w:hAnsi="Times New Roman"/>
        </w:rPr>
        <w:t>or suspen</w:t>
      </w:r>
      <w:r>
        <w:rPr>
          <w:rFonts w:ascii="Times New Roman" w:hAnsi="Times New Roman"/>
        </w:rPr>
        <w:t xml:space="preserve">sion </w:t>
      </w:r>
      <w:r w:rsidR="00E2382A" w:rsidRPr="003D55A2">
        <w:rPr>
          <w:rFonts w:ascii="Times New Roman" w:hAnsi="Times New Roman"/>
        </w:rPr>
        <w:t xml:space="preserve">from a court or bar in which </w:t>
      </w:r>
      <w:r w:rsidR="00E2382A">
        <w:rPr>
          <w:rFonts w:ascii="Times New Roman" w:hAnsi="Times New Roman"/>
        </w:rPr>
        <w:t>they p</w:t>
      </w:r>
      <w:r w:rsidR="00E2382A" w:rsidRPr="003D55A2">
        <w:rPr>
          <w:rFonts w:ascii="Times New Roman" w:hAnsi="Times New Roman"/>
        </w:rPr>
        <w:t xml:space="preserve">reviously admitted to practice, or </w:t>
      </w:r>
      <w:r>
        <w:rPr>
          <w:rFonts w:ascii="Times New Roman" w:hAnsi="Times New Roman"/>
        </w:rPr>
        <w:t xml:space="preserve">their </w:t>
      </w:r>
      <w:r w:rsidR="00E2382A" w:rsidRPr="003D55A2">
        <w:rPr>
          <w:rFonts w:ascii="Times New Roman" w:hAnsi="Times New Roman"/>
        </w:rPr>
        <w:t>disqualifi</w:t>
      </w:r>
      <w:r>
        <w:rPr>
          <w:rFonts w:ascii="Times New Roman" w:hAnsi="Times New Roman"/>
        </w:rPr>
        <w:t xml:space="preserve">cation </w:t>
      </w:r>
      <w:r w:rsidR="00E2382A" w:rsidRPr="003D55A2">
        <w:rPr>
          <w:rFonts w:ascii="Times New Roman" w:hAnsi="Times New Roman"/>
        </w:rPr>
        <w:t>from participating in or appearing before a Federal program or agency.</w:t>
      </w:r>
      <w:r w:rsidR="00E2382A">
        <w:rPr>
          <w:rFonts w:ascii="Times New Roman" w:hAnsi="Times New Roman"/>
        </w:rPr>
        <w:t xml:space="preserve">  </w:t>
      </w:r>
      <w:r w:rsidR="00DA5FE6" w:rsidRPr="002937AA">
        <w:rPr>
          <w:rFonts w:ascii="Times New Roman" w:hAnsi="Times New Roman"/>
        </w:rPr>
        <w:t xml:space="preserve">SSA recognizes the </w:t>
      </w:r>
      <w:r>
        <w:rPr>
          <w:rFonts w:ascii="Times New Roman" w:hAnsi="Times New Roman"/>
        </w:rPr>
        <w:t>recipient</w:t>
      </w:r>
      <w:r w:rsidR="00DA5FE6" w:rsidRPr="002937AA">
        <w:rPr>
          <w:rFonts w:ascii="Times New Roman" w:hAnsi="Times New Roman"/>
        </w:rPr>
        <w:t xml:space="preserve">’s representative as the </w:t>
      </w:r>
      <w:r w:rsidR="0037042B">
        <w:rPr>
          <w:rFonts w:ascii="Times New Roman" w:hAnsi="Times New Roman"/>
        </w:rPr>
        <w:t>individual</w:t>
      </w:r>
      <w:r w:rsidR="0037042B" w:rsidRPr="002937AA">
        <w:rPr>
          <w:rFonts w:ascii="Times New Roman" w:hAnsi="Times New Roman"/>
        </w:rPr>
        <w:t xml:space="preserve"> </w:t>
      </w:r>
      <w:r w:rsidR="00DA5FE6" w:rsidRPr="002937AA">
        <w:rPr>
          <w:rFonts w:ascii="Times New Roman" w:hAnsi="Times New Roman"/>
        </w:rPr>
        <w:t>named in a notice of appointment (or written statement)</w:t>
      </w:r>
      <w:r>
        <w:rPr>
          <w:rFonts w:ascii="Times New Roman" w:hAnsi="Times New Roman"/>
        </w:rPr>
        <w:t xml:space="preserve">, which the recipient </w:t>
      </w:r>
      <w:r w:rsidR="00DA5FE6" w:rsidRPr="002937AA">
        <w:rPr>
          <w:rFonts w:ascii="Times New Roman" w:hAnsi="Times New Roman"/>
        </w:rPr>
        <w:t xml:space="preserve">signed </w:t>
      </w:r>
      <w:r>
        <w:rPr>
          <w:rFonts w:ascii="Times New Roman" w:hAnsi="Times New Roman"/>
        </w:rPr>
        <w:t>a</w:t>
      </w:r>
      <w:r w:rsidR="00DA5FE6" w:rsidRPr="002937AA">
        <w:rPr>
          <w:rFonts w:ascii="Times New Roman" w:hAnsi="Times New Roman"/>
        </w:rPr>
        <w:t>nd filed at an SSA office.</w:t>
      </w:r>
      <w:r w:rsidR="00D7481D">
        <w:rPr>
          <w:rFonts w:ascii="Times New Roman" w:hAnsi="Times New Roman"/>
        </w:rPr>
        <w:t xml:space="preserve"> </w:t>
      </w:r>
      <w:r w:rsidR="00DA5FE6" w:rsidRPr="002937AA">
        <w:rPr>
          <w:rFonts w:ascii="Times New Roman" w:hAnsi="Times New Roman"/>
        </w:rPr>
        <w:t xml:space="preserve"> The SSA</w:t>
      </w:r>
      <w:r>
        <w:rPr>
          <w:rFonts w:ascii="Times New Roman" w:hAnsi="Times New Roman"/>
        </w:rPr>
        <w:noBreakHyphen/>
      </w:r>
      <w:r w:rsidR="00DA5FE6" w:rsidRPr="002937AA">
        <w:rPr>
          <w:rFonts w:ascii="Times New Roman" w:hAnsi="Times New Roman"/>
        </w:rPr>
        <w:t>1696</w:t>
      </w:r>
      <w:r>
        <w:rPr>
          <w:rFonts w:ascii="Times New Roman" w:hAnsi="Times New Roman"/>
        </w:rPr>
        <w:noBreakHyphen/>
      </w:r>
      <w:r w:rsidR="00DA5FE6" w:rsidRPr="002937AA">
        <w:rPr>
          <w:rFonts w:ascii="Times New Roman" w:hAnsi="Times New Roman"/>
        </w:rPr>
        <w:t xml:space="preserve">U4 </w:t>
      </w:r>
      <w:r w:rsidR="00F964C5" w:rsidRPr="002937AA">
        <w:rPr>
          <w:rFonts w:ascii="Times New Roman" w:hAnsi="Times New Roman"/>
        </w:rPr>
        <w:t xml:space="preserve">(or written statement) </w:t>
      </w:r>
      <w:r w:rsidR="00DA5FE6" w:rsidRPr="002937AA">
        <w:rPr>
          <w:rFonts w:ascii="Times New Roman" w:hAnsi="Times New Roman"/>
        </w:rPr>
        <w:t>document</w:t>
      </w:r>
      <w:r w:rsidR="00F964C5" w:rsidRPr="002937AA">
        <w:rPr>
          <w:rFonts w:ascii="Times New Roman" w:hAnsi="Times New Roman"/>
        </w:rPr>
        <w:t>s</w:t>
      </w:r>
      <w:r w:rsidR="00DA5FE6" w:rsidRPr="002937AA">
        <w:rPr>
          <w:rFonts w:ascii="Times New Roman" w:hAnsi="Times New Roman"/>
        </w:rPr>
        <w:t xml:space="preserve"> the appointment of a representative</w:t>
      </w:r>
      <w:r w:rsidR="00026C48" w:rsidRPr="002937AA">
        <w:rPr>
          <w:rFonts w:ascii="Times New Roman" w:hAnsi="Times New Roman"/>
        </w:rPr>
        <w:t xml:space="preserve">.  </w:t>
      </w:r>
      <w:r w:rsidR="00A16861">
        <w:rPr>
          <w:rFonts w:ascii="Times New Roman" w:hAnsi="Times New Roman"/>
        </w:rPr>
        <w:t>Our regulations also require that if the representative is a</w:t>
      </w:r>
      <w:r w:rsidR="00DA5FE6" w:rsidRPr="002937AA">
        <w:rPr>
          <w:rFonts w:ascii="Times New Roman" w:hAnsi="Times New Roman"/>
        </w:rPr>
        <w:t xml:space="preserve"> non</w:t>
      </w:r>
      <w:r w:rsidR="00CE60BA">
        <w:rPr>
          <w:rFonts w:ascii="Times New Roman" w:hAnsi="Times New Roman"/>
        </w:rPr>
        <w:noBreakHyphen/>
      </w:r>
      <w:r w:rsidR="00DA5FE6" w:rsidRPr="002937AA">
        <w:rPr>
          <w:rFonts w:ascii="Times New Roman" w:hAnsi="Times New Roman"/>
        </w:rPr>
        <w:t>attorney</w:t>
      </w:r>
      <w:r w:rsidR="00E2382A">
        <w:rPr>
          <w:rFonts w:ascii="Times New Roman" w:hAnsi="Times New Roman"/>
        </w:rPr>
        <w:t>,</w:t>
      </w:r>
      <w:r w:rsidR="00DA5FE6" w:rsidRPr="002937AA">
        <w:rPr>
          <w:rFonts w:ascii="Times New Roman" w:hAnsi="Times New Roman"/>
        </w:rPr>
        <w:t xml:space="preserve"> </w:t>
      </w:r>
      <w:r w:rsidR="00E2382A">
        <w:rPr>
          <w:rFonts w:ascii="Times New Roman" w:hAnsi="Times New Roman"/>
        </w:rPr>
        <w:t>they</w:t>
      </w:r>
      <w:r w:rsidR="00A16861">
        <w:rPr>
          <w:rFonts w:ascii="Times New Roman" w:hAnsi="Times New Roman"/>
        </w:rPr>
        <w:t xml:space="preserve"> </w:t>
      </w:r>
      <w:r w:rsidR="00AF309D">
        <w:rPr>
          <w:rFonts w:ascii="Times New Roman" w:hAnsi="Times New Roman"/>
        </w:rPr>
        <w:t>must</w:t>
      </w:r>
      <w:r w:rsidR="00DA5FE6" w:rsidRPr="002937AA">
        <w:rPr>
          <w:rFonts w:ascii="Times New Roman" w:hAnsi="Times New Roman"/>
        </w:rPr>
        <w:t xml:space="preserve"> sign the </w:t>
      </w:r>
      <w:r w:rsidR="0037042B">
        <w:rPr>
          <w:rFonts w:ascii="Times New Roman" w:hAnsi="Times New Roman"/>
        </w:rPr>
        <w:t xml:space="preserve">form or </w:t>
      </w:r>
      <w:r w:rsidR="00791DA6">
        <w:rPr>
          <w:rFonts w:ascii="Times New Roman" w:hAnsi="Times New Roman"/>
        </w:rPr>
        <w:t xml:space="preserve">equivalent </w:t>
      </w:r>
      <w:r w:rsidR="0037042B">
        <w:rPr>
          <w:rFonts w:ascii="Times New Roman" w:hAnsi="Times New Roman"/>
        </w:rPr>
        <w:t>written statement</w:t>
      </w:r>
      <w:r w:rsidR="00DA5FE6" w:rsidRPr="002937AA">
        <w:rPr>
          <w:rFonts w:ascii="Times New Roman" w:hAnsi="Times New Roman"/>
        </w:rPr>
        <w:t xml:space="preserve">.  </w:t>
      </w:r>
      <w:r w:rsidR="007679DE">
        <w:rPr>
          <w:rFonts w:ascii="Times New Roman" w:hAnsi="Times New Roman"/>
        </w:rPr>
        <w:t>The r</w:t>
      </w:r>
      <w:r w:rsidR="007679DE" w:rsidRPr="007679DE">
        <w:rPr>
          <w:rFonts w:ascii="Times New Roman" w:hAnsi="Times New Roman"/>
        </w:rPr>
        <w:t>espondents are applicants for</w:t>
      </w:r>
      <w:r w:rsidR="00BE2457">
        <w:rPr>
          <w:rFonts w:ascii="Times New Roman" w:hAnsi="Times New Roman"/>
        </w:rPr>
        <w:t>,</w:t>
      </w:r>
      <w:r w:rsidR="007679DE" w:rsidRPr="007679DE">
        <w:rPr>
          <w:rFonts w:ascii="Times New Roman" w:hAnsi="Times New Roman"/>
        </w:rPr>
        <w:t xml:space="preserve"> or recipients of</w:t>
      </w:r>
      <w:r w:rsidR="00BE2457">
        <w:rPr>
          <w:rFonts w:ascii="Times New Roman" w:hAnsi="Times New Roman"/>
        </w:rPr>
        <w:t>,</w:t>
      </w:r>
      <w:r w:rsidR="007679DE" w:rsidRPr="007679DE">
        <w:rPr>
          <w:rFonts w:ascii="Times New Roman" w:hAnsi="Times New Roman"/>
        </w:rPr>
        <w:t xml:space="preserve"> Social Security </w:t>
      </w:r>
      <w:r w:rsidR="00BE2457">
        <w:rPr>
          <w:rFonts w:ascii="Times New Roman" w:hAnsi="Times New Roman"/>
        </w:rPr>
        <w:t xml:space="preserve">disability income </w:t>
      </w:r>
      <w:r w:rsidR="007679DE" w:rsidRPr="007679DE">
        <w:rPr>
          <w:rFonts w:ascii="Times New Roman" w:hAnsi="Times New Roman"/>
        </w:rPr>
        <w:t>benefits (SSDI) or Supplemental Security Income (SSI) payments who are notifying SSA they have appointed a person to represent them in their dealings with SSA.</w:t>
      </w:r>
    </w:p>
    <w:p w:rsidR="00A45D82" w:rsidRPr="00BC7F42" w:rsidRDefault="00A45D82" w:rsidP="00B01D23">
      <w:pPr>
        <w:tabs>
          <w:tab w:val="num" w:pos="1440"/>
        </w:tabs>
        <w:ind w:left="1440"/>
        <w:rPr>
          <w:rFonts w:ascii="Times New Roman" w:hAnsi="Times New Roman"/>
        </w:rPr>
      </w:pPr>
    </w:p>
    <w:p w:rsidR="0036696D" w:rsidRPr="0036696D" w:rsidRDefault="00A45D82" w:rsidP="00B01D23">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A45D82" w:rsidRDefault="00CB7A01" w:rsidP="007679DE">
      <w:pPr>
        <w:tabs>
          <w:tab w:val="num" w:pos="1440"/>
        </w:tabs>
        <w:ind w:left="1440"/>
        <w:rPr>
          <w:rFonts w:ascii="Times New Roman" w:hAnsi="Times New Roman"/>
        </w:rPr>
      </w:pPr>
      <w:r>
        <w:rPr>
          <w:rFonts w:ascii="Times New Roman" w:eastAsia="Batang" w:hAnsi="Times New Roman"/>
        </w:rPr>
        <w:t>SSA captures the information</w:t>
      </w:r>
      <w:r w:rsidR="00791DA6">
        <w:rPr>
          <w:rFonts w:ascii="Times New Roman" w:eastAsia="Batang" w:hAnsi="Times New Roman"/>
        </w:rPr>
        <w:t xml:space="preserve"> contained on </w:t>
      </w:r>
      <w:r w:rsidR="00F964C5" w:rsidRPr="002937AA">
        <w:rPr>
          <w:rFonts w:ascii="Times New Roman" w:eastAsia="Batang" w:hAnsi="Times New Roman"/>
        </w:rPr>
        <w:t>Form SSA-1696-U4</w:t>
      </w:r>
      <w:r>
        <w:rPr>
          <w:rFonts w:ascii="Times New Roman" w:eastAsia="Batang" w:hAnsi="Times New Roman"/>
        </w:rPr>
        <w:t xml:space="preserve"> by manual entry into vital systems.</w:t>
      </w:r>
      <w:r w:rsidR="00CE60BA">
        <w:rPr>
          <w:rFonts w:ascii="Times New Roman" w:eastAsia="Batang" w:hAnsi="Times New Roman"/>
        </w:rPr>
        <w:t xml:space="preserve"> </w:t>
      </w:r>
      <w:r>
        <w:rPr>
          <w:rFonts w:ascii="Times New Roman" w:eastAsia="Batang" w:hAnsi="Times New Roman"/>
        </w:rPr>
        <w:t xml:space="preserve"> A copy of the PDF file is stored in the claims file</w:t>
      </w:r>
      <w:r w:rsidR="00F964C5" w:rsidRPr="002937AA">
        <w:rPr>
          <w:rFonts w:ascii="Times New Roman" w:eastAsia="Batang" w:hAnsi="Times New Roman"/>
        </w:rPr>
        <w:t>. </w:t>
      </w:r>
      <w:r w:rsidR="00441C6C" w:rsidRPr="002937AA">
        <w:rPr>
          <w:rFonts w:ascii="Times New Roman" w:hAnsi="Times New Roman"/>
        </w:rPr>
        <w:t xml:space="preserve"> </w:t>
      </w:r>
      <w:r>
        <w:rPr>
          <w:rFonts w:ascii="Times New Roman" w:hAnsi="Times New Roman"/>
        </w:rPr>
        <w:t xml:space="preserve">Although </w:t>
      </w:r>
      <w:r w:rsidR="00441C6C" w:rsidRPr="002937AA">
        <w:rPr>
          <w:rFonts w:ascii="Times New Roman" w:hAnsi="Times New Roman"/>
        </w:rPr>
        <w:t>an electronic vers</w:t>
      </w:r>
      <w:r>
        <w:rPr>
          <w:rFonts w:ascii="Times New Roman" w:hAnsi="Times New Roman"/>
        </w:rPr>
        <w:t xml:space="preserve">ion of the form is not currently available, SSA made easily accessible </w:t>
      </w:r>
      <w:r w:rsidR="00F964C5" w:rsidRPr="002937AA">
        <w:rPr>
          <w:rFonts w:ascii="Times New Roman" w:hAnsi="Times New Roman"/>
        </w:rPr>
        <w:t xml:space="preserve">a </w:t>
      </w:r>
      <w:r>
        <w:rPr>
          <w:rFonts w:ascii="Times New Roman" w:hAnsi="Times New Roman"/>
        </w:rPr>
        <w:t xml:space="preserve">fillable </w:t>
      </w:r>
      <w:r w:rsidR="00F964C5" w:rsidRPr="002937AA">
        <w:rPr>
          <w:rFonts w:ascii="Times New Roman" w:hAnsi="Times New Roman"/>
        </w:rPr>
        <w:t xml:space="preserve">PDF version of the SSA-1696-U4 </w:t>
      </w:r>
      <w:r>
        <w:rPr>
          <w:rFonts w:ascii="Times New Roman" w:hAnsi="Times New Roman"/>
        </w:rPr>
        <w:t xml:space="preserve">on </w:t>
      </w:r>
      <w:hyperlink r:id="rId8" w:history="1">
        <w:r w:rsidRPr="00CE25B6">
          <w:rPr>
            <w:rStyle w:val="Hyperlink"/>
            <w:rFonts w:ascii="Times New Roman" w:hAnsi="Times New Roman"/>
          </w:rPr>
          <w:t>www.ssa.gov</w:t>
        </w:r>
      </w:hyperlink>
      <w:r>
        <w:rPr>
          <w:rFonts w:ascii="Times New Roman" w:hAnsi="Times New Roman"/>
        </w:rPr>
        <w:t xml:space="preserve">, </w:t>
      </w:r>
      <w:r w:rsidR="00F964C5" w:rsidRPr="002937AA">
        <w:rPr>
          <w:rFonts w:ascii="Times New Roman" w:hAnsi="Times New Roman"/>
        </w:rPr>
        <w:t xml:space="preserve">which allows individuals to </w:t>
      </w:r>
      <w:r>
        <w:rPr>
          <w:rFonts w:ascii="Times New Roman" w:hAnsi="Times New Roman"/>
        </w:rPr>
        <w:t xml:space="preserve">either </w:t>
      </w:r>
      <w:r w:rsidR="00F964C5" w:rsidRPr="002937AA">
        <w:rPr>
          <w:rFonts w:ascii="Times New Roman" w:hAnsi="Times New Roman"/>
        </w:rPr>
        <w:t>print the form</w:t>
      </w:r>
      <w:r>
        <w:rPr>
          <w:rFonts w:ascii="Times New Roman" w:hAnsi="Times New Roman"/>
        </w:rPr>
        <w:t xml:space="preserve"> and fill it in, or </w:t>
      </w:r>
      <w:r w:rsidR="00F964C5" w:rsidRPr="002937AA">
        <w:rPr>
          <w:rFonts w:ascii="Times New Roman" w:hAnsi="Times New Roman"/>
        </w:rPr>
        <w:t xml:space="preserve">complete it </w:t>
      </w:r>
      <w:r>
        <w:rPr>
          <w:rFonts w:ascii="Times New Roman" w:hAnsi="Times New Roman"/>
        </w:rPr>
        <w:t xml:space="preserve">on the </w:t>
      </w:r>
      <w:r>
        <w:rPr>
          <w:rFonts w:ascii="Times New Roman" w:hAnsi="Times New Roman"/>
        </w:rPr>
        <w:lastRenderedPageBreak/>
        <w:t xml:space="preserve">screen </w:t>
      </w:r>
      <w:r w:rsidR="00F964C5" w:rsidRPr="002937AA">
        <w:rPr>
          <w:rFonts w:ascii="Times New Roman" w:hAnsi="Times New Roman"/>
        </w:rPr>
        <w:t>and</w:t>
      </w:r>
      <w:r>
        <w:rPr>
          <w:rFonts w:ascii="Times New Roman" w:hAnsi="Times New Roman"/>
        </w:rPr>
        <w:t xml:space="preserve"> mail it to SSA for processing</w:t>
      </w:r>
      <w:r w:rsidR="00F964C5" w:rsidRPr="002937AA">
        <w:rPr>
          <w:rFonts w:ascii="Times New Roman" w:hAnsi="Times New Roman"/>
        </w:rPr>
        <w:t>.</w:t>
      </w:r>
    </w:p>
    <w:p w:rsidR="00F218F1" w:rsidRPr="00BC7F42" w:rsidRDefault="00F218F1" w:rsidP="00B01D23">
      <w:pPr>
        <w:tabs>
          <w:tab w:val="num" w:pos="1440"/>
        </w:tabs>
        <w:ind w:left="1440"/>
        <w:rPr>
          <w:rFonts w:ascii="Times New Roman" w:hAnsi="Times New Roman"/>
        </w:rPr>
      </w:pPr>
    </w:p>
    <w:p w:rsidR="000C1D18" w:rsidRDefault="00A45D82" w:rsidP="00B01D23">
      <w:pPr>
        <w:numPr>
          <w:ilvl w:val="0"/>
          <w:numId w:val="20"/>
        </w:numPr>
        <w:tabs>
          <w:tab w:val="clear" w:pos="720"/>
          <w:tab w:val="num" w:pos="1440"/>
        </w:tabs>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DA40DB" w:rsidRPr="002937AA" w:rsidRDefault="00DA40DB" w:rsidP="00B01D23">
      <w:pPr>
        <w:tabs>
          <w:tab w:val="num" w:pos="1440"/>
        </w:tabs>
        <w:ind w:left="1440"/>
        <w:rPr>
          <w:rFonts w:ascii="Times New Roman" w:hAnsi="Times New Roman"/>
        </w:rPr>
      </w:pPr>
      <w:r w:rsidRPr="002937AA">
        <w:rPr>
          <w:rFonts w:ascii="Times New Roman" w:hAnsi="Times New Roman"/>
        </w:rPr>
        <w:t xml:space="preserve">The nature of the information </w:t>
      </w:r>
      <w:r w:rsidR="00CB7A01">
        <w:rPr>
          <w:rFonts w:ascii="Times New Roman" w:hAnsi="Times New Roman"/>
        </w:rPr>
        <w:t>we collect</w:t>
      </w:r>
      <w:r w:rsidR="00CE60BA">
        <w:rPr>
          <w:rFonts w:ascii="Times New Roman" w:hAnsi="Times New Roman"/>
        </w:rPr>
        <w:t xml:space="preserve"> and the manner in which we collect it </w:t>
      </w:r>
      <w:r w:rsidRPr="002937AA">
        <w:rPr>
          <w:rFonts w:ascii="Times New Roman" w:hAnsi="Times New Roman"/>
        </w:rPr>
        <w:t xml:space="preserve">preclude duplication.  </w:t>
      </w:r>
      <w:r w:rsidR="009F035E">
        <w:rPr>
          <w:rFonts w:ascii="Times New Roman" w:hAnsi="Times New Roman"/>
        </w:rPr>
        <w:t>SSA does not use an</w:t>
      </w:r>
      <w:r w:rsidRPr="002937AA">
        <w:rPr>
          <w:rFonts w:ascii="Times New Roman" w:hAnsi="Times New Roman"/>
        </w:rPr>
        <w:t xml:space="preserve">other collection instrument </w:t>
      </w:r>
      <w:r w:rsidR="009F035E">
        <w:rPr>
          <w:rFonts w:ascii="Times New Roman" w:hAnsi="Times New Roman"/>
        </w:rPr>
        <w:t>to obtain</w:t>
      </w:r>
      <w:r w:rsidRPr="002937AA">
        <w:rPr>
          <w:rFonts w:ascii="Times New Roman" w:hAnsi="Times New Roman"/>
        </w:rPr>
        <w:t xml:space="preserve"> similar </w:t>
      </w:r>
      <w:r w:rsidR="009F035E">
        <w:rPr>
          <w:rFonts w:ascii="Times New Roman" w:hAnsi="Times New Roman"/>
        </w:rPr>
        <w:t>data</w:t>
      </w:r>
      <w:r w:rsidRPr="002937AA">
        <w:rPr>
          <w:rFonts w:ascii="Times New Roman" w:hAnsi="Times New Roman"/>
        </w:rPr>
        <w:t>.</w:t>
      </w:r>
      <w:r w:rsidR="009F035E">
        <w:rPr>
          <w:rFonts w:ascii="Times New Roman" w:hAnsi="Times New Roman"/>
        </w:rPr>
        <w:t xml:space="preserve"> </w:t>
      </w:r>
      <w:r w:rsidR="00CB7A01">
        <w:rPr>
          <w:rFonts w:ascii="Times New Roman" w:hAnsi="Times New Roman"/>
        </w:rPr>
        <w:t xml:space="preserve"> </w:t>
      </w:r>
    </w:p>
    <w:p w:rsidR="00A45D82" w:rsidRPr="00BC7F42" w:rsidRDefault="00A45D82" w:rsidP="00B01D23">
      <w:pPr>
        <w:pStyle w:val="Header"/>
        <w:tabs>
          <w:tab w:val="clear" w:pos="4320"/>
          <w:tab w:val="clear" w:pos="8640"/>
          <w:tab w:val="num" w:pos="1440"/>
        </w:tabs>
        <w:ind w:left="1440"/>
        <w:rPr>
          <w:rFonts w:ascii="Times New Roman" w:hAnsi="Times New Roman"/>
        </w:rPr>
      </w:pPr>
    </w:p>
    <w:p w:rsidR="00077E0E" w:rsidRPr="00077E0E" w:rsidRDefault="00077E0E" w:rsidP="00B01D23">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00E75DB0" w:rsidRDefault="00DA40DB" w:rsidP="00B01D23">
      <w:pPr>
        <w:tabs>
          <w:tab w:val="num" w:pos="1440"/>
        </w:tabs>
        <w:ind w:left="1440"/>
        <w:rPr>
          <w:rFonts w:ascii="Times New Roman" w:hAnsi="Times New Roman"/>
          <w:b/>
          <w:u w:val="single"/>
        </w:rPr>
      </w:pPr>
      <w:r w:rsidRPr="002937AA">
        <w:rPr>
          <w:rFonts w:ascii="Times New Roman" w:hAnsi="Times New Roman"/>
        </w:rPr>
        <w:t xml:space="preserve">This information collection does not </w:t>
      </w:r>
      <w:r w:rsidR="009F035E">
        <w:rPr>
          <w:rFonts w:ascii="Times New Roman" w:hAnsi="Times New Roman"/>
        </w:rPr>
        <w:t>significantly affect</w:t>
      </w:r>
      <w:r w:rsidR="009F035E" w:rsidRPr="002937AA">
        <w:rPr>
          <w:rFonts w:ascii="Times New Roman" w:hAnsi="Times New Roman"/>
        </w:rPr>
        <w:t xml:space="preserve"> </w:t>
      </w:r>
      <w:r w:rsidRPr="002937AA">
        <w:rPr>
          <w:rFonts w:ascii="Times New Roman" w:hAnsi="Times New Roman"/>
        </w:rPr>
        <w:t xml:space="preserve">small businesses or </w:t>
      </w:r>
      <w:r w:rsidR="009F035E">
        <w:rPr>
          <w:rFonts w:ascii="Times New Roman" w:hAnsi="Times New Roman"/>
        </w:rPr>
        <w:t xml:space="preserve">other </w:t>
      </w:r>
      <w:r w:rsidRPr="002937AA">
        <w:rPr>
          <w:rFonts w:ascii="Times New Roman" w:hAnsi="Times New Roman"/>
        </w:rPr>
        <w:t>small entities.</w:t>
      </w:r>
    </w:p>
    <w:p w:rsidR="002937AA" w:rsidRPr="00077E0E" w:rsidRDefault="002937AA" w:rsidP="00B01D23">
      <w:pPr>
        <w:tabs>
          <w:tab w:val="num" w:pos="1440"/>
        </w:tabs>
        <w:ind w:left="1440"/>
        <w:rPr>
          <w:rFonts w:ascii="Times New Roman" w:hAnsi="Times New Roman"/>
          <w:b/>
          <w:u w:val="single"/>
        </w:rPr>
      </w:pPr>
    </w:p>
    <w:p w:rsidR="00A45D82" w:rsidRDefault="00A45D82" w:rsidP="00B01D23">
      <w:pPr>
        <w:tabs>
          <w:tab w:val="num" w:pos="1440"/>
        </w:tabs>
        <w:ind w:left="1440" w:hanging="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CF0EA8" w:rsidRPr="002937AA" w:rsidRDefault="00CF0EA8" w:rsidP="00B01D23">
      <w:pPr>
        <w:tabs>
          <w:tab w:val="num" w:pos="1440"/>
        </w:tabs>
        <w:ind w:left="1440"/>
        <w:rPr>
          <w:rFonts w:ascii="Times New Roman" w:hAnsi="Times New Roman"/>
        </w:rPr>
      </w:pPr>
      <w:r w:rsidRPr="002937AA">
        <w:rPr>
          <w:rFonts w:ascii="Times New Roman" w:hAnsi="Times New Roman"/>
        </w:rPr>
        <w:t xml:space="preserve">If </w:t>
      </w:r>
      <w:r w:rsidR="006B62E0" w:rsidRPr="002937AA">
        <w:rPr>
          <w:rFonts w:ascii="Times New Roman" w:hAnsi="Times New Roman"/>
        </w:rPr>
        <w:t>SSA</w:t>
      </w:r>
      <w:r w:rsidRPr="002937AA">
        <w:rPr>
          <w:rFonts w:ascii="Times New Roman" w:hAnsi="Times New Roman"/>
        </w:rPr>
        <w:t xml:space="preserve"> do</w:t>
      </w:r>
      <w:r w:rsidR="006B62E0" w:rsidRPr="002937AA">
        <w:rPr>
          <w:rFonts w:ascii="Times New Roman" w:hAnsi="Times New Roman"/>
        </w:rPr>
        <w:t>es</w:t>
      </w:r>
      <w:r w:rsidRPr="002937AA">
        <w:rPr>
          <w:rFonts w:ascii="Times New Roman" w:hAnsi="Times New Roman"/>
        </w:rPr>
        <w:t xml:space="preserve"> not collect the information identifying each </w:t>
      </w:r>
      <w:r w:rsidR="007F6333">
        <w:rPr>
          <w:rFonts w:ascii="Times New Roman" w:hAnsi="Times New Roman"/>
        </w:rPr>
        <w:t>recipient</w:t>
      </w:r>
      <w:r w:rsidRPr="002937AA">
        <w:rPr>
          <w:rFonts w:ascii="Times New Roman" w:hAnsi="Times New Roman"/>
        </w:rPr>
        <w:t xml:space="preserve">’s representative, </w:t>
      </w:r>
      <w:r w:rsidR="00791DA6">
        <w:rPr>
          <w:rFonts w:ascii="Times New Roman" w:hAnsi="Times New Roman"/>
        </w:rPr>
        <w:t xml:space="preserve">SSA </w:t>
      </w:r>
      <w:r w:rsidRPr="002937AA">
        <w:rPr>
          <w:rFonts w:ascii="Times New Roman" w:hAnsi="Times New Roman"/>
        </w:rPr>
        <w:t xml:space="preserve">could not fulfill its obligations under the </w:t>
      </w:r>
      <w:r w:rsidRPr="007F6333">
        <w:rPr>
          <w:rFonts w:ascii="Times New Roman" w:hAnsi="Times New Roman"/>
          <w:i/>
        </w:rPr>
        <w:t>Act</w:t>
      </w:r>
      <w:r w:rsidRPr="002937AA">
        <w:rPr>
          <w:rFonts w:ascii="Times New Roman" w:hAnsi="Times New Roman"/>
        </w:rPr>
        <w:t xml:space="preserve"> and regulations to recognize an attorney or other qualified individual </w:t>
      </w:r>
      <w:r w:rsidR="007F6333">
        <w:rPr>
          <w:rFonts w:ascii="Times New Roman" w:hAnsi="Times New Roman"/>
        </w:rPr>
        <w:t xml:space="preserve">a recipient </w:t>
      </w:r>
      <w:r w:rsidRPr="002937AA">
        <w:rPr>
          <w:rFonts w:ascii="Times New Roman" w:hAnsi="Times New Roman"/>
        </w:rPr>
        <w:t xml:space="preserve">named </w:t>
      </w:r>
      <w:r w:rsidR="007F6333">
        <w:rPr>
          <w:rFonts w:ascii="Times New Roman" w:hAnsi="Times New Roman"/>
        </w:rPr>
        <w:t>as a rep</w:t>
      </w:r>
      <w:r w:rsidRPr="002937AA">
        <w:rPr>
          <w:rFonts w:ascii="Times New Roman" w:hAnsi="Times New Roman"/>
        </w:rPr>
        <w:t xml:space="preserve">resentative.  </w:t>
      </w:r>
      <w:r w:rsidR="006B62E0" w:rsidRPr="002937AA">
        <w:rPr>
          <w:rFonts w:ascii="Times New Roman" w:hAnsi="Times New Roman"/>
        </w:rPr>
        <w:t>SSA</w:t>
      </w:r>
      <w:r w:rsidR="00DA3659" w:rsidRPr="002937AA">
        <w:rPr>
          <w:rFonts w:ascii="Times New Roman" w:hAnsi="Times New Roman"/>
        </w:rPr>
        <w:t xml:space="preserve"> must identify the representative for each claim or claimant; t</w:t>
      </w:r>
      <w:r w:rsidRPr="002937AA">
        <w:rPr>
          <w:rFonts w:ascii="Times New Roman" w:hAnsi="Times New Roman"/>
        </w:rPr>
        <w:t xml:space="preserve">herefore, </w:t>
      </w:r>
      <w:r w:rsidR="006B62E0" w:rsidRPr="002937AA">
        <w:rPr>
          <w:rFonts w:ascii="Times New Roman" w:hAnsi="Times New Roman"/>
        </w:rPr>
        <w:t>SSA</w:t>
      </w:r>
      <w:r w:rsidR="00DA3659" w:rsidRPr="002937AA">
        <w:rPr>
          <w:rFonts w:ascii="Times New Roman" w:hAnsi="Times New Roman"/>
        </w:rPr>
        <w:t xml:space="preserve"> cannot co</w:t>
      </w:r>
      <w:r w:rsidR="00D65C85" w:rsidRPr="002937AA">
        <w:rPr>
          <w:rFonts w:ascii="Times New Roman" w:hAnsi="Times New Roman"/>
        </w:rPr>
        <w:t>nduct</w:t>
      </w:r>
      <w:r w:rsidR="00DA3659" w:rsidRPr="002937AA">
        <w:rPr>
          <w:rFonts w:ascii="Times New Roman" w:hAnsi="Times New Roman"/>
        </w:rPr>
        <w:t xml:space="preserve"> </w:t>
      </w:r>
      <w:r w:rsidRPr="002937AA">
        <w:rPr>
          <w:rFonts w:ascii="Times New Roman" w:hAnsi="Times New Roman"/>
        </w:rPr>
        <w:t xml:space="preserve">this information collection less frequently.  There are no technical or legal obstacles </w:t>
      </w:r>
      <w:r w:rsidR="00CE60BA">
        <w:rPr>
          <w:rFonts w:ascii="Times New Roman" w:hAnsi="Times New Roman"/>
        </w:rPr>
        <w:t xml:space="preserve">to </w:t>
      </w:r>
      <w:r w:rsidRPr="002937AA">
        <w:rPr>
          <w:rFonts w:ascii="Times New Roman" w:hAnsi="Times New Roman"/>
        </w:rPr>
        <w:t>burden reduction.</w:t>
      </w:r>
    </w:p>
    <w:p w:rsidR="00A45D82" w:rsidRPr="00BC7F42" w:rsidRDefault="00A45D82" w:rsidP="00B01D23">
      <w:pPr>
        <w:tabs>
          <w:tab w:val="num" w:pos="1440"/>
        </w:tabs>
        <w:ind w:left="1440"/>
        <w:rPr>
          <w:rFonts w:ascii="Times New Roman" w:hAnsi="Times New Roman"/>
        </w:rPr>
      </w:pPr>
    </w:p>
    <w:p w:rsidR="00127980" w:rsidRDefault="00A45D82" w:rsidP="00B01D23">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DA3659" w:rsidRPr="002937AA" w:rsidRDefault="00DA3659" w:rsidP="00B01D23">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2937AA">
        <w:rPr>
          <w:rFonts w:ascii="Times New Roman" w:hAnsi="Times New Roman"/>
          <w:b w:val="0"/>
          <w:i w:val="0"/>
        </w:rPr>
        <w:t xml:space="preserve">There are no special circumstances that would cause </w:t>
      </w:r>
      <w:r w:rsidR="006B62E0" w:rsidRPr="002937AA">
        <w:rPr>
          <w:rFonts w:ascii="Times New Roman" w:hAnsi="Times New Roman"/>
          <w:b w:val="0"/>
          <w:i w:val="0"/>
        </w:rPr>
        <w:t>SSA to</w:t>
      </w:r>
      <w:r w:rsidRPr="002937AA">
        <w:rPr>
          <w:rFonts w:ascii="Times New Roman" w:hAnsi="Times New Roman"/>
          <w:b w:val="0"/>
          <w:i w:val="0"/>
        </w:rPr>
        <w:t xml:space="preserve"> conduct</w:t>
      </w:r>
      <w:r w:rsidR="006B62E0" w:rsidRPr="002937AA">
        <w:rPr>
          <w:rFonts w:ascii="Times New Roman" w:hAnsi="Times New Roman"/>
          <w:b w:val="0"/>
          <w:i w:val="0"/>
        </w:rPr>
        <w:t xml:space="preserve"> this information collection</w:t>
      </w:r>
      <w:r w:rsidRPr="002937AA">
        <w:rPr>
          <w:rFonts w:ascii="Times New Roman" w:hAnsi="Times New Roman"/>
          <w:b w:val="0"/>
          <w:i w:val="0"/>
        </w:rPr>
        <w:t xml:space="preserve"> in a manner </w:t>
      </w:r>
      <w:r w:rsidR="006B62E0" w:rsidRPr="002937AA">
        <w:rPr>
          <w:rFonts w:ascii="Times New Roman" w:hAnsi="Times New Roman"/>
          <w:b w:val="0"/>
          <w:i w:val="0"/>
        </w:rPr>
        <w:t>in</w:t>
      </w:r>
      <w:r w:rsidRPr="002937AA">
        <w:rPr>
          <w:rFonts w:ascii="Times New Roman" w:hAnsi="Times New Roman"/>
          <w:b w:val="0"/>
          <w:i w:val="0"/>
        </w:rPr>
        <w:t xml:space="preserve">consistent with </w:t>
      </w:r>
      <w:r w:rsidRPr="00CE60BA">
        <w:rPr>
          <w:rFonts w:ascii="Times New Roman" w:hAnsi="Times New Roman"/>
          <w:b w:val="0"/>
          <w:iCs w:val="0"/>
        </w:rPr>
        <w:t>5 CFR 1320.5</w:t>
      </w:r>
      <w:r w:rsidRPr="002937AA">
        <w:rPr>
          <w:rFonts w:ascii="Times New Roman" w:hAnsi="Times New Roman"/>
          <w:b w:val="0"/>
          <w:i w:val="0"/>
          <w:iCs w:val="0"/>
        </w:rPr>
        <w:t>.</w:t>
      </w:r>
    </w:p>
    <w:p w:rsidR="00A45D82" w:rsidRPr="00BC7F42" w:rsidRDefault="00A45D82" w:rsidP="00B01D23">
      <w:pPr>
        <w:tabs>
          <w:tab w:val="num" w:pos="1440"/>
        </w:tabs>
        <w:ind w:left="1440"/>
        <w:rPr>
          <w:rFonts w:ascii="Times New Roman" w:hAnsi="Times New Roman"/>
          <w:b/>
          <w:i/>
        </w:rPr>
      </w:pPr>
    </w:p>
    <w:p w:rsidR="000C6936" w:rsidRDefault="00A45D82" w:rsidP="00B01D23">
      <w:pPr>
        <w:numPr>
          <w:ilvl w:val="0"/>
          <w:numId w:val="14"/>
        </w:numPr>
        <w:tabs>
          <w:tab w:val="clear" w:pos="720"/>
          <w:tab w:val="num" w:pos="1440"/>
        </w:tabs>
        <w:ind w:left="1440"/>
        <w:rPr>
          <w:rFonts w:ascii="Times New Roman" w:hAnsi="Times New Roman"/>
          <w:b/>
          <w:i/>
        </w:rPr>
      </w:pPr>
      <w:r w:rsidRPr="00BC7F42">
        <w:rPr>
          <w:rFonts w:ascii="Times New Roman" w:hAnsi="Times New Roman"/>
          <w:b/>
        </w:rPr>
        <w:t>Solicitation of Public Comment and Other Consultations with the Public</w:t>
      </w:r>
    </w:p>
    <w:p w:rsidR="00DB6DFD" w:rsidRPr="00DB6DFD" w:rsidRDefault="00DB6DFD" w:rsidP="00DB6DFD">
      <w:pPr>
        <w:tabs>
          <w:tab w:val="num" w:pos="1440"/>
        </w:tabs>
        <w:ind w:left="1440"/>
        <w:rPr>
          <w:rFonts w:ascii="Times New Roman" w:hAnsi="Times New Roman"/>
        </w:rPr>
      </w:pPr>
      <w:r w:rsidRPr="00DB6DFD">
        <w:rPr>
          <w:rFonts w:ascii="Times New Roman" w:hAnsi="Times New Roman"/>
        </w:rPr>
        <w:t xml:space="preserve">The 60-day advance Federal Register Notice published on </w:t>
      </w:r>
      <w:r>
        <w:rPr>
          <w:rFonts w:ascii="Times New Roman" w:hAnsi="Times New Roman"/>
        </w:rPr>
        <w:t>November 15</w:t>
      </w:r>
      <w:r w:rsidRPr="00DB6DFD">
        <w:rPr>
          <w:rFonts w:ascii="Times New Roman" w:hAnsi="Times New Roman"/>
        </w:rPr>
        <w:t>, 2016, at</w:t>
      </w:r>
    </w:p>
    <w:p w:rsidR="006E6099" w:rsidRPr="006E6099" w:rsidRDefault="00DB6DFD" w:rsidP="00DB6DFD">
      <w:pPr>
        <w:tabs>
          <w:tab w:val="num" w:pos="1440"/>
        </w:tabs>
        <w:ind w:left="1440"/>
        <w:rPr>
          <w:rFonts w:ascii="Times New Roman" w:hAnsi="Times New Roman"/>
        </w:rPr>
      </w:pPr>
      <w:r w:rsidRPr="00DB6DFD">
        <w:rPr>
          <w:rFonts w:ascii="Times New Roman" w:hAnsi="Times New Roman"/>
        </w:rPr>
        <w:t xml:space="preserve">81 FR </w:t>
      </w:r>
      <w:r>
        <w:rPr>
          <w:rFonts w:ascii="Times New Roman" w:hAnsi="Times New Roman"/>
        </w:rPr>
        <w:t>80159</w:t>
      </w:r>
      <w:r w:rsidRPr="00DB6DFD">
        <w:rPr>
          <w:rFonts w:ascii="Times New Roman" w:hAnsi="Times New Roman"/>
        </w:rPr>
        <w:t xml:space="preserve">, and we received no public comments.  The 30-day FRN published on </w:t>
      </w:r>
      <w:r w:rsidR="00AE1CED">
        <w:rPr>
          <w:rFonts w:ascii="Times New Roman" w:hAnsi="Times New Roman"/>
        </w:rPr>
        <w:t>February 14, 2017</w:t>
      </w:r>
      <w:r w:rsidRPr="00DB6DFD">
        <w:rPr>
          <w:rFonts w:ascii="Times New Roman" w:hAnsi="Times New Roman"/>
        </w:rPr>
        <w:t xml:space="preserve"> at </w:t>
      </w:r>
      <w:r w:rsidR="00AE1CED">
        <w:rPr>
          <w:rFonts w:ascii="Times New Roman" w:hAnsi="Times New Roman"/>
        </w:rPr>
        <w:t>82</w:t>
      </w:r>
      <w:r w:rsidRPr="00DB6DFD">
        <w:rPr>
          <w:rFonts w:ascii="Times New Roman" w:hAnsi="Times New Roman"/>
        </w:rPr>
        <w:t xml:space="preserve"> FR </w:t>
      </w:r>
      <w:r w:rsidR="00AE1CED">
        <w:rPr>
          <w:rFonts w:ascii="Times New Roman" w:hAnsi="Times New Roman"/>
        </w:rPr>
        <w:t>10623</w:t>
      </w:r>
      <w:r w:rsidRPr="00DB6DFD">
        <w:rPr>
          <w:rFonts w:ascii="Times New Roman" w:hAnsi="Times New Roman"/>
        </w:rPr>
        <w:t>.  If we receive any comments in response to this Notice, we will forward them to OMB</w:t>
      </w:r>
      <w:r w:rsidR="006C420A" w:rsidRPr="002937AA">
        <w:rPr>
          <w:rFonts w:ascii="Times New Roman" w:hAnsi="Times New Roman"/>
        </w:rPr>
        <w:t>.</w:t>
      </w:r>
    </w:p>
    <w:p w:rsidR="00A45D82" w:rsidRPr="00BC7F42" w:rsidRDefault="00A45D82" w:rsidP="00B01D23">
      <w:pPr>
        <w:tabs>
          <w:tab w:val="num" w:pos="1440"/>
        </w:tabs>
        <w:ind w:left="1440"/>
        <w:rPr>
          <w:rFonts w:ascii="Times New Roman" w:hAnsi="Times New Roman"/>
        </w:rPr>
      </w:pPr>
    </w:p>
    <w:p w:rsidR="00640A26" w:rsidRDefault="00A45D82" w:rsidP="00B01D23">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006C420A" w:rsidRPr="002937AA" w:rsidRDefault="006C420A" w:rsidP="00B01D23">
      <w:pPr>
        <w:tabs>
          <w:tab w:val="num" w:pos="1440"/>
        </w:tabs>
        <w:ind w:left="1440"/>
        <w:rPr>
          <w:rFonts w:ascii="Times New Roman" w:hAnsi="Times New Roman"/>
        </w:rPr>
      </w:pPr>
      <w:r w:rsidRPr="002937AA">
        <w:rPr>
          <w:rFonts w:ascii="Times New Roman" w:hAnsi="Times New Roman"/>
        </w:rPr>
        <w:t xml:space="preserve">SSA </w:t>
      </w:r>
      <w:r w:rsidR="00CE60BA">
        <w:rPr>
          <w:rFonts w:ascii="Times New Roman" w:hAnsi="Times New Roman"/>
        </w:rPr>
        <w:t xml:space="preserve">does not </w:t>
      </w:r>
      <w:r w:rsidRPr="002937AA">
        <w:rPr>
          <w:rFonts w:ascii="Times New Roman" w:hAnsi="Times New Roman"/>
        </w:rPr>
        <w:t>provide payment</w:t>
      </w:r>
      <w:r w:rsidR="00CE60BA">
        <w:rPr>
          <w:rFonts w:ascii="Times New Roman" w:hAnsi="Times New Roman"/>
        </w:rPr>
        <w:t>s</w:t>
      </w:r>
      <w:r w:rsidRPr="002937AA">
        <w:rPr>
          <w:rFonts w:ascii="Times New Roman" w:hAnsi="Times New Roman"/>
        </w:rPr>
        <w:t xml:space="preserve"> or gifts to the respondents.</w:t>
      </w:r>
    </w:p>
    <w:p w:rsidR="00A45D82" w:rsidRPr="00BC7F42" w:rsidRDefault="00A45D82" w:rsidP="00B01D23">
      <w:pPr>
        <w:tabs>
          <w:tab w:val="num" w:pos="1440"/>
        </w:tabs>
        <w:ind w:left="1440"/>
        <w:rPr>
          <w:rFonts w:ascii="Times New Roman" w:hAnsi="Times New Roman"/>
        </w:rPr>
      </w:pPr>
    </w:p>
    <w:p w:rsidR="00795BAB" w:rsidRDefault="00A45D82" w:rsidP="00B01D23">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006C420A" w:rsidRPr="002937AA" w:rsidRDefault="006C420A" w:rsidP="00B01D23">
      <w:pPr>
        <w:tabs>
          <w:tab w:val="num" w:pos="1440"/>
        </w:tabs>
        <w:ind w:left="1440"/>
        <w:rPr>
          <w:rFonts w:ascii="Times New Roman" w:hAnsi="Times New Roman"/>
        </w:rPr>
      </w:pPr>
      <w:r w:rsidRPr="002937AA">
        <w:rPr>
          <w:rFonts w:ascii="Times New Roman" w:hAnsi="Times New Roman"/>
        </w:rPr>
        <w:t xml:space="preserve">SSA protects and holds confidential the information it collects in accordance with </w:t>
      </w:r>
      <w:r w:rsidRPr="00CE60BA">
        <w:rPr>
          <w:rFonts w:ascii="Times New Roman" w:hAnsi="Times New Roman"/>
          <w:i/>
        </w:rPr>
        <w:t>42 U.S.C. 1306, 20 CFR 401</w:t>
      </w:r>
      <w:r w:rsidRPr="002937AA">
        <w:rPr>
          <w:rFonts w:ascii="Times New Roman" w:hAnsi="Times New Roman"/>
        </w:rPr>
        <w:t xml:space="preserve"> and </w:t>
      </w:r>
      <w:r w:rsidRPr="00CE60BA">
        <w:rPr>
          <w:rFonts w:ascii="Times New Roman" w:hAnsi="Times New Roman"/>
          <w:i/>
        </w:rPr>
        <w:t>402, 5 U.S.C. 552</w:t>
      </w:r>
      <w:r w:rsidRPr="002937AA">
        <w:rPr>
          <w:rFonts w:ascii="Times New Roman" w:hAnsi="Times New Roman"/>
        </w:rPr>
        <w:t xml:space="preserve"> (Freedom of Information Act), </w:t>
      </w:r>
      <w:r w:rsidRPr="00CE60BA">
        <w:rPr>
          <w:rFonts w:ascii="Times New Roman" w:hAnsi="Times New Roman"/>
          <w:i/>
        </w:rPr>
        <w:t>5 U.S.C. 552a</w:t>
      </w:r>
      <w:r w:rsidRPr="002937AA">
        <w:rPr>
          <w:rFonts w:ascii="Times New Roman" w:hAnsi="Times New Roman"/>
        </w:rPr>
        <w:t xml:space="preserve"> (Privacy Act of 1974), and OMB Circular No. A-130.</w:t>
      </w:r>
    </w:p>
    <w:p w:rsidR="00A45D82" w:rsidRPr="00BC7F42" w:rsidRDefault="00A45D82" w:rsidP="00B01D23">
      <w:pPr>
        <w:pStyle w:val="Header"/>
        <w:tabs>
          <w:tab w:val="clear" w:pos="4320"/>
          <w:tab w:val="clear" w:pos="8640"/>
          <w:tab w:val="num" w:pos="1440"/>
        </w:tabs>
        <w:ind w:left="1440"/>
        <w:rPr>
          <w:rFonts w:ascii="Times New Roman" w:hAnsi="Times New Roman"/>
        </w:rPr>
      </w:pPr>
    </w:p>
    <w:p w:rsidR="00D0011E" w:rsidRDefault="00A45D82" w:rsidP="00B01D23">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6C420A" w:rsidRPr="002937AA" w:rsidRDefault="006C420A" w:rsidP="00B01D23">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num" w:pos="1440"/>
        </w:tabs>
        <w:suppressAutoHyphens w:val="0"/>
        <w:ind w:left="1440"/>
        <w:rPr>
          <w:rFonts w:ascii="Times New Roman" w:hAnsi="Times New Roman"/>
          <w:b w:val="0"/>
          <w:i w:val="0"/>
        </w:rPr>
      </w:pPr>
      <w:r w:rsidRPr="002937AA">
        <w:rPr>
          <w:rFonts w:ascii="Times New Roman" w:hAnsi="Times New Roman"/>
          <w:b w:val="0"/>
          <w:i w:val="0"/>
        </w:rPr>
        <w:t>The information collection does not contain any questions of a sensitive nature.</w:t>
      </w:r>
      <w:r w:rsidR="003D476D">
        <w:rPr>
          <w:rFonts w:ascii="Times New Roman" w:hAnsi="Times New Roman"/>
          <w:b w:val="0"/>
          <w:i w:val="0"/>
        </w:rPr>
        <w:t xml:space="preserve"> </w:t>
      </w:r>
    </w:p>
    <w:p w:rsidR="00BE2457" w:rsidRDefault="00BE2457" w:rsidP="00B01D23">
      <w:pPr>
        <w:tabs>
          <w:tab w:val="num" w:pos="1440"/>
        </w:tabs>
        <w:ind w:left="1440"/>
        <w:rPr>
          <w:rFonts w:ascii="Times New Roman" w:hAnsi="Times New Roman"/>
        </w:rPr>
      </w:pPr>
    </w:p>
    <w:p w:rsidR="00BE2457" w:rsidRDefault="00BE2457" w:rsidP="00B01D23">
      <w:pPr>
        <w:tabs>
          <w:tab w:val="num" w:pos="1440"/>
        </w:tabs>
        <w:ind w:left="1440"/>
        <w:rPr>
          <w:rFonts w:ascii="Times New Roman" w:hAnsi="Times New Roman"/>
        </w:rPr>
      </w:pPr>
    </w:p>
    <w:p w:rsidR="00BE2457" w:rsidRDefault="00BE2457" w:rsidP="00B01D23">
      <w:pPr>
        <w:tabs>
          <w:tab w:val="num" w:pos="1440"/>
        </w:tabs>
        <w:ind w:left="1440"/>
        <w:rPr>
          <w:rFonts w:ascii="Times New Roman" w:hAnsi="Times New Roman"/>
        </w:rPr>
      </w:pPr>
    </w:p>
    <w:p w:rsidR="00BE2457" w:rsidRDefault="00BE2457" w:rsidP="00B01D23">
      <w:pPr>
        <w:tabs>
          <w:tab w:val="num" w:pos="1440"/>
        </w:tabs>
        <w:ind w:left="1440"/>
        <w:rPr>
          <w:rFonts w:ascii="Times New Roman" w:hAnsi="Times New Roman"/>
        </w:rPr>
      </w:pPr>
    </w:p>
    <w:p w:rsidR="00BE2457" w:rsidRDefault="00BE2457" w:rsidP="00B01D23">
      <w:pPr>
        <w:tabs>
          <w:tab w:val="num" w:pos="1440"/>
        </w:tabs>
        <w:ind w:left="1440"/>
        <w:rPr>
          <w:rFonts w:ascii="Times New Roman" w:hAnsi="Times New Roman"/>
        </w:rPr>
      </w:pPr>
    </w:p>
    <w:p w:rsidR="00BE2457" w:rsidRDefault="00BE2457" w:rsidP="00B01D23">
      <w:pPr>
        <w:tabs>
          <w:tab w:val="num" w:pos="1440"/>
        </w:tabs>
        <w:ind w:left="1440"/>
        <w:rPr>
          <w:rFonts w:ascii="Times New Roman" w:hAnsi="Times New Roman"/>
        </w:rPr>
      </w:pPr>
    </w:p>
    <w:p w:rsidR="00BE2457" w:rsidRPr="00BC7F42" w:rsidRDefault="00BE2457" w:rsidP="00B01D23">
      <w:pPr>
        <w:tabs>
          <w:tab w:val="num" w:pos="1440"/>
        </w:tabs>
        <w:ind w:left="1440"/>
        <w:rPr>
          <w:rFonts w:ascii="Times New Roman" w:hAnsi="Times New Roman"/>
        </w:rPr>
      </w:pPr>
      <w:bookmarkStart w:id="0" w:name="_GoBack"/>
      <w:bookmarkEnd w:id="0"/>
    </w:p>
    <w:p w:rsidR="003E145C" w:rsidRDefault="00A45D82" w:rsidP="00B01D23">
      <w:pPr>
        <w:numPr>
          <w:ilvl w:val="0"/>
          <w:numId w:val="14"/>
        </w:numPr>
        <w:tabs>
          <w:tab w:val="clear" w:pos="720"/>
          <w:tab w:val="num" w:pos="1440"/>
        </w:tabs>
        <w:ind w:left="1440"/>
        <w:rPr>
          <w:rFonts w:ascii="Times New Roman" w:hAnsi="Times New Roman"/>
          <w:b/>
        </w:rPr>
      </w:pPr>
      <w:r w:rsidRPr="00BC7F42">
        <w:rPr>
          <w:rFonts w:ascii="Times New Roman" w:hAnsi="Times New Roman"/>
          <w:b/>
        </w:rPr>
        <w:lastRenderedPageBreak/>
        <w:t>Estimates of Public Reporting Burden</w:t>
      </w:r>
    </w:p>
    <w:p w:rsidR="00ED66BB" w:rsidRDefault="00ED66BB" w:rsidP="00B01D23">
      <w:pPr>
        <w:tabs>
          <w:tab w:val="left" w:pos="360"/>
          <w:tab w:val="num" w:pos="1440"/>
        </w:tabs>
        <w:ind w:left="1440"/>
        <w:rPr>
          <w:rFonts w:ascii="Times New Roman" w:hAnsi="Times New Roman"/>
        </w:rPr>
      </w:pPr>
    </w:p>
    <w:tbl>
      <w:tblPr>
        <w:tblW w:w="7693"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710"/>
        <w:gridCol w:w="1440"/>
        <w:gridCol w:w="1577"/>
        <w:gridCol w:w="1256"/>
      </w:tblGrid>
      <w:tr w:rsidR="006068B6" w:rsidTr="00F218F1">
        <w:trPr>
          <w:cantSplit/>
          <w:trHeight w:val="1007"/>
        </w:trPr>
        <w:tc>
          <w:tcPr>
            <w:tcW w:w="1710" w:type="dxa"/>
            <w:shd w:val="clear" w:color="auto" w:fill="auto"/>
            <w:hideMark/>
          </w:tcPr>
          <w:p w:rsidR="006068B6" w:rsidRPr="006116A2" w:rsidRDefault="006068B6" w:rsidP="00CE60BA">
            <w:pPr>
              <w:pStyle w:val="HTMLPreformatted"/>
              <w:rPr>
                <w:rFonts w:ascii="Times New Roman" w:hAnsi="Times New Roman"/>
                <w:b/>
                <w:sz w:val="24"/>
              </w:rPr>
            </w:pPr>
            <w:r w:rsidRPr="006116A2">
              <w:rPr>
                <w:rFonts w:ascii="Times New Roman" w:hAnsi="Times New Roman"/>
                <w:b/>
                <w:sz w:val="24"/>
              </w:rPr>
              <w:t>Modality of Co</w:t>
            </w:r>
            <w:r w:rsidR="00CE60BA">
              <w:rPr>
                <w:rFonts w:ascii="Times New Roman" w:hAnsi="Times New Roman"/>
                <w:b/>
                <w:sz w:val="24"/>
              </w:rPr>
              <w:t>mpletion</w:t>
            </w:r>
          </w:p>
        </w:tc>
        <w:tc>
          <w:tcPr>
            <w:tcW w:w="1710" w:type="dxa"/>
            <w:shd w:val="clear" w:color="auto" w:fill="auto"/>
            <w:hideMark/>
          </w:tcPr>
          <w:p w:rsidR="006068B6" w:rsidRPr="006116A2" w:rsidRDefault="006068B6" w:rsidP="006068B6">
            <w:pPr>
              <w:pStyle w:val="HTMLPreformatted"/>
              <w:rPr>
                <w:rFonts w:ascii="Times New Roman" w:hAnsi="Times New Roman"/>
                <w:b/>
                <w:sz w:val="24"/>
              </w:rPr>
            </w:pPr>
            <w:r w:rsidRPr="006116A2">
              <w:rPr>
                <w:rFonts w:ascii="Times New Roman" w:hAnsi="Times New Roman"/>
                <w:b/>
                <w:sz w:val="24"/>
              </w:rPr>
              <w:t>Number of Respondents</w:t>
            </w:r>
          </w:p>
        </w:tc>
        <w:tc>
          <w:tcPr>
            <w:tcW w:w="1440" w:type="dxa"/>
            <w:shd w:val="clear" w:color="auto" w:fill="auto"/>
            <w:hideMark/>
          </w:tcPr>
          <w:p w:rsidR="006068B6" w:rsidRPr="006116A2" w:rsidRDefault="006068B6" w:rsidP="006068B6">
            <w:pPr>
              <w:pStyle w:val="HTMLPreformatted"/>
              <w:rPr>
                <w:rFonts w:ascii="Times New Roman" w:hAnsi="Times New Roman"/>
                <w:b/>
                <w:sz w:val="24"/>
              </w:rPr>
            </w:pPr>
            <w:r w:rsidRPr="006116A2">
              <w:rPr>
                <w:rFonts w:ascii="Times New Roman" w:hAnsi="Times New Roman"/>
                <w:b/>
                <w:sz w:val="24"/>
              </w:rPr>
              <w:t>Frequency</w:t>
            </w:r>
          </w:p>
          <w:p w:rsidR="006068B6" w:rsidRPr="006116A2" w:rsidRDefault="006068B6" w:rsidP="006068B6">
            <w:pPr>
              <w:pStyle w:val="HTMLPreformatted"/>
              <w:rPr>
                <w:rFonts w:ascii="Times New Roman" w:hAnsi="Times New Roman"/>
                <w:b/>
                <w:sz w:val="24"/>
              </w:rPr>
            </w:pPr>
            <w:r w:rsidRPr="006116A2">
              <w:rPr>
                <w:rFonts w:ascii="Times New Roman" w:hAnsi="Times New Roman"/>
                <w:b/>
                <w:sz w:val="24"/>
              </w:rPr>
              <w:t xml:space="preserve">of </w:t>
            </w:r>
          </w:p>
          <w:p w:rsidR="006068B6" w:rsidRPr="006116A2" w:rsidRDefault="006068B6" w:rsidP="006068B6">
            <w:pPr>
              <w:pStyle w:val="HTMLPreformatted"/>
              <w:rPr>
                <w:rFonts w:ascii="Times New Roman" w:hAnsi="Times New Roman"/>
                <w:b/>
                <w:sz w:val="24"/>
              </w:rPr>
            </w:pPr>
            <w:r w:rsidRPr="006116A2">
              <w:rPr>
                <w:rFonts w:ascii="Times New Roman" w:hAnsi="Times New Roman"/>
                <w:b/>
                <w:sz w:val="24"/>
              </w:rPr>
              <w:t>Response</w:t>
            </w:r>
          </w:p>
        </w:tc>
        <w:tc>
          <w:tcPr>
            <w:tcW w:w="1577" w:type="dxa"/>
            <w:shd w:val="clear" w:color="auto" w:fill="auto"/>
            <w:hideMark/>
          </w:tcPr>
          <w:p w:rsidR="006068B6" w:rsidRPr="006116A2" w:rsidRDefault="006068B6" w:rsidP="006068B6">
            <w:pPr>
              <w:pStyle w:val="HTMLPreformatted"/>
              <w:rPr>
                <w:rFonts w:ascii="Times New Roman" w:hAnsi="Times New Roman"/>
                <w:b/>
                <w:sz w:val="24"/>
              </w:rPr>
            </w:pPr>
            <w:r w:rsidRPr="006116A2">
              <w:rPr>
                <w:rFonts w:ascii="Times New Roman" w:hAnsi="Times New Roman"/>
                <w:b/>
                <w:sz w:val="24"/>
              </w:rPr>
              <w:t>Average Burden Per Response (minutes)</w:t>
            </w:r>
          </w:p>
        </w:tc>
        <w:tc>
          <w:tcPr>
            <w:tcW w:w="1256" w:type="dxa"/>
            <w:shd w:val="clear" w:color="auto" w:fill="auto"/>
            <w:hideMark/>
          </w:tcPr>
          <w:p w:rsidR="006068B6" w:rsidRPr="006116A2" w:rsidRDefault="006068B6" w:rsidP="006068B6">
            <w:pPr>
              <w:pStyle w:val="HTMLPreformatted"/>
              <w:rPr>
                <w:rFonts w:ascii="Times New Roman" w:hAnsi="Times New Roman"/>
                <w:b/>
                <w:sz w:val="24"/>
              </w:rPr>
            </w:pPr>
            <w:r w:rsidRPr="006116A2">
              <w:rPr>
                <w:rFonts w:ascii="Times New Roman" w:hAnsi="Times New Roman"/>
                <w:b/>
                <w:sz w:val="24"/>
              </w:rPr>
              <w:t>Estimated Total Annual Burden</w:t>
            </w:r>
          </w:p>
          <w:p w:rsidR="006068B6" w:rsidRPr="006116A2" w:rsidRDefault="006068B6" w:rsidP="006068B6">
            <w:pPr>
              <w:pStyle w:val="HTMLPreformatted"/>
              <w:rPr>
                <w:rFonts w:ascii="Times New Roman" w:hAnsi="Times New Roman"/>
                <w:b/>
                <w:sz w:val="24"/>
              </w:rPr>
            </w:pPr>
            <w:r w:rsidRPr="006116A2">
              <w:rPr>
                <w:rFonts w:ascii="Times New Roman" w:hAnsi="Times New Roman"/>
                <w:b/>
                <w:sz w:val="24"/>
              </w:rPr>
              <w:t>(hours)</w:t>
            </w:r>
          </w:p>
        </w:tc>
      </w:tr>
      <w:tr w:rsidR="00E726ED" w:rsidTr="00CE60BA">
        <w:trPr>
          <w:cantSplit/>
        </w:trPr>
        <w:tc>
          <w:tcPr>
            <w:tcW w:w="1710" w:type="dxa"/>
            <w:tcBorders>
              <w:top w:val="single" w:sz="4" w:space="0" w:color="auto"/>
              <w:left w:val="single" w:sz="4" w:space="0" w:color="auto"/>
              <w:bottom w:val="single" w:sz="4" w:space="0" w:color="auto"/>
              <w:right w:val="single" w:sz="4" w:space="0" w:color="auto"/>
            </w:tcBorders>
            <w:hideMark/>
          </w:tcPr>
          <w:p w:rsidR="00E726ED" w:rsidRDefault="006068B6" w:rsidP="006D2430">
            <w:pPr>
              <w:snapToGrid w:val="0"/>
              <w:rPr>
                <w:rFonts w:ascii="Times New Roman" w:hAnsi="Times New Roman"/>
              </w:rPr>
            </w:pPr>
            <w:r>
              <w:rPr>
                <w:rFonts w:ascii="Times New Roman" w:hAnsi="Times New Roman"/>
              </w:rPr>
              <w:t>SSA-1696-U4</w:t>
            </w:r>
          </w:p>
        </w:tc>
        <w:tc>
          <w:tcPr>
            <w:tcW w:w="1710" w:type="dxa"/>
            <w:tcBorders>
              <w:top w:val="single" w:sz="4" w:space="0" w:color="auto"/>
              <w:left w:val="single" w:sz="4" w:space="0" w:color="auto"/>
              <w:bottom w:val="single" w:sz="4" w:space="0" w:color="auto"/>
              <w:right w:val="single" w:sz="4" w:space="0" w:color="auto"/>
            </w:tcBorders>
          </w:tcPr>
          <w:p w:rsidR="00E726ED" w:rsidRDefault="006068B6" w:rsidP="00AF309D">
            <w:pPr>
              <w:snapToGrid w:val="0"/>
              <w:jc w:val="right"/>
              <w:rPr>
                <w:rFonts w:ascii="Times New Roman" w:hAnsi="Times New Roman"/>
              </w:rPr>
            </w:pPr>
            <w:r>
              <w:rPr>
                <w:rFonts w:ascii="Times New Roman" w:hAnsi="Times New Roman"/>
              </w:rPr>
              <w:t>8</w:t>
            </w:r>
            <w:r w:rsidR="00E726ED">
              <w:rPr>
                <w:rFonts w:ascii="Times New Roman" w:hAnsi="Times New Roman"/>
              </w:rPr>
              <w:t>00,000</w:t>
            </w:r>
          </w:p>
        </w:tc>
        <w:tc>
          <w:tcPr>
            <w:tcW w:w="1440" w:type="dxa"/>
            <w:tcBorders>
              <w:top w:val="single" w:sz="4" w:space="0" w:color="auto"/>
              <w:left w:val="single" w:sz="4" w:space="0" w:color="auto"/>
              <w:bottom w:val="single" w:sz="4" w:space="0" w:color="auto"/>
              <w:right w:val="single" w:sz="4" w:space="0" w:color="auto"/>
            </w:tcBorders>
          </w:tcPr>
          <w:p w:rsidR="00E726ED" w:rsidRDefault="00E726ED" w:rsidP="00AF309D">
            <w:pPr>
              <w:snapToGrid w:val="0"/>
              <w:jc w:val="right"/>
              <w:rPr>
                <w:rFonts w:ascii="Times New Roman" w:hAnsi="Times New Roman"/>
              </w:rPr>
            </w:pPr>
            <w:r>
              <w:rPr>
                <w:rFonts w:ascii="Times New Roman" w:hAnsi="Times New Roman"/>
              </w:rPr>
              <w:t>1</w:t>
            </w:r>
          </w:p>
        </w:tc>
        <w:tc>
          <w:tcPr>
            <w:tcW w:w="1577" w:type="dxa"/>
            <w:tcBorders>
              <w:top w:val="single" w:sz="4" w:space="0" w:color="auto"/>
              <w:left w:val="single" w:sz="4" w:space="0" w:color="auto"/>
              <w:bottom w:val="single" w:sz="4" w:space="0" w:color="auto"/>
              <w:right w:val="single" w:sz="4" w:space="0" w:color="auto"/>
            </w:tcBorders>
          </w:tcPr>
          <w:p w:rsidR="00E726ED" w:rsidRDefault="00E726ED" w:rsidP="00AF309D">
            <w:pPr>
              <w:snapToGrid w:val="0"/>
              <w:jc w:val="right"/>
              <w:rPr>
                <w:rFonts w:ascii="Times New Roman" w:hAnsi="Times New Roman"/>
              </w:rPr>
            </w:pPr>
            <w:r>
              <w:rPr>
                <w:rFonts w:ascii="Times New Roman" w:hAnsi="Times New Roman"/>
              </w:rPr>
              <w:t>10</w:t>
            </w:r>
          </w:p>
        </w:tc>
        <w:tc>
          <w:tcPr>
            <w:tcW w:w="1256" w:type="dxa"/>
            <w:tcBorders>
              <w:top w:val="single" w:sz="4" w:space="0" w:color="auto"/>
              <w:left w:val="single" w:sz="4" w:space="0" w:color="auto"/>
              <w:bottom w:val="single" w:sz="4" w:space="0" w:color="auto"/>
              <w:right w:val="single" w:sz="4" w:space="0" w:color="auto"/>
            </w:tcBorders>
          </w:tcPr>
          <w:p w:rsidR="00E726ED" w:rsidRDefault="006068B6" w:rsidP="00F742C3">
            <w:pPr>
              <w:snapToGrid w:val="0"/>
              <w:jc w:val="right"/>
              <w:rPr>
                <w:rFonts w:ascii="Times New Roman" w:hAnsi="Times New Roman"/>
              </w:rPr>
            </w:pPr>
            <w:r>
              <w:rPr>
                <w:rFonts w:ascii="Times New Roman" w:hAnsi="Times New Roman"/>
              </w:rPr>
              <w:t>133</w:t>
            </w:r>
            <w:r w:rsidR="00026C48">
              <w:rPr>
                <w:rFonts w:ascii="Times New Roman" w:hAnsi="Times New Roman"/>
              </w:rPr>
              <w:t>,</w:t>
            </w:r>
            <w:r>
              <w:rPr>
                <w:rFonts w:ascii="Times New Roman" w:hAnsi="Times New Roman"/>
              </w:rPr>
              <w:t>33</w:t>
            </w:r>
            <w:r w:rsidR="00F742C3">
              <w:rPr>
                <w:rFonts w:ascii="Times New Roman" w:hAnsi="Times New Roman"/>
              </w:rPr>
              <w:t>3</w:t>
            </w:r>
          </w:p>
        </w:tc>
      </w:tr>
    </w:tbl>
    <w:p w:rsidR="00CE60BA" w:rsidRPr="00CE60BA" w:rsidRDefault="00CE60BA" w:rsidP="00CE60BA">
      <w:pPr>
        <w:snapToGrid w:val="0"/>
        <w:ind w:left="1440"/>
        <w:contextualSpacing/>
        <w:rPr>
          <w:rFonts w:ascii="Times New Roman" w:hAnsi="Times New Roman"/>
          <w:snapToGrid/>
        </w:rPr>
      </w:pPr>
      <w:r w:rsidRPr="00CE60BA">
        <w:rPr>
          <w:rFonts w:ascii="Times New Roman" w:hAnsi="Times New Roman"/>
          <w:snapToGrid/>
        </w:rPr>
        <w:t xml:space="preserve">The total burden for this ICR is </w:t>
      </w:r>
      <w:r w:rsidRPr="00CE60BA">
        <w:rPr>
          <w:rFonts w:ascii="Times New Roman" w:hAnsi="Times New Roman"/>
          <w:b/>
          <w:snapToGrid/>
        </w:rPr>
        <w:t>1</w:t>
      </w:r>
      <w:r>
        <w:rPr>
          <w:rFonts w:ascii="Times New Roman" w:hAnsi="Times New Roman"/>
          <w:b/>
          <w:snapToGrid/>
        </w:rPr>
        <w:t>33,3</w:t>
      </w:r>
      <w:r w:rsidRPr="00CE60BA">
        <w:rPr>
          <w:rFonts w:ascii="Times New Roman" w:hAnsi="Times New Roman"/>
          <w:b/>
          <w:snapToGrid/>
        </w:rPr>
        <w:t>3</w:t>
      </w:r>
      <w:r>
        <w:rPr>
          <w:rFonts w:ascii="Times New Roman" w:hAnsi="Times New Roman"/>
          <w:b/>
          <w:snapToGrid/>
        </w:rPr>
        <w:t>3</w:t>
      </w:r>
      <w:r w:rsidRPr="00CE60BA">
        <w:rPr>
          <w:rFonts w:ascii="Times New Roman" w:hAnsi="Times New Roman"/>
          <w:snapToGrid/>
        </w:rPr>
        <w:t xml:space="preserve"> hours.  This figure represents burden hours, and we did not calculate a separate cost burden.</w:t>
      </w:r>
    </w:p>
    <w:p w:rsidR="00CE60BA" w:rsidRPr="002937AA" w:rsidRDefault="00CE60BA" w:rsidP="003B15EC">
      <w:pPr>
        <w:tabs>
          <w:tab w:val="left" w:pos="360"/>
        </w:tabs>
        <w:ind w:left="720"/>
        <w:rPr>
          <w:rFonts w:ascii="Times New Roman" w:hAnsi="Times New Roman"/>
        </w:rPr>
      </w:pPr>
    </w:p>
    <w:p w:rsidR="00A45D82" w:rsidRPr="00BC7F42" w:rsidRDefault="00A45D82" w:rsidP="00B01D23">
      <w:pPr>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124ED2" w:rsidRPr="002937AA" w:rsidRDefault="00124ED2" w:rsidP="00B01D23">
      <w:pPr>
        <w:ind w:left="1440"/>
        <w:rPr>
          <w:rFonts w:ascii="Times New Roman" w:hAnsi="Times New Roman"/>
        </w:rPr>
      </w:pPr>
      <w:r w:rsidRPr="002937AA">
        <w:rPr>
          <w:rFonts w:ascii="Times New Roman" w:hAnsi="Times New Roman"/>
        </w:rPr>
        <w:t>This collection does not impose a known cost burden to the respondents.</w:t>
      </w:r>
    </w:p>
    <w:p w:rsidR="00A45D82" w:rsidRPr="00BC7F42" w:rsidRDefault="00A45D82" w:rsidP="00B01D23">
      <w:pPr>
        <w:ind w:left="1440"/>
        <w:rPr>
          <w:rFonts w:ascii="Times New Roman" w:hAnsi="Times New Roman"/>
        </w:rPr>
      </w:pPr>
    </w:p>
    <w:p w:rsidR="00121032" w:rsidRPr="00121032" w:rsidRDefault="00A45D82" w:rsidP="00B01D23">
      <w:pPr>
        <w:numPr>
          <w:ilvl w:val="0"/>
          <w:numId w:val="27"/>
        </w:numPr>
        <w:tabs>
          <w:tab w:val="clear" w:pos="360"/>
          <w:tab w:val="left" w:pos="720"/>
        </w:tabs>
        <w:ind w:left="1440" w:hanging="720"/>
        <w:rPr>
          <w:rFonts w:ascii="Times New Roman" w:hAnsi="Times New Roman"/>
        </w:rPr>
      </w:pPr>
      <w:r w:rsidRPr="00BC7F42">
        <w:rPr>
          <w:rFonts w:ascii="Times New Roman" w:hAnsi="Times New Roman"/>
          <w:b/>
        </w:rPr>
        <w:t>Annual Cost To Federal Government</w:t>
      </w:r>
    </w:p>
    <w:p w:rsidR="00A45D82" w:rsidRPr="000A31E4" w:rsidRDefault="00BF4A3D" w:rsidP="00B01D23">
      <w:pPr>
        <w:ind w:left="1440"/>
        <w:rPr>
          <w:rFonts w:ascii="Times New Roman" w:hAnsi="Times New Roman"/>
        </w:rPr>
      </w:pPr>
      <w:r>
        <w:rPr>
          <w:rFonts w:ascii="Times New Roman" w:hAnsi="Times New Roman"/>
        </w:rPr>
        <w:t>Currently, we print an average of 170,000 forms.</w:t>
      </w:r>
      <w:r w:rsidR="007A69F6">
        <w:rPr>
          <w:rFonts w:ascii="Times New Roman" w:hAnsi="Times New Roman"/>
        </w:rPr>
        <w:t xml:space="preserve"> </w:t>
      </w:r>
      <w:r>
        <w:rPr>
          <w:rFonts w:ascii="Times New Roman" w:hAnsi="Times New Roman"/>
        </w:rPr>
        <w:t xml:space="preserve"> </w:t>
      </w:r>
      <w:r w:rsidR="00A45D82" w:rsidRPr="000A31E4">
        <w:rPr>
          <w:rFonts w:ascii="Times New Roman" w:hAnsi="Times New Roman"/>
        </w:rPr>
        <w:t xml:space="preserve">The annual cost to the Federal Government is </w:t>
      </w:r>
      <w:r w:rsidR="00A45D82" w:rsidRPr="00CB76E6">
        <w:rPr>
          <w:rFonts w:ascii="Times New Roman" w:hAnsi="Times New Roman"/>
        </w:rPr>
        <w:t>approximately $</w:t>
      </w:r>
      <w:r>
        <w:rPr>
          <w:rFonts w:ascii="Times New Roman" w:hAnsi="Times New Roman"/>
        </w:rPr>
        <w:t>36</w:t>
      </w:r>
      <w:r w:rsidR="00723184">
        <w:rPr>
          <w:rFonts w:ascii="Times New Roman" w:hAnsi="Times New Roman"/>
        </w:rPr>
        <w:t>,</w:t>
      </w:r>
      <w:r>
        <w:rPr>
          <w:rFonts w:ascii="Times New Roman" w:hAnsi="Times New Roman"/>
        </w:rPr>
        <w:t>9</w:t>
      </w:r>
      <w:r w:rsidR="00723184">
        <w:rPr>
          <w:rFonts w:ascii="Times New Roman" w:hAnsi="Times New Roman"/>
        </w:rPr>
        <w:t>00</w:t>
      </w:r>
      <w:r w:rsidR="00A45D82" w:rsidRPr="00CB76E6">
        <w:rPr>
          <w:rFonts w:ascii="Times New Roman" w:hAnsi="Times New Roman"/>
        </w:rPr>
        <w:t>.</w:t>
      </w:r>
      <w:r w:rsidR="00A45D82" w:rsidRPr="000A31E4">
        <w:rPr>
          <w:rFonts w:ascii="Times New Roman" w:hAnsi="Times New Roman"/>
        </w:rPr>
        <w:t xml:space="preserve"> </w:t>
      </w:r>
      <w:r w:rsidR="007A69F6">
        <w:rPr>
          <w:rFonts w:ascii="Times New Roman" w:hAnsi="Times New Roman"/>
        </w:rPr>
        <w:t xml:space="preserve"> </w:t>
      </w:r>
      <w:r w:rsidR="00A45D82" w:rsidRPr="000A31E4">
        <w:rPr>
          <w:rFonts w:ascii="Times New Roman" w:hAnsi="Times New Roman"/>
        </w:rPr>
        <w:t>This estimate is a projection of the costs for printing and distributin</w:t>
      </w:r>
      <w:r w:rsidR="0069667B" w:rsidRPr="000A31E4">
        <w:rPr>
          <w:rFonts w:ascii="Times New Roman" w:hAnsi="Times New Roman"/>
        </w:rPr>
        <w:t xml:space="preserve">g the collection </w:t>
      </w:r>
      <w:r w:rsidR="000A31E4" w:rsidRPr="000A31E4">
        <w:rPr>
          <w:rFonts w:ascii="Times New Roman" w:hAnsi="Times New Roman"/>
        </w:rPr>
        <w:t>instrument and</w:t>
      </w:r>
      <w:r w:rsidR="0069667B" w:rsidRPr="000A31E4">
        <w:rPr>
          <w:rFonts w:ascii="Times New Roman" w:hAnsi="Times New Roman"/>
        </w:rPr>
        <w:t xml:space="preserve"> </w:t>
      </w:r>
      <w:r w:rsidR="00A45D82" w:rsidRPr="000A31E4">
        <w:rPr>
          <w:rFonts w:ascii="Times New Roman" w:hAnsi="Times New Roman"/>
        </w:rPr>
        <w:t>for collecting the information.</w:t>
      </w:r>
      <w:r w:rsidR="002874BA">
        <w:rPr>
          <w:rFonts w:ascii="Times New Roman" w:hAnsi="Times New Roman"/>
        </w:rPr>
        <w:t xml:space="preserve">  We </w:t>
      </w:r>
      <w:r w:rsidR="009224DA">
        <w:rPr>
          <w:rFonts w:ascii="Times New Roman" w:hAnsi="Times New Roman"/>
        </w:rPr>
        <w:t>recognize</w:t>
      </w:r>
      <w:r w:rsidR="002874BA">
        <w:rPr>
          <w:rFonts w:ascii="Times New Roman" w:hAnsi="Times New Roman"/>
        </w:rPr>
        <w:t xml:space="preserve"> that </w:t>
      </w:r>
      <w:r w:rsidR="007F6333">
        <w:rPr>
          <w:rFonts w:ascii="Times New Roman" w:hAnsi="Times New Roman"/>
        </w:rPr>
        <w:t>recipien</w:t>
      </w:r>
      <w:r w:rsidR="002874BA">
        <w:rPr>
          <w:rFonts w:ascii="Times New Roman" w:hAnsi="Times New Roman"/>
        </w:rPr>
        <w:t>ts and their representatives increasingly download the form from our Internet site.</w:t>
      </w:r>
    </w:p>
    <w:p w:rsidR="00A45D82" w:rsidRPr="000A31E4" w:rsidRDefault="00A45D82" w:rsidP="00B01D23">
      <w:pPr>
        <w:tabs>
          <w:tab w:val="left" w:pos="735"/>
        </w:tabs>
        <w:ind w:left="1440"/>
        <w:rPr>
          <w:rFonts w:ascii="Times New Roman" w:hAnsi="Times New Roman"/>
        </w:rPr>
      </w:pPr>
    </w:p>
    <w:p w:rsidR="00063A05" w:rsidRDefault="00A45D82" w:rsidP="00B01D23">
      <w:pPr>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063A05" w:rsidRPr="000A31E4" w:rsidRDefault="00D50A55" w:rsidP="00B01D23">
      <w:pPr>
        <w:ind w:left="1440"/>
        <w:rPr>
          <w:rFonts w:ascii="Times New Roman" w:hAnsi="Times New Roman"/>
        </w:rPr>
      </w:pPr>
      <w:r w:rsidRPr="000A31E4">
        <w:rPr>
          <w:rFonts w:ascii="Times New Roman" w:hAnsi="Times New Roman"/>
        </w:rPr>
        <w:t>There are no changes to the public reporting burden.</w:t>
      </w:r>
    </w:p>
    <w:p w:rsidR="00A45D82" w:rsidRPr="00BC7F42" w:rsidRDefault="00A45D82" w:rsidP="00B01D23">
      <w:pPr>
        <w:ind w:left="1440"/>
        <w:rPr>
          <w:rFonts w:ascii="Times New Roman" w:hAnsi="Times New Roman"/>
        </w:rPr>
      </w:pPr>
    </w:p>
    <w:p w:rsidR="00063A05" w:rsidRDefault="00A45D82" w:rsidP="00B01D23">
      <w:pPr>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RPr="000A31E4" w:rsidRDefault="00D50A55" w:rsidP="00B01D23">
      <w:pPr>
        <w:pStyle w:val="MediumGrid21"/>
        <w:ind w:left="1440"/>
      </w:pPr>
      <w:r w:rsidRPr="000A31E4">
        <w:t>SSA will not publish the results of the information collection.</w:t>
      </w:r>
    </w:p>
    <w:p w:rsidR="00A45D82" w:rsidRPr="00BC7F42" w:rsidRDefault="00A45D82" w:rsidP="00B01D23">
      <w:pPr>
        <w:pStyle w:val="Header"/>
        <w:tabs>
          <w:tab w:val="clear" w:pos="4320"/>
          <w:tab w:val="clear" w:pos="8640"/>
        </w:tabs>
        <w:ind w:left="1440"/>
        <w:rPr>
          <w:rFonts w:ascii="Times New Roman" w:hAnsi="Times New Roman"/>
        </w:rPr>
      </w:pPr>
    </w:p>
    <w:p w:rsidR="003B30B4" w:rsidRDefault="00A45D82" w:rsidP="00B01D23">
      <w:pPr>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3B30B4" w:rsidRPr="000A31E4" w:rsidRDefault="003B30B4" w:rsidP="00B01D23">
      <w:pPr>
        <w:pStyle w:val="MediumGrid21"/>
        <w:ind w:left="1440"/>
        <w:rPr>
          <w:bCs/>
          <w:iCs/>
        </w:rPr>
      </w:pPr>
      <w:r w:rsidRPr="000A31E4">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A45D82" w:rsidRPr="00BC7F42" w:rsidRDefault="00A45D82" w:rsidP="00B01D2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3B30B4" w:rsidRDefault="00A45D82" w:rsidP="00B01D23">
      <w:pPr>
        <w:numPr>
          <w:ilvl w:val="0"/>
          <w:numId w:val="43"/>
        </w:numPr>
        <w:ind w:left="1440"/>
        <w:rPr>
          <w:rFonts w:ascii="Times New Roman" w:hAnsi="Times New Roman"/>
          <w:b/>
        </w:rPr>
      </w:pPr>
      <w:r w:rsidRPr="00BC7F42">
        <w:rPr>
          <w:rFonts w:ascii="Times New Roman" w:hAnsi="Times New Roman"/>
          <w:b/>
        </w:rPr>
        <w:t>Exceptions to Certification Statement</w:t>
      </w:r>
    </w:p>
    <w:p w:rsidR="0041131C" w:rsidRPr="000A31E4" w:rsidRDefault="0041131C" w:rsidP="00B01D2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0A31E4">
        <w:rPr>
          <w:rFonts w:ascii="Times New Roman" w:hAnsi="Times New Roman"/>
          <w:b w:val="0"/>
          <w:i w:val="0"/>
        </w:rPr>
        <w:t xml:space="preserve">SSA is not requesting an exception to the certification requirements at </w:t>
      </w:r>
      <w:r w:rsidRPr="00CE60BA">
        <w:rPr>
          <w:rFonts w:ascii="Times New Roman" w:hAnsi="Times New Roman"/>
          <w:b w:val="0"/>
        </w:rPr>
        <w:t>5 CFR 1320.9</w:t>
      </w:r>
      <w:r w:rsidRPr="000A31E4">
        <w:rPr>
          <w:rFonts w:ascii="Times New Roman" w:hAnsi="Times New Roman"/>
          <w:b w:val="0"/>
          <w:i w:val="0"/>
        </w:rPr>
        <w:t xml:space="preserve"> and related provisions at </w:t>
      </w:r>
      <w:r w:rsidRPr="00CE60BA">
        <w:rPr>
          <w:rFonts w:ascii="Times New Roman" w:hAnsi="Times New Roman"/>
          <w:b w:val="0"/>
        </w:rPr>
        <w:t>5 CFR 1320.8(b)(3)</w:t>
      </w:r>
      <w:r w:rsidRPr="000A31E4">
        <w:rPr>
          <w:rFonts w:ascii="Times New Roman" w:hAnsi="Times New Roman"/>
          <w:b w:val="0"/>
          <w:i w:val="0"/>
        </w:rPr>
        <w:t xml:space="preserve">. </w:t>
      </w:r>
    </w:p>
    <w:p w:rsidR="00A45D82" w:rsidRPr="00BC7F42" w:rsidRDefault="00A45D82" w:rsidP="00A45D82">
      <w:pPr>
        <w:rPr>
          <w:rFonts w:ascii="Times New Roman" w:hAnsi="Times New Roman"/>
        </w:rPr>
      </w:pPr>
    </w:p>
    <w:p w:rsidR="00A45D82" w:rsidRDefault="00A45D82" w:rsidP="00B01D23">
      <w:pPr>
        <w:ind w:left="720" w:hanging="540"/>
        <w:rPr>
          <w:rFonts w:ascii="Times New Roman" w:hAnsi="Times New Roman"/>
          <w:b/>
          <w:u w:val="single"/>
        </w:rPr>
      </w:pPr>
      <w:r w:rsidRPr="0041131C">
        <w:rPr>
          <w:rFonts w:ascii="Times New Roman" w:hAnsi="Times New Roman"/>
          <w:b/>
        </w:rPr>
        <w:t xml:space="preserve">B. </w:t>
      </w:r>
      <w:r w:rsidR="00B01D23">
        <w:rPr>
          <w:rFonts w:ascii="Times New Roman" w:hAnsi="Times New Roman"/>
          <w:b/>
        </w:rPr>
        <w:t xml:space="preserve">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B01D23" w:rsidRDefault="00B01D23" w:rsidP="00B01D23">
      <w:pPr>
        <w:ind w:left="720" w:hanging="540"/>
        <w:rPr>
          <w:rFonts w:ascii="Times New Roman" w:hAnsi="Times New Roman"/>
          <w:b/>
          <w:u w:val="single"/>
        </w:rPr>
      </w:pPr>
    </w:p>
    <w:p w:rsidR="0041131C" w:rsidRPr="000A31E4" w:rsidRDefault="0041131C" w:rsidP="00B01D23">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0A31E4">
        <w:rPr>
          <w:rFonts w:ascii="Times New Roman" w:hAnsi="Times New Roman"/>
          <w:b w:val="0"/>
          <w:i w:val="0"/>
        </w:rPr>
        <w:t xml:space="preserve">SSA does not use statistical methods for this information collection. </w:t>
      </w:r>
    </w:p>
    <w:p w:rsidR="0041131C" w:rsidRPr="00BC7F42" w:rsidRDefault="0041131C" w:rsidP="0041131C">
      <w:pPr>
        <w:rPr>
          <w:rFonts w:ascii="Times New Roman" w:hAnsi="Times New Roman"/>
        </w:rPr>
      </w:pPr>
    </w:p>
    <w:p w:rsidR="0041131C" w:rsidRDefault="0041131C" w:rsidP="0041131C">
      <w:pPr>
        <w:rPr>
          <w:rFonts w:ascii="Times New Roman" w:hAnsi="Times New Roman"/>
        </w:rPr>
      </w:pPr>
    </w:p>
    <w:p w:rsidR="00A45D82" w:rsidRPr="00BC7F42" w:rsidRDefault="00A45D82" w:rsidP="000A31E4">
      <w:pPr>
        <w:pStyle w:val="Heading6"/>
        <w:jc w:val="left"/>
        <w:rPr>
          <w:rFonts w:ascii="Times New Roman" w:hAnsi="Times New Roman"/>
        </w:rPr>
      </w:pPr>
    </w:p>
    <w:sectPr w:rsidR="00A45D82" w:rsidRPr="00BC7F42" w:rsidSect="00350FB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E05" w:rsidRDefault="00512E05">
      <w:r>
        <w:separator/>
      </w:r>
    </w:p>
  </w:endnote>
  <w:endnote w:type="continuationSeparator" w:id="0">
    <w:p w:rsidR="00512E05" w:rsidRDefault="0051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E05" w:rsidRDefault="00512E05">
      <w:r>
        <w:separator/>
      </w:r>
    </w:p>
  </w:footnote>
  <w:footnote w:type="continuationSeparator" w:id="0">
    <w:p w:rsidR="00512E05" w:rsidRDefault="00512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016F2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26"/>
  </w:num>
  <w:num w:numId="3">
    <w:abstractNumId w:val="4"/>
  </w:num>
  <w:num w:numId="4">
    <w:abstractNumId w:val="19"/>
  </w:num>
  <w:num w:numId="5">
    <w:abstractNumId w:val="42"/>
  </w:num>
  <w:num w:numId="6">
    <w:abstractNumId w:val="8"/>
  </w:num>
  <w:num w:numId="7">
    <w:abstractNumId w:val="28"/>
  </w:num>
  <w:num w:numId="8">
    <w:abstractNumId w:val="34"/>
  </w:num>
  <w:num w:numId="9">
    <w:abstractNumId w:val="40"/>
  </w:num>
  <w:num w:numId="10">
    <w:abstractNumId w:val="5"/>
  </w:num>
  <w:num w:numId="11">
    <w:abstractNumId w:val="3"/>
  </w:num>
  <w:num w:numId="12">
    <w:abstractNumId w:val="16"/>
  </w:num>
  <w:num w:numId="13">
    <w:abstractNumId w:val="20"/>
  </w:num>
  <w:num w:numId="14">
    <w:abstractNumId w:val="46"/>
  </w:num>
  <w:num w:numId="15">
    <w:abstractNumId w:val="11"/>
  </w:num>
  <w:num w:numId="16">
    <w:abstractNumId w:val="14"/>
  </w:num>
  <w:num w:numId="17">
    <w:abstractNumId w:val="32"/>
  </w:num>
  <w:num w:numId="18">
    <w:abstractNumId w:val="7"/>
  </w:num>
  <w:num w:numId="19">
    <w:abstractNumId w:val="6"/>
  </w:num>
  <w:num w:numId="20">
    <w:abstractNumId w:val="45"/>
  </w:num>
  <w:num w:numId="21">
    <w:abstractNumId w:val="17"/>
  </w:num>
  <w:num w:numId="22">
    <w:abstractNumId w:val="1"/>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3"/>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10"/>
  </w:num>
  <w:num w:numId="40">
    <w:abstractNumId w:val="29"/>
  </w:num>
  <w:num w:numId="41">
    <w:abstractNumId w:val="22"/>
  </w:num>
  <w:num w:numId="42">
    <w:abstractNumId w:val="9"/>
  </w:num>
  <w:num w:numId="43">
    <w:abstractNumId w:val="2"/>
  </w:num>
  <w:num w:numId="44">
    <w:abstractNumId w:val="12"/>
  </w:num>
  <w:num w:numId="45">
    <w:abstractNumId w:val="44"/>
  </w:num>
  <w:num w:numId="46">
    <w:abstractNumId w:val="24"/>
  </w:num>
  <w:num w:numId="47">
    <w:abstractNumId w:val="3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222A7"/>
    <w:rsid w:val="000237C6"/>
    <w:rsid w:val="00025216"/>
    <w:rsid w:val="0002531C"/>
    <w:rsid w:val="0002677F"/>
    <w:rsid w:val="00026C48"/>
    <w:rsid w:val="00051E45"/>
    <w:rsid w:val="00056369"/>
    <w:rsid w:val="00063A05"/>
    <w:rsid w:val="0006715D"/>
    <w:rsid w:val="0007189E"/>
    <w:rsid w:val="00077720"/>
    <w:rsid w:val="00077E0E"/>
    <w:rsid w:val="00086E84"/>
    <w:rsid w:val="000958AA"/>
    <w:rsid w:val="000A13CB"/>
    <w:rsid w:val="000A2601"/>
    <w:rsid w:val="000A31E4"/>
    <w:rsid w:val="000A6AE3"/>
    <w:rsid w:val="000B2B68"/>
    <w:rsid w:val="000B3B12"/>
    <w:rsid w:val="000C0ABA"/>
    <w:rsid w:val="000C1D18"/>
    <w:rsid w:val="000C6936"/>
    <w:rsid w:val="000D5F5C"/>
    <w:rsid w:val="00121032"/>
    <w:rsid w:val="00122EE2"/>
    <w:rsid w:val="00124ED2"/>
    <w:rsid w:val="00127980"/>
    <w:rsid w:val="00146275"/>
    <w:rsid w:val="0015576E"/>
    <w:rsid w:val="001570CE"/>
    <w:rsid w:val="001601C2"/>
    <w:rsid w:val="00165844"/>
    <w:rsid w:val="00182EF8"/>
    <w:rsid w:val="00192897"/>
    <w:rsid w:val="001A3317"/>
    <w:rsid w:val="001B7CF4"/>
    <w:rsid w:val="001C6D3A"/>
    <w:rsid w:val="001C6E54"/>
    <w:rsid w:val="001E1076"/>
    <w:rsid w:val="0020487C"/>
    <w:rsid w:val="00214096"/>
    <w:rsid w:val="002321B0"/>
    <w:rsid w:val="002352F4"/>
    <w:rsid w:val="0026052B"/>
    <w:rsid w:val="0026365C"/>
    <w:rsid w:val="00273BFA"/>
    <w:rsid w:val="00276AAF"/>
    <w:rsid w:val="002874BA"/>
    <w:rsid w:val="002937AA"/>
    <w:rsid w:val="002A4C30"/>
    <w:rsid w:val="002B0820"/>
    <w:rsid w:val="002B5578"/>
    <w:rsid w:val="002E18CF"/>
    <w:rsid w:val="002F1C11"/>
    <w:rsid w:val="00302545"/>
    <w:rsid w:val="00313B71"/>
    <w:rsid w:val="003230FC"/>
    <w:rsid w:val="00331821"/>
    <w:rsid w:val="003465DC"/>
    <w:rsid w:val="003469CA"/>
    <w:rsid w:val="00350FB8"/>
    <w:rsid w:val="0036696D"/>
    <w:rsid w:val="0037042B"/>
    <w:rsid w:val="00376B33"/>
    <w:rsid w:val="0038050B"/>
    <w:rsid w:val="003B15EC"/>
    <w:rsid w:val="003B30B4"/>
    <w:rsid w:val="003C10BD"/>
    <w:rsid w:val="003D476D"/>
    <w:rsid w:val="003D55A2"/>
    <w:rsid w:val="003E145C"/>
    <w:rsid w:val="00400FB5"/>
    <w:rsid w:val="00405548"/>
    <w:rsid w:val="0041131C"/>
    <w:rsid w:val="00441C6C"/>
    <w:rsid w:val="004449F0"/>
    <w:rsid w:val="00447EE9"/>
    <w:rsid w:val="0045065A"/>
    <w:rsid w:val="004509AD"/>
    <w:rsid w:val="00454988"/>
    <w:rsid w:val="004669D5"/>
    <w:rsid w:val="00475350"/>
    <w:rsid w:val="00481B44"/>
    <w:rsid w:val="00484662"/>
    <w:rsid w:val="004915B5"/>
    <w:rsid w:val="004E146D"/>
    <w:rsid w:val="0050197F"/>
    <w:rsid w:val="005040EC"/>
    <w:rsid w:val="00506486"/>
    <w:rsid w:val="00512E05"/>
    <w:rsid w:val="005275DC"/>
    <w:rsid w:val="00555625"/>
    <w:rsid w:val="0056163C"/>
    <w:rsid w:val="005721D4"/>
    <w:rsid w:val="00576B02"/>
    <w:rsid w:val="00593A36"/>
    <w:rsid w:val="00594994"/>
    <w:rsid w:val="005A1198"/>
    <w:rsid w:val="005B15E5"/>
    <w:rsid w:val="005B55EA"/>
    <w:rsid w:val="005C2C39"/>
    <w:rsid w:val="005D4107"/>
    <w:rsid w:val="005F208A"/>
    <w:rsid w:val="005F7D2D"/>
    <w:rsid w:val="006002DD"/>
    <w:rsid w:val="006013A3"/>
    <w:rsid w:val="006068B6"/>
    <w:rsid w:val="00607C03"/>
    <w:rsid w:val="006160ED"/>
    <w:rsid w:val="00626C22"/>
    <w:rsid w:val="0063304D"/>
    <w:rsid w:val="00637AF5"/>
    <w:rsid w:val="00640A26"/>
    <w:rsid w:val="0064374C"/>
    <w:rsid w:val="00644823"/>
    <w:rsid w:val="00663881"/>
    <w:rsid w:val="00664553"/>
    <w:rsid w:val="006806E1"/>
    <w:rsid w:val="0069667B"/>
    <w:rsid w:val="006A7E3A"/>
    <w:rsid w:val="006B173F"/>
    <w:rsid w:val="006B17EF"/>
    <w:rsid w:val="006B297F"/>
    <w:rsid w:val="006B611A"/>
    <w:rsid w:val="006B62E0"/>
    <w:rsid w:val="006C420A"/>
    <w:rsid w:val="006D2430"/>
    <w:rsid w:val="006E6099"/>
    <w:rsid w:val="006F1BEF"/>
    <w:rsid w:val="006F4D0F"/>
    <w:rsid w:val="00712F1B"/>
    <w:rsid w:val="00723184"/>
    <w:rsid w:val="007245C9"/>
    <w:rsid w:val="007256B3"/>
    <w:rsid w:val="0073069E"/>
    <w:rsid w:val="00742B56"/>
    <w:rsid w:val="00745462"/>
    <w:rsid w:val="00761DFF"/>
    <w:rsid w:val="007679DE"/>
    <w:rsid w:val="00791DA6"/>
    <w:rsid w:val="00795BAB"/>
    <w:rsid w:val="007A08D1"/>
    <w:rsid w:val="007A2DEE"/>
    <w:rsid w:val="007A69F6"/>
    <w:rsid w:val="007B007C"/>
    <w:rsid w:val="007D061D"/>
    <w:rsid w:val="007D22EB"/>
    <w:rsid w:val="007E17BD"/>
    <w:rsid w:val="007F301F"/>
    <w:rsid w:val="007F5547"/>
    <w:rsid w:val="007F6333"/>
    <w:rsid w:val="00806984"/>
    <w:rsid w:val="00810485"/>
    <w:rsid w:val="00814772"/>
    <w:rsid w:val="00824D72"/>
    <w:rsid w:val="00825B97"/>
    <w:rsid w:val="0084775D"/>
    <w:rsid w:val="0086463A"/>
    <w:rsid w:val="008754ED"/>
    <w:rsid w:val="00885A14"/>
    <w:rsid w:val="00891CA8"/>
    <w:rsid w:val="00892E12"/>
    <w:rsid w:val="008B6774"/>
    <w:rsid w:val="008C7370"/>
    <w:rsid w:val="008D158E"/>
    <w:rsid w:val="008E3A3A"/>
    <w:rsid w:val="00906892"/>
    <w:rsid w:val="00907629"/>
    <w:rsid w:val="009224DA"/>
    <w:rsid w:val="00923961"/>
    <w:rsid w:val="009252AB"/>
    <w:rsid w:val="00940151"/>
    <w:rsid w:val="00951258"/>
    <w:rsid w:val="00951405"/>
    <w:rsid w:val="00952C5B"/>
    <w:rsid w:val="00953980"/>
    <w:rsid w:val="00955EC4"/>
    <w:rsid w:val="009644C0"/>
    <w:rsid w:val="00971A6B"/>
    <w:rsid w:val="009748B6"/>
    <w:rsid w:val="00975DD8"/>
    <w:rsid w:val="00981506"/>
    <w:rsid w:val="0099468E"/>
    <w:rsid w:val="009A0B16"/>
    <w:rsid w:val="009E25B2"/>
    <w:rsid w:val="009E3C50"/>
    <w:rsid w:val="009E4F75"/>
    <w:rsid w:val="009F035E"/>
    <w:rsid w:val="009F23D6"/>
    <w:rsid w:val="009F7BB3"/>
    <w:rsid w:val="00A149A6"/>
    <w:rsid w:val="00A16861"/>
    <w:rsid w:val="00A337E4"/>
    <w:rsid w:val="00A33C65"/>
    <w:rsid w:val="00A34222"/>
    <w:rsid w:val="00A45D82"/>
    <w:rsid w:val="00A651A7"/>
    <w:rsid w:val="00A67D76"/>
    <w:rsid w:val="00A752A1"/>
    <w:rsid w:val="00AA06A4"/>
    <w:rsid w:val="00AA0858"/>
    <w:rsid w:val="00AA0C27"/>
    <w:rsid w:val="00AB0CA7"/>
    <w:rsid w:val="00AD0977"/>
    <w:rsid w:val="00AE0527"/>
    <w:rsid w:val="00AE1CED"/>
    <w:rsid w:val="00AF309D"/>
    <w:rsid w:val="00B007C5"/>
    <w:rsid w:val="00B01D23"/>
    <w:rsid w:val="00B01D57"/>
    <w:rsid w:val="00B1434A"/>
    <w:rsid w:val="00B1523E"/>
    <w:rsid w:val="00B47F61"/>
    <w:rsid w:val="00B741F6"/>
    <w:rsid w:val="00B8576C"/>
    <w:rsid w:val="00B92550"/>
    <w:rsid w:val="00BA1653"/>
    <w:rsid w:val="00BA401A"/>
    <w:rsid w:val="00BC5531"/>
    <w:rsid w:val="00BC7F42"/>
    <w:rsid w:val="00BE2457"/>
    <w:rsid w:val="00BF026F"/>
    <w:rsid w:val="00BF4A3D"/>
    <w:rsid w:val="00BF50F6"/>
    <w:rsid w:val="00C0290B"/>
    <w:rsid w:val="00C10A68"/>
    <w:rsid w:val="00C22097"/>
    <w:rsid w:val="00C224FE"/>
    <w:rsid w:val="00C25FDC"/>
    <w:rsid w:val="00C34A91"/>
    <w:rsid w:val="00C377BC"/>
    <w:rsid w:val="00C5104E"/>
    <w:rsid w:val="00C60E61"/>
    <w:rsid w:val="00C67C8A"/>
    <w:rsid w:val="00C67F83"/>
    <w:rsid w:val="00C722AE"/>
    <w:rsid w:val="00C941E2"/>
    <w:rsid w:val="00CA0B0D"/>
    <w:rsid w:val="00CA0B15"/>
    <w:rsid w:val="00CA5F75"/>
    <w:rsid w:val="00CA6CAE"/>
    <w:rsid w:val="00CB7253"/>
    <w:rsid w:val="00CB7557"/>
    <w:rsid w:val="00CB76E6"/>
    <w:rsid w:val="00CB7A01"/>
    <w:rsid w:val="00CD667A"/>
    <w:rsid w:val="00CE425B"/>
    <w:rsid w:val="00CE60BA"/>
    <w:rsid w:val="00CF0EA8"/>
    <w:rsid w:val="00D0011E"/>
    <w:rsid w:val="00D03E8A"/>
    <w:rsid w:val="00D13915"/>
    <w:rsid w:val="00D16C28"/>
    <w:rsid w:val="00D20361"/>
    <w:rsid w:val="00D23CDC"/>
    <w:rsid w:val="00D40F36"/>
    <w:rsid w:val="00D42EFE"/>
    <w:rsid w:val="00D44900"/>
    <w:rsid w:val="00D45248"/>
    <w:rsid w:val="00D50A55"/>
    <w:rsid w:val="00D52970"/>
    <w:rsid w:val="00D5531A"/>
    <w:rsid w:val="00D65C85"/>
    <w:rsid w:val="00D678F8"/>
    <w:rsid w:val="00D67D32"/>
    <w:rsid w:val="00D7481D"/>
    <w:rsid w:val="00DA3659"/>
    <w:rsid w:val="00DA40DB"/>
    <w:rsid w:val="00DA5FE6"/>
    <w:rsid w:val="00DB1DB4"/>
    <w:rsid w:val="00DB6DFD"/>
    <w:rsid w:val="00DD494D"/>
    <w:rsid w:val="00DE6186"/>
    <w:rsid w:val="00E0137B"/>
    <w:rsid w:val="00E173F9"/>
    <w:rsid w:val="00E2382A"/>
    <w:rsid w:val="00E25B7A"/>
    <w:rsid w:val="00E437C5"/>
    <w:rsid w:val="00E567E1"/>
    <w:rsid w:val="00E726ED"/>
    <w:rsid w:val="00E75DB0"/>
    <w:rsid w:val="00E80456"/>
    <w:rsid w:val="00E956F3"/>
    <w:rsid w:val="00EC7EFD"/>
    <w:rsid w:val="00ED36D8"/>
    <w:rsid w:val="00ED66BB"/>
    <w:rsid w:val="00EE6086"/>
    <w:rsid w:val="00EF4071"/>
    <w:rsid w:val="00EF765F"/>
    <w:rsid w:val="00F028DE"/>
    <w:rsid w:val="00F0585C"/>
    <w:rsid w:val="00F107B7"/>
    <w:rsid w:val="00F11F57"/>
    <w:rsid w:val="00F218F1"/>
    <w:rsid w:val="00F36E53"/>
    <w:rsid w:val="00F4316C"/>
    <w:rsid w:val="00F46176"/>
    <w:rsid w:val="00F5149E"/>
    <w:rsid w:val="00F56A74"/>
    <w:rsid w:val="00F57AD9"/>
    <w:rsid w:val="00F742C3"/>
    <w:rsid w:val="00F832E5"/>
    <w:rsid w:val="00F870A3"/>
    <w:rsid w:val="00F87A74"/>
    <w:rsid w:val="00F91762"/>
    <w:rsid w:val="00F9405B"/>
    <w:rsid w:val="00F964C5"/>
    <w:rsid w:val="00FA34E8"/>
    <w:rsid w:val="00FA7D4E"/>
    <w:rsid w:val="00FB71E6"/>
    <w:rsid w:val="00FC65B6"/>
    <w:rsid w:val="00FD549D"/>
    <w:rsid w:val="00FD6374"/>
    <w:rsid w:val="00FF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efaultImageDpi w14:val="300"/>
  <w15:chartTrackingRefBased/>
  <w15:docId w15:val="{F4ED0AD1-CA37-4973-B1EE-9A33C860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qFormat/>
    <w:rsid w:val="00AD0977"/>
    <w:pPr>
      <w:ind w:left="720"/>
      <w:contextualSpacing/>
    </w:pPr>
  </w:style>
  <w:style w:type="paragraph" w:customStyle="1" w:styleId="MediumGrid21">
    <w:name w:val="Medium Grid 21"/>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HTMLPreformatted">
    <w:name w:val="HTML Preformatted"/>
    <w:basedOn w:val="Normal"/>
    <w:link w:val="HTMLPreformattedChar"/>
    <w:rsid w:val="006068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napToGrid/>
      <w:sz w:val="20"/>
      <w:szCs w:val="20"/>
      <w:lang w:eastAsia="zh-CN"/>
    </w:rPr>
  </w:style>
  <w:style w:type="character" w:customStyle="1" w:styleId="HTMLPreformattedChar">
    <w:name w:val="HTML Preformatted Char"/>
    <w:link w:val="HTMLPreformatted"/>
    <w:rsid w:val="006068B6"/>
    <w:rPr>
      <w:rFonts w:ascii="Courier New"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s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C6DB5-A80B-475E-968C-E662DECFD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6746</CharactersWithSpaces>
  <SharedDoc>false</SharedDoc>
  <HLinks>
    <vt:vector size="6" baseType="variant">
      <vt:variant>
        <vt:i4>2621538</vt:i4>
      </vt:variant>
      <vt:variant>
        <vt:i4>0</vt:i4>
      </vt:variant>
      <vt:variant>
        <vt:i4>0</vt:i4>
      </vt:variant>
      <vt:variant>
        <vt:i4>5</vt:i4>
      </vt:variant>
      <vt:variant>
        <vt:lpwstr>http://www.ssa.gov/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Sipple, Naomi</cp:lastModifiedBy>
  <cp:revision>2</cp:revision>
  <cp:lastPrinted>2013-07-29T16:05:00Z</cp:lastPrinted>
  <dcterms:created xsi:type="dcterms:W3CDTF">2017-02-20T15:16:00Z</dcterms:created>
  <dcterms:modified xsi:type="dcterms:W3CDTF">2017-02-20T15:16:00Z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-1546453830</vt:i4>
  </property>
  <property fmtid="{D5CDD505-2E9C-101B-9397-08002B2CF9AE}" pid="4" name="_EmailSubject">
    <vt:lpwstr>OMB Expiration Notice: 0960-0527 SSA-1696-U4 [2016 Clearance Package] </vt:lpwstr>
  </property>
  <property fmtid="{D5CDD505-2E9C-101B-9397-08002B2CF9AE}" pid="5" name="_AuthorEmail">
    <vt:lpwstr>ODP.OVEPP.Controls@ssa.gov</vt:lpwstr>
  </property>
  <property fmtid="{D5CDD505-2E9C-101B-9397-08002B2CF9AE}" pid="6" name="_AuthorEmailDisplayName">
    <vt:lpwstr>^ODP OVEPP Controls</vt:lpwstr>
  </property>
  <property fmtid="{D5CDD505-2E9C-101B-9397-08002B2CF9AE}" pid="7" name="_ReviewingToolsShownOnce">
    <vt:lpwstr/>
  </property>
</Properties>
</file>