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33D" w:rsidRDefault="009B633D" w:rsidP="009B633D">
      <w:pPr>
        <w:jc w:val="center"/>
        <w:rPr>
          <w:sz w:val="28"/>
          <w:szCs w:val="28"/>
        </w:rPr>
      </w:pPr>
    </w:p>
    <w:p w:rsidR="009B633D" w:rsidRDefault="00456179" w:rsidP="009B633D">
      <w:pPr>
        <w:jc w:val="center"/>
        <w:rPr>
          <w:b/>
          <w:sz w:val="28"/>
          <w:szCs w:val="28"/>
        </w:rPr>
      </w:pPr>
      <w:r w:rsidRPr="00456179">
        <w:rPr>
          <w:b/>
          <w:sz w:val="28"/>
          <w:szCs w:val="28"/>
        </w:rPr>
        <w:t>SUPPORTING STATEMENT</w:t>
      </w:r>
    </w:p>
    <w:p w:rsidR="00635119" w:rsidRDefault="00635119" w:rsidP="009B633D">
      <w:pPr>
        <w:jc w:val="center"/>
        <w:rPr>
          <w:b/>
          <w:sz w:val="28"/>
          <w:szCs w:val="28"/>
        </w:rPr>
      </w:pPr>
    </w:p>
    <w:p w:rsidR="009B633D" w:rsidRDefault="00456179" w:rsidP="009B633D">
      <w:pPr>
        <w:jc w:val="center"/>
        <w:rPr>
          <w:sz w:val="28"/>
          <w:szCs w:val="28"/>
        </w:rPr>
      </w:pPr>
      <w:r>
        <w:rPr>
          <w:b/>
          <w:sz w:val="28"/>
          <w:szCs w:val="28"/>
        </w:rPr>
        <w:t>Part A</w:t>
      </w: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E503C5" w:rsidRDefault="00467084" w:rsidP="00E503C5">
      <w:pPr>
        <w:jc w:val="center"/>
        <w:rPr>
          <w:sz w:val="28"/>
          <w:szCs w:val="28"/>
        </w:rPr>
      </w:pPr>
      <w:r w:rsidRPr="001B11F1">
        <w:rPr>
          <w:b/>
        </w:rPr>
        <w:t xml:space="preserve">Collection of Information for: Agency for Healthcare Research and Quality’s (AHRQ) </w:t>
      </w:r>
      <w:r w:rsidR="00E503C5" w:rsidRPr="001B11F1">
        <w:rPr>
          <w:b/>
        </w:rPr>
        <w:t>Guide to Improving Patient Safety in Primary Care Settings by Engaging Patients and Families</w:t>
      </w:r>
      <w:r w:rsidR="00E503C5" w:rsidRPr="001B11F1" w:rsidDel="00DC0B7E">
        <w:rPr>
          <w:b/>
          <w:i/>
        </w:rPr>
        <w:t xml:space="preserve"> </w:t>
      </w:r>
      <w:r w:rsidR="000A4277" w:rsidRPr="001B11F1">
        <w:rPr>
          <w:b/>
          <w:i/>
        </w:rPr>
        <w:t xml:space="preserve">– </w:t>
      </w:r>
      <w:r w:rsidR="000A4277" w:rsidRPr="001B11F1">
        <w:rPr>
          <w:b/>
        </w:rPr>
        <w:t xml:space="preserve">Evaluation </w:t>
      </w:r>
    </w:p>
    <w:p w:rsidR="00E503C5" w:rsidRDefault="00E503C5" w:rsidP="00E503C5">
      <w:pPr>
        <w:jc w:val="center"/>
        <w:rPr>
          <w:sz w:val="28"/>
          <w:szCs w:val="28"/>
        </w:rPr>
      </w:pPr>
    </w:p>
    <w:p w:rsidR="00E503C5" w:rsidRDefault="00E503C5" w:rsidP="00E503C5">
      <w:pPr>
        <w:jc w:val="center"/>
        <w:rPr>
          <w:sz w:val="28"/>
          <w:szCs w:val="28"/>
        </w:rPr>
      </w:pPr>
    </w:p>
    <w:p w:rsidR="00E503C5" w:rsidRPr="00C4006D" w:rsidRDefault="004A2251" w:rsidP="00E503C5">
      <w:pPr>
        <w:jc w:val="center"/>
        <w:rPr>
          <w:i/>
          <w:sz w:val="28"/>
          <w:szCs w:val="28"/>
        </w:rPr>
      </w:pPr>
      <w:r w:rsidRPr="004A2251">
        <w:rPr>
          <w:b/>
          <w:sz w:val="28"/>
          <w:szCs w:val="28"/>
        </w:rPr>
        <w:t>Version</w:t>
      </w:r>
      <w:r>
        <w:rPr>
          <w:b/>
          <w:i/>
          <w:sz w:val="28"/>
          <w:szCs w:val="28"/>
        </w:rPr>
        <w:t xml:space="preserve"> </w:t>
      </w:r>
      <w:r w:rsidR="004A5113">
        <w:rPr>
          <w:b/>
          <w:sz w:val="28"/>
          <w:szCs w:val="28"/>
        </w:rPr>
        <w:t>February</w:t>
      </w:r>
      <w:r w:rsidR="00E503C5" w:rsidRPr="00D35685">
        <w:rPr>
          <w:b/>
          <w:sz w:val="28"/>
          <w:szCs w:val="28"/>
        </w:rPr>
        <w:t>, 201</w:t>
      </w:r>
      <w:r w:rsidR="004A5113">
        <w:rPr>
          <w:b/>
          <w:sz w:val="28"/>
          <w:szCs w:val="28"/>
        </w:rPr>
        <w:t>7</w:t>
      </w:r>
    </w:p>
    <w:p w:rsidR="009B633D" w:rsidRDefault="009B633D" w:rsidP="009B633D">
      <w:pPr>
        <w:jc w:val="center"/>
        <w:rPr>
          <w:i/>
          <w:sz w:val="28"/>
          <w:szCs w:val="28"/>
        </w:rPr>
      </w:pPr>
    </w:p>
    <w:p w:rsidR="009B633D" w:rsidRDefault="009B633D" w:rsidP="009B633D">
      <w:pPr>
        <w:jc w:val="center"/>
        <w:rPr>
          <w:sz w:val="28"/>
          <w:szCs w:val="28"/>
        </w:rPr>
      </w:pPr>
    </w:p>
    <w:p w:rsidR="009B633D" w:rsidRDefault="009B633D" w:rsidP="004A2251">
      <w:pPr>
        <w:rPr>
          <w:sz w:val="28"/>
          <w:szCs w:val="28"/>
        </w:rPr>
      </w:pPr>
    </w:p>
    <w:p w:rsidR="009B633D" w:rsidRDefault="009B633D" w:rsidP="009B633D">
      <w:pPr>
        <w:jc w:val="center"/>
        <w:rPr>
          <w:sz w:val="28"/>
          <w:szCs w:val="28"/>
        </w:rPr>
      </w:pPr>
    </w:p>
    <w:p w:rsidR="009B633D" w:rsidRDefault="00871ED4" w:rsidP="009B633D">
      <w:pPr>
        <w:jc w:val="center"/>
        <w:rPr>
          <w:sz w:val="28"/>
          <w:szCs w:val="28"/>
        </w:rPr>
      </w:pPr>
      <w:r>
        <w:rPr>
          <w:sz w:val="28"/>
          <w:szCs w:val="28"/>
        </w:rPr>
        <w:t>Agency for</w:t>
      </w:r>
      <w:r w:rsidR="009B633D" w:rsidRPr="00677A0B">
        <w:rPr>
          <w:sz w:val="28"/>
          <w:szCs w:val="28"/>
        </w:rPr>
        <w:t xml:space="preserve"> Healthcare Research and Quality (AHRQ)</w:t>
      </w:r>
    </w:p>
    <w:p w:rsidR="009B633D" w:rsidRDefault="009B633D">
      <w:pPr>
        <w:rPr>
          <w:sz w:val="28"/>
          <w:szCs w:val="28"/>
        </w:rPr>
      </w:pPr>
    </w:p>
    <w:p w:rsidR="00B7120A" w:rsidRPr="00B7120A" w:rsidRDefault="009B633D" w:rsidP="00B7120A">
      <w:pPr>
        <w:spacing w:after="240"/>
        <w:rPr>
          <w:b/>
        </w:rPr>
      </w:pPr>
      <w:r>
        <w:br w:type="page"/>
      </w:r>
      <w:r w:rsidR="00B7120A" w:rsidRPr="00B7120A">
        <w:rPr>
          <w:b/>
        </w:rPr>
        <w:lastRenderedPageBreak/>
        <w:t>Table of Contents</w:t>
      </w:r>
    </w:p>
    <w:p w:rsidR="000E305B" w:rsidRPr="008C21FB" w:rsidRDefault="0084671A">
      <w:pPr>
        <w:pStyle w:val="TOC1"/>
        <w:tabs>
          <w:tab w:val="right" w:leader="dot" w:pos="8630"/>
        </w:tabs>
        <w:rPr>
          <w:rFonts w:ascii="Calibri" w:hAnsi="Calibri"/>
          <w:noProof/>
          <w:sz w:val="22"/>
          <w:szCs w:val="22"/>
        </w:rPr>
      </w:pPr>
      <w:r>
        <w:fldChar w:fldCharType="begin"/>
      </w:r>
      <w:r w:rsidR="00B7120A">
        <w:instrText xml:space="preserve"> TOC \o "1-3" \h \z \u </w:instrText>
      </w:r>
      <w:r>
        <w:fldChar w:fldCharType="separate"/>
      </w:r>
      <w:hyperlink w:anchor="_Toc469151322" w:history="1">
        <w:r w:rsidR="000E305B" w:rsidRPr="00EF54C6">
          <w:rPr>
            <w:rStyle w:val="Hyperlink"/>
            <w:noProof/>
          </w:rPr>
          <w:t>A. Justification</w:t>
        </w:r>
        <w:r w:rsidR="000E305B">
          <w:rPr>
            <w:noProof/>
            <w:webHidden/>
          </w:rPr>
          <w:tab/>
        </w:r>
        <w:r>
          <w:rPr>
            <w:noProof/>
            <w:webHidden/>
          </w:rPr>
          <w:fldChar w:fldCharType="begin"/>
        </w:r>
        <w:r w:rsidR="000E305B">
          <w:rPr>
            <w:noProof/>
            <w:webHidden/>
          </w:rPr>
          <w:instrText xml:space="preserve"> PAGEREF _Toc469151322 \h </w:instrText>
        </w:r>
        <w:r>
          <w:rPr>
            <w:noProof/>
            <w:webHidden/>
          </w:rPr>
        </w:r>
        <w:r>
          <w:rPr>
            <w:noProof/>
            <w:webHidden/>
          </w:rPr>
          <w:fldChar w:fldCharType="separate"/>
        </w:r>
        <w:r w:rsidR="000E305B">
          <w:rPr>
            <w:noProof/>
            <w:webHidden/>
          </w:rPr>
          <w:t>- 3 -</w:t>
        </w:r>
        <w:r>
          <w:rPr>
            <w:noProof/>
            <w:webHidden/>
          </w:rPr>
          <w:fldChar w:fldCharType="end"/>
        </w:r>
      </w:hyperlink>
    </w:p>
    <w:p w:rsidR="000E305B" w:rsidRPr="008C21FB" w:rsidRDefault="000E5426">
      <w:pPr>
        <w:pStyle w:val="TOC2"/>
        <w:tabs>
          <w:tab w:val="right" w:leader="dot" w:pos="8630"/>
        </w:tabs>
        <w:rPr>
          <w:rFonts w:ascii="Calibri" w:hAnsi="Calibri"/>
          <w:noProof/>
          <w:sz w:val="22"/>
          <w:szCs w:val="22"/>
        </w:rPr>
      </w:pPr>
      <w:hyperlink w:anchor="_Toc469151323" w:history="1">
        <w:r w:rsidR="000E305B" w:rsidRPr="00EF54C6">
          <w:rPr>
            <w:rStyle w:val="Hyperlink"/>
            <w:noProof/>
          </w:rPr>
          <w:t>1. Circumstances that make the collection of information necessary</w:t>
        </w:r>
        <w:r w:rsidR="000E305B">
          <w:rPr>
            <w:noProof/>
            <w:webHidden/>
          </w:rPr>
          <w:tab/>
        </w:r>
        <w:r w:rsidR="0084671A">
          <w:rPr>
            <w:noProof/>
            <w:webHidden/>
          </w:rPr>
          <w:fldChar w:fldCharType="begin"/>
        </w:r>
        <w:r w:rsidR="000E305B">
          <w:rPr>
            <w:noProof/>
            <w:webHidden/>
          </w:rPr>
          <w:instrText xml:space="preserve"> PAGEREF _Toc469151323 \h </w:instrText>
        </w:r>
        <w:r w:rsidR="0084671A">
          <w:rPr>
            <w:noProof/>
            <w:webHidden/>
          </w:rPr>
        </w:r>
        <w:r w:rsidR="0084671A">
          <w:rPr>
            <w:noProof/>
            <w:webHidden/>
          </w:rPr>
          <w:fldChar w:fldCharType="separate"/>
        </w:r>
        <w:r w:rsidR="000E305B">
          <w:rPr>
            <w:noProof/>
            <w:webHidden/>
          </w:rPr>
          <w:t>- 3 -</w:t>
        </w:r>
        <w:r w:rsidR="0084671A">
          <w:rPr>
            <w:noProof/>
            <w:webHidden/>
          </w:rPr>
          <w:fldChar w:fldCharType="end"/>
        </w:r>
      </w:hyperlink>
    </w:p>
    <w:p w:rsidR="000E305B" w:rsidRPr="008C21FB" w:rsidRDefault="000E5426">
      <w:pPr>
        <w:pStyle w:val="TOC2"/>
        <w:tabs>
          <w:tab w:val="right" w:leader="dot" w:pos="8630"/>
        </w:tabs>
        <w:rPr>
          <w:rFonts w:ascii="Calibri" w:hAnsi="Calibri"/>
          <w:noProof/>
          <w:sz w:val="22"/>
          <w:szCs w:val="22"/>
        </w:rPr>
      </w:pPr>
      <w:hyperlink w:anchor="_Toc469151324" w:history="1">
        <w:r w:rsidR="000E305B" w:rsidRPr="00EF54C6">
          <w:rPr>
            <w:rStyle w:val="Hyperlink"/>
            <w:noProof/>
          </w:rPr>
          <w:t>2. Purpose and Use of Information</w:t>
        </w:r>
        <w:r w:rsidR="000E305B">
          <w:rPr>
            <w:noProof/>
            <w:webHidden/>
          </w:rPr>
          <w:tab/>
        </w:r>
        <w:r w:rsidR="0084671A">
          <w:rPr>
            <w:noProof/>
            <w:webHidden/>
          </w:rPr>
          <w:fldChar w:fldCharType="begin"/>
        </w:r>
        <w:r w:rsidR="000E305B">
          <w:rPr>
            <w:noProof/>
            <w:webHidden/>
          </w:rPr>
          <w:instrText xml:space="preserve"> PAGEREF _Toc469151324 \h </w:instrText>
        </w:r>
        <w:r w:rsidR="0084671A">
          <w:rPr>
            <w:noProof/>
            <w:webHidden/>
          </w:rPr>
        </w:r>
        <w:r w:rsidR="0084671A">
          <w:rPr>
            <w:noProof/>
            <w:webHidden/>
          </w:rPr>
          <w:fldChar w:fldCharType="separate"/>
        </w:r>
        <w:r w:rsidR="000E305B">
          <w:rPr>
            <w:noProof/>
            <w:webHidden/>
          </w:rPr>
          <w:t>- 8 -</w:t>
        </w:r>
        <w:r w:rsidR="0084671A">
          <w:rPr>
            <w:noProof/>
            <w:webHidden/>
          </w:rPr>
          <w:fldChar w:fldCharType="end"/>
        </w:r>
      </w:hyperlink>
    </w:p>
    <w:p w:rsidR="000E305B" w:rsidRPr="008C21FB" w:rsidRDefault="000E5426">
      <w:pPr>
        <w:pStyle w:val="TOC2"/>
        <w:tabs>
          <w:tab w:val="right" w:leader="dot" w:pos="8630"/>
        </w:tabs>
        <w:rPr>
          <w:rFonts w:ascii="Calibri" w:hAnsi="Calibri"/>
          <w:noProof/>
          <w:sz w:val="22"/>
          <w:szCs w:val="22"/>
        </w:rPr>
      </w:pPr>
      <w:hyperlink w:anchor="_Toc469151325" w:history="1">
        <w:r w:rsidR="000E305B" w:rsidRPr="00EF54C6">
          <w:rPr>
            <w:rStyle w:val="Hyperlink"/>
            <w:noProof/>
          </w:rPr>
          <w:t>3. Use of Improved Information Technology</w:t>
        </w:r>
        <w:r w:rsidR="000E305B">
          <w:rPr>
            <w:noProof/>
            <w:webHidden/>
          </w:rPr>
          <w:tab/>
        </w:r>
        <w:r w:rsidR="0084671A">
          <w:rPr>
            <w:noProof/>
            <w:webHidden/>
          </w:rPr>
          <w:fldChar w:fldCharType="begin"/>
        </w:r>
        <w:r w:rsidR="000E305B">
          <w:rPr>
            <w:noProof/>
            <w:webHidden/>
          </w:rPr>
          <w:instrText xml:space="preserve"> PAGEREF _Toc469151325 \h </w:instrText>
        </w:r>
        <w:r w:rsidR="0084671A">
          <w:rPr>
            <w:noProof/>
            <w:webHidden/>
          </w:rPr>
        </w:r>
        <w:r w:rsidR="0084671A">
          <w:rPr>
            <w:noProof/>
            <w:webHidden/>
          </w:rPr>
          <w:fldChar w:fldCharType="separate"/>
        </w:r>
        <w:r w:rsidR="000E305B">
          <w:rPr>
            <w:noProof/>
            <w:webHidden/>
          </w:rPr>
          <w:t>- 10 -</w:t>
        </w:r>
        <w:r w:rsidR="0084671A">
          <w:rPr>
            <w:noProof/>
            <w:webHidden/>
          </w:rPr>
          <w:fldChar w:fldCharType="end"/>
        </w:r>
      </w:hyperlink>
    </w:p>
    <w:p w:rsidR="000E305B" w:rsidRPr="008C21FB" w:rsidRDefault="000E5426">
      <w:pPr>
        <w:pStyle w:val="TOC2"/>
        <w:tabs>
          <w:tab w:val="right" w:leader="dot" w:pos="8630"/>
        </w:tabs>
        <w:rPr>
          <w:rFonts w:ascii="Calibri" w:hAnsi="Calibri"/>
          <w:noProof/>
          <w:sz w:val="22"/>
          <w:szCs w:val="22"/>
        </w:rPr>
      </w:pPr>
      <w:hyperlink w:anchor="_Toc469151326" w:history="1">
        <w:r w:rsidR="000E305B" w:rsidRPr="00EF54C6">
          <w:rPr>
            <w:rStyle w:val="Hyperlink"/>
            <w:noProof/>
          </w:rPr>
          <w:t>4. Efforts to Identify Duplication</w:t>
        </w:r>
        <w:r w:rsidR="000E305B">
          <w:rPr>
            <w:noProof/>
            <w:webHidden/>
          </w:rPr>
          <w:tab/>
        </w:r>
        <w:r w:rsidR="0084671A">
          <w:rPr>
            <w:noProof/>
            <w:webHidden/>
          </w:rPr>
          <w:fldChar w:fldCharType="begin"/>
        </w:r>
        <w:r w:rsidR="000E305B">
          <w:rPr>
            <w:noProof/>
            <w:webHidden/>
          </w:rPr>
          <w:instrText xml:space="preserve"> PAGEREF _Toc469151326 \h </w:instrText>
        </w:r>
        <w:r w:rsidR="0084671A">
          <w:rPr>
            <w:noProof/>
            <w:webHidden/>
          </w:rPr>
        </w:r>
        <w:r w:rsidR="0084671A">
          <w:rPr>
            <w:noProof/>
            <w:webHidden/>
          </w:rPr>
          <w:fldChar w:fldCharType="separate"/>
        </w:r>
        <w:r w:rsidR="000E305B">
          <w:rPr>
            <w:noProof/>
            <w:webHidden/>
          </w:rPr>
          <w:t>- 10 -</w:t>
        </w:r>
        <w:r w:rsidR="0084671A">
          <w:rPr>
            <w:noProof/>
            <w:webHidden/>
          </w:rPr>
          <w:fldChar w:fldCharType="end"/>
        </w:r>
      </w:hyperlink>
    </w:p>
    <w:p w:rsidR="000E305B" w:rsidRPr="008C21FB" w:rsidRDefault="000E5426">
      <w:pPr>
        <w:pStyle w:val="TOC2"/>
        <w:tabs>
          <w:tab w:val="right" w:leader="dot" w:pos="8630"/>
        </w:tabs>
        <w:rPr>
          <w:rFonts w:ascii="Calibri" w:hAnsi="Calibri"/>
          <w:noProof/>
          <w:sz w:val="22"/>
          <w:szCs w:val="22"/>
        </w:rPr>
      </w:pPr>
      <w:hyperlink w:anchor="_Toc469151327" w:history="1">
        <w:r w:rsidR="000E305B" w:rsidRPr="00EF54C6">
          <w:rPr>
            <w:rStyle w:val="Hyperlink"/>
            <w:noProof/>
          </w:rPr>
          <w:t>5. Involvement of Small Entities</w:t>
        </w:r>
        <w:r w:rsidR="000E305B">
          <w:rPr>
            <w:noProof/>
            <w:webHidden/>
          </w:rPr>
          <w:tab/>
        </w:r>
        <w:r w:rsidR="0084671A">
          <w:rPr>
            <w:noProof/>
            <w:webHidden/>
          </w:rPr>
          <w:fldChar w:fldCharType="begin"/>
        </w:r>
        <w:r w:rsidR="000E305B">
          <w:rPr>
            <w:noProof/>
            <w:webHidden/>
          </w:rPr>
          <w:instrText xml:space="preserve"> PAGEREF _Toc469151327 \h </w:instrText>
        </w:r>
        <w:r w:rsidR="0084671A">
          <w:rPr>
            <w:noProof/>
            <w:webHidden/>
          </w:rPr>
        </w:r>
        <w:r w:rsidR="0084671A">
          <w:rPr>
            <w:noProof/>
            <w:webHidden/>
          </w:rPr>
          <w:fldChar w:fldCharType="separate"/>
        </w:r>
        <w:r w:rsidR="000E305B">
          <w:rPr>
            <w:noProof/>
            <w:webHidden/>
          </w:rPr>
          <w:t>- 10 -</w:t>
        </w:r>
        <w:r w:rsidR="0084671A">
          <w:rPr>
            <w:noProof/>
            <w:webHidden/>
          </w:rPr>
          <w:fldChar w:fldCharType="end"/>
        </w:r>
      </w:hyperlink>
    </w:p>
    <w:p w:rsidR="000E305B" w:rsidRPr="008C21FB" w:rsidRDefault="000E5426">
      <w:pPr>
        <w:pStyle w:val="TOC2"/>
        <w:tabs>
          <w:tab w:val="right" w:leader="dot" w:pos="8630"/>
        </w:tabs>
        <w:rPr>
          <w:rFonts w:ascii="Calibri" w:hAnsi="Calibri"/>
          <w:noProof/>
          <w:sz w:val="22"/>
          <w:szCs w:val="22"/>
        </w:rPr>
      </w:pPr>
      <w:hyperlink w:anchor="_Toc469151328" w:history="1">
        <w:r w:rsidR="000E305B" w:rsidRPr="00EF54C6">
          <w:rPr>
            <w:rStyle w:val="Hyperlink"/>
            <w:noProof/>
          </w:rPr>
          <w:t>6. Consequences if Information Collected Less Frequently</w:t>
        </w:r>
        <w:r w:rsidR="000E305B">
          <w:rPr>
            <w:noProof/>
            <w:webHidden/>
          </w:rPr>
          <w:tab/>
        </w:r>
        <w:r w:rsidR="0084671A">
          <w:rPr>
            <w:noProof/>
            <w:webHidden/>
          </w:rPr>
          <w:fldChar w:fldCharType="begin"/>
        </w:r>
        <w:r w:rsidR="000E305B">
          <w:rPr>
            <w:noProof/>
            <w:webHidden/>
          </w:rPr>
          <w:instrText xml:space="preserve"> PAGEREF _Toc469151328 \h </w:instrText>
        </w:r>
        <w:r w:rsidR="0084671A">
          <w:rPr>
            <w:noProof/>
            <w:webHidden/>
          </w:rPr>
        </w:r>
        <w:r w:rsidR="0084671A">
          <w:rPr>
            <w:noProof/>
            <w:webHidden/>
          </w:rPr>
          <w:fldChar w:fldCharType="separate"/>
        </w:r>
        <w:r w:rsidR="000E305B">
          <w:rPr>
            <w:noProof/>
            <w:webHidden/>
          </w:rPr>
          <w:t>- 10 -</w:t>
        </w:r>
        <w:r w:rsidR="0084671A">
          <w:rPr>
            <w:noProof/>
            <w:webHidden/>
          </w:rPr>
          <w:fldChar w:fldCharType="end"/>
        </w:r>
      </w:hyperlink>
    </w:p>
    <w:p w:rsidR="000E305B" w:rsidRPr="008C21FB" w:rsidRDefault="000E5426">
      <w:pPr>
        <w:pStyle w:val="TOC2"/>
        <w:tabs>
          <w:tab w:val="right" w:leader="dot" w:pos="8630"/>
        </w:tabs>
        <w:rPr>
          <w:rFonts w:ascii="Calibri" w:hAnsi="Calibri"/>
          <w:noProof/>
          <w:sz w:val="22"/>
          <w:szCs w:val="22"/>
        </w:rPr>
      </w:pPr>
      <w:hyperlink w:anchor="_Toc469151329" w:history="1">
        <w:r w:rsidR="000E305B" w:rsidRPr="00EF54C6">
          <w:rPr>
            <w:rStyle w:val="Hyperlink"/>
            <w:noProof/>
          </w:rPr>
          <w:t>7. Special Circumstances</w:t>
        </w:r>
        <w:r w:rsidR="000E305B">
          <w:rPr>
            <w:noProof/>
            <w:webHidden/>
          </w:rPr>
          <w:tab/>
        </w:r>
        <w:r w:rsidR="0084671A">
          <w:rPr>
            <w:noProof/>
            <w:webHidden/>
          </w:rPr>
          <w:fldChar w:fldCharType="begin"/>
        </w:r>
        <w:r w:rsidR="000E305B">
          <w:rPr>
            <w:noProof/>
            <w:webHidden/>
          </w:rPr>
          <w:instrText xml:space="preserve"> PAGEREF _Toc469151329 \h </w:instrText>
        </w:r>
        <w:r w:rsidR="0084671A">
          <w:rPr>
            <w:noProof/>
            <w:webHidden/>
          </w:rPr>
        </w:r>
        <w:r w:rsidR="0084671A">
          <w:rPr>
            <w:noProof/>
            <w:webHidden/>
          </w:rPr>
          <w:fldChar w:fldCharType="separate"/>
        </w:r>
        <w:r w:rsidR="000E305B">
          <w:rPr>
            <w:noProof/>
            <w:webHidden/>
          </w:rPr>
          <w:t>- 10 -</w:t>
        </w:r>
        <w:r w:rsidR="0084671A">
          <w:rPr>
            <w:noProof/>
            <w:webHidden/>
          </w:rPr>
          <w:fldChar w:fldCharType="end"/>
        </w:r>
      </w:hyperlink>
    </w:p>
    <w:p w:rsidR="000E305B" w:rsidRPr="008C21FB" w:rsidRDefault="000E5426">
      <w:pPr>
        <w:pStyle w:val="TOC2"/>
        <w:tabs>
          <w:tab w:val="right" w:leader="dot" w:pos="8630"/>
        </w:tabs>
        <w:rPr>
          <w:rFonts w:ascii="Calibri" w:hAnsi="Calibri"/>
          <w:noProof/>
          <w:sz w:val="22"/>
          <w:szCs w:val="22"/>
        </w:rPr>
      </w:pPr>
      <w:hyperlink w:anchor="_Toc469151330" w:history="1">
        <w:r w:rsidR="000E305B" w:rsidRPr="00EF54C6">
          <w:rPr>
            <w:rStyle w:val="Hyperlink"/>
            <w:noProof/>
          </w:rPr>
          <w:t>8. Federal Register Notice and Outside Consultations</w:t>
        </w:r>
        <w:r w:rsidR="000E305B">
          <w:rPr>
            <w:noProof/>
            <w:webHidden/>
          </w:rPr>
          <w:tab/>
        </w:r>
        <w:r w:rsidR="0084671A">
          <w:rPr>
            <w:noProof/>
            <w:webHidden/>
          </w:rPr>
          <w:fldChar w:fldCharType="begin"/>
        </w:r>
        <w:r w:rsidR="000E305B">
          <w:rPr>
            <w:noProof/>
            <w:webHidden/>
          </w:rPr>
          <w:instrText xml:space="preserve"> PAGEREF _Toc469151330 \h </w:instrText>
        </w:r>
        <w:r w:rsidR="0084671A">
          <w:rPr>
            <w:noProof/>
            <w:webHidden/>
          </w:rPr>
        </w:r>
        <w:r w:rsidR="0084671A">
          <w:rPr>
            <w:noProof/>
            <w:webHidden/>
          </w:rPr>
          <w:fldChar w:fldCharType="separate"/>
        </w:r>
        <w:r w:rsidR="000E305B">
          <w:rPr>
            <w:noProof/>
            <w:webHidden/>
          </w:rPr>
          <w:t>- 10 -</w:t>
        </w:r>
        <w:r w:rsidR="0084671A">
          <w:rPr>
            <w:noProof/>
            <w:webHidden/>
          </w:rPr>
          <w:fldChar w:fldCharType="end"/>
        </w:r>
      </w:hyperlink>
    </w:p>
    <w:p w:rsidR="000E305B" w:rsidRPr="008C21FB" w:rsidRDefault="000E5426">
      <w:pPr>
        <w:pStyle w:val="TOC2"/>
        <w:tabs>
          <w:tab w:val="right" w:leader="dot" w:pos="8630"/>
        </w:tabs>
        <w:rPr>
          <w:rFonts w:ascii="Calibri" w:hAnsi="Calibri"/>
          <w:noProof/>
          <w:sz w:val="22"/>
          <w:szCs w:val="22"/>
        </w:rPr>
      </w:pPr>
      <w:hyperlink w:anchor="_Toc469151331" w:history="1">
        <w:r w:rsidR="000E305B" w:rsidRPr="00EF54C6">
          <w:rPr>
            <w:rStyle w:val="Hyperlink"/>
            <w:noProof/>
          </w:rPr>
          <w:t>8.b.  Outside Consultations</w:t>
        </w:r>
        <w:r w:rsidR="000E305B">
          <w:rPr>
            <w:noProof/>
            <w:webHidden/>
          </w:rPr>
          <w:tab/>
        </w:r>
        <w:r w:rsidR="0084671A">
          <w:rPr>
            <w:noProof/>
            <w:webHidden/>
          </w:rPr>
          <w:fldChar w:fldCharType="begin"/>
        </w:r>
        <w:r w:rsidR="000E305B">
          <w:rPr>
            <w:noProof/>
            <w:webHidden/>
          </w:rPr>
          <w:instrText xml:space="preserve"> PAGEREF _Toc469151331 \h </w:instrText>
        </w:r>
        <w:r w:rsidR="0084671A">
          <w:rPr>
            <w:noProof/>
            <w:webHidden/>
          </w:rPr>
        </w:r>
        <w:r w:rsidR="0084671A">
          <w:rPr>
            <w:noProof/>
            <w:webHidden/>
          </w:rPr>
          <w:fldChar w:fldCharType="separate"/>
        </w:r>
        <w:r w:rsidR="000E305B">
          <w:rPr>
            <w:noProof/>
            <w:webHidden/>
          </w:rPr>
          <w:t>- 11 -</w:t>
        </w:r>
        <w:r w:rsidR="0084671A">
          <w:rPr>
            <w:noProof/>
            <w:webHidden/>
          </w:rPr>
          <w:fldChar w:fldCharType="end"/>
        </w:r>
      </w:hyperlink>
    </w:p>
    <w:p w:rsidR="000E305B" w:rsidRPr="008C21FB" w:rsidRDefault="000E5426">
      <w:pPr>
        <w:pStyle w:val="TOC2"/>
        <w:tabs>
          <w:tab w:val="right" w:leader="dot" w:pos="8630"/>
        </w:tabs>
        <w:rPr>
          <w:rFonts w:ascii="Calibri" w:hAnsi="Calibri"/>
          <w:noProof/>
          <w:sz w:val="22"/>
          <w:szCs w:val="22"/>
        </w:rPr>
      </w:pPr>
      <w:hyperlink w:anchor="_Toc469151332" w:history="1">
        <w:r w:rsidR="000E305B" w:rsidRPr="00EF54C6">
          <w:rPr>
            <w:rStyle w:val="Hyperlink"/>
            <w:noProof/>
          </w:rPr>
          <w:t>9. Payments/Gifts to Respondents</w:t>
        </w:r>
        <w:r w:rsidR="000E305B">
          <w:rPr>
            <w:noProof/>
            <w:webHidden/>
          </w:rPr>
          <w:tab/>
        </w:r>
        <w:r w:rsidR="0084671A">
          <w:rPr>
            <w:noProof/>
            <w:webHidden/>
          </w:rPr>
          <w:fldChar w:fldCharType="begin"/>
        </w:r>
        <w:r w:rsidR="000E305B">
          <w:rPr>
            <w:noProof/>
            <w:webHidden/>
          </w:rPr>
          <w:instrText xml:space="preserve"> PAGEREF _Toc469151332 \h </w:instrText>
        </w:r>
        <w:r w:rsidR="0084671A">
          <w:rPr>
            <w:noProof/>
            <w:webHidden/>
          </w:rPr>
        </w:r>
        <w:r w:rsidR="0084671A">
          <w:rPr>
            <w:noProof/>
            <w:webHidden/>
          </w:rPr>
          <w:fldChar w:fldCharType="separate"/>
        </w:r>
        <w:r w:rsidR="000E305B">
          <w:rPr>
            <w:noProof/>
            <w:webHidden/>
          </w:rPr>
          <w:t>- 11 -</w:t>
        </w:r>
        <w:r w:rsidR="0084671A">
          <w:rPr>
            <w:noProof/>
            <w:webHidden/>
          </w:rPr>
          <w:fldChar w:fldCharType="end"/>
        </w:r>
      </w:hyperlink>
    </w:p>
    <w:p w:rsidR="000E305B" w:rsidRPr="008C21FB" w:rsidRDefault="000E5426">
      <w:pPr>
        <w:pStyle w:val="TOC2"/>
        <w:tabs>
          <w:tab w:val="right" w:leader="dot" w:pos="8630"/>
        </w:tabs>
        <w:rPr>
          <w:rFonts w:ascii="Calibri" w:hAnsi="Calibri"/>
          <w:noProof/>
          <w:sz w:val="22"/>
          <w:szCs w:val="22"/>
        </w:rPr>
      </w:pPr>
      <w:hyperlink w:anchor="_Toc469151333" w:history="1">
        <w:r w:rsidR="000E305B" w:rsidRPr="00EF54C6">
          <w:rPr>
            <w:rStyle w:val="Hyperlink"/>
            <w:noProof/>
          </w:rPr>
          <w:t>10. Assurance of Confidentiality</w:t>
        </w:r>
        <w:r w:rsidR="000E305B">
          <w:rPr>
            <w:noProof/>
            <w:webHidden/>
          </w:rPr>
          <w:tab/>
        </w:r>
        <w:r w:rsidR="0084671A">
          <w:rPr>
            <w:noProof/>
            <w:webHidden/>
          </w:rPr>
          <w:fldChar w:fldCharType="begin"/>
        </w:r>
        <w:r w:rsidR="000E305B">
          <w:rPr>
            <w:noProof/>
            <w:webHidden/>
          </w:rPr>
          <w:instrText xml:space="preserve"> PAGEREF _Toc469151333 \h </w:instrText>
        </w:r>
        <w:r w:rsidR="0084671A">
          <w:rPr>
            <w:noProof/>
            <w:webHidden/>
          </w:rPr>
        </w:r>
        <w:r w:rsidR="0084671A">
          <w:rPr>
            <w:noProof/>
            <w:webHidden/>
          </w:rPr>
          <w:fldChar w:fldCharType="separate"/>
        </w:r>
        <w:r w:rsidR="000E305B">
          <w:rPr>
            <w:noProof/>
            <w:webHidden/>
          </w:rPr>
          <w:t>- 12 -</w:t>
        </w:r>
        <w:r w:rsidR="0084671A">
          <w:rPr>
            <w:noProof/>
            <w:webHidden/>
          </w:rPr>
          <w:fldChar w:fldCharType="end"/>
        </w:r>
      </w:hyperlink>
    </w:p>
    <w:p w:rsidR="000E305B" w:rsidRPr="008C21FB" w:rsidRDefault="000E5426">
      <w:pPr>
        <w:pStyle w:val="TOC2"/>
        <w:tabs>
          <w:tab w:val="right" w:leader="dot" w:pos="8630"/>
        </w:tabs>
        <w:rPr>
          <w:rFonts w:ascii="Calibri" w:hAnsi="Calibri"/>
          <w:noProof/>
          <w:sz w:val="22"/>
          <w:szCs w:val="22"/>
        </w:rPr>
      </w:pPr>
      <w:hyperlink w:anchor="_Toc469151334" w:history="1">
        <w:r w:rsidR="000E305B" w:rsidRPr="00EF54C6">
          <w:rPr>
            <w:rStyle w:val="Hyperlink"/>
            <w:noProof/>
          </w:rPr>
          <w:t>11. Questions of a Sensitive Nature</w:t>
        </w:r>
        <w:r w:rsidR="000E305B">
          <w:rPr>
            <w:noProof/>
            <w:webHidden/>
          </w:rPr>
          <w:tab/>
        </w:r>
        <w:r w:rsidR="0084671A">
          <w:rPr>
            <w:noProof/>
            <w:webHidden/>
          </w:rPr>
          <w:fldChar w:fldCharType="begin"/>
        </w:r>
        <w:r w:rsidR="000E305B">
          <w:rPr>
            <w:noProof/>
            <w:webHidden/>
          </w:rPr>
          <w:instrText xml:space="preserve"> PAGEREF _Toc469151334 \h </w:instrText>
        </w:r>
        <w:r w:rsidR="0084671A">
          <w:rPr>
            <w:noProof/>
            <w:webHidden/>
          </w:rPr>
        </w:r>
        <w:r w:rsidR="0084671A">
          <w:rPr>
            <w:noProof/>
            <w:webHidden/>
          </w:rPr>
          <w:fldChar w:fldCharType="separate"/>
        </w:r>
        <w:r w:rsidR="000E305B">
          <w:rPr>
            <w:noProof/>
            <w:webHidden/>
          </w:rPr>
          <w:t>- 14 -</w:t>
        </w:r>
        <w:r w:rsidR="0084671A">
          <w:rPr>
            <w:noProof/>
            <w:webHidden/>
          </w:rPr>
          <w:fldChar w:fldCharType="end"/>
        </w:r>
      </w:hyperlink>
    </w:p>
    <w:p w:rsidR="000E305B" w:rsidRPr="008C21FB" w:rsidRDefault="000E5426">
      <w:pPr>
        <w:pStyle w:val="TOC2"/>
        <w:tabs>
          <w:tab w:val="right" w:leader="dot" w:pos="8630"/>
        </w:tabs>
        <w:rPr>
          <w:rFonts w:ascii="Calibri" w:hAnsi="Calibri"/>
          <w:noProof/>
          <w:sz w:val="22"/>
          <w:szCs w:val="22"/>
        </w:rPr>
      </w:pPr>
      <w:hyperlink w:anchor="_Toc469151335" w:history="1">
        <w:r w:rsidR="000E305B" w:rsidRPr="00EF54C6">
          <w:rPr>
            <w:rStyle w:val="Hyperlink"/>
            <w:noProof/>
          </w:rPr>
          <w:t>12. Estimates of Annualized Burden Hours and Costs</w:t>
        </w:r>
        <w:r w:rsidR="000E305B">
          <w:rPr>
            <w:noProof/>
            <w:webHidden/>
          </w:rPr>
          <w:tab/>
        </w:r>
        <w:r w:rsidR="0084671A">
          <w:rPr>
            <w:noProof/>
            <w:webHidden/>
          </w:rPr>
          <w:fldChar w:fldCharType="begin"/>
        </w:r>
        <w:r w:rsidR="000E305B">
          <w:rPr>
            <w:noProof/>
            <w:webHidden/>
          </w:rPr>
          <w:instrText xml:space="preserve"> PAGEREF _Toc469151335 \h </w:instrText>
        </w:r>
        <w:r w:rsidR="0084671A">
          <w:rPr>
            <w:noProof/>
            <w:webHidden/>
          </w:rPr>
        </w:r>
        <w:r w:rsidR="0084671A">
          <w:rPr>
            <w:noProof/>
            <w:webHidden/>
          </w:rPr>
          <w:fldChar w:fldCharType="separate"/>
        </w:r>
        <w:r w:rsidR="000E305B">
          <w:rPr>
            <w:noProof/>
            <w:webHidden/>
          </w:rPr>
          <w:t>- 14 -</w:t>
        </w:r>
        <w:r w:rsidR="0084671A">
          <w:rPr>
            <w:noProof/>
            <w:webHidden/>
          </w:rPr>
          <w:fldChar w:fldCharType="end"/>
        </w:r>
      </w:hyperlink>
    </w:p>
    <w:p w:rsidR="000E305B" w:rsidRPr="008C21FB" w:rsidRDefault="000E5426">
      <w:pPr>
        <w:pStyle w:val="TOC2"/>
        <w:tabs>
          <w:tab w:val="right" w:leader="dot" w:pos="8630"/>
        </w:tabs>
        <w:rPr>
          <w:rFonts w:ascii="Calibri" w:hAnsi="Calibri"/>
          <w:noProof/>
          <w:sz w:val="22"/>
          <w:szCs w:val="22"/>
        </w:rPr>
      </w:pPr>
      <w:hyperlink w:anchor="_Toc469151336" w:history="1">
        <w:r w:rsidR="000E305B" w:rsidRPr="00EF54C6">
          <w:rPr>
            <w:rStyle w:val="Hyperlink"/>
            <w:noProof/>
          </w:rPr>
          <w:t>13. Estimates of Annualized Respondent Capital and Maintenance Costs</w:t>
        </w:r>
        <w:r w:rsidR="000E305B">
          <w:rPr>
            <w:noProof/>
            <w:webHidden/>
          </w:rPr>
          <w:tab/>
        </w:r>
        <w:r w:rsidR="0084671A">
          <w:rPr>
            <w:noProof/>
            <w:webHidden/>
          </w:rPr>
          <w:fldChar w:fldCharType="begin"/>
        </w:r>
        <w:r w:rsidR="000E305B">
          <w:rPr>
            <w:noProof/>
            <w:webHidden/>
          </w:rPr>
          <w:instrText xml:space="preserve"> PAGEREF _Toc469151336 \h </w:instrText>
        </w:r>
        <w:r w:rsidR="0084671A">
          <w:rPr>
            <w:noProof/>
            <w:webHidden/>
          </w:rPr>
        </w:r>
        <w:r w:rsidR="0084671A">
          <w:rPr>
            <w:noProof/>
            <w:webHidden/>
          </w:rPr>
          <w:fldChar w:fldCharType="separate"/>
        </w:r>
        <w:r w:rsidR="000E305B">
          <w:rPr>
            <w:noProof/>
            <w:webHidden/>
          </w:rPr>
          <w:t>- 16 -</w:t>
        </w:r>
        <w:r w:rsidR="0084671A">
          <w:rPr>
            <w:noProof/>
            <w:webHidden/>
          </w:rPr>
          <w:fldChar w:fldCharType="end"/>
        </w:r>
      </w:hyperlink>
    </w:p>
    <w:p w:rsidR="000E305B" w:rsidRPr="008C21FB" w:rsidRDefault="000E5426">
      <w:pPr>
        <w:pStyle w:val="TOC2"/>
        <w:tabs>
          <w:tab w:val="right" w:leader="dot" w:pos="8630"/>
        </w:tabs>
        <w:rPr>
          <w:rFonts w:ascii="Calibri" w:hAnsi="Calibri"/>
          <w:noProof/>
          <w:sz w:val="22"/>
          <w:szCs w:val="22"/>
        </w:rPr>
      </w:pPr>
      <w:hyperlink w:anchor="_Toc469151337" w:history="1">
        <w:r w:rsidR="000E305B" w:rsidRPr="00EF54C6">
          <w:rPr>
            <w:rStyle w:val="Hyperlink"/>
            <w:noProof/>
          </w:rPr>
          <w:t>14. Estimates of Total and Annualized Cost to the Government</w:t>
        </w:r>
        <w:r w:rsidR="000E305B">
          <w:rPr>
            <w:noProof/>
            <w:webHidden/>
          </w:rPr>
          <w:tab/>
        </w:r>
        <w:r w:rsidR="0084671A">
          <w:rPr>
            <w:noProof/>
            <w:webHidden/>
          </w:rPr>
          <w:fldChar w:fldCharType="begin"/>
        </w:r>
        <w:r w:rsidR="000E305B">
          <w:rPr>
            <w:noProof/>
            <w:webHidden/>
          </w:rPr>
          <w:instrText xml:space="preserve"> PAGEREF _Toc469151337 \h </w:instrText>
        </w:r>
        <w:r w:rsidR="0084671A">
          <w:rPr>
            <w:noProof/>
            <w:webHidden/>
          </w:rPr>
        </w:r>
        <w:r w:rsidR="0084671A">
          <w:rPr>
            <w:noProof/>
            <w:webHidden/>
          </w:rPr>
          <w:fldChar w:fldCharType="separate"/>
        </w:r>
        <w:r w:rsidR="000E305B">
          <w:rPr>
            <w:noProof/>
            <w:webHidden/>
          </w:rPr>
          <w:t>- 16 -</w:t>
        </w:r>
        <w:r w:rsidR="0084671A">
          <w:rPr>
            <w:noProof/>
            <w:webHidden/>
          </w:rPr>
          <w:fldChar w:fldCharType="end"/>
        </w:r>
      </w:hyperlink>
    </w:p>
    <w:p w:rsidR="000E305B" w:rsidRPr="008C21FB" w:rsidRDefault="000E5426">
      <w:pPr>
        <w:pStyle w:val="TOC2"/>
        <w:tabs>
          <w:tab w:val="right" w:leader="dot" w:pos="8630"/>
        </w:tabs>
        <w:rPr>
          <w:rFonts w:ascii="Calibri" w:hAnsi="Calibri"/>
          <w:noProof/>
          <w:sz w:val="22"/>
          <w:szCs w:val="22"/>
        </w:rPr>
      </w:pPr>
      <w:hyperlink w:anchor="_Toc469151338" w:history="1">
        <w:r w:rsidR="000E305B" w:rsidRPr="00EF54C6">
          <w:rPr>
            <w:rStyle w:val="Hyperlink"/>
            <w:noProof/>
          </w:rPr>
          <w:t>15. Changes in Hour Burden.</w:t>
        </w:r>
        <w:r w:rsidR="000E305B">
          <w:rPr>
            <w:noProof/>
            <w:webHidden/>
          </w:rPr>
          <w:tab/>
        </w:r>
        <w:r w:rsidR="0084671A">
          <w:rPr>
            <w:noProof/>
            <w:webHidden/>
          </w:rPr>
          <w:fldChar w:fldCharType="begin"/>
        </w:r>
        <w:r w:rsidR="000E305B">
          <w:rPr>
            <w:noProof/>
            <w:webHidden/>
          </w:rPr>
          <w:instrText xml:space="preserve"> PAGEREF _Toc469151338 \h </w:instrText>
        </w:r>
        <w:r w:rsidR="0084671A">
          <w:rPr>
            <w:noProof/>
            <w:webHidden/>
          </w:rPr>
        </w:r>
        <w:r w:rsidR="0084671A">
          <w:rPr>
            <w:noProof/>
            <w:webHidden/>
          </w:rPr>
          <w:fldChar w:fldCharType="separate"/>
        </w:r>
        <w:r w:rsidR="000E305B">
          <w:rPr>
            <w:noProof/>
            <w:webHidden/>
          </w:rPr>
          <w:t>- 17 -</w:t>
        </w:r>
        <w:r w:rsidR="0084671A">
          <w:rPr>
            <w:noProof/>
            <w:webHidden/>
          </w:rPr>
          <w:fldChar w:fldCharType="end"/>
        </w:r>
      </w:hyperlink>
    </w:p>
    <w:p w:rsidR="000E305B" w:rsidRPr="008C21FB" w:rsidRDefault="000E5426">
      <w:pPr>
        <w:pStyle w:val="TOC2"/>
        <w:tabs>
          <w:tab w:val="right" w:leader="dot" w:pos="8630"/>
        </w:tabs>
        <w:rPr>
          <w:rFonts w:ascii="Calibri" w:hAnsi="Calibri"/>
          <w:noProof/>
          <w:sz w:val="22"/>
          <w:szCs w:val="22"/>
        </w:rPr>
      </w:pPr>
      <w:hyperlink w:anchor="_Toc469151339" w:history="1">
        <w:r w:rsidR="000E305B" w:rsidRPr="00EF54C6">
          <w:rPr>
            <w:rStyle w:val="Hyperlink"/>
            <w:noProof/>
          </w:rPr>
          <w:t>16. Time Schedule, Publication and Analysis Plans</w:t>
        </w:r>
        <w:r w:rsidR="000E305B">
          <w:rPr>
            <w:noProof/>
            <w:webHidden/>
          </w:rPr>
          <w:tab/>
        </w:r>
        <w:r w:rsidR="0084671A">
          <w:rPr>
            <w:noProof/>
            <w:webHidden/>
          </w:rPr>
          <w:fldChar w:fldCharType="begin"/>
        </w:r>
        <w:r w:rsidR="000E305B">
          <w:rPr>
            <w:noProof/>
            <w:webHidden/>
          </w:rPr>
          <w:instrText xml:space="preserve"> PAGEREF _Toc469151339 \h </w:instrText>
        </w:r>
        <w:r w:rsidR="0084671A">
          <w:rPr>
            <w:noProof/>
            <w:webHidden/>
          </w:rPr>
        </w:r>
        <w:r w:rsidR="0084671A">
          <w:rPr>
            <w:noProof/>
            <w:webHidden/>
          </w:rPr>
          <w:fldChar w:fldCharType="separate"/>
        </w:r>
        <w:r w:rsidR="000E305B">
          <w:rPr>
            <w:noProof/>
            <w:webHidden/>
          </w:rPr>
          <w:t>- 17 -</w:t>
        </w:r>
        <w:r w:rsidR="0084671A">
          <w:rPr>
            <w:noProof/>
            <w:webHidden/>
          </w:rPr>
          <w:fldChar w:fldCharType="end"/>
        </w:r>
      </w:hyperlink>
    </w:p>
    <w:p w:rsidR="000E305B" w:rsidRPr="008C21FB" w:rsidRDefault="000E5426">
      <w:pPr>
        <w:pStyle w:val="TOC2"/>
        <w:tabs>
          <w:tab w:val="right" w:leader="dot" w:pos="8630"/>
        </w:tabs>
        <w:rPr>
          <w:rFonts w:ascii="Calibri" w:hAnsi="Calibri"/>
          <w:noProof/>
          <w:sz w:val="22"/>
          <w:szCs w:val="22"/>
        </w:rPr>
      </w:pPr>
      <w:hyperlink w:anchor="_Toc469151340" w:history="1">
        <w:r w:rsidR="000E305B" w:rsidRPr="00EF54C6">
          <w:rPr>
            <w:rStyle w:val="Hyperlink"/>
            <w:noProof/>
          </w:rPr>
          <w:t>17. Exemption for Display of Expiration Date</w:t>
        </w:r>
        <w:r w:rsidR="000E305B">
          <w:rPr>
            <w:noProof/>
            <w:webHidden/>
          </w:rPr>
          <w:tab/>
        </w:r>
        <w:r w:rsidR="0084671A">
          <w:rPr>
            <w:noProof/>
            <w:webHidden/>
          </w:rPr>
          <w:fldChar w:fldCharType="begin"/>
        </w:r>
        <w:r w:rsidR="000E305B">
          <w:rPr>
            <w:noProof/>
            <w:webHidden/>
          </w:rPr>
          <w:instrText xml:space="preserve"> PAGEREF _Toc469151340 \h </w:instrText>
        </w:r>
        <w:r w:rsidR="0084671A">
          <w:rPr>
            <w:noProof/>
            <w:webHidden/>
          </w:rPr>
        </w:r>
        <w:r w:rsidR="0084671A">
          <w:rPr>
            <w:noProof/>
            <w:webHidden/>
          </w:rPr>
          <w:fldChar w:fldCharType="separate"/>
        </w:r>
        <w:r w:rsidR="000E305B">
          <w:rPr>
            <w:noProof/>
            <w:webHidden/>
          </w:rPr>
          <w:t>- 17 -</w:t>
        </w:r>
        <w:r w:rsidR="0084671A">
          <w:rPr>
            <w:noProof/>
            <w:webHidden/>
          </w:rPr>
          <w:fldChar w:fldCharType="end"/>
        </w:r>
      </w:hyperlink>
    </w:p>
    <w:p w:rsidR="000E305B" w:rsidRPr="008C21FB" w:rsidRDefault="000E5426">
      <w:pPr>
        <w:pStyle w:val="TOC1"/>
        <w:tabs>
          <w:tab w:val="right" w:leader="dot" w:pos="8630"/>
        </w:tabs>
        <w:rPr>
          <w:rFonts w:ascii="Calibri" w:hAnsi="Calibri"/>
          <w:noProof/>
          <w:sz w:val="22"/>
          <w:szCs w:val="22"/>
        </w:rPr>
      </w:pPr>
      <w:hyperlink w:anchor="_Toc469151341" w:history="1">
        <w:r w:rsidR="000E305B" w:rsidRPr="00EF54C6">
          <w:rPr>
            <w:rStyle w:val="Hyperlink"/>
            <w:noProof/>
          </w:rPr>
          <w:t>References</w:t>
        </w:r>
        <w:r w:rsidR="000E305B">
          <w:rPr>
            <w:noProof/>
            <w:webHidden/>
          </w:rPr>
          <w:tab/>
        </w:r>
        <w:r w:rsidR="0084671A">
          <w:rPr>
            <w:noProof/>
            <w:webHidden/>
          </w:rPr>
          <w:fldChar w:fldCharType="begin"/>
        </w:r>
        <w:r w:rsidR="000E305B">
          <w:rPr>
            <w:noProof/>
            <w:webHidden/>
          </w:rPr>
          <w:instrText xml:space="preserve"> PAGEREF _Toc469151341 \h </w:instrText>
        </w:r>
        <w:r w:rsidR="0084671A">
          <w:rPr>
            <w:noProof/>
            <w:webHidden/>
          </w:rPr>
        </w:r>
        <w:r w:rsidR="0084671A">
          <w:rPr>
            <w:noProof/>
            <w:webHidden/>
          </w:rPr>
          <w:fldChar w:fldCharType="separate"/>
        </w:r>
        <w:r w:rsidR="000E305B">
          <w:rPr>
            <w:noProof/>
            <w:webHidden/>
          </w:rPr>
          <w:t>- 18 -</w:t>
        </w:r>
        <w:r w:rsidR="0084671A">
          <w:rPr>
            <w:noProof/>
            <w:webHidden/>
          </w:rPr>
          <w:fldChar w:fldCharType="end"/>
        </w:r>
      </w:hyperlink>
    </w:p>
    <w:p w:rsidR="00B7120A" w:rsidRDefault="0084671A">
      <w:r>
        <w:rPr>
          <w:b/>
          <w:bCs/>
          <w:noProof/>
        </w:rPr>
        <w:fldChar w:fldCharType="end"/>
      </w:r>
    </w:p>
    <w:p w:rsidR="009B633D" w:rsidRDefault="0084671A">
      <w:pPr>
        <w:pStyle w:val="TOC2"/>
        <w:tabs>
          <w:tab w:val="right" w:leader="dot" w:pos="8630"/>
        </w:tabs>
        <w:rPr>
          <w:noProof/>
        </w:rPr>
      </w:pPr>
      <w:r>
        <w:rPr>
          <w:b/>
        </w:rPr>
        <w:fldChar w:fldCharType="begin"/>
      </w:r>
      <w:r w:rsidR="009B633D">
        <w:rPr>
          <w:b/>
        </w:rPr>
        <w:instrText xml:space="preserve"> TOC \o "1-3" \h \z \u </w:instrText>
      </w:r>
      <w:r>
        <w:rPr>
          <w:b/>
        </w:rPr>
        <w:fldChar w:fldCharType="separate"/>
      </w:r>
    </w:p>
    <w:p w:rsidR="009B633D" w:rsidRPr="001D0454" w:rsidRDefault="0084671A" w:rsidP="009B633D">
      <w:pPr>
        <w:jc w:val="center"/>
        <w:rPr>
          <w:b/>
        </w:rPr>
      </w:pPr>
      <w:r>
        <w:rPr>
          <w:b/>
        </w:rPr>
        <w:fldChar w:fldCharType="end"/>
      </w:r>
    </w:p>
    <w:p w:rsidR="009B633D" w:rsidRPr="006014DB" w:rsidRDefault="009B633D" w:rsidP="009B633D">
      <w:pPr>
        <w:pStyle w:val="Heading1"/>
        <w:rPr>
          <w:sz w:val="24"/>
          <w:szCs w:val="24"/>
        </w:rPr>
      </w:pPr>
      <w:r>
        <w:br w:type="page"/>
      </w:r>
      <w:bookmarkStart w:id="0" w:name="_Toc151782175"/>
      <w:bookmarkStart w:id="1" w:name="_Toc158526215"/>
      <w:bookmarkStart w:id="2" w:name="_Toc469151322"/>
      <w:r w:rsidRPr="006014DB">
        <w:rPr>
          <w:sz w:val="24"/>
          <w:szCs w:val="24"/>
        </w:rPr>
        <w:lastRenderedPageBreak/>
        <w:t>A. Justification</w:t>
      </w:r>
      <w:bookmarkEnd w:id="0"/>
      <w:bookmarkEnd w:id="1"/>
      <w:bookmarkEnd w:id="2"/>
    </w:p>
    <w:p w:rsidR="009B633D" w:rsidRPr="006014DB" w:rsidRDefault="009B633D" w:rsidP="009B633D"/>
    <w:p w:rsidR="009B633D" w:rsidRDefault="009B633D" w:rsidP="00B7120A">
      <w:pPr>
        <w:pStyle w:val="Heading2"/>
        <w:spacing w:after="240"/>
        <w:rPr>
          <w:sz w:val="24"/>
          <w:szCs w:val="24"/>
        </w:rPr>
      </w:pPr>
      <w:bookmarkStart w:id="3" w:name="_Toc151782176"/>
      <w:bookmarkStart w:id="4" w:name="_Toc158526216"/>
      <w:bookmarkStart w:id="5" w:name="_Toc469151323"/>
      <w:r w:rsidRPr="006014DB">
        <w:rPr>
          <w:sz w:val="24"/>
          <w:szCs w:val="24"/>
        </w:rPr>
        <w:t xml:space="preserve">1. </w:t>
      </w:r>
      <w:bookmarkEnd w:id="3"/>
      <w:bookmarkEnd w:id="4"/>
      <w:r w:rsidR="006014DB" w:rsidRPr="006014DB">
        <w:rPr>
          <w:sz w:val="24"/>
          <w:szCs w:val="24"/>
        </w:rPr>
        <w:t>Circumstances that make the collection of information necessary</w:t>
      </w:r>
      <w:bookmarkEnd w:id="5"/>
    </w:p>
    <w:p w:rsidR="006014DB" w:rsidRDefault="000A140E" w:rsidP="006014DB">
      <w:r>
        <w:t xml:space="preserve">The mission of the Agency for Healthcare Research and Quality (AHRQ) set out in its authorizing legislation, The Healthcare Research and Quality Act of 1999 (see </w:t>
      </w:r>
      <w:r w:rsidR="008573ED" w:rsidRPr="008573ED">
        <w:t>http://www.ahrq.gov/hrqa99.pdf</w:t>
      </w:r>
      <w:r>
        <w:t>),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B7120A" w:rsidRDefault="00B7120A" w:rsidP="006014DB"/>
    <w:p w:rsidR="00606400" w:rsidRDefault="001B5136" w:rsidP="00606400">
      <w:pPr>
        <w:tabs>
          <w:tab w:val="left" w:pos="360"/>
        </w:tabs>
        <w:ind w:left="360"/>
      </w:pPr>
      <w:r>
        <w:t>1.</w:t>
      </w:r>
      <w:r>
        <w:tab/>
        <w:t>R</w:t>
      </w:r>
      <w:r w:rsidR="00606400">
        <w:t>esearch that develops and presents scientific evidence regardi</w:t>
      </w:r>
      <w:r w:rsidR="00AA1DDC">
        <w:t xml:space="preserve">ng all aspects of </w:t>
      </w:r>
      <w:r w:rsidR="00AA1DDC">
        <w:tab/>
      </w:r>
      <w:r w:rsidR="00AA1DDC">
        <w:tab/>
        <w:t>health care</w:t>
      </w:r>
      <w:r w:rsidR="00325B9C">
        <w:t>;</w:t>
      </w:r>
      <w:r w:rsidR="00B645ED">
        <w:t xml:space="preserve"> and</w:t>
      </w:r>
    </w:p>
    <w:p w:rsidR="00325B9C" w:rsidRDefault="00325B9C" w:rsidP="00606400">
      <w:pPr>
        <w:tabs>
          <w:tab w:val="left" w:pos="360"/>
        </w:tabs>
        <w:ind w:left="360"/>
      </w:pPr>
      <w:r>
        <w:t>2.</w:t>
      </w:r>
      <w:r>
        <w:tab/>
      </w:r>
      <w:r w:rsidR="001B5136">
        <w:t>T</w:t>
      </w:r>
      <w:r w:rsidR="00B645ED">
        <w:t xml:space="preserve">he synthesis and dissemination of available scientific evidence for use by </w:t>
      </w:r>
      <w:r w:rsidR="00B645ED">
        <w:tab/>
        <w:t xml:space="preserve">patients, consumers, practitioners, providers, purchasers, policy makers, and </w:t>
      </w:r>
      <w:r w:rsidR="00B645ED">
        <w:tab/>
        <w:t>educators; and</w:t>
      </w:r>
    </w:p>
    <w:p w:rsidR="00B645ED" w:rsidRDefault="001B5136" w:rsidP="00606400">
      <w:pPr>
        <w:tabs>
          <w:tab w:val="left" w:pos="360"/>
        </w:tabs>
        <w:ind w:left="360"/>
      </w:pPr>
      <w:r>
        <w:t>3.</w:t>
      </w:r>
      <w:r>
        <w:tab/>
        <w:t>I</w:t>
      </w:r>
      <w:r w:rsidR="00B645ED">
        <w:t>nitiatives to advance private and public efforts to improve health care quality.</w:t>
      </w:r>
    </w:p>
    <w:p w:rsidR="00B645ED" w:rsidRDefault="00B645ED" w:rsidP="00B645ED">
      <w:pPr>
        <w:tabs>
          <w:tab w:val="left" w:pos="360"/>
        </w:tabs>
      </w:pPr>
    </w:p>
    <w:p w:rsidR="008450C0" w:rsidRDefault="008450C0" w:rsidP="00B645ED">
      <w:pPr>
        <w:tabs>
          <w:tab w:val="left" w:pos="360"/>
        </w:tabs>
      </w:pPr>
      <w: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57035B" w:rsidRDefault="0057035B" w:rsidP="00B645ED">
      <w:pPr>
        <w:tabs>
          <w:tab w:val="left" w:pos="360"/>
        </w:tabs>
      </w:pPr>
    </w:p>
    <w:p w:rsidR="00BA3A1F" w:rsidRPr="00016724" w:rsidRDefault="00BA3A1F" w:rsidP="00B7120A">
      <w:pPr>
        <w:spacing w:after="240"/>
        <w:rPr>
          <w:b/>
        </w:rPr>
      </w:pPr>
      <w:r w:rsidRPr="00016724">
        <w:rPr>
          <w:b/>
        </w:rPr>
        <w:t>Background</w:t>
      </w:r>
      <w:r>
        <w:rPr>
          <w:b/>
        </w:rPr>
        <w:t xml:space="preserve"> </w:t>
      </w:r>
      <w:r w:rsidR="00D70428">
        <w:rPr>
          <w:b/>
        </w:rPr>
        <w:t>for this collection</w:t>
      </w:r>
    </w:p>
    <w:p w:rsidR="00BA3A1F" w:rsidRDefault="00BA3A1F" w:rsidP="00B7120A">
      <w:pPr>
        <w:spacing w:after="240"/>
      </w:pPr>
      <w:r>
        <w:t>T</w:t>
      </w:r>
      <w:r w:rsidRPr="00016724">
        <w:t>here is a substantial evidence base showing that engaging patients and families in their care can lead to i</w:t>
      </w:r>
      <w:r>
        <w:t xml:space="preserve">mprovements in patient safety. </w:t>
      </w:r>
      <w:r w:rsidRPr="00016724">
        <w:t xml:space="preserve">Since the 2001 release of </w:t>
      </w:r>
      <w:r w:rsidRPr="00016724">
        <w:rPr>
          <w:i/>
        </w:rPr>
        <w:t>To Err is Human</w:t>
      </w:r>
      <w:r w:rsidR="00D6058C">
        <w:rPr>
          <w:i/>
        </w:rPr>
        <w:t>(</w:t>
      </w:r>
      <w:r w:rsidR="00D6058C" w:rsidRPr="00BC5061">
        <w:t>Kohn, Corrigan, &amp; Donaldson, 2000</w:t>
      </w:r>
      <w:r w:rsidR="00D6058C">
        <w:rPr>
          <w:i/>
        </w:rPr>
        <w:t>)</w:t>
      </w:r>
      <w:r w:rsidR="0084671A">
        <w:rPr>
          <w:i/>
        </w:rPr>
        <w:fldChar w:fldCharType="begin" w:fldLock="1"/>
      </w:r>
      <w:r w:rsidR="00D57E7F">
        <w:rPr>
          <w:i/>
        </w:rPr>
        <w:instrText>ADDIN CSL_CITATION { "citationItems" : [ { "id" : "ITEM-1", "itemData" : { "author" : [ { "dropping-particle" : "", "family" : "Kohn", "given" : "L T", "non-dropping-particle" : "", "parse-names" : false, "suffix" : "" }, { "dropping-particle" : "", "family" : "Corrigan", "given" : "J M", "non-dropping-particle" : "", "parse-names" : false, "suffix" : "" }, { "dropping-particle" : "", "family" : "Donaldson", "given" : "M S", "non-dropping-particle" : "", "parse-names" : false, "suffix" : "" } ], "editor" : [ { "dropping-particle" : "", "family" : "Committee on Quality of Health Care in America", "given" : "Institute of Medicine", "non-dropping-particle" : "", "parse-names" : false, "suffix" : "" } ], "id" : "ITEM-1", "issued" : { "date-parts" : [ [ "2000" ] ] }, "publisher" : "National Academy Press", "publisher-place" : "Washington, DC", "title" : "To Err is Human: Building a Safer Health System", "type" : "article" }, "uris" : [ "http://www.mendeley.com/documents/?uuid=9a5a984a-bc7c-4852-9f1c-e4757d227727" ] } ], "mendeley" : { "formattedCitation" : "&lt;sup&gt;1&lt;/sup&gt;", "plainTextFormattedCitation" : "1", "previouslyFormattedCitation" : "&lt;sup&gt;1&lt;/sup&gt;" }, "properties" : { "noteIndex" : 0 }, "schema" : "https://github.com/citation-style-language/schema/raw/master/csl-citation.json" }</w:instrText>
      </w:r>
      <w:r w:rsidR="0084671A">
        <w:rPr>
          <w:i/>
        </w:rPr>
        <w:fldChar w:fldCharType="separate"/>
      </w:r>
      <w:r w:rsidR="00D57E7F" w:rsidRPr="00D57E7F">
        <w:rPr>
          <w:noProof/>
          <w:vertAlign w:val="superscript"/>
        </w:rPr>
        <w:t>1</w:t>
      </w:r>
      <w:r w:rsidR="0084671A">
        <w:rPr>
          <w:i/>
        </w:rPr>
        <w:fldChar w:fldCharType="end"/>
      </w:r>
      <w:r w:rsidRPr="00016724">
        <w:rPr>
          <w:i/>
        </w:rPr>
        <w:t>,</w:t>
      </w:r>
      <w:r w:rsidRPr="00016724">
        <w:t xml:space="preserve"> there has been an undeniable focus on improving patient safety and eliminating patient harm within acute care. What is not as well documented is how to achieve these improvements </w:t>
      </w:r>
      <w:r>
        <w:t>in</w:t>
      </w:r>
      <w:r w:rsidRPr="00016724">
        <w:t xml:space="preserve"> primary care settings</w:t>
      </w:r>
      <w:r>
        <w:t>.</w:t>
      </w:r>
      <w:r w:rsidRPr="00016724">
        <w:t xml:space="preserve"> </w:t>
      </w:r>
    </w:p>
    <w:p w:rsidR="00BA3A1F" w:rsidRDefault="00BA3A1F" w:rsidP="00B7120A">
      <w:pPr>
        <w:spacing w:after="240"/>
      </w:pPr>
      <w:r w:rsidRPr="00016724">
        <w:t>Patient and Family Engagement (PFE) strategies for acute care settings include, among others: patient and family advisory committees; membership on patient safety oversight bodies at both operations and governance levels; consultation in the development of patient information material; engaging patients in process improvement or redesign projects; rounding with patients and families; patient and family participation in clinical education programs, and welcoming patients and families to work alongside providers and health systems employees on transparency, culture change and high reliability organization initiatives.</w:t>
      </w:r>
      <w:r w:rsidR="0084671A">
        <w:fldChar w:fldCharType="begin" w:fldLock="1"/>
      </w:r>
      <w:r w:rsidR="00D57E7F">
        <w:instrText>ADDIN CSL_CITATION { "citationItems" : [ { "id" : "ITEM-1", "itemData" : { "DOI" : "10.1136/bmjqs-2012-001769", "ISSN" : "2044-5423", "PMID" : "24336575", "abstract" : "INTRODUCTION: Patient-centeredness is central to healthcare. Hospitals should address patients' unique needs to improve safety and quality. Patient engagement in healthcare, which may help prevent adverse events, can be approached as an independent patient safety practice (PSP) or as part of a multifactorial PSP.\n\nOBJECTIVES: This review examines how interventions encouraging this engagement have been implemented in controlled trials.\n\nMETHODS: We searched Medline, CINAHL, Embase and Cochrane from 2000 to 2012 for English language studies in hospital settings with prospective controlled designs, addressing the effectiveness or implementation of patient/family engagement in PSPs. We separately reviewed interventions implemented as part of selected broader PSPs by way of example: hand hygiene, ventilator-associated pneumonia, rapid response systems and care transitions.\n\nRESULTS: Six articles met the inclusion criteria for effectiveness with a primary focus on patient engagement. We identified 12 studies implementing patient engagement as an aspect of selected broader PSPs. A number of studies relied on patients' possible function as a reporter of error to healthcare workers and patients as a source of reminders regarding safety behaviours, while others relied on direct activation of patients or families. Definitions of patient and family engagement were lacking, as well as evidence regarding the types of patients who might feel comfortable engaging with providers, and in what contexts.\n\nCONCLUSIONS: While patient engagement in safety is appealing, there is insufficient high-quality evidence informing real-world implementation. Further work should evaluate the effectiveness of interventions on patient and family engagement and clarify the added benefit of incorporating engagement in multifaceted approaches to improve patient safety endpoints. In addition, strategies to assess and overcome barriers to patients' willingness to actively engage in their care should be investigated.", "author" : [ { "dropping-particle" : "", "family" : "Berger", "given" : "Zackary", "non-dropping-particle" : "", "parse-names" : false, "suffix" : "" }, { "dropping-particle" : "", "family" : "Flickinger", "given" : "Tabor E", "non-dropping-particle" : "", "parse-names" : false, "suffix" : "" }, { "dropping-particle" : "", "family" : "Pfoh", "given" : "Elizabeth", "non-dropping-particle" : "", "parse-names" : false, "suffix" : "" }, { "dropping-particle" : "", "family" : "Martinez", "given" : "Kathryn A", "non-dropping-particle" : "", "parse-names" : false, "suffix" : "" }, { "dropping-particle" : "", "family" : "Dy", "given" : "Sydney M", "non-dropping-particle" : "", "parse-names" : false, "suffix" : "" } ], "container-title" : "BMJ quality &amp; safety", "id" : "ITEM-1", "issue" : "7", "issued" : { "date-parts" : [ [ "2014", "7", "1" ] ] }, "page" : "548-55", "title" : "Promoting engagement by patients and families to reduce adverse events in acute care settings: a systematic review.", "type" : "article-journal", "volume" : "23" }, "uris" : [ "http://www.mendeley.com/documents/?uuid=981f3384-c6f5-4dbe-a22c-e1c3cd8b4d4f" ] }, { "id" : "ITEM-2", "itemData" : { "ISSN" : "1710-2774", "PMID" : "25344615", "abstract" : "Following a brief review of the history and context for patient and family member involvement in healthcare safety improvements, a variety of tools and mechanisms for patient engagement will be offered along with specific examples from Patients for Patient Safety Canada (a patient-led program of the Canadian Patient Safety Institute) to illustrate the impact of involving patients and family members in safety work. Barriers and facilitators to patient engagement in safety will also be examined.", "author" : [ { "dropping-particle" : "", "family" : "Kushner", "given" : "Carol", "non-dropping-particle" : "", "parse-names" : false, "suffix" : "" }, { "dropping-particle" : "", "family" : "Davis", "given" : "Donna", "non-dropping-particle" : "", "parse-names" : false, "suffix" : "" } ], "container-title" : "Healthcare quarterly (Toronto, Ont.)", "id" : "ITEM-2", "issued" : { "date-parts" : [ [ "2014", "1" ] ] }, "page" : "41-4", "title" : "Improving safety: engaging with patients and families makes a difference!", "type" : "article-journal", "volume" : "17 Spec No" }, "uris" : [ "http://www.mendeley.com/documents/?uuid=c61c523c-77a9-4a11-86ea-97c686aecae1" ] }, { "id" : "ITEM-3", "itemData" : { "abstract" : "Background: Although strongly favored by patients and ethically imperative for providers, the disclosure of medical errors to patients remains rare because providers fear that it will trigger lawsuits and jeopardize their reputation. To date little is known how patients might respond to their providers' disclosure of a medical error even when paired with an offer of remediation. Research Design: A representative sample of Illinois residents was surveyed in 2008 about their knowledge about medical errors, their confidence that their providers would disclose medical errors to them, and their propensity to sue and recommend providers that disclose medical errors and offer to remedy them. We report the response patterns to these questions. As robustness checks, we also estimate the covariate-adjusted distributions and test the associations among these dimensions of medical-error disclosure. Results: Of the 1018 respondents, 27% would sue and 38% would recommend the hospital after medical error disclosure with an accompanying offer of remediation. Compared with the least confident respondents, those who were more confident in their providers' commitment to disclose were not likely to sue but significantly and substantially more likely to recommend their provider. Conclusions: Patients who are confident in their providers' commitment to disclose medical errors are not more litigious and far more forgiving than patients who have no faith in their providers' commitment to disclose.", "author" : [ { "dropping-particle" : "", "family" : "Helmchen, Lorens; Richards, Michael R.; McDonald", "given" : "Timothy B.", "non-dropping-particle" : "", "parse-names" : false, "suffix" : "" } ], "container-title" : "Medical Care", "id" : "ITEM-3", "issue" : "11", "issued" : { "date-parts" : [ [ "2010" ] ] }, "page" : "955-961", "title" : "How Does Routine Disclosure of Medical Error Affect Patients' Propensity to Sue and Their Assessment of Provider Quality?: Evidence From Survey Data", "type" : "article-journal", "volume" : "48" }, "uris" : [ "http://www.mendeley.com/documents/?uuid=591bb1e6-6c93-45f3-9af8-f9c035512768" ] }, { "id" : "ITEM-4", "itemData" : { "abstract" : "Background and Objective: Engaging patients and patient advocates is an evolving concept based in medical ethics and human rights that historically has not included involvement in patient safety or clinical improvement. Approaches on why and how to best engage patients remains unclear. We describe our 10-year experience engaging patients in communication and resolution program (CRP) education, research, and service. Methods and Analysis: A historical prospective approach to examining patient engagement in CRP education, research, and improvement initiatives was employed. Thematic review explored the activities patients engaged in, infrastructure required, characteristics of participants and stakeholders, and the effectiveness of those efforts. Results: Patient engagement in CRP activities increased between 2004 and 2014. Engagement was influenced by implementation barriers and reframing the roles of patients and patient advocates in outcomes improvement. Engagement was first achieved in education. Patients served as stakeholders on curriculum committees, guest faculty, and advisors for CRP development. In 2009, patients began to actively engage in research as national advisors and collaborators on two funded studies, resulting in more than 30 presentations, 15 abstracts, numerous blog and social media posts, and 3 patient-led manuscripts. Engagement continued to evolve, with patient and family members included on medical staff peer review and patient safety committees, ensuring accountability for learning from medical error and patient harm. Here, engagement resulted in enhanced respect, committee attendance, and improved CRP components. Conclusion: Our 10-years of experience engaging patients demonstrates several common characteristics for success. First, strong leadership and commitment to improving are needed for active engagement. Second, institutional courage is required to share openly our mistakes and measures to fix them. Third, infrastructure is important to hardwire patient engagement in continuous improvement. Fourth, patient engagement in healthcare is critical for improvement and yields significant and immeasurable results.", "author" : [ { "dropping-particle" : "", "family" : "Smith", "given" : "Kelly M.", "non-dropping-particle" : "", "parse-names" : false, "suffix" : "" }, { "dropping-particle" : "", "family" : "Hatlie", "given" : "Martin J.", "non-dropping-particle" : "", "parse-names" : false, "suffix" : "" }, { "dropping-particle" : "", "family" : "Mayer", "given" : "David B.", "non-dropping-particle" : "", "parse-names" : false, "suffix" : "" }, { "dropping-particle" : "", "family" : "McDonald", "given" : "Timothy B.", "non-dropping-particle" : "", "parse-names" : false, "suffix" : "" } ], "container-title" : "International Society for Communication Science and Medicine", "id" : "ITEM-4", "issued" : { "date-parts" : [ [ "2015" ] ] }, "page" : "SP57, p36", "publisher-place" : "Montecatini Terme, Italy", "title" : "A 10-year journey engaging patients in patient safety education, research and improvement", "type" : "paper-conference" }, "uris" : [ "http://www.mendeley.com/documents/?uuid=bfd4e811-a5d1-43e7-a8f6-5c14e2817240" ] } ], "mendeley" : { "formattedCitation" : "&lt;sup&gt;2\u20135&lt;/sup&gt;", "plainTextFormattedCitation" : "2\u20135", "previouslyFormattedCitation" : "&lt;sup&gt;2\u20135&lt;/sup&gt;" }, "properties" : { "noteIndex" : 0 }, "schema" : "https://github.com/citation-style-language/schema/raw/master/csl-citation.json" }</w:instrText>
      </w:r>
      <w:r w:rsidR="0084671A">
        <w:fldChar w:fldCharType="separate"/>
      </w:r>
      <w:r w:rsidR="00D57E7F" w:rsidRPr="00D57E7F">
        <w:rPr>
          <w:noProof/>
          <w:vertAlign w:val="superscript"/>
        </w:rPr>
        <w:t>2–5</w:t>
      </w:r>
      <w:r w:rsidR="0084671A">
        <w:fldChar w:fldCharType="end"/>
      </w:r>
      <w:r w:rsidR="0084671A" w:rsidRPr="00016724">
        <w:fldChar w:fldCharType="begin" w:fldLock="1"/>
      </w:r>
      <w:r w:rsidR="00D57E7F">
        <w:instrText>ADDIN CSL_CITATION { "citationItems" : [ { "id" : "ITEM-1", "itemData" : { "ISSN" : "1710-2774", "PMID" : "25344615", "abstract" : "Following a brief review of the history and context for patient and family member involvement in healthcare safety improvements, a variety of tools and mechanisms for patient engagement will be offered along with specific examples from Patients for Patient Safety Canada (a patient-led program of the Canadian Patient Safety Institute) to illustrate the impact of involving patients and family members in safety work. Barriers and facilitators to patient engagement in safety will also be examined.", "author" : [ { "dropping-particle" : "", "family" : "Kushner", "given" : "Carol", "non-dropping-particle" : "", "parse-names" : false, "suffix" : "" }, { "dropping-particle" : "", "family" : "Davis", "given" : "Donna", "non-dropping-particle" : "", "parse-names" : false, "suffix" : "" } ], "container-title" : "Healthcare quarterly (Toronto, Ont.)", "id" : "ITEM-1", "issued" : { "date-parts" : [ [ "2014", "1" ] ] }, "page" : "41-4", "title" : "Improving safety: engaging with patients and families makes a difference!", "type" : "article-journal", "volume" : "17 Spec No" }, "uris" : [ "http://www.mendeley.com/documents/?uuid=c61c523c-77a9-4a11-86ea-97c686aecae1" ] }, { "id" : "ITEM-2", "itemData" : { "DOI" : "10.1136/bmjqs-2012-001769", "ISSN" : "2044-5423", "PMID" : "24336575", "abstract" : "INTRODUCTION: Patient-centeredness is central to healthcare. Hospitals should address patients' unique needs to improve safety and quality. Patient engagement in healthcare, which may help prevent adverse events, can be approached as an independent patient safety practice (PSP) or as part of a multifactorial PSP.\n\nOBJECTIVES: This review examines how interventions encouraging this engagement have been implemented in controlled trials.\n\nMETHODS: We searched Medline, CINAHL, Embase and Cochrane from 2000 to 2012 for English language studies in hospital settings with prospective controlled designs, addressing the effectiveness or implementation of patient/family engagement in PSPs. We separately reviewed interventions implemented as part of selected broader PSPs by way of example: hand hygiene, ventilator-associated pneumonia, rapid response systems and care transitions.\n\nRESULTS: Six articles met the inclusion criteria for effectiveness with a primary focus on patient engagement. We identified 12 studies implementing patient engagement as an aspect of selected broader PSPs. A number of studies relied on patients' possible function as a reporter of error to healthcare workers and patients as a source of reminders regarding safety behaviours, while others relied on direct activation of patients or families. Definitions of patient and family engagement were lacking, as well as evidence regarding the types of patients who might feel comfortable engaging with providers, and in what contexts.\n\nCONCLUSIONS: While patient engagement in safety is appealing, there is insufficient high-quality evidence informing real-world implementation. Further work should evaluate the effectiveness of interventions on patient and family engagement and clarify the added benefit of incorporating engagement in multifaceted approaches to improve patient safety endpoints. In addition, strategies to assess and overcome barriers to patients' willingness to actively engage in their care should be investigated.", "author" : [ { "dropping-particle" : "", "family" : "Berger", "given" : "Zackary", "non-dropping-particle" : "", "parse-names" : false, "suffix" : "" }, { "dropping-particle" : "", "family" : "Flickinger", "given" : "Tabor E", "non-dropping-particle" : "", "parse-names" : false, "suffix" : "" }, { "dropping-particle" : "", "family" : "Pfoh", "given" : "Elizabeth", "non-dropping-particle" : "", "parse-names" : false, "suffix" : "" }, { "dropping-particle" : "", "family" : "Martinez", "given" : "Kathryn A", "non-dropping-particle" : "", "parse-names" : false, "suffix" : "" }, { "dropping-particle" : "", "family" : "Dy", "given" : "Sydney M", "non-dropping-particle" : "", "parse-names" : false, "suffix" : "" } ], "container-title" : "BMJ quality &amp; safety", "id" : "ITEM-2", "issue" : "7", "issued" : { "date-parts" : [ [ "2014", "7", "1" ] ] }, "page" : "548-55", "title" : "Promoting engagement by patients and families to reduce adverse events in acute care settings: a systematic review.", "type" : "article-journal", "volume" : "23" }, "uris" : [ "http://www.mendeley.com/documents/?uuid=981f3384-c6f5-4dbe-a22c-e1c3cd8b4d4f" ] }, { "id" : "ITEM-3", "itemData" : { "abstract" : "Background and Objective: Engaging patients and patient advocates is an evolving concept based in medical ethics and human rights that historically has not included involvement in patient safety or clinical improvement. Approaches on why and how to best engage patients remains unclear. We describe our 10-year experience engaging patients in communication and resolution program (CRP) education, research, and service. Methods and Analysis: A historical prospective approach to examining patient engagement in CRP education, research, and improvement initiatives was employed. Thematic review explored the activities patients engaged in, infrastructure required, characteristics of participants and stakeholders, and the effectiveness of those efforts. Results: Patient engagement in CRP activities increased between 2004 and 2014. Engagement was influenced by implementation barriers and reframing the roles of patients and patient advocates in outcomes improvement. Engagement was first achieved in education. Patients served as stakeholders on curriculum committees, guest faculty, and advisors for CRP development. In 2009, patients began to actively engage in research as national advisors and collaborators on two funded studies, resulting in more than 30 presentations, 15 abstracts, numerous blog and social media posts, and 3 patient-led manuscripts. Engagement continued to evolve, with patient and family members included on medical staff peer review and patient safety committees, ensuring accountability for learning from medical error and patient harm. Here, engagement resulted in enhanced respect, committee attendance, and improved CRP components. Conclusion: Our 10-years of experience engaging patients demonstrates several common characteristics for success. First, strong leadership and commitment to improving are needed for active engagement. Second, institutional courage is required to share openly our mistakes and measures to fix them. Third, infrastructure is important to hardwire patient engagement in continuous improvement. Fourth, patient engagement in healthcare is critical for improvement and yields significant and immeasurable results.", "author" : [ { "dropping-particle" : "", "family" : "Smith", "given" : "Kelly M.", "non-dropping-particle" : "", "parse-names" : false, "suffix" : "" }, { "dropping-particle" : "", "family" : "Hatlie", "given" : "Martin J.", "non-dropping-particle" : "", "parse-names" : false, "suffix" : "" }, { "dropping-particle" : "", "family" : "Mayer", "given" : "David B.", "non-dropping-particle" : "", "parse-names" : false, "suffix" : "" }, { "dropping-particle" : "", "family" : "McDonald", "given" : "Timothy B.", "non-dropping-particle" : "", "parse-names" : false, "suffix" : "" } ], "container-title" : "International Society for Communication Science and Medicine", "id" : "ITEM-3", "issued" : { "date-parts" : [ [ "2015" ] ] }, "page" : "SP57, p36", "publisher-place" : "Montecatini Terme, Italy", "title" : "A 10-year journey engaging patients in patient safety education, research and improvement", "type" : "paper-conference" }, "uris" : [ "http://www.mendeley.com/documents/?uuid=bfd4e811-a5d1-43e7-a8f6-5c14e2817240" ] }, { "id" : "ITEM-4", "itemData" : { "DOI" : "10.1136/qshc.2008.031633", "ISSN" : "1475-3901", "PMID" : "20194217", "abstract" : "BACKGROUND: Although acknowledged to be an ethical imperative for providers, disclosure following patient safety incidents remains the exception. The appropriate response to a patient safety incident and the disclosure of medical errors are neither easy nor obvious. An inadequate response to patient harm or an inappropriate disclosure may frustrate practitioners, dent their professional reputation, and alienate patients.\n\nMETHODS: The authors have presented a descriptive study on the comprehensive process for responding to patient safety incidents, including the disclosure of medical errors adopted at a large, urban tertiary care centre in the United States.\n\nRESULTS: In the first two years post-implementation, the \"seven pillars\" process has led to more than 2,000 incident reports annually, prompted more than 100 investigations with root cause analysis, translated into close to 200 system improvements and served as the foundation of almost 106 disclosure conversations and 20 full disclosures of inappropriate or unreasonable care causing harm to patients.\n\nCONCLUSIONS: Adopting a policy of transparency represents a major shift in organisational focus and may take several years to implement. In our experience, the ability to rapidly learn from, respond to, and modify practices based on investigation to improve the safety and quality of patient care is grounded in transparency.", "author" : [ { "dropping-particle" : "", "family" : "McDonald", "given" : "T B", "non-dropping-particle" : "", "parse-names" : false, "suffix" : "" }, { "dropping-particle" : "", "family" : "Helmchen", "given" : "L A", "non-dropping-particle" : "", "parse-names" : false, "suffix" : "" }, { "dropping-particle" : "", "family" : "Smith", "given" : "K M", "non-dropping-particle" : "", "parse-names" : false, "suffix" : "" }, { "dropping-particle" : "", "family" : "Centomani", "given" : "N", "non-dropping-particle" : "", "parse-names" : false, "suffix" : "" }, { "dropping-particle" : "", "family" : "Gunderson", "given" : "A", "non-dropping-particle" : "", "parse-names" : false, "suffix" : "" }, { "dropping-particle" : "", "family" : "Mayer", "given" : "D", "non-dropping-particle" : "", "parse-names" : false, "suffix" : "" }, { "dropping-particle" : "", "family" : "Chamberlin", "given" : "W H", "non-dropping-particle" : "", "parse-names" : false, "suffix" : "" } ], "container-title" : "Quality &amp; safety in health care", "id" : "ITEM-4", "issue" : "6", "issued" : { "date-parts" : [ [ "2010", "12", "1" ] ] }, "page" : "e11", "title" : "Responding to patient safety incidents: the \"seven pillars\".", "type" : "article-journal", "volume" : "19" }, "uris" : [ "http://www.mendeley.com/documents/?uuid=44ef3d0b-5ce3-40d7-ba3d-beda917a710f" ] } ], "mendeley" : { "formattedCitation" : "&lt;sup&gt;2,3,5,6&lt;/sup&gt;", "plainTextFormattedCitation" : "2,3,5,6", "previouslyFormattedCitation" : "&lt;sup&gt;2,3,5,6&lt;/sup&gt;" }, "properties" : { "noteIndex" : 0 }, "schema" : "https://github.com/citation-style-language/schema/raw/master/csl-citation.json" }</w:instrText>
      </w:r>
      <w:r w:rsidR="0084671A" w:rsidRPr="00016724">
        <w:fldChar w:fldCharType="end"/>
      </w:r>
      <w:r w:rsidRPr="00016724">
        <w:t xml:space="preserve"> </w:t>
      </w:r>
    </w:p>
    <w:p w:rsidR="004F0CA3" w:rsidRDefault="004F0CA3" w:rsidP="00BA3A1F"/>
    <w:p w:rsidR="00BA3A1F" w:rsidRDefault="00BA3A1F" w:rsidP="00B7120A">
      <w:pPr>
        <w:spacing w:after="240"/>
      </w:pPr>
      <w:r w:rsidRPr="00016724">
        <w:lastRenderedPageBreak/>
        <w:t xml:space="preserve">Although the field of PFE in patient safety for hospitals and health systems is maturing, leveraging PFE to improve patient safety in non-acute settings is in its infancy. Building sustainable processes and practice-based infrastructure are crucial to improving patient safety </w:t>
      </w:r>
      <w:r w:rsidR="001B5136">
        <w:t>through patient and family engagement</w:t>
      </w:r>
      <w:r w:rsidRPr="00016724">
        <w:t xml:space="preserve"> in primary care.</w:t>
      </w:r>
      <w:r w:rsidR="0024313F">
        <w:t xml:space="preserve"> </w:t>
      </w:r>
    </w:p>
    <w:p w:rsidR="003609DD" w:rsidRDefault="001B5136" w:rsidP="001B5136">
      <w:pPr>
        <w:spacing w:before="280"/>
      </w:pPr>
      <w:r w:rsidRPr="00827AEF">
        <w:t xml:space="preserve">In response to the limited guidance available for primary care practices to improve safety through patient </w:t>
      </w:r>
      <w:r>
        <w:t xml:space="preserve">and family </w:t>
      </w:r>
      <w:r w:rsidRPr="00827AEF">
        <w:t xml:space="preserve">engagement, the Agency for Healthcare Research and Quality (AHRQ) has sponsored the development of a </w:t>
      </w:r>
      <w:r w:rsidRPr="00827AEF">
        <w:rPr>
          <w:i/>
        </w:rPr>
        <w:t xml:space="preserve">Guide to Improving Safety in Primary Care Settings by Engaging Patients and Families </w:t>
      </w:r>
      <w:r w:rsidRPr="00827AEF">
        <w:t xml:space="preserve">(hereafter referred to as the Guide). </w:t>
      </w:r>
      <w:r>
        <w:t>The</w:t>
      </w:r>
      <w:r w:rsidRPr="00827AEF">
        <w:t xml:space="preserve"> comprehensive guide will provide primary care practices with interventions that they can use to engage patients and families in ways that lead to improved patient safety. It will include explicit instructions to help primary care practices, providers, and patients and families adopt new behaviors.</w:t>
      </w:r>
      <w:r>
        <w:t xml:space="preserve"> </w:t>
      </w:r>
      <w:r w:rsidR="00A664E7">
        <w:t>Additionally, staffing models and infrastructure to support both PFE and patient safety within primary care environments differs significantly from the hospital setting. Thus, the</w:t>
      </w:r>
      <w:r w:rsidR="0024313F">
        <w:t xml:space="preserve"> output of the Guide differs significantly from the AHRQ Guide to Patient and Family Engagement in Hospital Quality and Safety in that the primary focus is on engaging patients and families to improve patient safety (e.g. close gaps in communication, reduce the risk of fragmentation of care and diagnostic errors, and improve medication self-management. </w:t>
      </w:r>
      <w:r w:rsidR="00A664E7">
        <w:t>The</w:t>
      </w:r>
      <w:r w:rsidR="0024313F">
        <w:t xml:space="preserve"> interventions within the Guide are tailored for the ambulatory care environment, particularly for primary care patients, physicians and practice staff. </w:t>
      </w:r>
    </w:p>
    <w:p w:rsidR="00A664E7" w:rsidRDefault="003609DD" w:rsidP="001B5136">
      <w:pPr>
        <w:spacing w:before="280"/>
      </w:pPr>
      <w:r>
        <w:t>The Guide will also build upon the AHRQ’s prior work on PFE in the patient centered medical home.</w:t>
      </w:r>
      <w:r w:rsidR="0084671A">
        <w:fldChar w:fldCharType="begin" w:fldLock="1"/>
      </w:r>
      <w:r w:rsidR="002F2B33">
        <w:instrText>ADDIN CSL_CITATION { "citationItems" : [ { "id" : "ITEM-1", "itemData" : { "author" : [ { "dropping-particle" : "", "family" : "Scholle", "given" : "SH", "non-dropping-particle" : "", "parse-names" : false, "suffix" : "" }, { "dropping-particle" : "", "family" : "Torda", "given" : "P", "non-dropping-particle" : "", "parse-names" : false, "suffix" : "" }, { "dropping-particle" : "", "family" : "Peikes", "given" : "D", "non-dropping-particle" : "", "parse-names" : false, "suffix" : "" }, { "dropping-particle" : "", "family" : "Han", "given" : "E", "non-dropping-particle" : "", "parse-names" : false, "suffix" : "" }, { "dropping-particle" : "", "family" : "Genevro", "given" : "J", "non-dropping-particle" : "", "parse-names" : false, "suffix" : "" } ], "id" : "ITEM-1", "issued" : { "date-parts" : [ [ "2010" ] ] }, "title" : "Engaging Patients and Families in the Medical Home", "type" : "report" }, "uris" : [ "http://www.mendeley.com/documents/?uuid=0810c007-8b4c-4c83-8670-5a988e25ecfa" ] } ], "mendeley" : { "formattedCitation" : "&lt;sup&gt;7&lt;/sup&gt;", "plainTextFormattedCitation" : "7", "previouslyFormattedCitation" : "&lt;sup&gt;7&lt;/sup&gt;" }, "properties" : { "noteIndex" : 0 }, "schema" : "https://github.com/citation-style-language/schema/raw/master/csl-citation.json" }</w:instrText>
      </w:r>
      <w:r w:rsidR="0084671A">
        <w:fldChar w:fldCharType="separate"/>
      </w:r>
      <w:r w:rsidRPr="003609DD">
        <w:rPr>
          <w:noProof/>
          <w:vertAlign w:val="superscript"/>
        </w:rPr>
        <w:t>7</w:t>
      </w:r>
      <w:r w:rsidR="0084671A">
        <w:fldChar w:fldCharType="end"/>
      </w:r>
      <w:r>
        <w:t xml:space="preserve"> In its 2010 report, several approaches to PFE were identified within the office based practices to support patient safety and improved patient outcomes. The Guide moves to the next step to provide implementation guidance and supportive tools for primary care practices to adopt strategies to improve patient safety through PFE.  </w:t>
      </w:r>
    </w:p>
    <w:p w:rsidR="001B5136" w:rsidRDefault="001B5136" w:rsidP="001B5136">
      <w:pPr>
        <w:spacing w:before="280"/>
      </w:pPr>
      <w:r>
        <w:t>The Guide and its development are prefaced on several key insights relevant to primary care including:</w:t>
      </w:r>
    </w:p>
    <w:p w:rsidR="001B5136" w:rsidRDefault="001B5136" w:rsidP="001B5136">
      <w:pPr>
        <w:pStyle w:val="ColorfulList-Accent12"/>
        <w:numPr>
          <w:ilvl w:val="0"/>
          <w:numId w:val="12"/>
        </w:numPr>
        <w:spacing w:before="280" w:after="0" w:line="240" w:lineRule="auto"/>
        <w:rPr>
          <w:rFonts w:ascii="Times New Roman" w:hAnsi="Times New Roman"/>
          <w:sz w:val="24"/>
          <w:szCs w:val="24"/>
        </w:rPr>
      </w:pPr>
      <w:r w:rsidRPr="001D2686">
        <w:rPr>
          <w:rFonts w:ascii="Times New Roman" w:hAnsi="Times New Roman"/>
          <w:sz w:val="24"/>
          <w:szCs w:val="24"/>
        </w:rPr>
        <w:t xml:space="preserve">Active engagement requires organizational commitment to hearing the patient and family voice and action by leadership to include them as central members of the healthcare team. </w:t>
      </w:r>
    </w:p>
    <w:p w:rsidR="001B5136" w:rsidRDefault="001B5136" w:rsidP="001B5136">
      <w:pPr>
        <w:pStyle w:val="ColorfulList-Accent12"/>
        <w:numPr>
          <w:ilvl w:val="0"/>
          <w:numId w:val="12"/>
        </w:numPr>
        <w:spacing w:before="280" w:after="0" w:line="240" w:lineRule="auto"/>
        <w:rPr>
          <w:rFonts w:ascii="Times New Roman" w:hAnsi="Times New Roman"/>
          <w:sz w:val="24"/>
          <w:szCs w:val="24"/>
        </w:rPr>
      </w:pPr>
      <w:r w:rsidRPr="001D2686">
        <w:rPr>
          <w:rFonts w:ascii="Times New Roman" w:hAnsi="Times New Roman"/>
          <w:sz w:val="24"/>
          <w:szCs w:val="24"/>
        </w:rPr>
        <w:t xml:space="preserve">Patients and families expect and increasingly demand meaningful engagement in harm prevention efforts. Without this, engagement efforts may not achieve optimal outcomes. </w:t>
      </w:r>
    </w:p>
    <w:p w:rsidR="001B5136" w:rsidRDefault="001B5136" w:rsidP="001B5136">
      <w:pPr>
        <w:pStyle w:val="ColorfulList-Accent12"/>
        <w:numPr>
          <w:ilvl w:val="0"/>
          <w:numId w:val="12"/>
        </w:numPr>
        <w:spacing w:before="280" w:after="0" w:line="240" w:lineRule="auto"/>
        <w:rPr>
          <w:rFonts w:ascii="Times New Roman" w:hAnsi="Times New Roman"/>
          <w:sz w:val="24"/>
          <w:szCs w:val="24"/>
        </w:rPr>
      </w:pPr>
      <w:r w:rsidRPr="001D2686">
        <w:rPr>
          <w:rFonts w:ascii="Times New Roman" w:hAnsi="Times New Roman"/>
          <w:sz w:val="24"/>
          <w:szCs w:val="24"/>
        </w:rPr>
        <w:t xml:space="preserve">Institutional courage is required to openly share patient safety vulnerabilities and proactively engage patients in developing solutions that prevent harm. </w:t>
      </w:r>
    </w:p>
    <w:p w:rsidR="001B5136" w:rsidRDefault="001B5136" w:rsidP="001B5136">
      <w:pPr>
        <w:pStyle w:val="ColorfulList-Accent12"/>
        <w:numPr>
          <w:ilvl w:val="0"/>
          <w:numId w:val="12"/>
        </w:numPr>
        <w:spacing w:before="280" w:after="0" w:line="240" w:lineRule="auto"/>
        <w:rPr>
          <w:rFonts w:ascii="Times New Roman" w:hAnsi="Times New Roman"/>
          <w:sz w:val="24"/>
          <w:szCs w:val="24"/>
        </w:rPr>
      </w:pPr>
      <w:r w:rsidRPr="001D2686">
        <w:rPr>
          <w:rFonts w:ascii="Times New Roman" w:hAnsi="Times New Roman"/>
          <w:sz w:val="24"/>
          <w:szCs w:val="24"/>
        </w:rPr>
        <w:t xml:space="preserve">Supportive infrastructure is needed to </w:t>
      </w:r>
      <w:r w:rsidR="00D97F88">
        <w:rPr>
          <w:rFonts w:ascii="Times New Roman" w:hAnsi="Times New Roman"/>
          <w:sz w:val="24"/>
          <w:szCs w:val="24"/>
        </w:rPr>
        <w:t xml:space="preserve">design sustainable processes to support integration of </w:t>
      </w:r>
      <w:r w:rsidRPr="001D2686">
        <w:rPr>
          <w:rFonts w:ascii="Times New Roman" w:hAnsi="Times New Roman"/>
          <w:sz w:val="24"/>
          <w:szCs w:val="24"/>
        </w:rPr>
        <w:t xml:space="preserve">PFE into all facets of care delivery across the care continuum. </w:t>
      </w:r>
    </w:p>
    <w:p w:rsidR="001B5136" w:rsidRPr="00F96CB8" w:rsidRDefault="001B5136" w:rsidP="001B5136">
      <w:pPr>
        <w:pStyle w:val="ColorfulList-Accent12"/>
        <w:numPr>
          <w:ilvl w:val="0"/>
          <w:numId w:val="12"/>
        </w:numPr>
        <w:spacing w:before="280" w:after="0" w:line="240" w:lineRule="auto"/>
        <w:rPr>
          <w:rFonts w:ascii="Times New Roman" w:hAnsi="Times New Roman"/>
          <w:sz w:val="24"/>
          <w:szCs w:val="24"/>
        </w:rPr>
      </w:pPr>
      <w:r w:rsidRPr="001D2686">
        <w:rPr>
          <w:rFonts w:ascii="Times New Roman" w:hAnsi="Times New Roman"/>
          <w:sz w:val="24"/>
          <w:szCs w:val="24"/>
        </w:rPr>
        <w:t>When done well, patient engagement yields important and measurable results.</w:t>
      </w:r>
      <w:r w:rsidR="0084671A" w:rsidRPr="001D2686">
        <w:rPr>
          <w:rFonts w:ascii="Times New Roman" w:hAnsi="Times New Roman"/>
          <w:sz w:val="24"/>
          <w:szCs w:val="24"/>
        </w:rPr>
        <w:fldChar w:fldCharType="begin" w:fldLock="1"/>
      </w:r>
      <w:r w:rsidR="00D57E7F">
        <w:rPr>
          <w:rFonts w:ascii="Times New Roman" w:hAnsi="Times New Roman"/>
          <w:sz w:val="24"/>
          <w:szCs w:val="24"/>
        </w:rPr>
        <w:instrText>ADDIN CSL_CITATION { "citationItems" : [ { "id" : "ITEM-1", "itemData" : { "abstract" : "Background and Objective: Engaging patients and patient advocates is an evolving concept based in medical ethics and human rights that historically has not included involvement in patient safety or clinical improvement. Approaches on why and how to best engage patients remains unclear. We describe our 10-year experience engaging patients in communication and resolution program (CRP) education, research, and service. Methods and Analysis: A historical prospective approach to examining patient engagement in CRP education, research, and improvement initiatives was employed. Thematic review explored the activities patients engaged in, infrastructure required, characteristics of participants and stakeholders, and the effectiveness of those efforts. Results: Patient engagement in CRP activities increased between 2004 and 2014. Engagement was influenced by implementation barriers and reframing the roles of patients and patient advocates in outcomes improvement. Engagement was first achieved in education. Patients served as stakeholders on curriculum committees, guest faculty, and advisors for CRP development. In 2009, patients began to actively engage in research as national advisors and collaborators on two funded studies, resulting in more than 30 presentations, 15 abstracts, numerous blog and social media posts, and 3 patient-led manuscripts. Engagement continued to evolve, with patient and family members included on medical staff peer review and patient safety committees, ensuring accountability for learning from medical error and patient harm. Here, engagement resulted in enhanced respect, committee attendance, and improved CRP components. Conclusion: Our 10-years of experience engaging patients demonstrates several common characteristics for success. First, strong leadership and commitment to improving are needed for active engagement. Second, institutional courage is required to share openly our mistakes and measures to fix them. Third, infrastructure is important to hardwire patient engagement in continuous improvement. Fourth, patient engagement in healthcare is critical for improvement and yields significant and immeasurable results.", "author" : [ { "dropping-particle" : "", "family" : "Smith", "given" : "Kelly M.", "non-dropping-particle" : "", "parse-names" : false, "suffix" : "" }, { "dropping-particle" : "", "family" : "Hatlie", "given" : "Martin J.", "non-dropping-particle" : "", "parse-names" : false, "suffix" : "" }, { "dropping-particle" : "", "family" : "Mayer", "given" : "David B.", "non-dropping-particle" : "", "parse-names" : false, "suffix" : "" }, { "dropping-particle" : "", "family" : "McDonald", "given" : "Timothy B.", "non-dropping-particle" : "", "parse-names" : false, "suffix" : "" } ], "container-title" : "International Society for Communication Science and Medicine", "id" : "ITEM-1", "issued" : { "date-parts" : [ [ "2015" ] ] }, "page" : "SP57, p36", "publisher-place" : "Montecatini Terme, Italy", "title" : "A 10-year journey engaging patients in patient safety education, research and improvement", "type" : "paper-conference" }, "uris" : [ "http://www.mendeley.com/documents/?uuid=bfd4e811-a5d1-43e7-a8f6-5c14e2817240" ] } ], "mendeley" : { "formattedCitation" : "&lt;sup&gt;5&lt;/sup&gt;", "plainTextFormattedCitation" : "5", "previouslyFormattedCitation" : "&lt;sup&gt;5&lt;/sup&gt;" }, "properties" : { "noteIndex" : 0 }, "schema" : "https://github.com/citation-style-language/schema/raw/master/csl-citation.json" }</w:instrText>
      </w:r>
      <w:r w:rsidR="0084671A" w:rsidRPr="001D2686">
        <w:rPr>
          <w:rFonts w:ascii="Times New Roman" w:hAnsi="Times New Roman"/>
          <w:sz w:val="24"/>
          <w:szCs w:val="24"/>
        </w:rPr>
        <w:fldChar w:fldCharType="separate"/>
      </w:r>
      <w:r w:rsidR="00D57E7F" w:rsidRPr="00D57E7F">
        <w:rPr>
          <w:rFonts w:ascii="Times New Roman" w:hAnsi="Times New Roman"/>
          <w:noProof/>
          <w:sz w:val="24"/>
          <w:szCs w:val="24"/>
          <w:vertAlign w:val="superscript"/>
        </w:rPr>
        <w:t>5</w:t>
      </w:r>
      <w:r w:rsidR="0084671A" w:rsidRPr="001D2686">
        <w:rPr>
          <w:rFonts w:ascii="Times New Roman" w:hAnsi="Times New Roman"/>
          <w:sz w:val="24"/>
          <w:szCs w:val="24"/>
        </w:rPr>
        <w:fldChar w:fldCharType="end"/>
      </w:r>
      <w:r w:rsidRPr="001D2686">
        <w:rPr>
          <w:rFonts w:ascii="Times New Roman" w:hAnsi="Times New Roman"/>
          <w:sz w:val="24"/>
          <w:szCs w:val="24"/>
        </w:rPr>
        <w:t xml:space="preserve"> When not done well, PFE activities may disenfranchise patients, contribute to misunderstanding about risk, result in lack of trust between providers and their organizations, and create fissures among members of the clinical care team.</w:t>
      </w:r>
      <w:r w:rsidR="0084671A" w:rsidRPr="001D2686">
        <w:rPr>
          <w:rFonts w:ascii="Times New Roman" w:hAnsi="Times New Roman"/>
          <w:sz w:val="24"/>
          <w:szCs w:val="24"/>
        </w:rPr>
        <w:fldChar w:fldCharType="begin" w:fldLock="1"/>
      </w:r>
      <w:r w:rsidR="002F2B33">
        <w:rPr>
          <w:rFonts w:ascii="Times New Roman" w:hAnsi="Times New Roman"/>
          <w:sz w:val="24"/>
          <w:szCs w:val="24"/>
        </w:rPr>
        <w:instrText>ADDIN CSL_CITATION { "citationItems" : [ { "id" : "ITEM-1", "itemData" : { "DOI" : "10.1177/1077558709342254", "ISSN" : "1552-6801", "PMID" : "19671916", "abstract" : "Several initiatives promote patient involvement in error prevention, but little is known about its feasibility and effectiveness. A systematic review was conducted on the evidence of patients' attitudes toward engagement in error prevention and the effectiveness of efforts to increase patient participation. Database searches yielded 3,840 candidate articles, of which 21 studies fulfilled the inclusion criteria. Patients share a positive attitude about engaging in their safety at a general level, but their intentions and actual behaviors vary considerably. Studies applied theories of planned behavior and indicate that self-efficacy, preventability of incidents, and effectiveness of actions seem to be central to patients' intention to engage in error prevention. Rigorous evaluations of major educational campaigns are lacking. Interventions embedded within clinical settings have been effective to some extent. Evidence suggests that involvement in safety may be successful if interventions promote complex behavioral change and are sensitively implemented in health care settings.", "author" : [ { "dropping-particle" : "", "family" : "Schwappach", "given" : "David L B", "non-dropping-particle" : "", "parse-names" : false, "suffix" : "" } ], "container-title" : "Medical care research and review : MCRR", "id" : "ITEM-1", "issue" : "2", "issued" : { "date-parts" : [ [ "2010", "4" ] ] }, "page" : "119-48", "title" : "Review: engaging patients as vigilant partners in safety: a systematic review.", "type" : "article-journal", "volume" : "67" }, "uris" : [ "http://www.mendeley.com/documents/?uuid=1840deee-a1b0-437e-b66f-e5e1bc5f959e" ] }, { "id" : "ITEM-2", "itemData" : { "ISSN" : "1553-7250", "PMID" : "16255326", "abstract" : "BACKGROUND: Many health care providers now disseminate advisories telling patients what they can do to avoid errors and harms in their care.\n\nMETHODS: The content of five leading safety advisories for patients was analyzed and a critique of their development, content, and impact was developed, drawing on published literature and 40 interviews with a diverse sample of 50 key informants.\n\nFINDINGS: Very little is known about the effects of the distribution of safety advisories to patients, but several grounds for concern were identified. There was a lack of attention to patients' perspectives during the development of advisory messages, and the advisories say little about what health care providers should do to ensure patient safety. Patients are given little practical support to carry out the recommended actions, and health professionals' responses may render their attempts to act to secure their own safety ineffective. Some messages suggest an inappropriate shifting of responsibility onto patients. Advice that involves checking on or challenging health professionals' actions appears to be particularly problematic for patients. Such behaviors conflict with the expectations many people have--and think health professionals have--of patients' roles.\n\nDISCUSSION: A serious commitment to optimizing patients' contributions to safe care requires a research-based understanding of patients' perspectives and more practical facilitation of patient involvement.", "author" : [ { "dropping-particle" : "", "family" : "Entwistle", "given" : "Vikki A", "non-dropping-particle" : "", "parse-names" : false, "suffix" : "" }, { "dropping-particle" : "", "family" : "Mello", "given" : "Michelle M", "non-dropping-particle" : "", "parse-names" : false, "suffix" : "" }, { "dropping-particle" : "", "family" : "Brennan", "given" : "Troyen A", "non-dropping-particle" : "", "parse-names" : false, "suffix" : "" } ], "container-title" : "Joint Commission journal on quality and patient safety / Joint Commission Resources", "id" : "ITEM-2", "issue" : "9", "issued" : { "date-parts" : [ [ "2005", "9" ] ] }, "page" : "483-94", "title" : "Advising patients about patient safety: current initiatives risk shifting responsibility.", "type" : "article-journal", "volume" : "31" }, "uris" : [ "http://www.mendeley.com/documents/?uuid=15b2fd08-c43b-4ccb-a475-c05c8fdcffd9" ] }, { "id" : "ITEM-3", "itemData" : { "DOI" : "10.1136/qshc.2006.020362", "ISSN" : "1475-3901", "PMID" : "17403749", "author" : [ { "dropping-particle" : "", "family" : "Entwistle", "given" : "Vikki A", "non-dropping-particle" : "", "parse-names" : false, "suffix" : "" } ], "container-title" : "Quality &amp; safety in health care", "id" : "ITEM-3", "issue" : "2", "issued" : { "date-parts" : [ [ "2007", "4" ] ] }, "page" : "82-3", "title" : "Differing perspectives on patient involvement in patient safety.", "type" : "article-journal", "volume" : "16" }, "uris" : [ "http://www.mendeley.com/documents/?uuid=931a5194-1bc3-4a3d-a295-459b713ed949" ] }, { "id" : "ITEM-4", "itemData" : { "DOI" : "10.1136/qshc.2006.018861", "ISSN" : "1475-3901", "PMID" : "17403763", "author" : [ { "dropping-particle" : "", "family" : "Lyons", "given" : "Melinda", "non-dropping-particle" : "", "parse-names" : false, "suffix" : "" } ], "container-title" : "Quality &amp; safety in health care", "id" : "ITEM-4", "issue" : "2", "issued" : { "date-parts" : [ [ "2007", "4" ] ] }, "page" : "140-2", "title" : "Should patients have a role in patient safety? A safety engineering view.", "type" : "article-journal", "volume" : "16" }, "uris" : [ "http://www.mendeley.com/documents/?uuid=5fca692f-05f4-468f-a752-d58a17c6bc4a" ] } ], "mendeley" : { "formattedCitation" : "&lt;sup&gt;8\u201311&lt;/sup&gt;", "plainTextFormattedCitation" : "8\u201311", "previouslyFormattedCitation" : "&lt;sup&gt;8\u201311&lt;/sup&gt;" }, "properties" : { "noteIndex" : 0 }, "schema" : "https://github.com/citation-style-language/schema/raw/master/csl-citation.json" }</w:instrText>
      </w:r>
      <w:r w:rsidR="0084671A" w:rsidRPr="001D2686">
        <w:rPr>
          <w:rFonts w:ascii="Times New Roman" w:hAnsi="Times New Roman"/>
          <w:sz w:val="24"/>
          <w:szCs w:val="24"/>
        </w:rPr>
        <w:fldChar w:fldCharType="separate"/>
      </w:r>
      <w:r w:rsidR="003609DD" w:rsidRPr="003609DD">
        <w:rPr>
          <w:rFonts w:ascii="Times New Roman" w:hAnsi="Times New Roman"/>
          <w:noProof/>
          <w:sz w:val="24"/>
          <w:szCs w:val="24"/>
          <w:vertAlign w:val="superscript"/>
        </w:rPr>
        <w:t>8–11</w:t>
      </w:r>
      <w:r w:rsidR="0084671A" w:rsidRPr="001D2686">
        <w:rPr>
          <w:rFonts w:ascii="Times New Roman" w:hAnsi="Times New Roman"/>
          <w:sz w:val="24"/>
          <w:szCs w:val="24"/>
        </w:rPr>
        <w:fldChar w:fldCharType="end"/>
      </w:r>
      <w:r w:rsidRPr="001D2686">
        <w:rPr>
          <w:rFonts w:ascii="Times New Roman" w:hAnsi="Times New Roman"/>
          <w:sz w:val="24"/>
          <w:szCs w:val="24"/>
        </w:rPr>
        <w:t xml:space="preserve"> </w:t>
      </w:r>
    </w:p>
    <w:p w:rsidR="001B5136" w:rsidRPr="00F96CB8" w:rsidRDefault="001B5136" w:rsidP="001B5136">
      <w:pPr>
        <w:spacing w:before="280"/>
      </w:pPr>
      <w:r w:rsidRPr="001D2686">
        <w:lastRenderedPageBreak/>
        <w:t xml:space="preserve">With these insights as a basis, </w:t>
      </w:r>
      <w:r>
        <w:t>three</w:t>
      </w:r>
      <w:r w:rsidRPr="001D2686">
        <w:t xml:space="preserve"> precepts undergird our approach to</w:t>
      </w:r>
      <w:r>
        <w:t xml:space="preserve"> development for</w:t>
      </w:r>
      <w:r w:rsidRPr="001D2686">
        <w:t xml:space="preserve"> the </w:t>
      </w:r>
      <w:r w:rsidRPr="006A4F86">
        <w:t>Guide</w:t>
      </w:r>
      <w:r w:rsidRPr="001D2686">
        <w:t xml:space="preserve">. </w:t>
      </w:r>
      <w:r>
        <w:t xml:space="preserve">The Guide interventions </w:t>
      </w:r>
      <w:r w:rsidRPr="001D2686">
        <w:t>must yield:</w:t>
      </w:r>
    </w:p>
    <w:p w:rsidR="001B5136" w:rsidRPr="000235BA" w:rsidRDefault="001B5136" w:rsidP="001B5136">
      <w:pPr>
        <w:pStyle w:val="ColorfulList-Accent11"/>
        <w:numPr>
          <w:ilvl w:val="0"/>
          <w:numId w:val="11"/>
        </w:numPr>
        <w:spacing w:before="280" w:after="0" w:line="240" w:lineRule="auto"/>
        <w:rPr>
          <w:rFonts w:ascii="Times New Roman" w:hAnsi="Times New Roman"/>
          <w:b/>
          <w:i/>
          <w:sz w:val="24"/>
          <w:szCs w:val="24"/>
        </w:rPr>
      </w:pPr>
      <w:r w:rsidRPr="001D2686">
        <w:rPr>
          <w:rFonts w:ascii="Times New Roman" w:hAnsi="Times New Roman"/>
          <w:b/>
          <w:i/>
          <w:sz w:val="24"/>
          <w:szCs w:val="24"/>
        </w:rPr>
        <w:t>Meaningful relationship-based engagement</w:t>
      </w:r>
      <w:r w:rsidRPr="001D2686">
        <w:rPr>
          <w:rFonts w:ascii="Times New Roman" w:hAnsi="Times New Roman"/>
          <w:sz w:val="24"/>
          <w:szCs w:val="24"/>
        </w:rPr>
        <w:t xml:space="preserve"> for patients and fami</w:t>
      </w:r>
      <w:r>
        <w:rPr>
          <w:rFonts w:ascii="Times New Roman" w:hAnsi="Times New Roman"/>
          <w:sz w:val="24"/>
          <w:szCs w:val="24"/>
        </w:rPr>
        <w:t>lies and primary care providers.</w:t>
      </w:r>
    </w:p>
    <w:p w:rsidR="001B5136" w:rsidRPr="000235BA" w:rsidRDefault="001B5136" w:rsidP="001B5136">
      <w:pPr>
        <w:pStyle w:val="ColorfulList-Accent11"/>
        <w:numPr>
          <w:ilvl w:val="0"/>
          <w:numId w:val="11"/>
        </w:numPr>
        <w:spacing w:before="280" w:after="0" w:line="240" w:lineRule="auto"/>
        <w:rPr>
          <w:rFonts w:ascii="Times New Roman" w:hAnsi="Times New Roman"/>
          <w:b/>
          <w:i/>
          <w:sz w:val="24"/>
          <w:szCs w:val="24"/>
        </w:rPr>
      </w:pPr>
      <w:r w:rsidRPr="001D2686">
        <w:rPr>
          <w:rFonts w:ascii="Times New Roman" w:hAnsi="Times New Roman"/>
          <w:b/>
          <w:i/>
          <w:sz w:val="24"/>
          <w:szCs w:val="24"/>
        </w:rPr>
        <w:t>Innovation and enabling technologies</w:t>
      </w:r>
      <w:r w:rsidRPr="001D2686">
        <w:rPr>
          <w:rFonts w:ascii="Times New Roman" w:hAnsi="Times New Roman"/>
          <w:sz w:val="24"/>
          <w:szCs w:val="24"/>
        </w:rPr>
        <w:t xml:space="preserve"> to support engagement, shared decision</w:t>
      </w:r>
      <w:r>
        <w:rPr>
          <w:rFonts w:ascii="Times New Roman" w:hAnsi="Times New Roman"/>
          <w:sz w:val="24"/>
          <w:szCs w:val="24"/>
        </w:rPr>
        <w:t xml:space="preserve"> </w:t>
      </w:r>
      <w:r w:rsidRPr="001D2686">
        <w:rPr>
          <w:rFonts w:ascii="Times New Roman" w:hAnsi="Times New Roman"/>
          <w:sz w:val="24"/>
          <w:szCs w:val="24"/>
        </w:rPr>
        <w:t>making and patient safety</w:t>
      </w:r>
      <w:r>
        <w:rPr>
          <w:rFonts w:ascii="Times New Roman" w:hAnsi="Times New Roman"/>
          <w:sz w:val="24"/>
          <w:szCs w:val="24"/>
        </w:rPr>
        <w:t>.</w:t>
      </w:r>
    </w:p>
    <w:p w:rsidR="001B5136" w:rsidRPr="00F96CB8" w:rsidRDefault="001B5136" w:rsidP="001B5136">
      <w:pPr>
        <w:pStyle w:val="ColorfulList-Accent11"/>
        <w:numPr>
          <w:ilvl w:val="0"/>
          <w:numId w:val="11"/>
        </w:numPr>
        <w:spacing w:before="280" w:after="0" w:line="240" w:lineRule="auto"/>
        <w:rPr>
          <w:rFonts w:ascii="Times New Roman" w:hAnsi="Times New Roman"/>
          <w:sz w:val="24"/>
          <w:szCs w:val="24"/>
        </w:rPr>
      </w:pPr>
      <w:r w:rsidRPr="001D2686">
        <w:rPr>
          <w:rFonts w:ascii="Times New Roman" w:hAnsi="Times New Roman"/>
          <w:b/>
          <w:i/>
          <w:sz w:val="24"/>
          <w:szCs w:val="24"/>
        </w:rPr>
        <w:t xml:space="preserve">Workable processes </w:t>
      </w:r>
      <w:r w:rsidRPr="006A4F86">
        <w:rPr>
          <w:rFonts w:ascii="Times New Roman" w:hAnsi="Times New Roman"/>
          <w:sz w:val="24"/>
          <w:szCs w:val="24"/>
        </w:rPr>
        <w:t>yielding sustainable</w:t>
      </w:r>
      <w:r w:rsidRPr="001D2686">
        <w:rPr>
          <w:rFonts w:ascii="Times New Roman" w:hAnsi="Times New Roman"/>
          <w:sz w:val="24"/>
          <w:szCs w:val="24"/>
        </w:rPr>
        <w:t xml:space="preserve"> engagement opportunities for patients, families, providers</w:t>
      </w:r>
      <w:r>
        <w:rPr>
          <w:rFonts w:ascii="Times New Roman" w:hAnsi="Times New Roman"/>
          <w:sz w:val="24"/>
          <w:szCs w:val="24"/>
        </w:rPr>
        <w:t>,</w:t>
      </w:r>
      <w:r w:rsidRPr="001D2686">
        <w:rPr>
          <w:rFonts w:ascii="Times New Roman" w:hAnsi="Times New Roman"/>
          <w:sz w:val="24"/>
          <w:szCs w:val="24"/>
        </w:rPr>
        <w:t xml:space="preserve"> and practice staff.</w:t>
      </w:r>
    </w:p>
    <w:p w:rsidR="00CE6AA7" w:rsidRDefault="00CE6AA7" w:rsidP="004F0CA3"/>
    <w:p w:rsidR="00CE6AA7" w:rsidRDefault="004F0CA3" w:rsidP="004F0CA3">
      <w:r w:rsidRPr="004F0CA3">
        <w:t>The Guide will be principally (but not exclusively) meeting the needs of practices that have not already implemented effective PFE structures or processes</w:t>
      </w:r>
      <w:r w:rsidR="00D70428">
        <w:t xml:space="preserve">.  </w:t>
      </w:r>
      <w:r w:rsidR="00CE6AA7">
        <w:t>An environmental scan revealed several promising interventions for consideration for inclusion in the Guide. The four interventions selected as part of the Guide include:</w:t>
      </w:r>
    </w:p>
    <w:p w:rsidR="00CE6AA7" w:rsidRDefault="00CE6AA7" w:rsidP="004F0CA3"/>
    <w:p w:rsidR="00CE6AA7" w:rsidRDefault="00CE6AA7" w:rsidP="00CE6AA7">
      <w:pPr>
        <w:numPr>
          <w:ilvl w:val="0"/>
          <w:numId w:val="13"/>
        </w:numPr>
      </w:pPr>
      <w:r>
        <w:t>Teach-back</w:t>
      </w:r>
    </w:p>
    <w:p w:rsidR="00CE6AA7" w:rsidRDefault="00CE6AA7" w:rsidP="00CE6AA7">
      <w:pPr>
        <w:numPr>
          <w:ilvl w:val="0"/>
          <w:numId w:val="13"/>
        </w:numPr>
      </w:pPr>
      <w:r>
        <w:t>Be Prepared to Be Engaged</w:t>
      </w:r>
    </w:p>
    <w:p w:rsidR="00CE6AA7" w:rsidRDefault="00CE6AA7" w:rsidP="00CE6AA7">
      <w:pPr>
        <w:numPr>
          <w:ilvl w:val="0"/>
          <w:numId w:val="13"/>
        </w:numPr>
      </w:pPr>
      <w:r>
        <w:t xml:space="preserve">Medication Management </w:t>
      </w:r>
    </w:p>
    <w:p w:rsidR="00CE6AA7" w:rsidRDefault="00CE6AA7" w:rsidP="00CE6AA7">
      <w:pPr>
        <w:numPr>
          <w:ilvl w:val="0"/>
          <w:numId w:val="13"/>
        </w:numPr>
      </w:pPr>
      <w:r>
        <w:t>Warm Handoff</w:t>
      </w:r>
    </w:p>
    <w:p w:rsidR="00CE6AA7" w:rsidRDefault="00CE6AA7" w:rsidP="00CE6AA7"/>
    <w:p w:rsidR="00D321B7" w:rsidRPr="003F45BE" w:rsidRDefault="00D059F9" w:rsidP="00D321B7">
      <w:r>
        <w:t>The interventions will be compiled into a Guide for adoption b</w:t>
      </w:r>
      <w:r w:rsidR="00D321B7">
        <w:t xml:space="preserve">y primary care practices. The environmental scan also yielded several important implications for Guide development including: </w:t>
      </w:r>
    </w:p>
    <w:p w:rsidR="00D321B7" w:rsidRDefault="00D321B7" w:rsidP="00D321B7">
      <w:pPr>
        <w:pStyle w:val="ColorfulList-Accent12"/>
        <w:numPr>
          <w:ilvl w:val="0"/>
          <w:numId w:val="14"/>
        </w:numPr>
        <w:spacing w:before="280" w:after="0" w:line="240" w:lineRule="auto"/>
        <w:rPr>
          <w:rFonts w:ascii="Times New Roman" w:hAnsi="Times New Roman"/>
          <w:sz w:val="24"/>
          <w:szCs w:val="24"/>
        </w:rPr>
      </w:pPr>
      <w:r>
        <w:rPr>
          <w:rFonts w:ascii="Times New Roman" w:hAnsi="Times New Roman"/>
          <w:sz w:val="24"/>
          <w:szCs w:val="24"/>
        </w:rPr>
        <w:t>Engagement efforts in primary care to date have focused on the patient as the agent of change with limited guidance to providers on how to support patients in these efforts.</w:t>
      </w:r>
    </w:p>
    <w:p w:rsidR="00D321B7" w:rsidRDefault="00D321B7" w:rsidP="00D321B7">
      <w:pPr>
        <w:pStyle w:val="ColorfulList-Accent12"/>
        <w:numPr>
          <w:ilvl w:val="0"/>
          <w:numId w:val="14"/>
        </w:numPr>
        <w:spacing w:before="280" w:after="0" w:line="240" w:lineRule="auto"/>
        <w:rPr>
          <w:rFonts w:ascii="Times New Roman" w:hAnsi="Times New Roman"/>
          <w:sz w:val="24"/>
          <w:szCs w:val="24"/>
        </w:rPr>
      </w:pPr>
      <w:r>
        <w:rPr>
          <w:rFonts w:ascii="Times New Roman" w:hAnsi="Times New Roman"/>
          <w:sz w:val="24"/>
          <w:szCs w:val="24"/>
        </w:rPr>
        <w:t>Many interventions are focused heavily on educational efforts alone, either for the patient, the provider, or the practice.</w:t>
      </w:r>
    </w:p>
    <w:p w:rsidR="00D321B7" w:rsidRDefault="00D321B7" w:rsidP="00D321B7">
      <w:pPr>
        <w:pStyle w:val="ColorfulList-Accent12"/>
        <w:numPr>
          <w:ilvl w:val="0"/>
          <w:numId w:val="14"/>
        </w:numPr>
        <w:spacing w:before="280" w:after="0" w:line="240" w:lineRule="auto"/>
        <w:rPr>
          <w:rFonts w:ascii="Times New Roman" w:hAnsi="Times New Roman"/>
          <w:sz w:val="24"/>
          <w:szCs w:val="24"/>
        </w:rPr>
      </w:pPr>
      <w:r>
        <w:rPr>
          <w:rFonts w:ascii="Times New Roman" w:hAnsi="Times New Roman"/>
          <w:sz w:val="24"/>
          <w:szCs w:val="24"/>
        </w:rPr>
        <w:t>Few of the tools and interventions identified are immediately usable without the need for additional development or enabling materials to support sustainable adoption.</w:t>
      </w:r>
    </w:p>
    <w:p w:rsidR="00D321B7" w:rsidRDefault="00D321B7" w:rsidP="00D321B7">
      <w:pPr>
        <w:pStyle w:val="ColorfulList-Accent12"/>
        <w:numPr>
          <w:ilvl w:val="0"/>
          <w:numId w:val="14"/>
        </w:numPr>
        <w:spacing w:before="280" w:after="0" w:line="240" w:lineRule="auto"/>
        <w:rPr>
          <w:rFonts w:ascii="Times New Roman" w:hAnsi="Times New Roman"/>
          <w:sz w:val="24"/>
          <w:szCs w:val="24"/>
        </w:rPr>
      </w:pPr>
      <w:r>
        <w:rPr>
          <w:rFonts w:ascii="Times New Roman" w:hAnsi="Times New Roman"/>
          <w:sz w:val="24"/>
          <w:szCs w:val="24"/>
        </w:rPr>
        <w:t xml:space="preserve">Health equity and literacy considerations are limited. Tools for patients are often at a relatively high level of literacy, and/or health literacy is required for use. </w:t>
      </w:r>
    </w:p>
    <w:p w:rsidR="00D321B7" w:rsidRPr="004D5A09" w:rsidRDefault="00D321B7" w:rsidP="00D321B7">
      <w:pPr>
        <w:pStyle w:val="ColorfulList-Accent12"/>
        <w:numPr>
          <w:ilvl w:val="0"/>
          <w:numId w:val="14"/>
        </w:numPr>
        <w:spacing w:before="280" w:after="0" w:line="240" w:lineRule="auto"/>
        <w:rPr>
          <w:rFonts w:ascii="Times New Roman" w:hAnsi="Times New Roman"/>
          <w:sz w:val="24"/>
          <w:szCs w:val="24"/>
        </w:rPr>
      </w:pPr>
      <w:r>
        <w:rPr>
          <w:rFonts w:ascii="Times New Roman" w:hAnsi="Times New Roman"/>
          <w:sz w:val="24"/>
          <w:szCs w:val="24"/>
        </w:rPr>
        <w:t>Current interventions, tools, and toolkits have a high level of complexity that may impede adoption.</w:t>
      </w:r>
    </w:p>
    <w:p w:rsidR="00D321B7" w:rsidRDefault="00D321B7" w:rsidP="00D321B7"/>
    <w:p w:rsidR="00D321B7" w:rsidRDefault="00D321B7" w:rsidP="00D321B7">
      <w:r>
        <w:t>Existing evidence-based interventions are being refined to reduce complexity and enhance the opportunity for implementation. Implementation development activities including guidance for each intervention and the Guide as a whole are currently underway. Guide field testing will evaluate the implementation challenges faced by primary care practices whereby offering an opportunity to revise the Guide materials for optimal implementation success prior to widespread dissemination.</w:t>
      </w:r>
    </w:p>
    <w:p w:rsidR="00D321B7" w:rsidRDefault="00D321B7" w:rsidP="00CE6AA7"/>
    <w:p w:rsidR="00D059F9" w:rsidRDefault="00D059F9" w:rsidP="00CE6AA7">
      <w:r>
        <w:t xml:space="preserve">The Guide will be made publicly-accessible through the AHRQ Web site for easy referral, access, and use by other healthcare professionals and primary care practices. AHRQ recognizes the importance of ensuring that the Guide will be useful, well </w:t>
      </w:r>
      <w:r>
        <w:lastRenderedPageBreak/>
        <w:t xml:space="preserve">implemented and effective in achieving the stated goals of improving patient safety by engaging patients and families. Thus, the purpose of the Field Testing evaluation is to gain insight on the implementation challenges identified by the twelve primary care practices field testing the Guide. The Guide materials will be revised in an effort to overcome these implementation challenges prior to broad dissemination. </w:t>
      </w:r>
    </w:p>
    <w:p w:rsidR="007B2929" w:rsidRDefault="007B2929" w:rsidP="004F0CA3"/>
    <w:p w:rsidR="00CE6AA7" w:rsidRDefault="00CE6AA7" w:rsidP="004F0CA3">
      <w:r>
        <w:t xml:space="preserve">The </w:t>
      </w:r>
      <w:r w:rsidR="007B2929">
        <w:t xml:space="preserve">specific </w:t>
      </w:r>
      <w:r>
        <w:t>goals of the proposed</w:t>
      </w:r>
      <w:r w:rsidR="00A81D0D">
        <w:t xml:space="preserve"> Guide</w:t>
      </w:r>
      <w:r>
        <w:t xml:space="preserve"> </w:t>
      </w:r>
      <w:r w:rsidR="00A81D0D">
        <w:t xml:space="preserve">field testing </w:t>
      </w:r>
      <w:r>
        <w:t xml:space="preserve">evaluation </w:t>
      </w:r>
      <w:r w:rsidR="00A81D0D">
        <w:t>are to examine the following</w:t>
      </w:r>
      <w:r>
        <w:t>:</w:t>
      </w:r>
    </w:p>
    <w:p w:rsidR="00CE6AA7" w:rsidRDefault="00CE6AA7" w:rsidP="004F0CA3"/>
    <w:p w:rsidR="00CE6AA7" w:rsidRDefault="00254786" w:rsidP="00CE6AA7">
      <w:pPr>
        <w:numPr>
          <w:ilvl w:val="0"/>
          <w:numId w:val="15"/>
        </w:numPr>
      </w:pPr>
      <w:r>
        <w:t>The feasibility of implementing a minimum of two of the four Guide interventions within twelve medium or large primary care practices?</w:t>
      </w:r>
    </w:p>
    <w:p w:rsidR="00254786" w:rsidRDefault="00254786" w:rsidP="00CE6AA7">
      <w:pPr>
        <w:numPr>
          <w:ilvl w:val="0"/>
          <w:numId w:val="15"/>
        </w:numPr>
      </w:pPr>
      <w:r>
        <w:t>The challenges to implementing the interventions at the patient, clinician, practice staff, and practice level?</w:t>
      </w:r>
    </w:p>
    <w:p w:rsidR="00254786" w:rsidRDefault="00254786" w:rsidP="00CE6AA7">
      <w:pPr>
        <w:numPr>
          <w:ilvl w:val="0"/>
          <w:numId w:val="15"/>
        </w:numPr>
      </w:pPr>
      <w:r>
        <w:t>The uptake and confidence among primary care practices to improve patient safety through patient and family engagement.</w:t>
      </w:r>
    </w:p>
    <w:p w:rsidR="00254786" w:rsidRDefault="00254786" w:rsidP="00CE6AA7">
      <w:pPr>
        <w:numPr>
          <w:ilvl w:val="0"/>
          <w:numId w:val="15"/>
        </w:numPr>
      </w:pPr>
      <w:r>
        <w:t>How the implementation of two of the four Guide interventions changes the perception of patient safety among patients, clinicians, and practice staff.</w:t>
      </w:r>
    </w:p>
    <w:p w:rsidR="00254786" w:rsidRDefault="00254786" w:rsidP="00CE6AA7">
      <w:pPr>
        <w:numPr>
          <w:ilvl w:val="0"/>
          <w:numId w:val="15"/>
        </w:numPr>
      </w:pPr>
      <w:r>
        <w:t xml:space="preserve">How the implementation of two of the four Guide interventions changes the perception of patient and family engagement among patients, clinicians, and practice staff. </w:t>
      </w:r>
    </w:p>
    <w:p w:rsidR="00B370C3" w:rsidRDefault="00B370C3" w:rsidP="00CE6AA7">
      <w:pPr>
        <w:numPr>
          <w:ilvl w:val="0"/>
          <w:numId w:val="15"/>
        </w:numPr>
      </w:pPr>
      <w:r>
        <w:t>Whether primary care practices will continue to use the Guide (or its interventions) beyond the period of field testing and evaluation (i.e. examine sustainability).</w:t>
      </w:r>
    </w:p>
    <w:p w:rsidR="00B370C3" w:rsidRPr="004F0CA3" w:rsidRDefault="00B370C3" w:rsidP="00CE6AA7">
      <w:pPr>
        <w:numPr>
          <w:ilvl w:val="0"/>
          <w:numId w:val="15"/>
        </w:numPr>
      </w:pPr>
      <w:r>
        <w:t xml:space="preserve">How patients, clinicians, and practice staff would recommend changes to the interventions and the Guide to enhance sustainability. </w:t>
      </w:r>
    </w:p>
    <w:p w:rsidR="00BA3A1F" w:rsidRPr="004F0CA3" w:rsidRDefault="00BA3A1F" w:rsidP="00B645ED">
      <w:pPr>
        <w:tabs>
          <w:tab w:val="left" w:pos="360"/>
        </w:tabs>
      </w:pPr>
    </w:p>
    <w:p w:rsidR="006014DB" w:rsidRDefault="002C028B" w:rsidP="008B5C64">
      <w:pPr>
        <w:tabs>
          <w:tab w:val="left" w:pos="360"/>
        </w:tabs>
      </w:pPr>
      <w:r w:rsidRPr="004F0CA3">
        <w:t>The conceptual frame of delivery system sci</w:t>
      </w:r>
      <w:r w:rsidR="0057035B" w:rsidRPr="004F0CA3">
        <w:t>ence grounds this data collection effort</w:t>
      </w:r>
      <w:r w:rsidRPr="004F0CA3">
        <w:t>. Delivery system science provides a systematic means and opportunity to promote learning, to answer questions, and to test hypotheses around organizational factors and design, infrastructure, policies, and payment mechanisms.  The question we must address is not “</w:t>
      </w:r>
      <w:r w:rsidRPr="004F0CA3">
        <w:rPr>
          <w:i/>
        </w:rPr>
        <w:t>Does it work</w:t>
      </w:r>
      <w:r w:rsidRPr="004F0CA3">
        <w:t>?” but rather “</w:t>
      </w:r>
      <w:r w:rsidRPr="004F0CA3">
        <w:rPr>
          <w:i/>
        </w:rPr>
        <w:t>How and in what contexts does the new intervention work or can it be amended to work?</w:t>
      </w:r>
      <w:r w:rsidRPr="004F0CA3">
        <w:t xml:space="preserve">” This requires a formative evaluation approach that considers the full path of the intervention from activities to engage participants (i.e., patients and family members, providers, practice staff, and practices as units of measurement) and change how they act to the expected changes in clinical processes and outcomes (i.e., interventions and engagement activities). To this end, a </w:t>
      </w:r>
      <w:r w:rsidR="00D70428">
        <w:t>primarily qualitative</w:t>
      </w:r>
      <w:r w:rsidRPr="004F0CA3">
        <w:t xml:space="preserve"> approach </w:t>
      </w:r>
      <w:r w:rsidR="00886780">
        <w:t>will be</w:t>
      </w:r>
      <w:r w:rsidRPr="004F0CA3">
        <w:t xml:space="preserve"> conduct</w:t>
      </w:r>
      <w:r w:rsidR="00D70428">
        <w:t>ed for</w:t>
      </w:r>
      <w:r w:rsidRPr="004F0CA3">
        <w:t xml:space="preserve"> </w:t>
      </w:r>
      <w:r w:rsidR="00D70428">
        <w:t>this formative</w:t>
      </w:r>
      <w:r w:rsidRPr="004F0CA3">
        <w:t xml:space="preserve"> evaluation. </w:t>
      </w:r>
    </w:p>
    <w:p w:rsidR="00CB2224" w:rsidRDefault="00CB2224" w:rsidP="008B5C64">
      <w:pPr>
        <w:tabs>
          <w:tab w:val="left" w:pos="360"/>
        </w:tabs>
      </w:pPr>
    </w:p>
    <w:p w:rsidR="00CB2224" w:rsidRDefault="00CB2224" w:rsidP="008B5C64">
      <w:pPr>
        <w:tabs>
          <w:tab w:val="left" w:pos="360"/>
        </w:tabs>
      </w:pPr>
      <w:r>
        <w:t>To achieve the goals of the project, the following data collections will be implemented during the Field Testing evaluation:</w:t>
      </w:r>
    </w:p>
    <w:p w:rsidR="00CB2224" w:rsidRDefault="00CB2224" w:rsidP="008B5C64">
      <w:pPr>
        <w:tabs>
          <w:tab w:val="left" w:pos="360"/>
        </w:tabs>
      </w:pPr>
    </w:p>
    <w:p w:rsidR="00CB2224" w:rsidRDefault="00CB2224" w:rsidP="00CB2224">
      <w:pPr>
        <w:numPr>
          <w:ilvl w:val="0"/>
          <w:numId w:val="16"/>
        </w:numPr>
        <w:tabs>
          <w:tab w:val="left" w:pos="360"/>
        </w:tabs>
      </w:pPr>
      <w:r w:rsidRPr="00DB7D4A">
        <w:rPr>
          <w:b/>
          <w:u w:val="single"/>
        </w:rPr>
        <w:t>Baseline Practice Assessment of Primary Care Practices</w:t>
      </w:r>
      <w:r>
        <w:t xml:space="preserve"> (Appendix A)</w:t>
      </w:r>
      <w:r w:rsidR="00DB7D4A">
        <w:t>. This pen and paper survey will be administered to the twelve primary care practice champions immediately following the recruitment as part of the Guide Field Test and prior to commencing implementation of the Guide. Information collected includes: i)</w:t>
      </w:r>
      <w:r w:rsidR="007172E8">
        <w:t xml:space="preserve"> practice name and location (e.g., city and State); ii) non-identifying demographic information about the practice (e.g., number of clinicians by type, number of patients served by </w:t>
      </w:r>
      <w:r w:rsidR="007172E8">
        <w:lastRenderedPageBreak/>
        <w:t>the practice, payer mix of patients served by practice, race and ethnicity of patients served by practice); iii) general descriptive information on the practice’s experience with patient safety and quality improvement activities (e.g., current experience with Guide interventions, patient safety culture routinely measured); iv) information related to the practice’s affiliation with larger health system; and v)  information related to any competing priorities or practice improvement initiatives (e.g., patient centered medical home designation, etc.).</w:t>
      </w:r>
    </w:p>
    <w:p w:rsidR="007172E8" w:rsidRDefault="007172E8" w:rsidP="007172E8">
      <w:pPr>
        <w:tabs>
          <w:tab w:val="left" w:pos="360"/>
        </w:tabs>
        <w:ind w:left="360"/>
      </w:pPr>
    </w:p>
    <w:p w:rsidR="007172E8" w:rsidRDefault="00CB2224" w:rsidP="005A13B0">
      <w:pPr>
        <w:numPr>
          <w:ilvl w:val="0"/>
          <w:numId w:val="16"/>
        </w:numPr>
        <w:tabs>
          <w:tab w:val="left" w:pos="360"/>
        </w:tabs>
      </w:pPr>
      <w:r w:rsidRPr="00DB7D4A">
        <w:rPr>
          <w:b/>
          <w:u w:val="single"/>
        </w:rPr>
        <w:t>Post-Implementation Focus Groups for Patients and Families</w:t>
      </w:r>
      <w:r>
        <w:t xml:space="preserve"> (Appendix B)</w:t>
      </w:r>
      <w:r w:rsidR="007172E8">
        <w:t xml:space="preserve">. </w:t>
      </w:r>
      <w:r w:rsidR="005A13B0">
        <w:t xml:space="preserve">Information from patients on their experiences with the Guide and its interventions will be solicited twice during the Field test – once at 3-months and again at 6-months post-implementation of the Guide. Each patient and family focus group will aim to recruit between 6-8 participants and solicit feedback from patients and family members on their experiences with the Guide materials. Information collected will include: i) perceptions on patient safety in primary care practices; ii) </w:t>
      </w:r>
      <w:r w:rsidR="009C19A2">
        <w:t xml:space="preserve">perceptions of </w:t>
      </w:r>
      <w:r w:rsidR="005A13B0">
        <w:t>patient and family engagement in primary care practices; iii) feedback from the patient perspective on the Guide materials and their general use; iv) feasibility of adopting the patient and family focused intervention materials in practice; v) feedback on the patients and family experiences of the Guide and its relation to patient safety.</w:t>
      </w:r>
    </w:p>
    <w:p w:rsidR="007172E8" w:rsidRDefault="007172E8" w:rsidP="007172E8">
      <w:pPr>
        <w:tabs>
          <w:tab w:val="left" w:pos="360"/>
        </w:tabs>
      </w:pPr>
    </w:p>
    <w:p w:rsidR="00CB2224" w:rsidRDefault="00CB2224" w:rsidP="00CB2224">
      <w:pPr>
        <w:numPr>
          <w:ilvl w:val="0"/>
          <w:numId w:val="16"/>
        </w:numPr>
        <w:tabs>
          <w:tab w:val="left" w:pos="360"/>
        </w:tabs>
      </w:pPr>
      <w:r w:rsidRPr="00DB7D4A">
        <w:rPr>
          <w:b/>
          <w:u w:val="single"/>
        </w:rPr>
        <w:t>Baseline Practice Readiness Assessment</w:t>
      </w:r>
      <w:r>
        <w:t xml:space="preserve"> (Appendix C)</w:t>
      </w:r>
      <w:r w:rsidR="005A13B0">
        <w:t xml:space="preserve">. </w:t>
      </w:r>
      <w:r w:rsidR="00CD6D90">
        <w:t xml:space="preserve">Information from primary care practices about their readiness to adopt patient and family engagement strategies will be solicited through telephone interviews with practice staff champions. Information collected will include: i) descriptive information on the person completed the interview (e.g., position in the practice, length of employment, experience in implementing patient safety improvements); ii) description of the patient safety culture of the primary care practice (e.g., teamwork, communication, patient safety culture, etc.,); iii) </w:t>
      </w:r>
      <w:r w:rsidR="009C19A2">
        <w:t xml:space="preserve">perceptions of patient and family engagement within the practice; iv) perceptions of change management strategies, challenges, and barriers (e.g., leadership support, competing initiatives, other production pressures); v) capacity for ongoing internal measurement and assessment of intervention. This process will also solicit general information the interviewee would like to share about the practice’s readiness to implement the Guide strategies. </w:t>
      </w:r>
    </w:p>
    <w:p w:rsidR="005A13B0" w:rsidRDefault="005A13B0" w:rsidP="005A13B0">
      <w:pPr>
        <w:tabs>
          <w:tab w:val="left" w:pos="360"/>
        </w:tabs>
      </w:pPr>
    </w:p>
    <w:p w:rsidR="009C19A2" w:rsidRDefault="00CB2224" w:rsidP="009C19A2">
      <w:pPr>
        <w:numPr>
          <w:ilvl w:val="0"/>
          <w:numId w:val="16"/>
        </w:numPr>
        <w:tabs>
          <w:tab w:val="left" w:pos="360"/>
        </w:tabs>
      </w:pPr>
      <w:r w:rsidRPr="00DB7D4A">
        <w:rPr>
          <w:b/>
          <w:u w:val="single"/>
        </w:rPr>
        <w:t>Post-Implementation Interviews of Primary Care Clinicians</w:t>
      </w:r>
      <w:r>
        <w:t xml:space="preserve"> (Appendix D)</w:t>
      </w:r>
      <w:r w:rsidR="009C19A2">
        <w:t>. Information from primary care clinicians (e.g., physicians, nurses, nurse practitioners, social workers, etc.) on their experiences with the Guide and its interventions will be solicited twice during the Field test – once at 3-months and again at 6-months post-implementation of the Guide. Interviews with 2 and no more than 3 primary care clinicians per practice will be conducted during Field Testing to solicit feedback on their experiences with the Guide materials. Information collected will include: i) perceptions on patient safety in primary care practices; ii) perceptions of patient and family engagement in primary care practices; iii) feedback from the clinician perspective on the Guide materials and their general use; iv) feasibility of adopting the intervention materials in practice; v) feedback on the clinicians’ experiences of the Guide and its relation to patient safety.</w:t>
      </w:r>
    </w:p>
    <w:p w:rsidR="00CB2224" w:rsidRDefault="00CB2224" w:rsidP="00CD48F8">
      <w:pPr>
        <w:tabs>
          <w:tab w:val="left" w:pos="360"/>
        </w:tabs>
        <w:ind w:left="360"/>
      </w:pPr>
    </w:p>
    <w:p w:rsidR="00CD48F8" w:rsidRDefault="00CB2224" w:rsidP="00CD48F8">
      <w:pPr>
        <w:numPr>
          <w:ilvl w:val="0"/>
          <w:numId w:val="16"/>
        </w:numPr>
        <w:tabs>
          <w:tab w:val="left" w:pos="360"/>
        </w:tabs>
      </w:pPr>
      <w:r w:rsidRPr="00DB7D4A">
        <w:rPr>
          <w:b/>
          <w:u w:val="single"/>
        </w:rPr>
        <w:t>Post-Implementation Focus Groups for Practice Staff Members</w:t>
      </w:r>
      <w:r>
        <w:t xml:space="preserve"> (Appendix E)</w:t>
      </w:r>
      <w:r w:rsidR="00CD48F8">
        <w:t>. Information from practice staff members (e.g., practice administrators, medical assistants, schedulers, practice facilitators, other non-clinical staff, etc.) on their experiences with the Guide and its interventions will be solicited twice during the Field test – once at 3-months and again at 6-months post-implementation of the Guide. Focus groups with between 6-8 primary care practice staff will be conducted in each practice during Field Testing to solicit feedback on their experiences with the Guide materials. Information collected will include: i) perceptions on patient safety in primary care practices; ii) perceptions of patient and family engagement in primary care practices; iii) feedback from the practice staff perspective on the Guide materials and their general use; iv) feasibility of adopting the intervention materials in practice; v) feedback on the practice staff’s experiences of the Guide and its relation to patient safety.</w:t>
      </w:r>
    </w:p>
    <w:p w:rsidR="00CB2224" w:rsidRDefault="00CB2224" w:rsidP="00CD48F8">
      <w:pPr>
        <w:tabs>
          <w:tab w:val="left" w:pos="360"/>
        </w:tabs>
        <w:ind w:left="360"/>
      </w:pPr>
    </w:p>
    <w:p w:rsidR="00CB2224" w:rsidRDefault="004A003F" w:rsidP="00CB2224">
      <w:pPr>
        <w:numPr>
          <w:ilvl w:val="0"/>
          <w:numId w:val="16"/>
        </w:numPr>
        <w:tabs>
          <w:tab w:val="left" w:pos="360"/>
        </w:tabs>
      </w:pPr>
      <w:r>
        <w:rPr>
          <w:b/>
          <w:u w:val="single"/>
        </w:rPr>
        <w:t>Monthly</w:t>
      </w:r>
      <w:r w:rsidR="00DB7D4A" w:rsidRPr="00DB7D4A">
        <w:rPr>
          <w:b/>
          <w:u w:val="single"/>
        </w:rPr>
        <w:t xml:space="preserve"> Telephone Interviews with Practice Champions</w:t>
      </w:r>
      <w:r w:rsidR="00DB7D4A">
        <w:t xml:space="preserve"> (Appendix F)</w:t>
      </w:r>
      <w:r>
        <w:t xml:space="preserve">. </w:t>
      </w:r>
      <w:r w:rsidR="000848C2">
        <w:t xml:space="preserve">This survey will be completed over the phone on a monthly basis with the practice champions from the twelve primary care practices engaged in the Field Testing of the Guide. </w:t>
      </w:r>
      <w:r w:rsidR="003F51E1">
        <w:t xml:space="preserve">Information collected will include: i) current progress towards implementation of the intervention(s); ii) movement towards target goals set in the prior meeting; iii) barriers to implementation; iv) facilitators of implementation; v) perceived impact on patient safety; vi) perceived impact on patient and family engagement; vii) plans for the coming weeks/months. </w:t>
      </w:r>
    </w:p>
    <w:p w:rsidR="00CB2224" w:rsidRPr="004F0CA3" w:rsidRDefault="00CB2224" w:rsidP="008B5C64">
      <w:pPr>
        <w:tabs>
          <w:tab w:val="left" w:pos="360"/>
        </w:tabs>
        <w:rPr>
          <w:i/>
        </w:rPr>
      </w:pPr>
    </w:p>
    <w:p w:rsidR="00D201B7" w:rsidRPr="005B3D08" w:rsidRDefault="00D201B7" w:rsidP="00D201B7">
      <w:r>
        <w:t xml:space="preserve">The Field Test evaluation of the Guide is being conducted by AHRQ through its contractor the </w:t>
      </w:r>
      <w:proofErr w:type="spellStart"/>
      <w:r>
        <w:t>MedStar</w:t>
      </w:r>
      <w:proofErr w:type="spellEnd"/>
      <w:r>
        <w:t xml:space="preserve"> Health Research Institute (MHRI) pursuant to </w:t>
      </w:r>
      <w:r w:rsidRPr="00A76300">
        <w:t>(1) 42 U.S.C. 299b-7</w:t>
      </w:r>
      <w:r>
        <w:t>;</w:t>
      </w:r>
      <w:r w:rsidRPr="00A76300">
        <w:t xml:space="preserve"> (2) AHRQ’s authority to conduct and support research on health</w:t>
      </w:r>
      <w:r>
        <w:t xml:space="preserve"> </w:t>
      </w:r>
      <w:r w:rsidRPr="00A76300">
        <w:t>care and on systems for the delivery of such care, including activities with respect to the quality, effectiveness, efficiency, appropriateness</w:t>
      </w:r>
      <w:r>
        <w:t>,</w:t>
      </w:r>
      <w:r w:rsidRPr="00A76300">
        <w:t xml:space="preserve"> and value of health</w:t>
      </w:r>
      <w:r>
        <w:t xml:space="preserve"> </w:t>
      </w:r>
      <w:r w:rsidRPr="00A76300">
        <w:t>care services, 42 U.S.C. 299a(a)(1)</w:t>
      </w:r>
      <w:r>
        <w:t>;</w:t>
      </w:r>
      <w:r w:rsidRPr="00A76300">
        <w:t xml:space="preserve"> and (3) AHRQ’s authority to support the synthesis and dissemination of available scientific evidence for use by patients, consumers, practitioners, providers, purchasers, policymakers, and educators, 42 U.S.C. 299(b)(2).</w:t>
      </w:r>
    </w:p>
    <w:p w:rsidR="00D201B7" w:rsidRDefault="00D201B7" w:rsidP="00C671C3">
      <w:pPr>
        <w:pStyle w:val="ColorfulList-Accent11"/>
        <w:spacing w:after="0" w:line="240" w:lineRule="auto"/>
        <w:ind w:left="0"/>
        <w:rPr>
          <w:rFonts w:ascii="Times New Roman" w:hAnsi="Times New Roman"/>
          <w:sz w:val="24"/>
          <w:szCs w:val="24"/>
        </w:rPr>
      </w:pPr>
    </w:p>
    <w:p w:rsidR="009B633D" w:rsidRPr="00983636" w:rsidRDefault="009B633D" w:rsidP="00B7120A">
      <w:pPr>
        <w:pStyle w:val="Heading2"/>
        <w:spacing w:after="240"/>
        <w:rPr>
          <w:sz w:val="24"/>
        </w:rPr>
      </w:pPr>
      <w:bookmarkStart w:id="6" w:name="_Toc151782177"/>
      <w:bookmarkStart w:id="7" w:name="_Toc158526217"/>
      <w:bookmarkStart w:id="8" w:name="_Toc469151324"/>
      <w:r w:rsidRPr="00983636">
        <w:rPr>
          <w:sz w:val="24"/>
        </w:rPr>
        <w:t>2. Purpose and Use of Information</w:t>
      </w:r>
      <w:bookmarkEnd w:id="6"/>
      <w:bookmarkEnd w:id="7"/>
      <w:bookmarkEnd w:id="8"/>
    </w:p>
    <w:p w:rsidR="00D321B7" w:rsidRDefault="00D321B7" w:rsidP="00D321B7">
      <w:r>
        <w:t xml:space="preserve">AHRQ will use the information collected through this Information Collection Request to assess the feasibility of adopting the Guide to Improving Patient Safety in Primary Care Settings by Engaging Patients and Families. </w:t>
      </w:r>
      <w:r w:rsidR="00047C28">
        <w:t>A</w:t>
      </w:r>
      <w:r w:rsidR="00047C28" w:rsidRPr="00CA2BDD">
        <w:t xml:space="preserve"> mixed-methods approach </w:t>
      </w:r>
      <w:r w:rsidR="00047C28">
        <w:t>will be used to identify</w:t>
      </w:r>
      <w:r w:rsidR="00047C28" w:rsidRPr="00CA2BDD">
        <w:t xml:space="preserve"> barriers and facilitators to uptake and sustainability</w:t>
      </w:r>
      <w:r w:rsidR="00047C28">
        <w:t>, and to answer</w:t>
      </w:r>
      <w:r w:rsidR="00047C28" w:rsidRPr="00CA2BDD">
        <w:t xml:space="preserve"> </w:t>
      </w:r>
      <w:r w:rsidR="00047C28">
        <w:t xml:space="preserve">the </w:t>
      </w:r>
      <w:r w:rsidR="00047C28" w:rsidRPr="00CA2BDD">
        <w:t xml:space="preserve">question “How and in what contexts do the chosen interventions work or can they be amended to work”, rather than “Do they work?” </w:t>
      </w:r>
      <w:r w:rsidR="002E0B4A">
        <w:t xml:space="preserve"> Testing will occur at up to 12 </w:t>
      </w:r>
      <w:r w:rsidR="00047C28">
        <w:t>primary care sites and</w:t>
      </w:r>
      <w:r w:rsidR="00047C28" w:rsidRPr="00CA2BDD">
        <w:t xml:space="preserve"> </w:t>
      </w:r>
      <w:r w:rsidR="00047C28">
        <w:t>f</w:t>
      </w:r>
      <w:r w:rsidR="00047C28" w:rsidRPr="00D6383B">
        <w:t xml:space="preserve">easibility </w:t>
      </w:r>
      <w:r w:rsidR="001727D9">
        <w:t xml:space="preserve">of implementation </w:t>
      </w:r>
      <w:r w:rsidR="00047C28" w:rsidRPr="00D6383B">
        <w:t>will be assessed at the patient, provider, and practice levels</w:t>
      </w:r>
      <w:r w:rsidR="00047C28">
        <w:t>.</w:t>
      </w:r>
      <w:r w:rsidR="00047C28" w:rsidRPr="00CA2BDD">
        <w:t xml:space="preserve"> </w:t>
      </w:r>
      <w:r>
        <w:t xml:space="preserve">The information collected will be used to revise the Guide in order to promote widespread adoption of the Guide.  </w:t>
      </w:r>
    </w:p>
    <w:p w:rsidR="00D321B7" w:rsidRDefault="00D321B7" w:rsidP="00D321B7"/>
    <w:p w:rsidR="00D321B7" w:rsidRDefault="0004096A" w:rsidP="00D321B7">
      <w:r>
        <w:t xml:space="preserve">The specific purpose of each of the data collection instruments is described below: </w:t>
      </w:r>
    </w:p>
    <w:p w:rsidR="0004096A" w:rsidRDefault="0004096A" w:rsidP="00D321B7"/>
    <w:p w:rsidR="0004096A" w:rsidRDefault="0004096A" w:rsidP="0004096A">
      <w:pPr>
        <w:numPr>
          <w:ilvl w:val="0"/>
          <w:numId w:val="17"/>
        </w:numPr>
      </w:pPr>
      <w:r w:rsidRPr="00DB7D4A">
        <w:rPr>
          <w:b/>
          <w:u w:val="single"/>
        </w:rPr>
        <w:t>Baseline Practice Assessment of Primary Care Practices</w:t>
      </w:r>
      <w:r>
        <w:t xml:space="preserve"> </w:t>
      </w:r>
      <w:r w:rsidR="00CF1A8E">
        <w:t xml:space="preserve">(Appendix A). The baseline data collection instruments will be used to provide baseline descriptive characteristics of the practices engaged in the Field Test. They will be used to provide information, in aggregate, about the typical practice that engaged in the Field Test. The baseline assessment will also be used to establish a baseline level of experience in the Guide interventions, patient safety culture, and any competing priorities within the primary care practices. This is important for the evaluation component of the project as it will provide information on the type of practices where the Guide interventions were field tested and support generalizability and acceptability of the Guide revisions. </w:t>
      </w:r>
    </w:p>
    <w:p w:rsidR="00CF1A8E" w:rsidRDefault="00CF1A8E" w:rsidP="00CF1A8E">
      <w:pPr>
        <w:ind w:left="360"/>
      </w:pPr>
    </w:p>
    <w:p w:rsidR="0004096A" w:rsidRDefault="0004096A" w:rsidP="0004096A">
      <w:pPr>
        <w:numPr>
          <w:ilvl w:val="0"/>
          <w:numId w:val="17"/>
        </w:numPr>
      </w:pPr>
      <w:r w:rsidRPr="0004096A">
        <w:rPr>
          <w:b/>
          <w:u w:val="single"/>
        </w:rPr>
        <w:t>Post-Implementation Focus Groups for Patients and Families</w:t>
      </w:r>
      <w:r>
        <w:t xml:space="preserve"> </w:t>
      </w:r>
      <w:r w:rsidR="00CF1A8E">
        <w:t xml:space="preserve">(Appendix B). The data collected is highly qualitative and will be used to assess the challenges of implementation and recommended revisions to the Guide materials to support adoption of the interventions and the Guide in practice. </w:t>
      </w:r>
    </w:p>
    <w:p w:rsidR="00CF1A8E" w:rsidRDefault="00CF1A8E" w:rsidP="00CF1A8E">
      <w:pPr>
        <w:ind w:left="360"/>
      </w:pPr>
    </w:p>
    <w:p w:rsidR="0004096A" w:rsidRDefault="0004096A" w:rsidP="0004096A">
      <w:pPr>
        <w:numPr>
          <w:ilvl w:val="0"/>
          <w:numId w:val="17"/>
        </w:numPr>
      </w:pPr>
      <w:r w:rsidRPr="0004096A">
        <w:rPr>
          <w:b/>
          <w:u w:val="single"/>
        </w:rPr>
        <w:t>Baseline Practice Readiness Assessment</w:t>
      </w:r>
      <w:r>
        <w:t xml:space="preserve"> </w:t>
      </w:r>
      <w:r w:rsidR="00CF1A8E">
        <w:t xml:space="preserve">(Appendix C). </w:t>
      </w:r>
      <w:r w:rsidR="009B20D9">
        <w:t>This data collection will be used to assess each practice’s readiness to change or adopt the Guide interventions into practice. The assessment will provide information on an individual practices’ change readiness, a critical component influencing implementation effectiveness of patient safety practices. This assessment will help in identifying practices that may perceive greater challenges in implementation due to readiness constraints. The assessment will also provide insight on how a practice may self-assess readiness prior to embarking on a practice improvement initiative. This information will be used to craft a self-assessment to be included in the final revised Guide.</w:t>
      </w:r>
    </w:p>
    <w:p w:rsidR="009B20D9" w:rsidRDefault="009B20D9" w:rsidP="009B20D9"/>
    <w:p w:rsidR="00CF1A8E" w:rsidRDefault="0004096A" w:rsidP="00CF1A8E">
      <w:pPr>
        <w:numPr>
          <w:ilvl w:val="0"/>
          <w:numId w:val="17"/>
        </w:numPr>
      </w:pPr>
      <w:r w:rsidRPr="0004096A">
        <w:rPr>
          <w:b/>
          <w:u w:val="single"/>
        </w:rPr>
        <w:t>Post-Implementation Interviews of Primary Care Clinicians</w:t>
      </w:r>
      <w:r>
        <w:t xml:space="preserve"> </w:t>
      </w:r>
      <w:r w:rsidR="00CF1A8E">
        <w:t>(Appendix D).</w:t>
      </w:r>
      <w:r w:rsidR="00CF1A8E" w:rsidRPr="00CF1A8E">
        <w:t xml:space="preserve"> </w:t>
      </w:r>
      <w:r w:rsidR="00CF1A8E">
        <w:t xml:space="preserve">The data collected is highly qualitative and will be used to assess the challenges of implementation and recommended revisions to the Guide materials to support adoption of the interventions and the Guide in practice. </w:t>
      </w:r>
    </w:p>
    <w:p w:rsidR="0004096A" w:rsidRDefault="0004096A" w:rsidP="00CF1A8E">
      <w:pPr>
        <w:ind w:left="360"/>
      </w:pPr>
    </w:p>
    <w:p w:rsidR="00CF1A8E" w:rsidRDefault="0004096A" w:rsidP="00CF1A8E">
      <w:pPr>
        <w:numPr>
          <w:ilvl w:val="0"/>
          <w:numId w:val="17"/>
        </w:numPr>
      </w:pPr>
      <w:r w:rsidRPr="0004096A">
        <w:rPr>
          <w:b/>
          <w:u w:val="single"/>
        </w:rPr>
        <w:t>Post-Implementation Focus Groups for Practice Staff Members</w:t>
      </w:r>
      <w:r>
        <w:t xml:space="preserve"> </w:t>
      </w:r>
      <w:r w:rsidR="00CF1A8E">
        <w:t>(Appendix E).</w:t>
      </w:r>
      <w:r w:rsidR="00CF1A8E" w:rsidRPr="00CF1A8E">
        <w:t xml:space="preserve"> </w:t>
      </w:r>
      <w:r w:rsidR="00CF1A8E">
        <w:t xml:space="preserve">The data collected is highly qualitative and will be used to assess the challenges of implementation and recommended revisions to the Guide materials to support adoption of the interventions and the Guide in practice. </w:t>
      </w:r>
    </w:p>
    <w:p w:rsidR="0004096A" w:rsidRDefault="0004096A" w:rsidP="00CF1A8E">
      <w:pPr>
        <w:ind w:left="360"/>
      </w:pPr>
    </w:p>
    <w:p w:rsidR="00047C28" w:rsidRDefault="0004096A" w:rsidP="006818B4">
      <w:pPr>
        <w:numPr>
          <w:ilvl w:val="0"/>
          <w:numId w:val="17"/>
        </w:numPr>
      </w:pPr>
      <w:r w:rsidRPr="00B35C6B">
        <w:rPr>
          <w:b/>
          <w:u w:val="single"/>
        </w:rPr>
        <w:t>Monthly Telephone Interviews with Practice Champions</w:t>
      </w:r>
      <w:r>
        <w:t xml:space="preserve"> </w:t>
      </w:r>
      <w:r w:rsidR="00CF1A8E">
        <w:t xml:space="preserve">(Appendix F). </w:t>
      </w:r>
      <w:r w:rsidR="005F1874">
        <w:t xml:space="preserve">This data collection tool will be used to gather information </w:t>
      </w:r>
      <w:r w:rsidR="00720558">
        <w:t xml:space="preserve">from practice champions on a monthly basis regarding challenges to implementation. This information will be used to provide insight on the need for technical assistance in adopting the Guide into practice and the common challenges to implementation </w:t>
      </w:r>
      <w:r w:rsidR="00B35C6B">
        <w:t>encountered by primary care practices. This information will be used to revise the Guide.</w:t>
      </w:r>
    </w:p>
    <w:p w:rsidR="00B35C6B" w:rsidRDefault="00B35C6B" w:rsidP="00B35C6B">
      <w:pPr>
        <w:pStyle w:val="ColorfulList-Accent12"/>
      </w:pPr>
    </w:p>
    <w:p w:rsidR="00B35C6B" w:rsidRPr="00817C61" w:rsidRDefault="00B35C6B" w:rsidP="00B35C6B">
      <w:r>
        <w:t>These evaluation instruments (Appendices A-F) are designed to capture primarily qualitative data</w:t>
      </w:r>
      <w:r w:rsidR="00147C46">
        <w:t xml:space="preserve"> (Appendix B-F)</w:t>
      </w:r>
      <w:r>
        <w:t xml:space="preserve"> with some quantitative data</w:t>
      </w:r>
      <w:r w:rsidR="00147C46">
        <w:t xml:space="preserve"> (Appendix A; Participant </w:t>
      </w:r>
      <w:r w:rsidR="00147C46">
        <w:lastRenderedPageBreak/>
        <w:t>Characteristics Table)</w:t>
      </w:r>
      <w:r>
        <w:t xml:space="preserve">. No claim is made that the results from this evaluation will be generalizable in a statistical sense. </w:t>
      </w:r>
      <w:r w:rsidR="00361D31">
        <w:t>However, every attempt will be made to recruit primary care practices that are representative of diverse geographic locations as well as diverse patient populations served</w:t>
      </w:r>
      <w:r w:rsidR="00D11BE0">
        <w:t xml:space="preserve"> including practices that serve low income patient populations</w:t>
      </w:r>
      <w:r w:rsidR="00361D31">
        <w:t xml:space="preserve">. The goals of the evaluation are </w:t>
      </w:r>
      <w:r>
        <w:t xml:space="preserve">aimed at determining the challenges to implementation of the Guide in order to revise the Guide materials prior to dissemination. </w:t>
      </w:r>
    </w:p>
    <w:p w:rsidR="00C4006D" w:rsidRDefault="008E14C2" w:rsidP="00A63B17">
      <w:pPr>
        <w:spacing w:after="240"/>
      </w:pPr>
      <w:r>
        <w:rPr>
          <w:i/>
        </w:rPr>
        <w:t xml:space="preserve"> </w:t>
      </w:r>
    </w:p>
    <w:p w:rsidR="009B633D" w:rsidRPr="00983636" w:rsidRDefault="009B633D" w:rsidP="00B7120A">
      <w:pPr>
        <w:pStyle w:val="Heading2"/>
        <w:spacing w:after="240"/>
        <w:rPr>
          <w:sz w:val="24"/>
        </w:rPr>
      </w:pPr>
      <w:bookmarkStart w:id="9" w:name="_Toc151782178"/>
      <w:bookmarkStart w:id="10" w:name="_Toc158526218"/>
      <w:bookmarkStart w:id="11" w:name="_Toc469151325"/>
      <w:r w:rsidRPr="00983636">
        <w:rPr>
          <w:sz w:val="24"/>
        </w:rPr>
        <w:t>3. Use of Improved Information Technology</w:t>
      </w:r>
      <w:bookmarkEnd w:id="9"/>
      <w:bookmarkEnd w:id="10"/>
      <w:bookmarkEnd w:id="11"/>
    </w:p>
    <w:p w:rsidR="00211E70" w:rsidRPr="007E4359" w:rsidRDefault="00996EB3" w:rsidP="00996EB3">
      <w:pPr>
        <w:jc w:val="both"/>
        <w:rPr>
          <w:i/>
        </w:rPr>
      </w:pPr>
      <w:r w:rsidRPr="00996EB3">
        <w:t>All of the research described herein will rely on paper data collection instruments in the form of interview and focus group guides to be used by the facilitators and moderators for each activity. Interviews</w:t>
      </w:r>
      <w:r w:rsidR="00D93F99">
        <w:t xml:space="preserve"> and focus groups</w:t>
      </w:r>
      <w:r w:rsidRPr="00996EB3">
        <w:t xml:space="preserve"> will be </w:t>
      </w:r>
      <w:r w:rsidR="00D93F99">
        <w:t xml:space="preserve">audio </w:t>
      </w:r>
      <w:r w:rsidRPr="00996EB3">
        <w:t xml:space="preserve">recorded for </w:t>
      </w:r>
      <w:r w:rsidR="00D93F99">
        <w:t xml:space="preserve">the purpose of </w:t>
      </w:r>
      <w:r w:rsidR="00B7120A">
        <w:t xml:space="preserve">transcription and coding. </w:t>
      </w:r>
      <w:r w:rsidRPr="00996EB3">
        <w:t xml:space="preserve">There will otherwise be no automated, electronic, or other technological collection techniques or other forms of information technology used for the </w:t>
      </w:r>
      <w:r w:rsidR="00B35C6B">
        <w:t xml:space="preserve">information </w:t>
      </w:r>
      <w:r w:rsidRPr="00996EB3">
        <w:t xml:space="preserve">collection. </w:t>
      </w:r>
    </w:p>
    <w:p w:rsidR="009B633D" w:rsidRDefault="009B633D" w:rsidP="00B7120A">
      <w:pPr>
        <w:pStyle w:val="Heading2"/>
        <w:spacing w:after="240"/>
        <w:rPr>
          <w:sz w:val="24"/>
        </w:rPr>
      </w:pPr>
      <w:bookmarkStart w:id="12" w:name="_Toc151782179"/>
      <w:bookmarkStart w:id="13" w:name="_Toc158526219"/>
      <w:bookmarkStart w:id="14" w:name="_Toc469151326"/>
      <w:r w:rsidRPr="00983636">
        <w:rPr>
          <w:sz w:val="24"/>
        </w:rPr>
        <w:t>4. Efforts to Identify Duplication</w:t>
      </w:r>
      <w:bookmarkEnd w:id="12"/>
      <w:bookmarkEnd w:id="13"/>
      <w:bookmarkEnd w:id="14"/>
    </w:p>
    <w:p w:rsidR="007E4359" w:rsidRDefault="00375AE3" w:rsidP="003F59B5">
      <w:pPr>
        <w:spacing w:after="240"/>
      </w:pPr>
      <w:r>
        <w:t xml:space="preserve">The first phase of the parent study involved an extensive environmental scan (previously cleared under a Generic Clearance by AHRQ) to review the literature, including published, unpublished, and internet sources to </w:t>
      </w:r>
      <w:r w:rsidR="003F59B5">
        <w:t>identify existing</w:t>
      </w:r>
      <w:r>
        <w:t xml:space="preserve"> interventions and resources pertinent to Guide development.  The environmental scan revealed key gaps which are being addressed by</w:t>
      </w:r>
      <w:r w:rsidR="00D93F99">
        <w:t xml:space="preserve"> the design of the Guide and subsequently evaluated by</w:t>
      </w:r>
      <w:r>
        <w:t xml:space="preserve"> this data collection effort.  </w:t>
      </w:r>
      <w:r w:rsidR="003F59B5">
        <w:t>To our knowledge, t</w:t>
      </w:r>
      <w:r>
        <w:t xml:space="preserve">his does not involve a duplication of any existing efforts.  </w:t>
      </w:r>
    </w:p>
    <w:p w:rsidR="009B633D" w:rsidRDefault="009B633D" w:rsidP="00B7120A">
      <w:pPr>
        <w:pStyle w:val="Heading2"/>
        <w:spacing w:after="240"/>
        <w:rPr>
          <w:sz w:val="24"/>
        </w:rPr>
      </w:pPr>
      <w:bookmarkStart w:id="15" w:name="_Toc151782180"/>
      <w:bookmarkStart w:id="16" w:name="_Toc158526220"/>
      <w:bookmarkStart w:id="17" w:name="_Toc469151327"/>
      <w:r w:rsidRPr="00983636">
        <w:rPr>
          <w:sz w:val="24"/>
        </w:rPr>
        <w:t>5. Involvement of Small Entities</w:t>
      </w:r>
      <w:bookmarkEnd w:id="15"/>
      <w:bookmarkEnd w:id="16"/>
      <w:bookmarkEnd w:id="17"/>
    </w:p>
    <w:p w:rsidR="003926DB" w:rsidRDefault="003926DB" w:rsidP="003F59B5">
      <w:r>
        <w:t>The information being collected under this effort will reflect the variety of settings in which the Guide will actually be used.  This includes medium and large primary care practices.  However, we do not anticipate that any of the practices volunteering to participate would be considered small businesses.</w:t>
      </w:r>
    </w:p>
    <w:p w:rsidR="009B633D" w:rsidRPr="00983636" w:rsidRDefault="009B633D" w:rsidP="00B7120A">
      <w:pPr>
        <w:pStyle w:val="Heading2"/>
        <w:spacing w:after="240"/>
        <w:rPr>
          <w:sz w:val="24"/>
        </w:rPr>
      </w:pPr>
      <w:bookmarkStart w:id="18" w:name="_Toc151782181"/>
      <w:bookmarkStart w:id="19" w:name="_Toc158526221"/>
      <w:bookmarkStart w:id="20" w:name="_Toc469151328"/>
      <w:r w:rsidRPr="00983636">
        <w:rPr>
          <w:sz w:val="24"/>
        </w:rPr>
        <w:t>6. Consequences if Information Collected Less Frequently</w:t>
      </w:r>
      <w:bookmarkEnd w:id="18"/>
      <w:bookmarkEnd w:id="19"/>
      <w:bookmarkEnd w:id="20"/>
    </w:p>
    <w:p w:rsidR="00104B5C" w:rsidRPr="00104B5C" w:rsidRDefault="00104B5C" w:rsidP="00723075">
      <w:pPr>
        <w:spacing w:after="240"/>
      </w:pPr>
      <w:bookmarkStart w:id="21" w:name="_Toc151782182"/>
      <w:bookmarkStart w:id="22" w:name="_Toc158526222"/>
      <w:r>
        <w:t xml:space="preserve">This is a </w:t>
      </w:r>
      <w:r w:rsidR="007235BC">
        <w:t>onetime</w:t>
      </w:r>
      <w:r w:rsidR="00D93F99">
        <w:t xml:space="preserve"> data </w:t>
      </w:r>
      <w:r>
        <w:t>collection</w:t>
      </w:r>
    </w:p>
    <w:p w:rsidR="009B633D" w:rsidRDefault="009B633D" w:rsidP="00B7120A">
      <w:pPr>
        <w:pStyle w:val="Heading2"/>
        <w:spacing w:after="240"/>
        <w:rPr>
          <w:sz w:val="24"/>
        </w:rPr>
      </w:pPr>
      <w:bookmarkStart w:id="23" w:name="_Toc469151329"/>
      <w:r w:rsidRPr="00412C6F">
        <w:rPr>
          <w:sz w:val="24"/>
        </w:rPr>
        <w:t>7. Special Circumstances</w:t>
      </w:r>
      <w:bookmarkEnd w:id="21"/>
      <w:bookmarkEnd w:id="22"/>
      <w:bookmarkEnd w:id="23"/>
    </w:p>
    <w:p w:rsidR="00104B5C" w:rsidRDefault="00104B5C" w:rsidP="00104B5C">
      <w:pPr>
        <w:spacing w:before="120"/>
      </w:pPr>
      <w:r w:rsidRPr="004F03D2">
        <w:t>This request is consistent with the general information collection guid</w:t>
      </w:r>
      <w:r>
        <w:t>elines of 5 CFR 1320.5(d</w:t>
      </w:r>
      <w:proofErr w:type="gramStart"/>
      <w:r>
        <w:t>)(</w:t>
      </w:r>
      <w:proofErr w:type="gramEnd"/>
      <w:r>
        <w:t>2).  No special circumstances apply.</w:t>
      </w:r>
    </w:p>
    <w:p w:rsidR="00104B5C" w:rsidRDefault="00104B5C" w:rsidP="00FB6500">
      <w:pPr>
        <w:rPr>
          <w:i/>
        </w:rPr>
      </w:pPr>
    </w:p>
    <w:p w:rsidR="004E3A1B" w:rsidRDefault="009B633D" w:rsidP="004E3A1B">
      <w:pPr>
        <w:pStyle w:val="Heading2"/>
        <w:rPr>
          <w:sz w:val="24"/>
          <w:szCs w:val="24"/>
        </w:rPr>
      </w:pPr>
      <w:bookmarkStart w:id="24" w:name="_Toc151782183"/>
      <w:bookmarkStart w:id="25" w:name="_Toc158526223"/>
      <w:bookmarkStart w:id="26" w:name="_Toc469151330"/>
      <w:r w:rsidRPr="00412C6F">
        <w:rPr>
          <w:sz w:val="24"/>
        </w:rPr>
        <w:t>8.</w:t>
      </w:r>
      <w:r w:rsidRPr="004E3A1B">
        <w:rPr>
          <w:sz w:val="24"/>
          <w:szCs w:val="24"/>
        </w:rPr>
        <w:t xml:space="preserve"> </w:t>
      </w:r>
      <w:bookmarkEnd w:id="24"/>
      <w:bookmarkEnd w:id="25"/>
      <w:r w:rsidR="004E3A1B" w:rsidRPr="004E3A1B">
        <w:rPr>
          <w:sz w:val="24"/>
          <w:szCs w:val="24"/>
        </w:rPr>
        <w:t>Federal Register Notice and Outside Consultations</w:t>
      </w:r>
      <w:bookmarkEnd w:id="26"/>
    </w:p>
    <w:p w:rsidR="004E3A1B" w:rsidRDefault="004E3A1B" w:rsidP="004E3A1B"/>
    <w:p w:rsidR="00131443" w:rsidRDefault="004E3A1B" w:rsidP="00B7120A">
      <w:pPr>
        <w:spacing w:after="240"/>
        <w:rPr>
          <w:rFonts w:ascii="Arial" w:hAnsi="Arial" w:cs="Arial"/>
          <w:b/>
          <w:bCs/>
          <w:i/>
          <w:iCs/>
        </w:rPr>
      </w:pPr>
      <w:proofErr w:type="gramStart"/>
      <w:r w:rsidRPr="004E3A1B">
        <w:rPr>
          <w:rFonts w:ascii="Arial" w:hAnsi="Arial" w:cs="Arial"/>
          <w:b/>
          <w:i/>
        </w:rPr>
        <w:t>8.a</w:t>
      </w:r>
      <w:proofErr w:type="gramEnd"/>
      <w:r w:rsidRPr="004E3A1B">
        <w:rPr>
          <w:rFonts w:ascii="Arial" w:hAnsi="Arial" w:cs="Arial"/>
          <w:b/>
          <w:i/>
        </w:rPr>
        <w:t>.</w:t>
      </w:r>
      <w:r>
        <w:t xml:space="preserve"> </w:t>
      </w:r>
      <w:r w:rsidRPr="004E3A1B">
        <w:rPr>
          <w:rFonts w:ascii="Arial" w:hAnsi="Arial" w:cs="Arial"/>
          <w:b/>
          <w:bCs/>
          <w:i/>
          <w:iCs/>
        </w:rPr>
        <w:t>Federal Register Notice</w:t>
      </w:r>
    </w:p>
    <w:p w:rsidR="00396B01" w:rsidRPr="004E3A1B" w:rsidRDefault="00396B01" w:rsidP="00396B01">
      <w:bookmarkStart w:id="27" w:name="OLE_LINK3"/>
      <w:bookmarkStart w:id="28" w:name="OLE_LINK4"/>
      <w:r>
        <w:lastRenderedPageBreak/>
        <w:t>As required by 5 CFR 1320.8(d), n</w:t>
      </w:r>
      <w:r w:rsidRPr="007B4120">
        <w:t>otice was published in the Federal Register on</w:t>
      </w:r>
      <w:r>
        <w:t xml:space="preserve">       </w:t>
      </w:r>
      <w:r w:rsidRPr="00590E72">
        <w:t>August 10, 2016</w:t>
      </w:r>
      <w:r>
        <w:t>, on p</w:t>
      </w:r>
      <w:r w:rsidRPr="00FE6474">
        <w:t xml:space="preserve">age </w:t>
      </w:r>
      <w:r w:rsidRPr="00590E72">
        <w:t xml:space="preserve">52864 </w:t>
      </w:r>
      <w:r w:rsidRPr="007B4120">
        <w:t>for 60 days</w:t>
      </w:r>
      <w:r>
        <w:t xml:space="preserve"> (see Attachment G).  </w:t>
      </w:r>
      <w:bookmarkEnd w:id="27"/>
      <w:bookmarkEnd w:id="28"/>
      <w:r>
        <w:t xml:space="preserve">No substantive comments were received.  </w:t>
      </w:r>
    </w:p>
    <w:p w:rsidR="009B633D" w:rsidRPr="00412C6F" w:rsidRDefault="004E3A1B" w:rsidP="00B7120A">
      <w:pPr>
        <w:pStyle w:val="Heading2"/>
        <w:spacing w:after="240"/>
        <w:rPr>
          <w:sz w:val="24"/>
        </w:rPr>
      </w:pPr>
      <w:bookmarkStart w:id="29" w:name="_Toc469151331"/>
      <w:proofErr w:type="gramStart"/>
      <w:r>
        <w:rPr>
          <w:sz w:val="24"/>
        </w:rPr>
        <w:t>8.b</w:t>
      </w:r>
      <w:proofErr w:type="gramEnd"/>
      <w:r>
        <w:rPr>
          <w:sz w:val="24"/>
        </w:rPr>
        <w:t xml:space="preserve">.  </w:t>
      </w:r>
      <w:r w:rsidRPr="004E3A1B">
        <w:rPr>
          <w:sz w:val="24"/>
          <w:szCs w:val="24"/>
        </w:rPr>
        <w:t>Outside Consultations</w:t>
      </w:r>
      <w:bookmarkEnd w:id="29"/>
    </w:p>
    <w:p w:rsidR="00984FB8" w:rsidRDefault="00A806FC" w:rsidP="00B7120A">
      <w:bookmarkStart w:id="30" w:name="_Toc452895063"/>
      <w:bookmarkStart w:id="31" w:name="_Toc457285506"/>
      <w:bookmarkStart w:id="32" w:name="_Toc58725294"/>
      <w:bookmarkStart w:id="33" w:name="_Toc151782184"/>
      <w:bookmarkStart w:id="34" w:name="_Toc158526224"/>
      <w:r>
        <w:t xml:space="preserve">AHRQ has convened </w:t>
      </w:r>
      <w:r w:rsidR="00822CAB">
        <w:t>an</w:t>
      </w:r>
      <w:r>
        <w:t xml:space="preserve"> </w:t>
      </w:r>
      <w:r w:rsidR="00D93F99">
        <w:t>external Technical Expert Panel (TEP</w:t>
      </w:r>
      <w:r>
        <w:t>) to provide expertise</w:t>
      </w:r>
      <w:r w:rsidR="00822CAB">
        <w:t xml:space="preserve"> and guidance to</w:t>
      </w:r>
      <w:r>
        <w:t xml:space="preserve"> develop the plan and design for this full project</w:t>
      </w:r>
      <w:r w:rsidR="00D93F99">
        <w:t xml:space="preserve"> (the Guide)</w:t>
      </w:r>
      <w:r>
        <w:t xml:space="preserve"> and each phase including the Guide development </w:t>
      </w:r>
      <w:r w:rsidR="00D93F99">
        <w:t xml:space="preserve">and evaluation </w:t>
      </w:r>
      <w:r>
        <w:t>for which this data collection is designed</w:t>
      </w:r>
      <w:r w:rsidRPr="00822CAB">
        <w:t>.</w:t>
      </w:r>
      <w:r w:rsidR="00822CAB" w:rsidRPr="00822CAB">
        <w:t xml:space="preserve"> The Technical Expert Panel (TEP) is scheduled to meet a total of six times over the course of the 38-month project</w:t>
      </w:r>
      <w:r w:rsidR="004C5B2F">
        <w:t xml:space="preserve"> which started in September 2015</w:t>
      </w:r>
      <w:r w:rsidR="00822CAB" w:rsidRPr="00822CAB">
        <w:t>, approximately twice in each year of the project.  The first meeting was held on Friday, January 29</w:t>
      </w:r>
      <w:r w:rsidR="00822CAB" w:rsidRPr="00822CAB">
        <w:rPr>
          <w:vertAlign w:val="superscript"/>
        </w:rPr>
        <w:t>th</w:t>
      </w:r>
      <w:r w:rsidR="00822CAB" w:rsidRPr="00822CAB">
        <w:t xml:space="preserve"> via </w:t>
      </w:r>
      <w:proofErr w:type="spellStart"/>
      <w:r w:rsidR="00822CAB" w:rsidRPr="00822CAB">
        <w:t>Webex</w:t>
      </w:r>
      <w:proofErr w:type="spellEnd"/>
      <w:r w:rsidR="00822CAB" w:rsidRPr="00822CAB">
        <w:t>. This virtual</w:t>
      </w:r>
      <w:r w:rsidR="00D93F99">
        <w:t xml:space="preserve"> meeting</w:t>
      </w:r>
      <w:r w:rsidR="00822CAB" w:rsidRPr="00822CAB">
        <w:t xml:space="preserve"> convened 28 participants including TEP members, AHRQ project staff and </w:t>
      </w:r>
      <w:proofErr w:type="spellStart"/>
      <w:r w:rsidR="00822CAB" w:rsidRPr="00822CAB">
        <w:t>MedStar</w:t>
      </w:r>
      <w:proofErr w:type="spellEnd"/>
      <w:r w:rsidR="00822CAB" w:rsidRPr="00822CAB">
        <w:t xml:space="preserve"> project staff for a 2-hour period. The overall purpose of this meeting was to set expectations of the TEP members, review work that ha</w:t>
      </w:r>
      <w:r w:rsidR="00F86336">
        <w:t>d</w:t>
      </w:r>
      <w:r w:rsidR="00822CAB" w:rsidRPr="00822CAB">
        <w:t xml:space="preserve"> been conducted</w:t>
      </w:r>
      <w:r w:rsidR="006E3CDB">
        <w:t xml:space="preserve"> as well as</w:t>
      </w:r>
      <w:r w:rsidR="00F86336">
        <w:t xml:space="preserve"> the </w:t>
      </w:r>
      <w:r w:rsidR="006E3CDB">
        <w:t>planned</w:t>
      </w:r>
      <w:r w:rsidR="00F86336">
        <w:t xml:space="preserve"> data collections. </w:t>
      </w:r>
      <w:r w:rsidR="001C0415">
        <w:t>The second TEP meeting was convened in person in Washington, DC on March 18</w:t>
      </w:r>
      <w:r w:rsidR="001C0415" w:rsidRPr="001C0415">
        <w:rPr>
          <w:vertAlign w:val="superscript"/>
        </w:rPr>
        <w:t>th</w:t>
      </w:r>
      <w:r w:rsidR="001C0415">
        <w:t xml:space="preserve">. The meeting brought together </w:t>
      </w:r>
      <w:r w:rsidR="00FA63F8">
        <w:t>14</w:t>
      </w:r>
      <w:r w:rsidR="001C0415">
        <w:t xml:space="preserve"> attendees and included a discussion and review of the completed phases of the project (e.g. Environmental scan)</w:t>
      </w:r>
      <w:r w:rsidR="00FA63F8">
        <w:t xml:space="preserve"> and deliberations on the interventions that will comprise the Guide. The TEP members also provided input on the interventions and the </w:t>
      </w:r>
      <w:r w:rsidR="001C0415">
        <w:t>planned data collection effort</w:t>
      </w:r>
      <w:r w:rsidR="006E3CDB">
        <w:t xml:space="preserve"> set forth in this clearance</w:t>
      </w:r>
      <w:r w:rsidR="00FA63F8">
        <w:t>.</w:t>
      </w:r>
      <w:bookmarkEnd w:id="30"/>
      <w:r w:rsidR="001C0415">
        <w:t xml:space="preserve"> </w:t>
      </w:r>
      <w:r w:rsidR="001235A6">
        <w:t>The TEP will convene twice during the 12-month field test as set forth in this clearance.</w:t>
      </w:r>
    </w:p>
    <w:p w:rsidR="00C04F47" w:rsidRDefault="00C04F47" w:rsidP="00C04F47"/>
    <w:p w:rsidR="0038217D" w:rsidRDefault="009B633D" w:rsidP="00B7120A">
      <w:pPr>
        <w:pStyle w:val="Heading2"/>
        <w:spacing w:after="240"/>
      </w:pPr>
      <w:bookmarkStart w:id="35" w:name="_Toc469151332"/>
      <w:r w:rsidRPr="00412C6F">
        <w:t>9. Payments/Gifts to Respondents</w:t>
      </w:r>
      <w:bookmarkEnd w:id="31"/>
      <w:bookmarkEnd w:id="32"/>
      <w:bookmarkEnd w:id="33"/>
      <w:bookmarkEnd w:id="34"/>
      <w:bookmarkEnd w:id="35"/>
    </w:p>
    <w:p w:rsidR="009511FC" w:rsidRPr="009511FC" w:rsidRDefault="009511FC" w:rsidP="009511FC">
      <w:pPr>
        <w:rPr>
          <w:b/>
          <w:u w:val="single"/>
        </w:rPr>
      </w:pPr>
      <w:r w:rsidRPr="009511FC">
        <w:rPr>
          <w:b/>
          <w:u w:val="single"/>
        </w:rPr>
        <w:t>Patient and Family Member Participants</w:t>
      </w:r>
    </w:p>
    <w:p w:rsidR="009511FC" w:rsidRDefault="00D11BE0" w:rsidP="009511FC">
      <w:r>
        <w:t>Patient and family p</w:t>
      </w:r>
      <w:r w:rsidR="00C671C3">
        <w:t xml:space="preserve">articipants in the </w:t>
      </w:r>
      <w:r w:rsidR="000E2DC3">
        <w:t>described data collection effort</w:t>
      </w:r>
      <w:r w:rsidR="00C671C3">
        <w:t xml:space="preserve"> will be offered </w:t>
      </w:r>
      <w:r w:rsidR="0084671A" w:rsidRPr="005035FD">
        <w:t>a token of appreciation</w:t>
      </w:r>
      <w:r w:rsidR="000227A8">
        <w:t xml:space="preserve"> for their </w:t>
      </w:r>
      <w:r w:rsidR="003C220A">
        <w:t>effort</w:t>
      </w:r>
      <w:r w:rsidR="00FD6C70">
        <w:t>.</w:t>
      </w:r>
      <w:r>
        <w:t xml:space="preserve"> The incentive is to </w:t>
      </w:r>
      <w:r w:rsidR="0084671A" w:rsidRPr="005035FD">
        <w:t>thank</w:t>
      </w:r>
      <w:r w:rsidR="005968AC">
        <w:t xml:space="preserve"> </w:t>
      </w:r>
      <w:r>
        <w:t xml:space="preserve">the participant for the burden of the data collection. </w:t>
      </w:r>
      <w:r w:rsidR="009511FC">
        <w:t xml:space="preserve">Focus groups for patients and families will be conducted within the practice community in the evening to enhance the opportunity for broad inclusion of patients. The focus group will not be conducted within the primary care practice in conjunction with a usual primary care visit, thus the patient and/or their family member will be required to assume an additional burden to participation of travel and time. </w:t>
      </w:r>
      <w:r w:rsidR="0084671A" w:rsidRPr="005035FD">
        <w:t xml:space="preserve">A token of appreciation of </w:t>
      </w:r>
      <w:r w:rsidR="002F2B33">
        <w:t>$50 will be offered to patients</w:t>
      </w:r>
      <w:r w:rsidR="00EF790F">
        <w:t xml:space="preserve"> and family members</w:t>
      </w:r>
      <w:r w:rsidR="002F2B33">
        <w:t xml:space="preserve"> for a 90-minute focus group for patients and family members. Patient focus groups will be held during the day and/or evening.</w:t>
      </w:r>
    </w:p>
    <w:p w:rsidR="009511FC" w:rsidRDefault="009511FC" w:rsidP="009511FC"/>
    <w:p w:rsidR="009511FC" w:rsidRDefault="009511FC" w:rsidP="009511FC">
      <w:r>
        <w:t>Based on the contractor (</w:t>
      </w:r>
      <w:proofErr w:type="spellStart"/>
      <w:r>
        <w:t>MedStar’s</w:t>
      </w:r>
      <w:proofErr w:type="spellEnd"/>
      <w:r>
        <w:t xml:space="preserve">) previous recruitment efforts for similar studies </w:t>
      </w:r>
      <w:r w:rsidR="002F2B33">
        <w:t xml:space="preserve">as well as the </w:t>
      </w:r>
      <w:r>
        <w:t>published literature, t</w:t>
      </w:r>
      <w:r w:rsidR="002F2B33">
        <w:t>he requested stipend</w:t>
      </w:r>
      <w:r>
        <w:t xml:space="preserve"> represents the minimum amount necessary to recruit</w:t>
      </w:r>
      <w:r w:rsidR="002F2B33">
        <w:t xml:space="preserve">, </w:t>
      </w:r>
      <w:r>
        <w:t>secure participation</w:t>
      </w:r>
      <w:r w:rsidR="002F2B33">
        <w:t>, and ensure adequate response rates</w:t>
      </w:r>
      <w:r>
        <w:t xml:space="preserve"> in data collection efforts</w:t>
      </w:r>
      <w:r w:rsidR="002F2B33">
        <w:t xml:space="preserve"> using similar approaches</w:t>
      </w:r>
      <w:r>
        <w:t>.</w:t>
      </w:r>
      <w:r w:rsidR="0084671A">
        <w:fldChar w:fldCharType="begin" w:fldLock="1"/>
      </w:r>
      <w:r w:rsidR="002F2B33">
        <w:instrText>ADDIN CSL_CITATION { "citationItems" : [ { "id" : "ITEM-1", "itemData" : { "abstract" : "Though heart disease is the number one health problem among women, men continue to represent the majority of those in cardiac rehabilitation for secondary prevention. Research has shown that conventional rehabilitation programs do not meet the needs of women recovering from cardiac events. Women's primary rehabilitative need may be support, particularly from women with similar experiences. Furthermore, the need for support in living with heart disease may persist beyond the in-hospital phase of recovery. The purpose of this study was to develop and implement a community-based communication and psycho-educational support group for women with heart disease. Participatory action research was the methodology selected. Two groups of women (n = 16) met monthly for 5 months to develop the program. Sessions were facilitated jointly by a nurse clinician and a nurse-researcher. Between sessions, participants kept diaries of their experiences. Data consisted of videotapes and transcriptions of the sessions, field notes, and the women's diaries and final evaluation. Initial analysis revealed that the value of the group for the women was threefold: it helped them to cope with their emotional reactions, offered social support, and helped them to manage their health problem. Iterative analysis unveiled a meta-paradigm consistent with the concept of suffering. The apparent overall benefit of a community-based psycho-educational support group for women with heart disease is acknowledgement and sharing of suffering, something that cannot readily occur in women's other life arenas.", "author" : [ { "dropping-particle" : "", "family" : "Arthur", "given" : "Heather M.", "non-dropping-particle" : "", "parse-names" : false, "suffix" : "" }, { "dropping-particle" : "", "family" : "Wright", "given" : "Donna M.", "non-dropping-particle" : "", "parse-names" : false, "suffix" : "" }, { "dropping-particle" : "", "family" : "Smith", "given" : "Kelly M.", "non-dropping-particle" : "", "parse-names" : false, "suffix" : "" } ], "container-title" : "Canadian Journal of Nursing Research", "id" : "ITEM-1", "issue" : "3", "issued" : { "date-parts" : [ [ "2001" ] ] }, "page" : "17-29", "title" : "Women and Heart Disease: The Treatment May End but the Suffering Continues", "type" : "article-journal", "volume" : "33" }, "uris" : [ "http://www.mendeley.com/documents/?uuid=c830f4af-dd00-42e3-bb1f-6c38da37b5f1" ] }, { "id" : "ITEM-2", "itemData" : { "DOI" : "10.1139/h03-034", "ISSN" : "1066-7814", "abstract" : "Dynamic muscle strength (1-RM) and symptom-limited treadmill endurance were compared among three groups (5\u2002M and 5\u2002F per group) of older adults (mean age 72.5\u2002yrs) who had either weight-trained continuously twice per week for 5 years (Tr), ceased to weight train after 2 years (Detr), or acted as controls throughout (Con). The Tr and Detr trained hard (progressing up to 3 sets at up to 80% of 1-RM) for 2 years; the Tr continued training for an additional 3 years at a maintenance level (2 to 3 sets at 60-70% 1-RM), whereas the Detr stopped training for those 3 years. The Con subjects did not train for the duration of the study but took part in identical testing procedures. After 2 years of resistance training, dynamic strength in the Tr and Detr groups increased significantly above baseline and Con values for all exercises, p\u2002&lt;\u20020.0001. Following 3 years of maintenance level training, arm curl, leg press, and bench press 1-RM (sum of both limbs) in the Tr remained significantly above baseline values (21.6\u2002kg...", "author" : [ { "dropping-particle" : "", "family" : "Smith", "given" : "Kelly", "non-dropping-particle" : "", "parse-names" : false, "suffix" : "" }, { "dropping-particle" : "", "family" : "Winegard", "given" : "Karen", "non-dropping-particle" : "", "parse-names" : false, "suffix" : "" }, { "dropping-particle" : "", "family" : "Hicks", "given" : "Audrey L.", "non-dropping-particle" : "", "parse-names" : false, "suffix" : "" }, { "dropping-particle" : "", "family" : "McCartney", "given" : "Neil", "non-dropping-particle" : "", "parse-names" : false, "suffix" : "" } ], "container-title" : "Canadian Journal of Applied Physiology", "id" : "ITEM-2", "issue" : "3", "issued" : { "date-parts" : [ [ "2003", "6", "25" ] ] }, "language" : "en", "page" : "462-474", "publisher" : "NRC Research Press Ottawa, Canada", "title" : "Two Years of Resistance Training in Older Men and Women: The Effects of Three Years of Detraining on the Retention of Dynamic Strength", "type" : "article-journal", "volume" : "28" }, "uris" : [ "http://www.mendeley.com/documents/?uuid=526a3fd6-8168-455d-a251-3cd031b58409" ] }, { "id" : "ITEM-3", "itemData" : { "DOI" : "10.1186/1471-2458-12-856", "abstract" : "Background: The number of people with a chronic disease will strongly increase in the next decades. Therefore, prevention of disease becomes increasingly important. The aim of this systematic review was to identify factors that negatively influence participation in population-based disease prevention programs in General Practice and to establish whether the program type is related to non-participation levels. Methods: We conducted a systematic review in Pubmed, EMBASE, CINAHL and PsycINFO, covering 2000 through July 6th 2012, to identify publications including information about characteristics of non-participants or reasons for non-participation in population-based disease prevention programs in General Practice. Results: A total of 24 original studies met our criteria, seven of which focused on vaccination, eleven on screening aimed at early detection of disease, and six on screening aimed at identifying high risk of a disease, targeting a variety of diseases and conditions. Lack of personal relevance of the program, younger age, higher social deprivation and former non-participation were related to actual non-participation. No differences were found in non-participation levels or factors related to non-participation between the three program types. The large variation in non-participation levels within the program types may be partly due to differences in recruitment strategies, with more active, personalized strategies resulting in higher participation levels compared to an invitation letter. Conclusions: There is still much to be gained by tailoring strategies to improve participation in those who are less likely to do so, namely younger individuals, those living in a deprived area and former non-participants. Participation may increase by applying more active recruitment strategies.", "author" : [ { "dropping-particle" : "", "family" : "Koopmans", "given" : "Berber", "non-dropping-particle" : "", "parse-names" : false, "suffix" : "" }, { "dropping-particle" : "", "family" : "Nielen", "given" : "Mark Mj", "non-dropping-particle" : "", "parse-names" : false, "suffix" : "" }, { "dropping-particle" : "", "family" : "Schellevis", "given" : "Fran\u00e7ois G", "non-dropping-particle" : "", "parse-names" : false, "suffix" : "" }, { "dropping-particle" : "", "family" : "Korevaar", "given" : "Joke C", "non-dropping-particle" : "", "parse-names" : false, "suffix" : "" } ], "container-title" : "BMC Public Health", "id" : "ITEM-3", "issued" : { "date-parts" : [ [ "2012" ] ] }, "page" : "1", "title" : "Non-participation in population-based disease prevention programs in general practice", "type" : "article-journal", "volume" : "12" }, "uris" : [ "http://www.mendeley.com/documents/?uuid=caa6886c-9e5c-3420-964a-516a7342b860" ] }, { "id" : "ITEM-4", "itemData" : { "author" : [ { "dropping-particle" : "", "family" : "Ploeg", "given" : "Michelle", "non-dropping-particle" : "Ver", "parse-names" : false, "suffix" : "" }, { "dropping-particle" : "", "family" : "Moffitt", "given" : "Robert A", "non-dropping-particle" : "", "parse-names" : false, "suffix" : "" }, { "dropping-particle" : "", "family" : "Citro", "given" : "Constance F", "non-dropping-particle" : "", "parse-names" : false, "suffix" : "" } ], "id" : "ITEM-4", "issued" : { "date-parts" : [ [ "2002" ] ] }, "number-of-pages" : "107-125", "publisher-place" : "Washington DC", "title" : "Studies of Welfare Populations: Data Collection and Research Issues. Panel on Data and Methods for Measuring the Effects of Changes in Social Welfare Programs", "type" : "report" }, "uris" : [ "http://www.mendeley.com/documents/?uuid=e332b855-5e18-4313-a4b0-c8528822a418" ] } ], "mendeley" : { "formattedCitation" : "&lt;sup&gt;12\u201315&lt;/sup&gt;", "plainTextFormattedCitation" : "12\u201315", "previouslyFormattedCitation" : "&lt;sup&gt;12\u201315&lt;/sup&gt;" }, "properties" : { "noteIndex" : 0 }, "schema" : "https://github.com/citation-style-language/schema/raw/master/csl-citation.json" }</w:instrText>
      </w:r>
      <w:r w:rsidR="0084671A">
        <w:fldChar w:fldCharType="separate"/>
      </w:r>
      <w:r w:rsidR="002F2B33" w:rsidRPr="002F2B33">
        <w:rPr>
          <w:noProof/>
          <w:vertAlign w:val="superscript"/>
        </w:rPr>
        <w:t>12–15</w:t>
      </w:r>
      <w:r w:rsidR="0084671A">
        <w:fldChar w:fldCharType="end"/>
      </w:r>
      <w:r>
        <w:t xml:space="preserve"> </w:t>
      </w:r>
      <w:r w:rsidR="002F2B33">
        <w:t>Arthur, Smith, and Wright conducted a series of focus groups with women conducted within the community and outside of standard clinical practice to explore barriers to and experiences of care after open heart surgery, heart attack, or percutaneous intervention.</w:t>
      </w:r>
      <w:r w:rsidR="0084671A">
        <w:fldChar w:fldCharType="begin" w:fldLock="1"/>
      </w:r>
      <w:r w:rsidR="007A1298">
        <w:instrText>ADDIN CSL_CITATION { "citationItems" : [ { "id" : "ITEM-1", "itemData" : { "PMID" : "11845619", "author" : [ { "dropping-particle" : "", "family" : "Arthur", "given" : "HM", "non-dropping-particle" : "", "parse-names" : false, "suffix" : "" }, { "dropping-particle" : "", "family" : "Wright", "given" : "DM", "non-dropping-particle" : "", "parse-names" : false, "suffix" : "" }, { "dropping-particle" : "", "family" : "Smith", "given" : "KM", "non-dropping-particle" : "", "parse-names" : false, "suffix" : "" } ], "container-title" : "The Canadian journal of nursing research = Revue canadienne de recherche en sciences infirmieres", "id" : "ITEM-1", "issue" : "3", "issued" : { "date-parts" : [ [ "2001", "12", "1" ] ] }, "language" : "en", "page" : "17-29", "title" : "Women and heart disease: the treatment may end but the suffering continues.", "type" : "article-journal", "volume" : "33" }, "uris" : [ "http://www.mendeley.com/documents/?uuid=eca99c7d-a98c-4dc1-9bc5-4378ade8b4b0" ] } ], "mendeley" : { "formattedCitation" : "&lt;sup&gt;16&lt;/sup&gt;", "plainTextFormattedCitation" : "16", "previouslyFormattedCitation" : "&lt;sup&gt;16&lt;/sup&gt;" }, "properties" : { "noteIndex" : 0 }, "schema" : "https://github.com/citation-style-language/schema/raw/master/csl-citation.json" }</w:instrText>
      </w:r>
      <w:r w:rsidR="0084671A">
        <w:fldChar w:fldCharType="separate"/>
      </w:r>
      <w:r w:rsidR="002F2B33" w:rsidRPr="002F2B33">
        <w:rPr>
          <w:noProof/>
          <w:vertAlign w:val="superscript"/>
        </w:rPr>
        <w:t>16</w:t>
      </w:r>
      <w:r w:rsidR="0084671A">
        <w:fldChar w:fldCharType="end"/>
      </w:r>
      <w:r w:rsidR="002F2B33">
        <w:t xml:space="preserve"> Recruitment challenges resulted in offering a $50 per focus group incentive to each participant to support initial focus group parti</w:t>
      </w:r>
      <w:r w:rsidR="00E80877">
        <w:t xml:space="preserve">cipation and enhance longitudinal response rates. The proposed evaluation is similar </w:t>
      </w:r>
      <w:r w:rsidR="00E80877">
        <w:lastRenderedPageBreak/>
        <w:t xml:space="preserve">to this study, seeking to recruit patients and family members </w:t>
      </w:r>
      <w:r>
        <w:t>along the spectrum of engagement</w:t>
      </w:r>
      <w:r w:rsidR="00E80877">
        <w:t xml:space="preserve"> and </w:t>
      </w:r>
      <w:r w:rsidR="00297D66">
        <w:t>from socioeconomically diverse practice communities</w:t>
      </w:r>
      <w:r>
        <w:t>. Here, engagement in healthcare activities may range from disenfranchised or disengaged (including those with limited experience and exposure to the health system) to patients who are activated and empowered to advocate on behalf of their own healthcare and the healthcare of others.</w:t>
      </w:r>
      <w:r w:rsidR="0084671A">
        <w:fldChar w:fldCharType="begin" w:fldLock="1"/>
      </w:r>
      <w:r w:rsidR="007A1298">
        <w:instrText>ADDIN CSL_CITATION { "citationItems" : [ { "id" : "ITEM-1", "itemData" : { "DOI" : "10.1377/hlthaff.2012.1133", "ISBN" : "1544-5208 (Electronic)\r0278-2715 (Linking)", "PMID" : "23381514", "abstract" : "Patient and family engagement offers a promising pathway toward better-quality health care, more-efficient care, and improved population health. Since definitions of patient engagement and conceptions of how it works vary, we propose a framework. We first present the forms engagement can take, ranging from consultation to partnership. We discuss the levels at which patient engagement can occur across the health care system, from the direct care setting to incorporating patient engagement into organizational design, governance, and policy making. We also discuss the factors that influence whether and to what extent engagement occurs. We explore the implications of our multidimensional framework for the development of interventions and policies that support patient and family engagement, and we offer a research agenda to investigate how such engagement leads to improved outcomes.", "author" : [ { "dropping-particle" : "", "family" : "Carman", "given" : "K L", "non-dropping-particle" : "", "parse-names" : false, "suffix" : "" }, { "dropping-particle" : "", "family" : "Dardess", "given" : "P", "non-dropping-particle" : "", "parse-names" : false, "suffix" : "" }, { "dropping-particle" : "", "family" : "Maurer", "given" : "M", "non-dropping-particle" : "", "parse-names" : false, "suffix" : "" }, { "dropping-particle" : "", "family" : "Sofaer", "given" : "S", "non-dropping-particle" : "", "parse-names" : false, "suffix" : "" }, { "dropping-particle" : "", "family" : "Adams", "given" : "K", "non-dropping-particle" : "", "parse-names" : false, "suffix" : "" }, { "dropping-particle" : "", "family" : "Bechtel", "given" : "C", "non-dropping-particle" : "", "parse-names" : false, "suffix" : "" }, { "dropping-particle" : "", "family" : "Sweeney", "given" : "J", "non-dropping-particle" : "", "parse-names" : false, "suffix" : "" } ], "container-title" : "Health Aff (Millwood)", "edition" : "2013/02/06", "id" : "ITEM-1", "issue" : "2", "issued" : { "date-parts" : [ [ "2013" ] ] }, "language" : "eng", "note" : "Carman, Kristin L\nDardess, Pam\nMaurer, Maureen\nSofaer, Shoshanna\nAdams, Karen\nBechtel, Christine\nSweeney, Jennifer\nProject Hope\nHealth Aff (Millwood). 2013 Feb;32(2):223-31. doi: 10.1377/hlthaff.2012.1133.", "page" : "223-231", "title" : "Patient and family engagement: a framework for understanding the elements and developing interventions and policies", "type" : "article-journal", "volume" : "32" }, "uris" : [ "http://www.mendeley.com/documents/?uuid=0f5b513d-b414-4644-befc-b833f1470d82" ] } ], "mendeley" : { "formattedCitation" : "&lt;sup&gt;17&lt;/sup&gt;", "plainTextFormattedCitation" : "17", "previouslyFormattedCitation" : "&lt;sup&gt;17&lt;/sup&gt;" }, "properties" : { "noteIndex" : 0 }, "schema" : "https://github.com/citation-style-language/schema/raw/master/csl-citation.json" }</w:instrText>
      </w:r>
      <w:r w:rsidR="0084671A">
        <w:fldChar w:fldCharType="separate"/>
      </w:r>
      <w:r w:rsidR="002F2B33" w:rsidRPr="002F2B33">
        <w:rPr>
          <w:noProof/>
          <w:vertAlign w:val="superscript"/>
        </w:rPr>
        <w:t>17</w:t>
      </w:r>
      <w:r w:rsidR="0084671A">
        <w:fldChar w:fldCharType="end"/>
      </w:r>
      <w:r>
        <w:t xml:space="preserve">  Research demonstrates that individuals with limited experience and exposure to the healthcare system, those with lower health consumption, patients from deprived and low income neighborhoods, the elderly and youth, and those from lower socioeconomic backgrounds are less likely to participate in research.</w:t>
      </w:r>
      <w:r w:rsidR="0084671A">
        <w:fldChar w:fldCharType="begin" w:fldLock="1"/>
      </w:r>
      <w:r w:rsidR="007A1298">
        <w:instrText>ADDIN CSL_CITATION { "citationItems" : [ { "id" : "ITEM-1", "itemData" : { "DOI" : "10.1186/1471-2458-12-856", "abstract" : "Background: The number of people with a chronic disease will strongly increase in the next decades. Therefore, prevention of disease becomes increasingly important. The aim of this systematic review was to identify factors that negatively influence participation in population-based disease prevention programs in General Practice and to establish whether the program type is related to non-participation levels. Methods: We conducted a systematic review in Pubmed, EMBASE, CINAHL and PsycINFO, covering 2000 through July 6th 2012, to identify publications including information about characteristics of non-participants or reasons for non-participation in population-based disease prevention programs in General Practice. Results: A total of 24 original studies met our criteria, seven of which focused on vaccination, eleven on screening aimed at early detection of disease, and six on screening aimed at identifying high risk of a disease, targeting a variety of diseases and conditions. Lack of personal relevance of the program, younger age, higher social deprivation and former non-participation were related to actual non-participation. No differences were found in non-participation levels or factors related to non-participation between the three program types. The large variation in non-participation levels within the program types may be partly due to differences in recruitment strategies, with more active, personalized strategies resulting in higher participation levels compared to an invitation letter. Conclusions: There is still much to be gained by tailoring strategies to improve participation in those who are less likely to do so, namely younger individuals, those living in a deprived area and former non-participants. Participation may increase by applying more active recruitment strategies.", "author" : [ { "dropping-particle" : "", "family" : "Koopmans", "given" : "Berber", "non-dropping-particle" : "", "parse-names" : false, "suffix" : "" }, { "dropping-particle" : "", "family" : "Nielen", "given" : "Mark Mj", "non-dropping-particle" : "", "parse-names" : false, "suffix" : "" }, { "dropping-particle" : "", "family" : "Schellevis", "given" : "Fran\u00e7ois G", "non-dropping-particle" : "", "parse-names" : false, "suffix" : "" }, { "dropping-particle" : "", "family" : "Korevaar", "given" : "Joke C", "non-dropping-particle" : "", "parse-names" : false, "suffix" : "" } ], "container-title" : "BMC Public Health", "id" : "ITEM-1", "issued" : { "date-parts" : [ [ "2012" ] ] }, "page" : "1", "title" : "Non-participation in population-based disease prevention programs in general practice", "type" : "article-journal", "volume" : "12" }, "uris" : [ "http://www.mendeley.com/documents/?uuid=caa6886c-9e5c-3420-964a-516a7342b860" ] }, { "id" : "ITEM-2", "itemData" : { "DOI" : "10.1186/1471-2288-14-42", "abstract" : "Background: This study aims to review the literature regarding the barriers to sampling, recruitment, participation, and retention of members of socioeconomically disadvantaged groups in health research and strategies for increasing the amount of health research conducted with socially disadvantaged groups. Methods: A systematic review with narrative synthesis was conducted. Searches of electronic databases Medline, PsychInfo, EMBASE, Social Science Index via Web of Knowledge and CINHAL were conducted for English language articles published up to May 2013. Qualitative and quantitative studies as well as literature reviews were included. Articles were included if they reported attempts to increase disadvantaged group participation in research, or the barriers to research with disadvantaged groups. Groups of interest were those described as socially, culturally or financially disadvantaged compared to the majority of society. Eligible articles were categorised according to five phases of research: 1) sampling, 2) recruitment and gaining consent, 3) data collection and measurement, 4) intervention delivery and uptake, and 5) retention and attrition. Results: In total, 116 papers from 115 studies met inclusion criteria and 31 previous literature reviews were included. A comprehensive summation of the major barriers to working with various disadvantaged groups is provided, along with proposed strategies for addressing each of the identified types of barriers. Most studies of strategies to address the barriers were of a descriptive nature and only nine studies reported the results of randomised trials. Conclusions: To tackle the challenges of research with socially disadvantaged groups, and increase their representation in health and medical research, researchers and research institutions need to acknowledge extended timeframes, plan for higher resourcing costs and operate via community partnerships.", "author" : [ { "dropping-particle" : "", "family" : "Bonevski", "given" : "Billie", "non-dropping-particle" : "", "parse-names" : false, "suffix" : "" }, { "dropping-particle" : "", "family" : "Randell", "given" : "Madeleine", "non-dropping-particle" : "", "parse-names" : false, "suffix" : "" }, { "dropping-particle" : "", "family" : "Paul", "given" : "Chris", "non-dropping-particle" : "", "parse-names" : false, "suffix" : "" }, { "dropping-particle" : "", "family" : "Chapman", "given" : "Kathy", "non-dropping-particle" : "", "parse-names" : false, "suffix" : "" }, { "dropping-particle" : "", "family" : "Twyman", "given" : "Laura", "non-dropping-particle" : "", "parse-names" : false, "suffix" : "" }, { "dropping-particle" : "", "family" : "Bryant", "given" : "Jamie", "non-dropping-particle" : "", "parse-names" : false, "suffix" : "" }, { "dropping-particle" : "", "family" : "Brozek", "given" : "Irena", "non-dropping-particle" : "", "parse-names" : false, "suffix" : "" }, { "dropping-particle" : "", "family" : "Hughes", "given" : "Clare", "non-dropping-particle" : "", "parse-names" : false, "suffix" : "" } ], "id" : "ITEM-2", "issued" : { "date-parts" : [ [ "2014" ] ] }, "title" : "Reaching the hard-to-reach: a systematic review of strategies for improving health and medical research with socially disadvantaged groups", "type" : "article-journal" }, "uris" : [ "http://www.mendeley.com/documents/?uuid=2db0d0e6-4459-3956-9b53-9d72fc560a0a" ] } ], "mendeley" : { "formattedCitation" : "&lt;sup&gt;14,18&lt;/sup&gt;", "plainTextFormattedCitation" : "14,18", "previouslyFormattedCitation" : "&lt;sup&gt;14,18&lt;/sup&gt;" }, "properties" : { "noteIndex" : 0 }, "schema" : "https://github.com/citation-style-language/schema/raw/master/csl-citation.json" }</w:instrText>
      </w:r>
      <w:r w:rsidR="0084671A">
        <w:fldChar w:fldCharType="separate"/>
      </w:r>
      <w:r w:rsidR="002F2B33" w:rsidRPr="002F2B33">
        <w:rPr>
          <w:noProof/>
          <w:vertAlign w:val="superscript"/>
        </w:rPr>
        <w:t>14,18</w:t>
      </w:r>
      <w:r w:rsidR="0084671A">
        <w:fldChar w:fldCharType="end"/>
      </w:r>
      <w:r>
        <w:t xml:space="preserve">  </w:t>
      </w:r>
    </w:p>
    <w:p w:rsidR="009511FC" w:rsidRDefault="009511FC" w:rsidP="00C671C3"/>
    <w:p w:rsidR="009511FC" w:rsidRDefault="009511FC" w:rsidP="00C671C3"/>
    <w:p w:rsidR="002A3A8F" w:rsidRPr="00E612D9" w:rsidRDefault="009E6F7B" w:rsidP="00C671C3">
      <w:pPr>
        <w:rPr>
          <w:b/>
        </w:rPr>
      </w:pPr>
      <w:r w:rsidRPr="00E612D9">
        <w:rPr>
          <w:b/>
        </w:rPr>
        <w:t>Clinical and Non-Clinical Staff</w:t>
      </w:r>
    </w:p>
    <w:p w:rsidR="001702E8" w:rsidRDefault="00E30E6F" w:rsidP="00C671C3">
      <w:r>
        <w:t xml:space="preserve">Clinical and non-clinical staff (e.g. practice staff) will be offered </w:t>
      </w:r>
      <w:r w:rsidR="0084671A" w:rsidRPr="000E5426">
        <w:t>a token of appreciation</w:t>
      </w:r>
      <w:r>
        <w:t xml:space="preserve"> to participate in this data collection effort in an endeavor to enhance response rates and ensure longitudinal participation in the </w:t>
      </w:r>
      <w:r w:rsidR="001702E8">
        <w:t xml:space="preserve">proposed evaluation. </w:t>
      </w:r>
    </w:p>
    <w:p w:rsidR="001702E8" w:rsidRDefault="001702E8" w:rsidP="00C671C3"/>
    <w:p w:rsidR="001702E8" w:rsidRDefault="001702E8" w:rsidP="00E612D9">
      <w:pPr>
        <w:numPr>
          <w:ilvl w:val="0"/>
          <w:numId w:val="18"/>
        </w:numPr>
      </w:pPr>
      <w:r>
        <w:t>Non-clinical staff from each of the 12 primary care practices will be asked to participate in one 90-minute focus group at 3-months and another at 6-months post-implementation. It is essential that the evaluation not disrupt clinical care and primary care practice operations, thus the focus groups will be held after normal practice operating hours and outside the practice setting (e.g. at a space within the community) representing an additional time and travel burden for non-clinical staff. Thus, an incentive of $50 per focus group</w:t>
      </w:r>
      <w:r w:rsidR="005968AC">
        <w:t xml:space="preserve"> </w:t>
      </w:r>
      <w:r w:rsidR="0084671A" w:rsidRPr="000E5426">
        <w:t>participant</w:t>
      </w:r>
      <w:bookmarkStart w:id="36" w:name="_GoBack"/>
      <w:bookmarkEnd w:id="36"/>
      <w:r>
        <w:t xml:space="preserve"> is required to ensure adequate participation and response rates from the non-clinical staff participants.</w:t>
      </w:r>
    </w:p>
    <w:p w:rsidR="001702E8" w:rsidRDefault="001702E8" w:rsidP="00E612D9">
      <w:pPr>
        <w:numPr>
          <w:ilvl w:val="0"/>
          <w:numId w:val="18"/>
        </w:numPr>
      </w:pPr>
      <w:r>
        <w:t xml:space="preserve">Clinical staff from each of the 12 primary care practices will be asked to participate in one up to 60-minute interview at 3-months and another interview at 6-months post-implementation. </w:t>
      </w:r>
      <w:r w:rsidR="00C73150">
        <w:t>To</w:t>
      </w:r>
      <w:r>
        <w:t xml:space="preserve"> minimize disruption to the primary care </w:t>
      </w:r>
      <w:r w:rsidR="00D12934">
        <w:t>clinicians’</w:t>
      </w:r>
      <w:r>
        <w:t xml:space="preserve"> clinical practice, interviews will be scheduled on non-clinical days or at times that are outside of standard primary care practice operating hours. </w:t>
      </w:r>
      <w:r w:rsidR="00C73150">
        <w:t>To</w:t>
      </w:r>
      <w:r>
        <w:t xml:space="preserve"> ensure adequate participation and response rates of the clinical staff as part of this evaluation, we are </w:t>
      </w:r>
      <w:r w:rsidR="00AD2D80">
        <w:t xml:space="preserve">offering </w:t>
      </w:r>
      <w:r w:rsidR="008E1DC5">
        <w:t>clinical staff an incentive of $50 per interview.</w:t>
      </w:r>
    </w:p>
    <w:p w:rsidR="001702E8" w:rsidRDefault="001702E8" w:rsidP="00C671C3"/>
    <w:p w:rsidR="00E612D9" w:rsidRDefault="00E612D9" w:rsidP="00C671C3">
      <w:r>
        <w:t xml:space="preserve">The data collection described here is similar in scope and approach to several completed and ongoing projects of the contractor. Here, incentives including offering refreshments and </w:t>
      </w:r>
      <w:r w:rsidR="0084671A" w:rsidRPr="004A5113">
        <w:t>monetary tokens of appreciation</w:t>
      </w:r>
      <w:r>
        <w:t xml:space="preserve"> have been important to ensure diverse representation of clinical and non-clinical staff</w:t>
      </w:r>
      <w:r w:rsidR="00AE20E6">
        <w:t xml:space="preserve"> in data collection efforts.</w:t>
      </w:r>
      <w:r w:rsidR="0084671A">
        <w:fldChar w:fldCharType="begin" w:fldLock="1"/>
      </w:r>
      <w:r w:rsidR="00A75520">
        <w:instrText>ADDIN CSL_CITATION { "citationItems" : [ { "id" : "ITEM-1", "itemData" : { "DOI" : "10.1136/qshc.2008.031633", "ISSN" : "1475-3901", "PMID" : "20194217", "abstract" : "BACKGROUND: Although acknowledged to be an ethical imperative for providers, disclosure following patient safety incidents remains the exception. The appropriate response to a patient safety incident and the disclosure of medical errors are neither easy nor obvious. An inadequate response to patient harm or an inappropriate disclosure may frustrate practitioners, dent their professional reputation, and alienate patients.\n\nMETHODS: The authors have presented a descriptive study on the comprehensive process for responding to patient safety incidents, including the disclosure of medical errors adopted at a large, urban tertiary care centre in the United States.\n\nRESULTS: In the first two years post-implementation, the \"seven pillars\" process has led to more than 2,000 incident reports annually, prompted more than 100 investigations with root cause analysis, translated into close to 200 system improvements and served as the foundation of almost 106 disclosure conversations and 20 full disclosures of inappropriate or unreasonable care causing harm to patients.\n\nCONCLUSIONS: Adopting a policy of transparency represents a major shift in organisational focus and may take several years to implement. In our experience, the ability to rapidly learn from, respond to, and modify practices based on investigation to improve the safety and quality of patient care is grounded in transparency.", "author" : [ { "dropping-particle" : "", "family" : "McDonald", "given" : "T B", "non-dropping-particle" : "", "parse-names" : false, "suffix" : "" }, { "dropping-particle" : "", "family" : "Helmchen", "given" : "L A", "non-dropping-particle" : "", "parse-names" : false, "suffix" : "" }, { "dropping-particle" : "", "family" : "Smith", "given" : "K M", "non-dropping-particle" : "", "parse-names" : false, "suffix" : "" }, { "dropping-particle" : "", "family" : "Centomani", "given" : "N", "non-dropping-particle" : "", "parse-names" : false, "suffix" : "" }, { "dropping-particle" : "", "family" : "Gunderson", "given" : "A", "non-dropping-particle" : "", "parse-names" : false, "suffix" : "" }, { "dropping-particle" : "", "family" : "Mayer", "given" : "D", "non-dropping-particle" : "", "parse-names" : false, "suffix" : "" }, { "dropping-particle" : "", "family" : "Chamberlin", "given" : "W H", "non-dropping-particle" : "", "parse-names" : false, "suffix" : "" } ], "container-title" : "Quality &amp; safety in health care", "id" : "ITEM-1", "issue" : "6", "issued" : { "date-parts" : [ [ "2010", "12", "1" ] ] }, "page" : "e11", "title" : "Responding to patient safety incidents: the \"seven pillars\".", "type" : "article-journal", "volume" : "19" }, "uris" : [ "http://www.mendeley.com/documents/?uuid=44ef3d0b-5ce3-40d7-ba3d-beda917a710f" ] }, { "id" : "ITEM-2", "itemData" : { "URL" : "http://www.wewant2know.org/", "accessed" : { "date-parts" : [ [ "2016", "1", "1" ] ] }, "author" : [ { "dropping-particle" : "", "family" : "Smith", "given" : "Kelly M.", "non-dropping-particle" : "", "parse-names" : false, "suffix" : "" }, { "dropping-particle" : "", "family" : "Mazor", "given" : "Kathleen M.", "non-dropping-particle" : "", "parse-names" : false, "suffix" : "" }, { "dropping-particle" : "", "family" : "Gallagher", "given" : "Thomas H.", "non-dropping-particle" : "", "parse-names" : false, "suffix" : "" } ], "container-title" : "MedStar Health", "id" : "ITEM-2", "issued" : { "date-parts" : [ [ "2014" ] ] }, "title" : "We Want to Know", "type" : "webpage" }, "uris" : [ "http://www.mendeley.com/documents/?uuid=562f26a8-4c53-4466-87f7-f63226a5ebbd" ] }, { "id" : "ITEM-3", "itemData" : { "URL" : "https://www.ahrq.gov/professionals/quality-patient-safety/patient-safety-resources/resources/candor/introduction.html", "author" : [ { "dropping-particle" : "", "family" : "Quality", "given" : "Agency for Healthcare Research and", "non-dropping-particle" : "", "parse-names" : false, "suffix" : "" } ], "id" : "ITEM-3", "issued" : { "date-parts" : [ [ "0" ] ] }, "title" : "Communication and Optimal Resolution (CANDOR) Toolkit", "type" : "webpage" }, "uris" : [ "http://www.mendeley.com/documents/?uuid=a54bbdeb-88c8-467d-a9e7-f6a681e669a8" ] }, { "id" : "ITEM-4", "itemData" : { "DOI" : "10.1111/1475-6773.12548", "ISBN" : "0017-9124", "ISSN" : "14756773", "PMID" : "27558861", "abstract" : "OBJECTIVE To determine whether a communication and resolution approach to patient harm is associated with changes in medical liability processes and outcomes. DATA SOURCES/STUDY SETTING Administrative, safety, and risk management data from the University of Illinois Hospital and Health Sciences System, from 2002 to 2014. STUDY DESIGN Single health system, interrupted time series design. Using Mann-Whitney U tests and segmented regression models, we compared means and trends in incident reports, claims, event analyses, patient communication consults, legal fees, costs per claim, settlements, and self-insurance expenses before and after the implementation of the \"Seven Pillars\" communication and resolution intervention. DATA COLLECTION METHODS Queried databases maintained by Department of Safety and Risk Management and the Department of Administrative Services at UIH. Extracted data from risk module of the Midas incident reporting system. PRINCIPAL FINDINGS The intervention nearly doubled the number of incident reports, halved the number of claims, and reduced legal fees and costs as well as total costs per claim, settlement amounts, and self-insurance costs. CONCLUSIONS A communication and optimal resolution (CANDOR) approach to adverse events was associated with long-lasting, clinically and financially significant changes in a large set of core medical liability process and outcome measures.", "author" : [ { "dropping-particle" : "", "family" : "Lambert", "given" : "Bruce L.", "non-dropping-particle" : "", "parse-names" : false, "suffix" : "" }, { "dropping-particle" : "", "family" : "Centomani", "given" : "Nichola M.", "non-dropping-particle" : "", "parse-names" : false, "suffix" : "" }, { "dropping-particle" : "", "family" : "Smith", "given" : "Kelly M.", "non-dropping-particle" : "", "parse-names" : false, "suffix" : "" }, { "dropping-particle" : "", "family" : "Helmchen", "given" : "Lorens A.", "non-dropping-particle" : "", "parse-names" : false, "suffix" : "" }, { "dropping-particle" : "", "family" : "Bhaumik", "given" : "Dulal K.", "non-dropping-particle" : "", "parse-names" : false, "suffix" : "" }, { "dropping-particle" : "", "family" : "Jalundhwala", "given" : "Yash J.", "non-dropping-particle" : "", "parse-names" : false, "suffix" : "" }, { "dropping-particle" : "", "family" : "Mcdonald", "given" : "Timothy B.", "non-dropping-particle" : "", "parse-names" : false, "suffix" : "" } ], "container-title" : "Health Services Research", "id" : "ITEM-4", "issued" : { "date-parts" : [ [ "2016" ] ] }, "page" : "1-25", "title" : "The \"Seven Pillars\" Response to Patient Safety Incidents: Effects on Medical Liability Processes and Outcomes", "type" : "article-journal" }, "uris" : [ "http://www.mendeley.com/documents/?uuid=8090de09-7479-4f5b-be56-25ea21aba16e" ] }, { "id" : "ITEM-5", "itemData" : { "DOI" : "10.7326/M15-2416", "ISSN" : "0003-4819", "author" : [ { "dropping-particle" : "", "family" : "Mazor", "given" : "Kathleen M.", "non-dropping-particle" : "", "parse-names" : false, "suffix" : "" }, { "dropping-particle" : "", "family" : "Smith", "given" : "Kelly M.", "non-dropping-particle" : "", "parse-names" : false, "suffix" : "" }, { "dropping-particle" : "", "family" : "Fisher", "given" : "Kimberly A.", "non-dropping-particle" : "", "parse-names" : false, "suffix" : "" }, { "dropping-particle" : "", "family" : "Gallagher", "given" : "Thomas H.", "non-dropping-particle" : "", "parse-names" : false, "suffix" : "" } ], "container-title" : "Annals of Internal Medicine", "id" : "ITEM-5", "issued" : { "date-parts" : [ [ "2016", "2", "9" ] ] }, "page" : "1", "title" : "Speak Up! Addressing the Paradox Plaguing Patient-Centered Care", "type" : "article-journal" }, "uris" : [ "http://www.mendeley.com/documents/?uuid=eb1b71b9-257e-4932-8ac8-beaecbdb2f9d" ] }, { "id" : "ITEM-6", "itemData" : { "DOI" : "10.1097/PTS.0000000000000153", "ISSN" : "1549-8425", "PMID" : "25706909", "abstract" : "OBJECTIVES: Transparent communication after medical error includes disclosing the mistake to the patient, discussing the event with colleagues, and reporting to the institution. Little is known about whether attitudes about these transparency practices are related. Understanding these relationships could inform educational and organizational strategies to promote transparency.\n\nMETHODS: We analyzed responses of 3038 US and Canadian physicians to a medical error communication survey. We used bivariate correlations, principal components analysis, and linear regression to determine whether and how physician attitudes about transparent communication with patients, peers, and the institution after error were related.\n\nRESULTS: Physician attitudes about disclosing errors to patients, peers, and institutions were correlated (all P's &lt; 0.001) and represented 2 principal components analysis factors, namely, communication with patients and communication with peers/institution. Predictors of attitudes supporting transparent communication with patients and peers/institution included female sex, US (vs Canadian) doctors, academic (vs private) practice, the belief that disclosure decreased likelihood of litigation, and the belief that system changes occur after error reporting. In addition, younger physicians, surgeons, and those with previous experience disclosing a serious error were more likely to agree with disclosure to patients. In comparison, doctors who believed that disclosure would decrease patient trust were less likely to agree with error disclosure to patients. Previous disclosure education was associated with attitudes supporting greater transparency with peers/institution.\n\nCONCLUSIONS: Physician attitudes about discussing errors with patients, colleagues, and institutions are related. Several predictors of transparency affect all 3 practices and are potentially modifiable by educational and institutional strategies.", "author" : [ { "dropping-particle" : "", "family" : "Bell", "given" : "Sigall K", "non-dropping-particle" : "", "parse-names" : false, "suffix" : "" }, { "dropping-particle" : "", "family" : "White", "given" : "Andrew A", "non-dropping-particle" : "", "parse-names" : false, "suffix" : "" }, { "dropping-particle" : "", "family" : "Yi", "given" : "Jean C", "non-dropping-particle" : "", "parse-names" : false, "suffix" : "" }, { "dropping-particle" : "", "family" : "Yi-Frazier", "given" : "Joyce P", "non-dropping-particle" : "", "parse-names" : false, "suffix" : "" }, { "dropping-particle" : "", "family" : "Gallagher", "given" : "Thomas H", "non-dropping-particle" : "", "parse-names" : false, "suffix" : "" } ], "container-title" : "Journal of patient safety", "id" : "ITEM-6", "issued" : { "date-parts" : [ [ "2015", "2", "24" ] ] }, "title" : "Transparency When Things Go Wrong: Physician Attitudes About Reporting Medical Errors to Patients, Peers, and Institutions.", "type" : "article-journal" }, "uris" : [ "http://www.mendeley.com/documents/?uuid=d5cdc268-407b-4af2-b248-0aff9a8ab996" ] }, { "id" : "ITEM-7", "itemData" : { "DOI" : "10.1111/j.1468-0009.2012.00679.x", "ISSN" : "1468-0009", "PMID" : "23216427", "abstract" : "CONTEXT: The Disclosure, Apology, and Offer (DA&amp;O) model, a response to patient injuries caused by medical care, is an innovative approach receiving national attention for its early success as an alternative to the existing inherently adversarial, inefficient, and inequitable medical liability system. Examples of DA&amp;O programs, however, are few.\n\nMETHODS: Through key informant interviews, we investigated the potential for more widespread implementation of this model by provider organizations and liability insurers, defining barriers to implementation and strategies for overcoming them. Our study focused on Massachusetts, but we also explored themes that are broadly generalizable to other states.\n\nFINDINGS: We found strong support for the DA&amp;O model among key stakeholders, who cited its benefits for both the liability system and patient safety. The respondents did not perceive any insurmountable barriers to broad implementation, and they identified strategies that could be pursued relatively quickly. Such solutions would permit a range of organizations to implement the model without legislative hurdles.\n\nCONCLUSIONS: Although more data are needed about the outcomes of DA&amp;O programs, the model holds considerable promise for transforming the current approach to medical liability and patient safety.", "author" : [ { "dropping-particle" : "", "family" : "Bell", "given" : "Sigall K", "non-dropping-particle" : "", "parse-names" : false, "suffix" : "" }, { "dropping-particle" : "", "family" : "Smulowitz", "given" : "Peter B", "non-dropping-particle" : "", "parse-names" : false, "suffix" : "" }, { "dropping-particle" : "", "family" : "Woodward", "given" : "Alan C", "non-dropping-particle" : "", "parse-names" : false, "suffix" : "" }, { "dropping-particle" : "", "family" : "Mello", "given" : "Michelle M", "non-dropping-particle" : "", "parse-names" : false, "suffix" : "" }, { "dropping-particle" : "", "family" : "Duva", "given" : "Anjali Mitter", "non-dropping-particle" : "", "parse-names" : false, "suffix" : "" }, { "dropping-particle" : "", "family" : "Boothman", "given" : "Richard C", "non-dropping-particle" : "", "parse-names" : false, "suffix" : "" }, { "dropping-particle" : "", "family" : "Sands", "given" : "Kenneth", "non-dropping-particle" : "", "parse-names" : false, "suffix" : "" } ], "container-title" : "The Milbank quarterly", "id" : "ITEM-7", "issue" : "4", "issued" : { "date-parts" : [ [ "2012", "12" ] ] }, "page" : "682-705", "title" : "Disclosure, apology, and offer programs: stakeholders' views of barriers to and strategies for broad implementation.", "type" : "article-journal", "volume" : "90" }, "uris" : [ "http://www.mendeley.com/documents/?uuid=d8fc190a-df60-44ad-9f94-421e69922efd" ] } ], "mendeley" : { "formattedCitation" : "&lt;sup&gt;6,19\u201324&lt;/sup&gt;", "plainTextFormattedCitation" : "6,19\u201324", "previouslyFormattedCitation" : "&lt;sup&gt;6,19\u201324&lt;/sup&gt;" }, "properties" : { "noteIndex" : 0 }, "schema" : "https://github.com/citation-style-language/schema/raw/master/csl-citation.json" }</w:instrText>
      </w:r>
      <w:r w:rsidR="0084671A">
        <w:fldChar w:fldCharType="separate"/>
      </w:r>
      <w:r w:rsidR="007A1298" w:rsidRPr="007A1298">
        <w:rPr>
          <w:noProof/>
          <w:vertAlign w:val="superscript"/>
        </w:rPr>
        <w:t>6,19–24</w:t>
      </w:r>
      <w:r w:rsidR="0084671A">
        <w:fldChar w:fldCharType="end"/>
      </w:r>
    </w:p>
    <w:p w:rsidR="009E6F7B" w:rsidRDefault="00E612D9" w:rsidP="00C671C3">
      <w:r>
        <w:t xml:space="preserve"> </w:t>
      </w:r>
      <w:r w:rsidR="001702E8">
        <w:t xml:space="preserve">  </w:t>
      </w:r>
    </w:p>
    <w:p w:rsidR="00C671C3" w:rsidRDefault="002A3A8F" w:rsidP="00C671C3">
      <w:r>
        <w:t xml:space="preserve">The contractor also consulted with patient representatives from the target demographics (e.g. range of socioeconomic status, age, low and high users of healthcare) as well as primary care clinicians and </w:t>
      </w:r>
      <w:r w:rsidR="00673A57">
        <w:t xml:space="preserve">non-clinical practice </w:t>
      </w:r>
      <w:r>
        <w:t xml:space="preserve">staff members to </w:t>
      </w:r>
      <w:r w:rsidR="00720756">
        <w:t xml:space="preserve">examine </w:t>
      </w:r>
      <w:r>
        <w:t xml:space="preserve">the necessity of </w:t>
      </w:r>
      <w:r w:rsidR="0084671A" w:rsidRPr="004A5113">
        <w:t>incentives</w:t>
      </w:r>
      <w:r w:rsidR="005968AC">
        <w:t xml:space="preserve"> </w:t>
      </w:r>
      <w:r>
        <w:t xml:space="preserve">to </w:t>
      </w:r>
      <w:r w:rsidR="00673A57">
        <w:t xml:space="preserve">ensure adequate response rates to the information collection. </w:t>
      </w:r>
      <w:r>
        <w:t xml:space="preserve">The </w:t>
      </w:r>
      <w:r w:rsidR="00673A57">
        <w:t xml:space="preserve">minimum recommended </w:t>
      </w:r>
      <w:r w:rsidR="0084671A" w:rsidRPr="004A5113">
        <w:t>incentive</w:t>
      </w:r>
      <w:r w:rsidR="00673A57">
        <w:t xml:space="preserve"> of </w:t>
      </w:r>
      <w:r>
        <w:t xml:space="preserve">$50 </w:t>
      </w:r>
      <w:r w:rsidR="00673A57">
        <w:t>per</w:t>
      </w:r>
      <w:r>
        <w:t xml:space="preserve"> focus group or interview </w:t>
      </w:r>
      <w:r w:rsidR="00673A57">
        <w:t xml:space="preserve">was described as </w:t>
      </w:r>
      <w:r>
        <w:t xml:space="preserve">necessary to achieve </w:t>
      </w:r>
      <w:r w:rsidR="00B840B5">
        <w:t>an</w:t>
      </w:r>
      <w:r>
        <w:t xml:space="preserve"> adequate response rate </w:t>
      </w:r>
      <w:r w:rsidR="00673A57">
        <w:t xml:space="preserve">to the data collection </w:t>
      </w:r>
      <w:r>
        <w:t xml:space="preserve">for each of our target </w:t>
      </w:r>
      <w:r w:rsidR="00673A57">
        <w:t>populations</w:t>
      </w:r>
      <w:r>
        <w:t xml:space="preserve">. </w:t>
      </w:r>
    </w:p>
    <w:p w:rsidR="009511FC" w:rsidRDefault="009511FC" w:rsidP="00C671C3"/>
    <w:p w:rsidR="001727D9" w:rsidRDefault="001727D9" w:rsidP="00C671C3"/>
    <w:p w:rsidR="009B633D" w:rsidRPr="00412C6F" w:rsidRDefault="009B633D" w:rsidP="00B7120A">
      <w:pPr>
        <w:pStyle w:val="Heading2"/>
        <w:spacing w:after="240"/>
        <w:rPr>
          <w:sz w:val="24"/>
        </w:rPr>
      </w:pPr>
      <w:bookmarkStart w:id="37" w:name="_Toc151782185"/>
      <w:bookmarkStart w:id="38" w:name="_Toc158526225"/>
      <w:bookmarkStart w:id="39" w:name="_Toc469151333"/>
      <w:r w:rsidRPr="00412C6F">
        <w:rPr>
          <w:sz w:val="24"/>
        </w:rPr>
        <w:lastRenderedPageBreak/>
        <w:t>10. Assurance of Confidentiality</w:t>
      </w:r>
      <w:bookmarkEnd w:id="37"/>
      <w:bookmarkEnd w:id="38"/>
      <w:bookmarkEnd w:id="39"/>
    </w:p>
    <w:p w:rsidR="00A2374F" w:rsidRDefault="00012921" w:rsidP="00B7120A">
      <w:pPr>
        <w:autoSpaceDE w:val="0"/>
        <w:autoSpaceDN w:val="0"/>
        <w:adjustRightInd w:val="0"/>
        <w:spacing w:after="240"/>
      </w:pPr>
      <w:r w:rsidRPr="00012921">
        <w:t>Individuals and organizations will be assured of the confidentiality of their replies under Section 944(c) of the Public Health Service Act.  </w:t>
      </w:r>
      <w:proofErr w:type="gramStart"/>
      <w:r w:rsidRPr="00012921">
        <w:t>42 U.S.C. 299c-3(c).</w:t>
      </w:r>
      <w:proofErr w:type="gramEnd"/>
      <w:r w:rsidRPr="00012921">
        <w:t>  That law requires that information collected for research conducted or supported by AHRQ that identifies individuals or establishments be used only for the purpose for which it was supplied</w:t>
      </w:r>
      <w:r>
        <w:t>.</w:t>
      </w:r>
    </w:p>
    <w:p w:rsidR="00A2374F" w:rsidRPr="002475EB" w:rsidRDefault="00A47C7F" w:rsidP="00A2374F">
      <w:pPr>
        <w:autoSpaceDE w:val="0"/>
        <w:autoSpaceDN w:val="0"/>
        <w:adjustRightInd w:val="0"/>
        <w:spacing w:after="240"/>
      </w:pPr>
      <w:r>
        <w:t>In</w:t>
      </w:r>
      <w:r w:rsidR="00A2374F">
        <w:t xml:space="preserve"> the baseline assessment,</w:t>
      </w:r>
      <w:r>
        <w:t xml:space="preserve"> descriptive information about the practice is collected. The </w:t>
      </w:r>
      <w:r w:rsidR="00A2374F">
        <w:t xml:space="preserve">names of the contact person and medical director </w:t>
      </w:r>
      <w:r>
        <w:t>are</w:t>
      </w:r>
      <w:r w:rsidR="00A2374F">
        <w:t xml:space="preserve"> collected</w:t>
      </w:r>
      <w:r>
        <w:t xml:space="preserve"> only to allow future communication </w:t>
      </w:r>
      <w:r w:rsidR="00766E33">
        <w:t xml:space="preserve">between </w:t>
      </w:r>
      <w:proofErr w:type="spellStart"/>
      <w:r w:rsidR="00766E33">
        <w:t>MedStar</w:t>
      </w:r>
      <w:proofErr w:type="spellEnd"/>
      <w:r w:rsidR="00766E33">
        <w:t xml:space="preserve"> and the practice</w:t>
      </w:r>
      <w:r>
        <w:t xml:space="preserve"> and</w:t>
      </w:r>
      <w:r w:rsidR="00766E33">
        <w:t xml:space="preserve"> </w:t>
      </w:r>
      <w:r w:rsidR="00A2374F">
        <w:t>to facilitate arranging site visits, interviews, and focus groups</w:t>
      </w:r>
      <w:r w:rsidR="00766E33">
        <w:t>.</w:t>
      </w:r>
      <w:r>
        <w:t xml:space="preserve"> The person who completes the baseline assessment is not identified and is not necessarily the contact person or medical director. These names will be used for communication only and</w:t>
      </w:r>
      <w:r w:rsidR="00766E33">
        <w:t xml:space="preserve"> will not</w:t>
      </w:r>
      <w:r w:rsidR="00A2374F" w:rsidRPr="00E321CD">
        <w:t xml:space="preserve"> </w:t>
      </w:r>
      <w:r w:rsidR="00A2374F">
        <w:t xml:space="preserve">be </w:t>
      </w:r>
      <w:r w:rsidR="00A2374F" w:rsidRPr="00E321CD">
        <w:t>made public</w:t>
      </w:r>
      <w:r w:rsidR="00A2374F">
        <w:t>.</w:t>
      </w:r>
    </w:p>
    <w:p w:rsidR="00407515" w:rsidRDefault="00A2374F" w:rsidP="00A2374F">
      <w:pPr>
        <w:autoSpaceDE w:val="0"/>
        <w:autoSpaceDN w:val="0"/>
        <w:adjustRightInd w:val="0"/>
        <w:spacing w:after="240"/>
        <w:rPr>
          <w:b/>
        </w:rPr>
      </w:pPr>
      <w:r>
        <w:t>For the interviews and focus groups, i</w:t>
      </w:r>
      <w:r w:rsidR="00DB49A0">
        <w:t xml:space="preserve">nformation that can directly identify the respondent, such as name </w:t>
      </w:r>
      <w:r>
        <w:t xml:space="preserve">and/or social security number </w:t>
      </w:r>
      <w:r w:rsidR="00DB49A0" w:rsidRPr="00DB49A0">
        <w:rPr>
          <w:i/>
        </w:rPr>
        <w:t>will</w:t>
      </w:r>
      <w:r>
        <w:rPr>
          <w:i/>
        </w:rPr>
        <w:t xml:space="preserve"> not</w:t>
      </w:r>
      <w:r w:rsidR="00DB49A0" w:rsidRPr="00DB49A0">
        <w:rPr>
          <w:i/>
        </w:rPr>
        <w:t xml:space="preserve"> </w:t>
      </w:r>
      <w:r w:rsidR="00DB49A0">
        <w:t xml:space="preserve">be collected.  </w:t>
      </w:r>
      <w:r w:rsidR="003F61D9">
        <w:t>T</w:t>
      </w:r>
      <w:r w:rsidR="00407515">
        <w:t>he following participant characteristics</w:t>
      </w:r>
      <w:r w:rsidR="003F61D9">
        <w:t xml:space="preserve"> will be collected</w:t>
      </w:r>
      <w:r w:rsidR="00407515">
        <w:t xml:space="preserve"> for individuals volunteering to test the intervention materials. These data will be presented in aggregate and used to describe the sample of individuals providing feedback. </w:t>
      </w:r>
      <w:r w:rsidR="003F61D9">
        <w:t>No i</w:t>
      </w:r>
      <w:r w:rsidR="00EE5C41">
        <w:t>nformation that will otherwise allow for individual identification of participants</w:t>
      </w:r>
      <w:r w:rsidR="003F61D9">
        <w:t xml:space="preserve"> will be collected</w:t>
      </w:r>
      <w:r w:rsidR="00EE5C41">
        <w:t xml:space="preserve">. </w:t>
      </w:r>
    </w:p>
    <w:p w:rsidR="00673A57" w:rsidRDefault="00673A57" w:rsidP="00673A57">
      <w:pPr>
        <w:pStyle w:val="Caption"/>
        <w:keepNext/>
      </w:pPr>
      <w:r>
        <w:lastRenderedPageBreak/>
        <w:t xml:space="preserve">Table </w:t>
      </w:r>
      <w:r w:rsidR="000E5426">
        <w:fldChar w:fldCharType="begin"/>
      </w:r>
      <w:r w:rsidR="000E5426">
        <w:instrText xml:space="preserve"> SEQ Table \* ARABIC </w:instrText>
      </w:r>
      <w:r w:rsidR="000E5426">
        <w:fldChar w:fldCharType="separate"/>
      </w:r>
      <w:r>
        <w:rPr>
          <w:noProof/>
        </w:rPr>
        <w:t>1</w:t>
      </w:r>
      <w:r w:rsidR="000E5426">
        <w:rPr>
          <w:noProof/>
        </w:rPr>
        <w:fldChar w:fldCharType="end"/>
      </w:r>
      <w:r>
        <w:t xml:space="preserve"> Participant Characteristics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2515"/>
        <w:gridCol w:w="3443"/>
      </w:tblGrid>
      <w:tr w:rsidR="00407515" w:rsidTr="00B7120A">
        <w:tc>
          <w:tcPr>
            <w:tcW w:w="2898" w:type="dxa"/>
          </w:tcPr>
          <w:p w:rsidR="00407515" w:rsidRPr="00D7427B" w:rsidRDefault="00407515" w:rsidP="00E76E4C">
            <w:pPr>
              <w:keepNext/>
              <w:jc w:val="center"/>
              <w:rPr>
                <w:b/>
              </w:rPr>
            </w:pPr>
            <w:r w:rsidRPr="00D7427B">
              <w:rPr>
                <w:b/>
              </w:rPr>
              <w:t>Characteristic</w:t>
            </w:r>
          </w:p>
        </w:tc>
        <w:tc>
          <w:tcPr>
            <w:tcW w:w="2515" w:type="dxa"/>
          </w:tcPr>
          <w:p w:rsidR="00407515" w:rsidRPr="00D7427B" w:rsidRDefault="00407515" w:rsidP="00E76E4C">
            <w:pPr>
              <w:keepNext/>
              <w:tabs>
                <w:tab w:val="left" w:pos="2280"/>
              </w:tabs>
              <w:jc w:val="center"/>
              <w:rPr>
                <w:b/>
              </w:rPr>
            </w:pPr>
            <w:r w:rsidRPr="00D7427B">
              <w:rPr>
                <w:b/>
              </w:rPr>
              <w:t>Collection Method</w:t>
            </w:r>
          </w:p>
        </w:tc>
        <w:tc>
          <w:tcPr>
            <w:tcW w:w="3443" w:type="dxa"/>
          </w:tcPr>
          <w:p w:rsidR="00407515" w:rsidRPr="00D7427B" w:rsidRDefault="00407515" w:rsidP="00E76E4C">
            <w:pPr>
              <w:keepNext/>
              <w:tabs>
                <w:tab w:val="left" w:pos="2280"/>
              </w:tabs>
              <w:jc w:val="center"/>
              <w:rPr>
                <w:b/>
              </w:rPr>
            </w:pPr>
            <w:r w:rsidRPr="00D7427B">
              <w:rPr>
                <w:b/>
              </w:rPr>
              <w:t>Format</w:t>
            </w:r>
            <w:r>
              <w:rPr>
                <w:b/>
              </w:rPr>
              <w:t>*</w:t>
            </w:r>
          </w:p>
        </w:tc>
      </w:tr>
      <w:tr w:rsidR="00407515" w:rsidTr="00B7120A">
        <w:tc>
          <w:tcPr>
            <w:tcW w:w="2898" w:type="dxa"/>
          </w:tcPr>
          <w:p w:rsidR="00407515" w:rsidRPr="00D7427B" w:rsidRDefault="00407515" w:rsidP="00E76E4C">
            <w:pPr>
              <w:keepNext/>
            </w:pPr>
            <w:r w:rsidRPr="00D7427B">
              <w:t>Participant Category</w:t>
            </w:r>
          </w:p>
        </w:tc>
        <w:tc>
          <w:tcPr>
            <w:tcW w:w="2515" w:type="dxa"/>
          </w:tcPr>
          <w:p w:rsidR="00407515" w:rsidRPr="00D7427B" w:rsidRDefault="00407515" w:rsidP="00E76E4C">
            <w:pPr>
              <w:keepNext/>
            </w:pPr>
            <w:r w:rsidRPr="00D7427B">
              <w:t>Interview/Focus Group</w:t>
            </w:r>
          </w:p>
        </w:tc>
        <w:tc>
          <w:tcPr>
            <w:tcW w:w="3443" w:type="dxa"/>
          </w:tcPr>
          <w:p w:rsidR="00407515" w:rsidRPr="00D7427B" w:rsidRDefault="00407515" w:rsidP="00E76E4C">
            <w:pPr>
              <w:keepNext/>
              <w:jc w:val="center"/>
            </w:pPr>
            <w:r w:rsidRPr="00D7427B">
              <w:t>Provider</w:t>
            </w:r>
          </w:p>
          <w:p w:rsidR="00407515" w:rsidRPr="00D7427B" w:rsidRDefault="00407515" w:rsidP="00E76E4C">
            <w:pPr>
              <w:keepNext/>
              <w:jc w:val="center"/>
            </w:pPr>
            <w:r w:rsidRPr="00D7427B">
              <w:t>Staff</w:t>
            </w:r>
          </w:p>
          <w:p w:rsidR="00407515" w:rsidRPr="00D7427B" w:rsidRDefault="00407515" w:rsidP="00E76E4C">
            <w:pPr>
              <w:keepNext/>
              <w:jc w:val="center"/>
            </w:pPr>
            <w:r w:rsidRPr="00D7427B">
              <w:t>Patient</w:t>
            </w:r>
          </w:p>
          <w:p w:rsidR="00407515" w:rsidRPr="00D7427B" w:rsidRDefault="00407515" w:rsidP="00E76E4C">
            <w:pPr>
              <w:keepNext/>
              <w:jc w:val="center"/>
            </w:pPr>
            <w:r w:rsidRPr="00D7427B">
              <w:t>Administrator</w:t>
            </w:r>
          </w:p>
          <w:p w:rsidR="00407515" w:rsidRPr="00D7427B" w:rsidRDefault="00407515" w:rsidP="00E76E4C">
            <w:pPr>
              <w:keepNext/>
              <w:jc w:val="center"/>
            </w:pPr>
            <w:r w:rsidRPr="00D7427B">
              <w:t>Other</w:t>
            </w:r>
          </w:p>
        </w:tc>
      </w:tr>
      <w:tr w:rsidR="00407515" w:rsidTr="00B7120A">
        <w:tc>
          <w:tcPr>
            <w:tcW w:w="2898" w:type="dxa"/>
          </w:tcPr>
          <w:p w:rsidR="00407515" w:rsidRPr="00D7427B" w:rsidRDefault="00407515" w:rsidP="00E76E4C">
            <w:pPr>
              <w:keepNext/>
            </w:pPr>
            <w:r w:rsidRPr="00D7427B">
              <w:t>Age</w:t>
            </w:r>
          </w:p>
        </w:tc>
        <w:tc>
          <w:tcPr>
            <w:tcW w:w="2515" w:type="dxa"/>
          </w:tcPr>
          <w:p w:rsidR="00407515" w:rsidRPr="00D7427B" w:rsidRDefault="00407515" w:rsidP="00E76E4C">
            <w:pPr>
              <w:keepNext/>
            </w:pPr>
            <w:r w:rsidRPr="00D7427B">
              <w:t>Interview/Focus Group</w:t>
            </w:r>
          </w:p>
        </w:tc>
        <w:tc>
          <w:tcPr>
            <w:tcW w:w="3443" w:type="dxa"/>
          </w:tcPr>
          <w:p w:rsidR="00407515" w:rsidRPr="00D7427B" w:rsidRDefault="00407515" w:rsidP="00E76E4C">
            <w:pPr>
              <w:keepNext/>
              <w:jc w:val="center"/>
            </w:pPr>
            <w:r w:rsidRPr="00D7427B">
              <w:t>Age (years)</w:t>
            </w:r>
          </w:p>
        </w:tc>
      </w:tr>
      <w:tr w:rsidR="00407515" w:rsidTr="00B7120A">
        <w:tc>
          <w:tcPr>
            <w:tcW w:w="2898" w:type="dxa"/>
          </w:tcPr>
          <w:p w:rsidR="00407515" w:rsidRPr="00D7427B" w:rsidRDefault="00407515" w:rsidP="00E76E4C">
            <w:pPr>
              <w:keepNext/>
            </w:pPr>
            <w:r w:rsidRPr="00D7427B">
              <w:t>Sex</w:t>
            </w:r>
          </w:p>
        </w:tc>
        <w:tc>
          <w:tcPr>
            <w:tcW w:w="2515" w:type="dxa"/>
          </w:tcPr>
          <w:p w:rsidR="00407515" w:rsidRPr="00D7427B" w:rsidRDefault="00407515" w:rsidP="00E76E4C">
            <w:pPr>
              <w:keepNext/>
            </w:pPr>
            <w:r w:rsidRPr="00D7427B">
              <w:t>Interview/Focus Group</w:t>
            </w:r>
          </w:p>
        </w:tc>
        <w:tc>
          <w:tcPr>
            <w:tcW w:w="3443" w:type="dxa"/>
          </w:tcPr>
          <w:p w:rsidR="00407515" w:rsidRPr="00D7427B" w:rsidRDefault="00407515" w:rsidP="00E76E4C">
            <w:pPr>
              <w:keepNext/>
              <w:jc w:val="center"/>
            </w:pPr>
            <w:r w:rsidRPr="00D7427B">
              <w:t>Male</w:t>
            </w:r>
          </w:p>
          <w:p w:rsidR="00407515" w:rsidRPr="00D7427B" w:rsidRDefault="00407515" w:rsidP="00E76E4C">
            <w:pPr>
              <w:keepNext/>
              <w:jc w:val="center"/>
            </w:pPr>
            <w:r w:rsidRPr="00D7427B">
              <w:t>Female</w:t>
            </w:r>
          </w:p>
        </w:tc>
      </w:tr>
      <w:tr w:rsidR="00407515" w:rsidTr="00B7120A">
        <w:tc>
          <w:tcPr>
            <w:tcW w:w="2898" w:type="dxa"/>
          </w:tcPr>
          <w:p w:rsidR="00407515" w:rsidRPr="00D7427B" w:rsidRDefault="00407515" w:rsidP="00E76E4C">
            <w:pPr>
              <w:keepNext/>
            </w:pPr>
            <w:r w:rsidRPr="00D7427B">
              <w:t>Education Level</w:t>
            </w:r>
          </w:p>
        </w:tc>
        <w:tc>
          <w:tcPr>
            <w:tcW w:w="2515" w:type="dxa"/>
          </w:tcPr>
          <w:p w:rsidR="00407515" w:rsidRPr="00D7427B" w:rsidRDefault="00407515" w:rsidP="00E76E4C">
            <w:pPr>
              <w:keepNext/>
            </w:pPr>
            <w:r w:rsidRPr="00D7427B">
              <w:t>Interview/Focus Group</w:t>
            </w:r>
          </w:p>
        </w:tc>
        <w:tc>
          <w:tcPr>
            <w:tcW w:w="3443" w:type="dxa"/>
          </w:tcPr>
          <w:p w:rsidR="00407515" w:rsidRPr="00D7427B" w:rsidRDefault="00407515" w:rsidP="00E76E4C">
            <w:pPr>
              <w:keepNext/>
              <w:jc w:val="center"/>
            </w:pPr>
            <w:r w:rsidRPr="00D7427B">
              <w:t>Elementary</w:t>
            </w:r>
          </w:p>
          <w:p w:rsidR="00407515" w:rsidRPr="00D7427B" w:rsidRDefault="00407515" w:rsidP="00E76E4C">
            <w:pPr>
              <w:keepNext/>
              <w:jc w:val="center"/>
            </w:pPr>
            <w:r w:rsidRPr="00D7427B">
              <w:t>High School Diploma</w:t>
            </w:r>
          </w:p>
          <w:p w:rsidR="00407515" w:rsidRPr="00D7427B" w:rsidRDefault="00407515" w:rsidP="00E76E4C">
            <w:pPr>
              <w:keepNext/>
              <w:jc w:val="center"/>
            </w:pPr>
            <w:r w:rsidRPr="00D7427B">
              <w:t>Some College</w:t>
            </w:r>
          </w:p>
          <w:p w:rsidR="00407515" w:rsidRPr="00D7427B" w:rsidRDefault="00407515" w:rsidP="00E76E4C">
            <w:pPr>
              <w:keepNext/>
              <w:jc w:val="center"/>
            </w:pPr>
            <w:r w:rsidRPr="00D7427B">
              <w:t>Associate</w:t>
            </w:r>
            <w:r>
              <w:t>’s</w:t>
            </w:r>
            <w:r w:rsidRPr="00D7427B">
              <w:t xml:space="preserve"> </w:t>
            </w:r>
            <w:r>
              <w:t>degree</w:t>
            </w:r>
          </w:p>
          <w:p w:rsidR="00407515" w:rsidRPr="00D7427B" w:rsidRDefault="00407515" w:rsidP="00E76E4C">
            <w:pPr>
              <w:keepNext/>
              <w:jc w:val="center"/>
            </w:pPr>
            <w:r w:rsidRPr="00D7427B">
              <w:t>Bachelor’s degree</w:t>
            </w:r>
          </w:p>
          <w:p w:rsidR="00407515" w:rsidRPr="00D7427B" w:rsidRDefault="00407515" w:rsidP="00E76E4C">
            <w:pPr>
              <w:keepNext/>
              <w:jc w:val="center"/>
            </w:pPr>
            <w:r w:rsidRPr="00D7427B">
              <w:t>Master’s degree</w:t>
            </w:r>
          </w:p>
          <w:p w:rsidR="00407515" w:rsidRPr="00D7427B" w:rsidRDefault="00407515" w:rsidP="00E76E4C">
            <w:pPr>
              <w:keepNext/>
              <w:jc w:val="center"/>
            </w:pPr>
            <w:r w:rsidRPr="00D7427B">
              <w:t>Professional Degree</w:t>
            </w:r>
          </w:p>
          <w:p w:rsidR="00407515" w:rsidRPr="00D7427B" w:rsidRDefault="00407515" w:rsidP="00E76E4C">
            <w:pPr>
              <w:keepNext/>
              <w:jc w:val="center"/>
            </w:pPr>
            <w:r w:rsidRPr="00D7427B">
              <w:t>Doctorate</w:t>
            </w:r>
          </w:p>
        </w:tc>
      </w:tr>
      <w:tr w:rsidR="00407515" w:rsidTr="00B7120A">
        <w:tc>
          <w:tcPr>
            <w:tcW w:w="2898" w:type="dxa"/>
          </w:tcPr>
          <w:p w:rsidR="00407515" w:rsidRPr="00D7427B" w:rsidRDefault="00407515" w:rsidP="00E76E4C">
            <w:pPr>
              <w:keepNext/>
            </w:pPr>
            <w:r w:rsidRPr="00D7427B">
              <w:t>Race</w:t>
            </w:r>
          </w:p>
        </w:tc>
        <w:tc>
          <w:tcPr>
            <w:tcW w:w="2515" w:type="dxa"/>
          </w:tcPr>
          <w:p w:rsidR="00407515" w:rsidRPr="00D7427B" w:rsidRDefault="00407515" w:rsidP="00E76E4C">
            <w:pPr>
              <w:keepNext/>
            </w:pPr>
            <w:r w:rsidRPr="00D7427B">
              <w:t>Interview/Focus Group</w:t>
            </w:r>
          </w:p>
        </w:tc>
        <w:tc>
          <w:tcPr>
            <w:tcW w:w="3443" w:type="dxa"/>
          </w:tcPr>
          <w:p w:rsidR="00407515" w:rsidRPr="00D7427B" w:rsidRDefault="00407515" w:rsidP="00E76E4C">
            <w:pPr>
              <w:keepNext/>
              <w:jc w:val="center"/>
            </w:pPr>
            <w:r w:rsidRPr="00D7427B">
              <w:t>White</w:t>
            </w:r>
          </w:p>
          <w:p w:rsidR="00407515" w:rsidRPr="00D7427B" w:rsidRDefault="00407515" w:rsidP="00E76E4C">
            <w:pPr>
              <w:keepNext/>
              <w:jc w:val="center"/>
            </w:pPr>
            <w:r w:rsidRPr="00D7427B">
              <w:t>Black or African American</w:t>
            </w:r>
          </w:p>
          <w:p w:rsidR="00407515" w:rsidRPr="00D7427B" w:rsidRDefault="00407515" w:rsidP="00E76E4C">
            <w:pPr>
              <w:keepNext/>
              <w:jc w:val="center"/>
            </w:pPr>
            <w:r w:rsidRPr="00D7427B">
              <w:t>American Indian or Alaska Native</w:t>
            </w:r>
          </w:p>
          <w:p w:rsidR="00407515" w:rsidRPr="00D7427B" w:rsidRDefault="00407515" w:rsidP="00E76E4C">
            <w:pPr>
              <w:keepNext/>
              <w:jc w:val="center"/>
            </w:pPr>
            <w:r w:rsidRPr="00D7427B">
              <w:t>Asian</w:t>
            </w:r>
          </w:p>
          <w:p w:rsidR="00407515" w:rsidRPr="00D7427B" w:rsidRDefault="00407515" w:rsidP="00E76E4C">
            <w:pPr>
              <w:keepNext/>
              <w:jc w:val="center"/>
            </w:pPr>
            <w:r w:rsidRPr="00D7427B">
              <w:t>Two or more races</w:t>
            </w:r>
          </w:p>
        </w:tc>
      </w:tr>
      <w:tr w:rsidR="00407515" w:rsidTr="00B7120A">
        <w:tc>
          <w:tcPr>
            <w:tcW w:w="2898" w:type="dxa"/>
          </w:tcPr>
          <w:p w:rsidR="00407515" w:rsidRPr="00D7427B" w:rsidRDefault="00407515" w:rsidP="00E76E4C">
            <w:pPr>
              <w:keepNext/>
            </w:pPr>
            <w:r w:rsidRPr="00D7427B">
              <w:t>Ethnicity</w:t>
            </w:r>
          </w:p>
        </w:tc>
        <w:tc>
          <w:tcPr>
            <w:tcW w:w="2515" w:type="dxa"/>
          </w:tcPr>
          <w:p w:rsidR="00407515" w:rsidRPr="00D7427B" w:rsidRDefault="00407515" w:rsidP="00E76E4C">
            <w:pPr>
              <w:keepNext/>
            </w:pPr>
            <w:r w:rsidRPr="00D7427B">
              <w:t>Interview/Focus Group</w:t>
            </w:r>
          </w:p>
        </w:tc>
        <w:tc>
          <w:tcPr>
            <w:tcW w:w="3443" w:type="dxa"/>
          </w:tcPr>
          <w:p w:rsidR="00407515" w:rsidRPr="00D7427B" w:rsidRDefault="00407515" w:rsidP="00E76E4C">
            <w:pPr>
              <w:keepNext/>
              <w:jc w:val="center"/>
            </w:pPr>
            <w:r w:rsidRPr="00D7427B">
              <w:t>Hispanic or Latino</w:t>
            </w:r>
          </w:p>
          <w:p w:rsidR="00407515" w:rsidRPr="00D7427B" w:rsidRDefault="00407515" w:rsidP="00E76E4C">
            <w:pPr>
              <w:keepNext/>
              <w:jc w:val="center"/>
            </w:pPr>
            <w:r w:rsidRPr="00D7427B">
              <w:t>Not Hispanic or Latino</w:t>
            </w:r>
          </w:p>
        </w:tc>
      </w:tr>
      <w:tr w:rsidR="00407515" w:rsidTr="00B7120A">
        <w:tc>
          <w:tcPr>
            <w:tcW w:w="2898" w:type="dxa"/>
          </w:tcPr>
          <w:p w:rsidR="00407515" w:rsidRPr="00D7427B" w:rsidRDefault="00407515" w:rsidP="00E76E4C">
            <w:pPr>
              <w:keepNext/>
            </w:pPr>
            <w:r w:rsidRPr="00D7427B">
              <w:t>Location</w:t>
            </w:r>
          </w:p>
        </w:tc>
        <w:tc>
          <w:tcPr>
            <w:tcW w:w="2515" w:type="dxa"/>
          </w:tcPr>
          <w:p w:rsidR="00407515" w:rsidRPr="00D7427B" w:rsidRDefault="00407515" w:rsidP="00E76E4C">
            <w:pPr>
              <w:keepNext/>
            </w:pPr>
            <w:r w:rsidRPr="00D7427B">
              <w:t>Interview/Focus Group</w:t>
            </w:r>
          </w:p>
        </w:tc>
        <w:tc>
          <w:tcPr>
            <w:tcW w:w="3443" w:type="dxa"/>
          </w:tcPr>
          <w:p w:rsidR="00407515" w:rsidRPr="00D7427B" w:rsidRDefault="00407515" w:rsidP="00E76E4C">
            <w:pPr>
              <w:keepNext/>
              <w:jc w:val="center"/>
            </w:pPr>
            <w:r w:rsidRPr="00D7427B">
              <w:t>City, State</w:t>
            </w:r>
          </w:p>
        </w:tc>
      </w:tr>
      <w:tr w:rsidR="00407515" w:rsidTr="00B7120A">
        <w:tc>
          <w:tcPr>
            <w:tcW w:w="2898" w:type="dxa"/>
          </w:tcPr>
          <w:p w:rsidR="00407515" w:rsidRPr="00D7427B" w:rsidRDefault="00407515" w:rsidP="00E76E4C">
            <w:pPr>
              <w:keepNext/>
            </w:pPr>
            <w:r w:rsidRPr="00D7427B">
              <w:t xml:space="preserve">Location </w:t>
            </w:r>
          </w:p>
        </w:tc>
        <w:tc>
          <w:tcPr>
            <w:tcW w:w="2515" w:type="dxa"/>
          </w:tcPr>
          <w:p w:rsidR="00407515" w:rsidRPr="00D7427B" w:rsidRDefault="00407515" w:rsidP="00E76E4C">
            <w:pPr>
              <w:keepNext/>
            </w:pPr>
            <w:r w:rsidRPr="00D7427B">
              <w:t>Interview/Focus Group</w:t>
            </w:r>
          </w:p>
        </w:tc>
        <w:tc>
          <w:tcPr>
            <w:tcW w:w="3443" w:type="dxa"/>
          </w:tcPr>
          <w:p w:rsidR="00407515" w:rsidRPr="00D7427B" w:rsidRDefault="00407515" w:rsidP="00E76E4C">
            <w:pPr>
              <w:keepNext/>
              <w:jc w:val="center"/>
            </w:pPr>
            <w:r w:rsidRPr="00D7427B">
              <w:t>Urban</w:t>
            </w:r>
          </w:p>
          <w:p w:rsidR="00407515" w:rsidRPr="00D7427B" w:rsidRDefault="00407515" w:rsidP="00E76E4C">
            <w:pPr>
              <w:keepNext/>
              <w:jc w:val="center"/>
            </w:pPr>
            <w:r w:rsidRPr="00D7427B">
              <w:t>Inner City</w:t>
            </w:r>
          </w:p>
          <w:p w:rsidR="00407515" w:rsidRPr="00D7427B" w:rsidRDefault="00407515" w:rsidP="00E76E4C">
            <w:pPr>
              <w:keepNext/>
              <w:jc w:val="center"/>
            </w:pPr>
            <w:r w:rsidRPr="00D7427B">
              <w:t>Rural</w:t>
            </w:r>
          </w:p>
          <w:p w:rsidR="00407515" w:rsidRPr="00D7427B" w:rsidRDefault="00407515" w:rsidP="00E76E4C">
            <w:pPr>
              <w:keepNext/>
              <w:jc w:val="center"/>
            </w:pPr>
            <w:r w:rsidRPr="00D7427B">
              <w:t>Suburban</w:t>
            </w:r>
          </w:p>
          <w:p w:rsidR="00407515" w:rsidRPr="00D7427B" w:rsidRDefault="00407515" w:rsidP="00E76E4C">
            <w:pPr>
              <w:keepNext/>
              <w:jc w:val="center"/>
            </w:pPr>
            <w:r w:rsidRPr="00D7427B">
              <w:t>Other</w:t>
            </w:r>
          </w:p>
        </w:tc>
      </w:tr>
      <w:tr w:rsidR="00407515" w:rsidTr="00B7120A">
        <w:tc>
          <w:tcPr>
            <w:tcW w:w="2898" w:type="dxa"/>
          </w:tcPr>
          <w:p w:rsidR="00407515" w:rsidRPr="00D7427B" w:rsidRDefault="00407515" w:rsidP="00E76E4C">
            <w:pPr>
              <w:keepNext/>
            </w:pPr>
            <w:r w:rsidRPr="00D7427B">
              <w:t xml:space="preserve">Priority Population </w:t>
            </w:r>
          </w:p>
        </w:tc>
        <w:tc>
          <w:tcPr>
            <w:tcW w:w="2515" w:type="dxa"/>
          </w:tcPr>
          <w:p w:rsidR="00407515" w:rsidRPr="00D7427B" w:rsidRDefault="00407515" w:rsidP="00E76E4C">
            <w:pPr>
              <w:keepNext/>
            </w:pPr>
            <w:r w:rsidRPr="00D7427B">
              <w:t>Interview/Focus Group</w:t>
            </w:r>
          </w:p>
        </w:tc>
        <w:tc>
          <w:tcPr>
            <w:tcW w:w="3443" w:type="dxa"/>
          </w:tcPr>
          <w:p w:rsidR="00407515" w:rsidRPr="00D7427B" w:rsidRDefault="00407515" w:rsidP="00E76E4C">
            <w:pPr>
              <w:keepNext/>
              <w:jc w:val="center"/>
            </w:pPr>
            <w:r w:rsidRPr="00D7427B">
              <w:t>Yes</w:t>
            </w:r>
          </w:p>
          <w:p w:rsidR="00407515" w:rsidRPr="00D7427B" w:rsidRDefault="00407515" w:rsidP="00E76E4C">
            <w:pPr>
              <w:keepNext/>
              <w:jc w:val="center"/>
            </w:pPr>
            <w:r w:rsidRPr="00D7427B">
              <w:t>No</w:t>
            </w:r>
          </w:p>
          <w:p w:rsidR="00407515" w:rsidRPr="00D7427B" w:rsidRDefault="00407515" w:rsidP="00E76E4C">
            <w:pPr>
              <w:keepNext/>
              <w:jc w:val="center"/>
            </w:pPr>
            <w:r w:rsidRPr="00D7427B">
              <w:t>Unknown</w:t>
            </w:r>
          </w:p>
        </w:tc>
      </w:tr>
      <w:tr w:rsidR="00407515" w:rsidTr="00B7120A">
        <w:tc>
          <w:tcPr>
            <w:tcW w:w="2898" w:type="dxa"/>
          </w:tcPr>
          <w:p w:rsidR="00407515" w:rsidRPr="00D7427B" w:rsidRDefault="00407515" w:rsidP="00E76E4C">
            <w:pPr>
              <w:keepNext/>
            </w:pPr>
            <w:r>
              <w:t>Self-reported Health Status</w:t>
            </w:r>
          </w:p>
        </w:tc>
        <w:tc>
          <w:tcPr>
            <w:tcW w:w="2515" w:type="dxa"/>
          </w:tcPr>
          <w:p w:rsidR="00407515" w:rsidRPr="00D7427B" w:rsidRDefault="00407515" w:rsidP="00E76E4C">
            <w:pPr>
              <w:keepNext/>
            </w:pPr>
            <w:r>
              <w:t>Focus Group (Patients only)</w:t>
            </w:r>
          </w:p>
        </w:tc>
        <w:tc>
          <w:tcPr>
            <w:tcW w:w="3443" w:type="dxa"/>
          </w:tcPr>
          <w:p w:rsidR="00407515" w:rsidRDefault="00407515" w:rsidP="00E76E4C">
            <w:pPr>
              <w:keepNext/>
              <w:jc w:val="center"/>
            </w:pPr>
            <w:r>
              <w:t>Excellent</w:t>
            </w:r>
          </w:p>
          <w:p w:rsidR="00407515" w:rsidRDefault="00407515" w:rsidP="00E76E4C">
            <w:pPr>
              <w:keepNext/>
              <w:jc w:val="center"/>
            </w:pPr>
            <w:r>
              <w:t>Very Good</w:t>
            </w:r>
          </w:p>
          <w:p w:rsidR="00407515" w:rsidRDefault="00407515" w:rsidP="00E76E4C">
            <w:pPr>
              <w:keepNext/>
              <w:jc w:val="center"/>
            </w:pPr>
            <w:r>
              <w:t>Good</w:t>
            </w:r>
          </w:p>
          <w:p w:rsidR="00407515" w:rsidRDefault="00407515" w:rsidP="00E76E4C">
            <w:pPr>
              <w:keepNext/>
              <w:jc w:val="center"/>
            </w:pPr>
            <w:r>
              <w:t>Fair</w:t>
            </w:r>
          </w:p>
          <w:p w:rsidR="00407515" w:rsidRPr="00D7427B" w:rsidRDefault="00407515" w:rsidP="00E76E4C">
            <w:pPr>
              <w:keepNext/>
              <w:jc w:val="center"/>
            </w:pPr>
            <w:r>
              <w:t>Poor</w:t>
            </w:r>
          </w:p>
        </w:tc>
      </w:tr>
      <w:tr w:rsidR="00407515" w:rsidTr="00B7120A">
        <w:tc>
          <w:tcPr>
            <w:tcW w:w="2898" w:type="dxa"/>
          </w:tcPr>
          <w:p w:rsidR="00407515" w:rsidRDefault="00407515" w:rsidP="00E76E4C">
            <w:pPr>
              <w:keepNext/>
            </w:pPr>
            <w:r>
              <w:t>Chronic Disease</w:t>
            </w:r>
          </w:p>
        </w:tc>
        <w:tc>
          <w:tcPr>
            <w:tcW w:w="2515" w:type="dxa"/>
          </w:tcPr>
          <w:p w:rsidR="00407515" w:rsidRDefault="00407515" w:rsidP="00E76E4C">
            <w:pPr>
              <w:keepNext/>
            </w:pPr>
            <w:r>
              <w:t>Focus Group (Patients Only)</w:t>
            </w:r>
          </w:p>
        </w:tc>
        <w:tc>
          <w:tcPr>
            <w:tcW w:w="3443" w:type="dxa"/>
          </w:tcPr>
          <w:p w:rsidR="00407515" w:rsidRDefault="00407515" w:rsidP="00E76E4C">
            <w:pPr>
              <w:keepNext/>
              <w:jc w:val="center"/>
            </w:pPr>
            <w:r>
              <w:t>Yes/No</w:t>
            </w:r>
          </w:p>
        </w:tc>
      </w:tr>
      <w:tr w:rsidR="00407515" w:rsidTr="00B7120A">
        <w:tc>
          <w:tcPr>
            <w:tcW w:w="8856" w:type="dxa"/>
            <w:gridSpan w:val="3"/>
          </w:tcPr>
          <w:p w:rsidR="00407515" w:rsidRPr="00D7427B" w:rsidRDefault="00407515" w:rsidP="00E76E4C">
            <w:pPr>
              <w:keepNext/>
            </w:pPr>
            <w:r w:rsidRPr="00D7427B">
              <w:t xml:space="preserve">*Each </w:t>
            </w:r>
            <w:r>
              <w:t>characteristic</w:t>
            </w:r>
            <w:r w:rsidRPr="00D7427B">
              <w:t xml:space="preserve"> must include </w:t>
            </w:r>
            <w:r>
              <w:t>an option</w:t>
            </w:r>
            <w:r w:rsidRPr="00D7427B">
              <w:t xml:space="preserve"> for did not respond/did not provide an answer</w:t>
            </w:r>
          </w:p>
        </w:tc>
      </w:tr>
    </w:tbl>
    <w:p w:rsidR="007208E0" w:rsidRDefault="003F61D9" w:rsidP="007208E0">
      <w:pPr>
        <w:spacing w:before="100" w:beforeAutospacing="1" w:after="100" w:afterAutospacing="1"/>
        <w:rPr>
          <w:i/>
        </w:rPr>
      </w:pPr>
      <w:r>
        <w:t>P</w:t>
      </w:r>
      <w:r w:rsidR="00691C2E" w:rsidRPr="00691C2E">
        <w:t xml:space="preserve">articipants </w:t>
      </w:r>
      <w:r>
        <w:t>will also receive</w:t>
      </w:r>
      <w:r w:rsidR="00691C2E" w:rsidRPr="00691C2E">
        <w:t xml:space="preserve"> the following </w:t>
      </w:r>
      <w:r w:rsidR="007208E0" w:rsidRPr="00691C2E">
        <w:t>confidentiality statements printed on any respondent materials</w:t>
      </w:r>
      <w:r w:rsidR="007208E0">
        <w:rPr>
          <w:i/>
        </w:rPr>
        <w:t>:</w:t>
      </w:r>
    </w:p>
    <w:p w:rsidR="007208E0" w:rsidRDefault="007208E0" w:rsidP="007208E0">
      <w:pPr>
        <w:spacing w:before="100" w:beforeAutospacing="1" w:after="100" w:afterAutospacing="1"/>
      </w:pPr>
      <w:r w:rsidRPr="007208E0">
        <w:lastRenderedPageBreak/>
        <w:t>“</w:t>
      </w:r>
      <w:r w:rsidR="0083145C" w:rsidRPr="0083145C">
        <w:t xml:space="preserve">The confidentiality of your responses </w:t>
      </w:r>
      <w:r w:rsidR="0083145C">
        <w:t>are</w:t>
      </w:r>
      <w:r w:rsidR="0083145C" w:rsidRPr="0083145C">
        <w:t xml:space="preserve"> protected by Sections 944(c) and 308(d) of the Public Health Service Act [42 U.S.C. 299c-3(c) and 42 U.S.C. </w:t>
      </w:r>
      <w:proofErr w:type="gramStart"/>
      <w:r w:rsidR="0083145C" w:rsidRPr="0083145C">
        <w:t>242m(</w:t>
      </w:r>
      <w:proofErr w:type="gramEnd"/>
      <w:r w:rsidR="0083145C" w:rsidRPr="0083145C">
        <w:t>d)].  Information that could identify you will not be disclosed unless you have consented to that disclosure.</w:t>
      </w:r>
      <w:r w:rsidR="0083145C">
        <w:t>”</w:t>
      </w:r>
    </w:p>
    <w:p w:rsidR="00273B1B" w:rsidRDefault="00C41C66" w:rsidP="00C41C66">
      <w:pPr>
        <w:spacing w:before="280"/>
      </w:pPr>
      <w:r>
        <w:t xml:space="preserve">Data collection and storage mechanisms will be </w:t>
      </w:r>
      <w:r w:rsidR="009A52C9">
        <w:t xml:space="preserve">as described.  </w:t>
      </w:r>
      <w:r>
        <w:t>Information collected duri</w:t>
      </w:r>
      <w:r w:rsidR="00CF631F">
        <w:t>ng the course of the evaluation</w:t>
      </w:r>
      <w:r>
        <w:t xml:space="preserve"> will be maintained in a secure HIPAA-compliant data server. </w:t>
      </w:r>
      <w:r w:rsidR="00273B1B">
        <w:t>A</w:t>
      </w:r>
      <w:r>
        <w:t>ll data collection</w:t>
      </w:r>
      <w:r w:rsidR="00273B1B">
        <w:t xml:space="preserve"> will be conducted</w:t>
      </w:r>
      <w:r>
        <w:t xml:space="preserve"> using </w:t>
      </w:r>
      <w:r w:rsidR="00CF631F">
        <w:t xml:space="preserve">the contractor, </w:t>
      </w:r>
      <w:proofErr w:type="spellStart"/>
      <w:r w:rsidR="00273B1B">
        <w:t>MedStar’s</w:t>
      </w:r>
      <w:proofErr w:type="spellEnd"/>
      <w:r>
        <w:t xml:space="preserve"> </w:t>
      </w:r>
      <w:proofErr w:type="spellStart"/>
      <w:r>
        <w:t>REDCap</w:t>
      </w:r>
      <w:proofErr w:type="spellEnd"/>
      <w:r>
        <w:t xml:space="preserve">™ research data capture database. </w:t>
      </w:r>
      <w:proofErr w:type="spellStart"/>
      <w:r>
        <w:t>REDCap</w:t>
      </w:r>
      <w:proofErr w:type="spellEnd"/>
      <w:r>
        <w:t>™</w:t>
      </w:r>
      <w:r w:rsidRPr="00923EB4">
        <w:t xml:space="preserve"> is a mature, secure web application for building and managing online surveys and databases. While </w:t>
      </w:r>
      <w:proofErr w:type="spellStart"/>
      <w:r>
        <w:t>REDCap</w:t>
      </w:r>
      <w:proofErr w:type="spellEnd"/>
      <w:r>
        <w:t>™</w:t>
      </w:r>
      <w:r w:rsidRPr="00923EB4">
        <w:t xml:space="preserve"> can be used to collect virtually any type of data, it is specifically geared to support data capture for research studies. The </w:t>
      </w:r>
      <w:proofErr w:type="spellStart"/>
      <w:r>
        <w:t>REDCap</w:t>
      </w:r>
      <w:proofErr w:type="spellEnd"/>
      <w:r>
        <w:t>™</w:t>
      </w:r>
      <w:r w:rsidRPr="00923EB4">
        <w:t xml:space="preserve"> Consortium is composed of 1,711 active institutional partners in 96 countries who utilize and support </w:t>
      </w:r>
      <w:proofErr w:type="spellStart"/>
      <w:r>
        <w:t>REDCap</w:t>
      </w:r>
      <w:proofErr w:type="spellEnd"/>
      <w:r>
        <w:t>™</w:t>
      </w:r>
      <w:r w:rsidRPr="00923EB4">
        <w:t xml:space="preserve"> in various ways.</w:t>
      </w:r>
      <w:r>
        <w:t xml:space="preserve"> </w:t>
      </w:r>
      <w:proofErr w:type="spellStart"/>
      <w:r>
        <w:t>REDCap</w:t>
      </w:r>
      <w:proofErr w:type="spellEnd"/>
      <w:r>
        <w:t xml:space="preserve">™ can be established to support data entry forms and to conduct web-enabled surveys. </w:t>
      </w:r>
      <w:r w:rsidR="00273B1B">
        <w:t>T</w:t>
      </w:r>
      <w:r>
        <w:t xml:space="preserve">he patient and family engagement guide </w:t>
      </w:r>
      <w:r w:rsidR="00273B1B">
        <w:t xml:space="preserve">will also use </w:t>
      </w:r>
      <w:proofErr w:type="spellStart"/>
      <w:r>
        <w:t>REDCap</w:t>
      </w:r>
      <w:proofErr w:type="spellEnd"/>
      <w:r>
        <w:t xml:space="preserve">™ project space to securely store any documents received from the intervention practices during the project. The </w:t>
      </w:r>
      <w:proofErr w:type="spellStart"/>
      <w:r>
        <w:t>MedStar</w:t>
      </w:r>
      <w:proofErr w:type="spellEnd"/>
      <w:r>
        <w:t xml:space="preserve"> Health Research Institute is a </w:t>
      </w:r>
      <w:proofErr w:type="spellStart"/>
      <w:r>
        <w:t>REDCap</w:t>
      </w:r>
      <w:proofErr w:type="spellEnd"/>
      <w:r>
        <w:t xml:space="preserve">™ project collaborator site with a robust history of using this method for data collection. </w:t>
      </w:r>
    </w:p>
    <w:p w:rsidR="00C41C66" w:rsidRDefault="00C41C66" w:rsidP="00C41C66">
      <w:pPr>
        <w:spacing w:before="280"/>
      </w:pPr>
      <w:r>
        <w:t>Data collected will be primarily qualitative in nature</w:t>
      </w:r>
      <w:r w:rsidR="00CB329C">
        <w:t xml:space="preserve"> (Appendices B-F)</w:t>
      </w:r>
      <w:r>
        <w:t xml:space="preserve">. Responses to focus groups will be recorded and notes for each session transcribed. Transcription files will be uploaded to the </w:t>
      </w:r>
      <w:proofErr w:type="spellStart"/>
      <w:r>
        <w:t>REDCap</w:t>
      </w:r>
      <w:proofErr w:type="spellEnd"/>
      <w:r>
        <w:t xml:space="preserve">™ file repository for security. Paper files will be retained in a locked file cabinet within Dr. Smith’s office at </w:t>
      </w:r>
      <w:proofErr w:type="spellStart"/>
      <w:r>
        <w:t>MedStar</w:t>
      </w:r>
      <w:proofErr w:type="spellEnd"/>
      <w:r>
        <w:t xml:space="preserve"> Health. A case record form will be created within </w:t>
      </w:r>
      <w:proofErr w:type="spellStart"/>
      <w:r>
        <w:t>REDCap</w:t>
      </w:r>
      <w:proofErr w:type="spellEnd"/>
      <w:r>
        <w:t xml:space="preserve">™ to record output from the thematic reviews of the transcripts to facilitate reporting and feedback to participants and to the study team. </w:t>
      </w:r>
    </w:p>
    <w:p w:rsidR="009B633D" w:rsidRDefault="009B633D" w:rsidP="00B7120A">
      <w:pPr>
        <w:pStyle w:val="Heading2"/>
        <w:spacing w:after="240"/>
        <w:rPr>
          <w:sz w:val="24"/>
        </w:rPr>
      </w:pPr>
      <w:bookmarkStart w:id="40" w:name="_Toc151782186"/>
      <w:bookmarkStart w:id="41" w:name="_Toc158526226"/>
      <w:bookmarkStart w:id="42" w:name="_Toc469151334"/>
      <w:r w:rsidRPr="00412C6F">
        <w:rPr>
          <w:sz w:val="24"/>
        </w:rPr>
        <w:t>11. Questions of a Sensitive Nature</w:t>
      </w:r>
      <w:bookmarkEnd w:id="40"/>
      <w:bookmarkEnd w:id="41"/>
      <w:bookmarkEnd w:id="42"/>
    </w:p>
    <w:p w:rsidR="00485CDD" w:rsidRPr="00485CDD" w:rsidRDefault="00485CDD" w:rsidP="00485CDD">
      <w:r>
        <w:t>There are no questions of a sensitive nature</w:t>
      </w:r>
    </w:p>
    <w:p w:rsidR="009B633D" w:rsidRPr="00412C6F" w:rsidRDefault="009B633D" w:rsidP="009B633D">
      <w:pPr>
        <w:pStyle w:val="Heading2"/>
        <w:rPr>
          <w:sz w:val="24"/>
        </w:rPr>
      </w:pPr>
      <w:bookmarkStart w:id="43" w:name="_Toc151782187"/>
      <w:bookmarkStart w:id="44" w:name="_Toc158526227"/>
      <w:bookmarkStart w:id="45" w:name="_Toc469151335"/>
      <w:r w:rsidRPr="00412C6F">
        <w:rPr>
          <w:sz w:val="24"/>
        </w:rPr>
        <w:t>12. Estimates of Annualized Burden Hours and Costs</w:t>
      </w:r>
      <w:bookmarkEnd w:id="43"/>
      <w:bookmarkEnd w:id="44"/>
      <w:bookmarkEnd w:id="45"/>
    </w:p>
    <w:p w:rsidR="00AA788A" w:rsidRDefault="00AA788A" w:rsidP="007D4F9F">
      <w:pPr>
        <w:rPr>
          <w:rStyle w:val="Strong"/>
          <w:b w:val="0"/>
          <w:i/>
        </w:rPr>
      </w:pPr>
    </w:p>
    <w:p w:rsidR="004E2557" w:rsidRDefault="004E2557" w:rsidP="007D4F9F">
      <w:pPr>
        <w:rPr>
          <w:rStyle w:val="Strong"/>
          <w:b w:val="0"/>
        </w:rPr>
      </w:pPr>
      <w:r>
        <w:rPr>
          <w:rStyle w:val="Strong"/>
          <w:b w:val="0"/>
        </w:rPr>
        <w:t xml:space="preserve">Exhibit 1 shows the estimated annualized burden hours for the respondents’ time to participate in this evaluation of the Guide during field testing. Two formative evaluations will be conducted during field testing in twelve primary care practices in at least two geographic regions of the United States. Evaluation efforts will include </w:t>
      </w:r>
      <w:r w:rsidR="006C2C31">
        <w:rPr>
          <w:rStyle w:val="Strong"/>
          <w:b w:val="0"/>
        </w:rPr>
        <w:t>collection of baseline practice level dat</w:t>
      </w:r>
      <w:r w:rsidR="00FD76AC">
        <w:rPr>
          <w:rStyle w:val="Strong"/>
          <w:b w:val="0"/>
        </w:rPr>
        <w:t>a prior to Guide implementation</w:t>
      </w:r>
      <w:r w:rsidR="006C2C31">
        <w:rPr>
          <w:rStyle w:val="Strong"/>
          <w:b w:val="0"/>
        </w:rPr>
        <w:t xml:space="preserve"> </w:t>
      </w:r>
      <w:r>
        <w:rPr>
          <w:rStyle w:val="Strong"/>
          <w:b w:val="0"/>
        </w:rPr>
        <w:t xml:space="preserve">and two separate rounds focus groups and interviews conducted 3-months and 6-months after Guide implementation. </w:t>
      </w:r>
      <w:r w:rsidR="006C2C31">
        <w:rPr>
          <w:rStyle w:val="Strong"/>
          <w:b w:val="0"/>
        </w:rPr>
        <w:t xml:space="preserve">Baseline assessments will be conducted on paper via phone consultation between the Contractor and the local practice champion and will take between 30-60 minutes. Site visits and field observations will be conducted over two, two day periods. </w:t>
      </w:r>
      <w:r>
        <w:rPr>
          <w:rStyle w:val="Strong"/>
          <w:b w:val="0"/>
        </w:rPr>
        <w:t xml:space="preserve">Patient focus groups will be conducted </w:t>
      </w:r>
      <w:r w:rsidR="006C2C31">
        <w:rPr>
          <w:rStyle w:val="Strong"/>
          <w:b w:val="0"/>
        </w:rPr>
        <w:t xml:space="preserve">at the 3- and 6-month evaluation periods; each lasting between 60-90 minutes. Practice staff focus groups will be conducted during each of the site visits, conducted outside regular practice hours, and last between 60-90 minutes. Primary care clinicians will be interviewed will last approximately </w:t>
      </w:r>
      <w:r w:rsidR="00673A57">
        <w:rPr>
          <w:rStyle w:val="Strong"/>
          <w:b w:val="0"/>
        </w:rPr>
        <w:t xml:space="preserve">up to 60 </w:t>
      </w:r>
      <w:r w:rsidR="006C2C31">
        <w:rPr>
          <w:rStyle w:val="Strong"/>
          <w:b w:val="0"/>
        </w:rPr>
        <w:t xml:space="preserve">minutes. We estimate that approximately 12 individuals will participate in the monthly </w:t>
      </w:r>
      <w:r w:rsidR="009C70B7">
        <w:rPr>
          <w:rStyle w:val="Strong"/>
          <w:b w:val="0"/>
        </w:rPr>
        <w:t>telephone interviews</w:t>
      </w:r>
      <w:r w:rsidR="006C2C31">
        <w:rPr>
          <w:rStyle w:val="Strong"/>
          <w:b w:val="0"/>
        </w:rPr>
        <w:t xml:space="preserve"> over the 9-month implementation and evaluation period.</w:t>
      </w:r>
    </w:p>
    <w:p w:rsidR="006C2C31" w:rsidRDefault="006C2C31" w:rsidP="007D4F9F">
      <w:pPr>
        <w:rPr>
          <w:rStyle w:val="Strong"/>
          <w:b w:val="0"/>
          <w:i/>
        </w:rPr>
      </w:pPr>
    </w:p>
    <w:p w:rsidR="00414C80" w:rsidRDefault="00414C80" w:rsidP="007E6FD2">
      <w:bookmarkStart w:id="46" w:name="OLE_LINK1"/>
      <w:bookmarkStart w:id="47" w:name="OLE_LINK2"/>
      <w:proofErr w:type="gramStart"/>
      <w:r>
        <w:rPr>
          <w:b/>
          <w:bCs/>
          <w:color w:val="000000"/>
        </w:rPr>
        <w:t>Exhibit 1.</w:t>
      </w:r>
      <w:proofErr w:type="gramEnd"/>
      <w:r>
        <w:rPr>
          <w:b/>
          <w:bCs/>
          <w:color w:val="000000"/>
        </w:rPr>
        <w:t>  Estimate</w:t>
      </w:r>
      <w:r w:rsidR="00037998">
        <w:rPr>
          <w:b/>
          <w:bCs/>
          <w:color w:val="000000"/>
        </w:rPr>
        <w:t>d annualized burden hours</w:t>
      </w:r>
    </w:p>
    <w:tbl>
      <w:tblPr>
        <w:tblW w:w="0" w:type="auto"/>
        <w:tblInd w:w="108" w:type="dxa"/>
        <w:tblCellMar>
          <w:left w:w="0" w:type="dxa"/>
          <w:right w:w="0" w:type="dxa"/>
        </w:tblCellMar>
        <w:tblLook w:val="0000" w:firstRow="0" w:lastRow="0" w:firstColumn="0" w:lastColumn="0" w:noHBand="0" w:noVBand="0"/>
      </w:tblPr>
      <w:tblGrid>
        <w:gridCol w:w="3600"/>
        <w:gridCol w:w="1440"/>
        <w:gridCol w:w="1440"/>
        <w:gridCol w:w="1080"/>
        <w:gridCol w:w="900"/>
      </w:tblGrid>
      <w:tr w:rsidR="00E97584" w:rsidTr="004E16F6">
        <w:tc>
          <w:tcPr>
            <w:tcW w:w="36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97584" w:rsidRDefault="004C4A74" w:rsidP="009C4881">
            <w:pPr>
              <w:jc w:val="center"/>
            </w:pPr>
            <w:r>
              <w:rPr>
                <w:color w:val="000000"/>
                <w:sz w:val="20"/>
                <w:szCs w:val="20"/>
              </w:rPr>
              <w:t>Form Name</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97584" w:rsidRDefault="00015AAF" w:rsidP="009C4881">
            <w:pPr>
              <w:jc w:val="center"/>
            </w:pPr>
            <w:r>
              <w:rPr>
                <w:color w:val="000000"/>
                <w:sz w:val="20"/>
                <w:szCs w:val="20"/>
              </w:rPr>
              <w:t>Number of r</w:t>
            </w:r>
            <w:r w:rsidR="00E97584">
              <w:rPr>
                <w:color w:val="000000"/>
                <w:sz w:val="20"/>
                <w:szCs w:val="20"/>
              </w:rPr>
              <w:t>espondents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97584" w:rsidRPr="00E97584" w:rsidRDefault="00E97584" w:rsidP="009C4881">
            <w:pPr>
              <w:jc w:val="center"/>
              <w:rPr>
                <w:sz w:val="20"/>
                <w:szCs w:val="20"/>
              </w:rPr>
            </w:pPr>
            <w:r w:rsidRPr="00E97584">
              <w:rPr>
                <w:sz w:val="20"/>
                <w:szCs w:val="20"/>
              </w:rPr>
              <w:t>Number of responses per respondent</w:t>
            </w:r>
          </w:p>
        </w:tc>
        <w:tc>
          <w:tcPr>
            <w:tcW w:w="1080" w:type="dxa"/>
            <w:tcBorders>
              <w:top w:val="single" w:sz="8" w:space="0" w:color="auto"/>
              <w:left w:val="nil"/>
              <w:bottom w:val="single" w:sz="8" w:space="0" w:color="auto"/>
              <w:right w:val="single" w:sz="8" w:space="0" w:color="auto"/>
            </w:tcBorders>
            <w:vAlign w:val="center"/>
          </w:tcPr>
          <w:p w:rsidR="00E97584" w:rsidRDefault="00B238AD" w:rsidP="009C4881">
            <w:pPr>
              <w:jc w:val="center"/>
            </w:pPr>
            <w:r>
              <w:rPr>
                <w:color w:val="000000"/>
                <w:sz w:val="20"/>
                <w:szCs w:val="20"/>
              </w:rPr>
              <w:t>Hours per response</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97584" w:rsidRDefault="00015AAF" w:rsidP="009C4881">
            <w:pPr>
              <w:jc w:val="center"/>
            </w:pPr>
            <w:r>
              <w:rPr>
                <w:color w:val="000000"/>
                <w:sz w:val="20"/>
                <w:szCs w:val="20"/>
              </w:rPr>
              <w:t>Total b</w:t>
            </w:r>
            <w:r w:rsidR="00E97584">
              <w:rPr>
                <w:color w:val="000000"/>
                <w:sz w:val="20"/>
                <w:szCs w:val="20"/>
              </w:rPr>
              <w:t>urden hours</w:t>
            </w:r>
          </w:p>
        </w:tc>
      </w:tr>
      <w:tr w:rsidR="00E97584" w:rsidTr="004E16F6">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97584" w:rsidRDefault="00E12E29">
            <w:r>
              <w:t xml:space="preserve">Appendix A: </w:t>
            </w:r>
            <w:r w:rsidR="00DF6DB8">
              <w:t>Baseline Practice Assessment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97584" w:rsidRDefault="00DF6DB8" w:rsidP="00E97584">
            <w:pPr>
              <w:jc w:val="center"/>
            </w:pPr>
            <w:r>
              <w:t>12</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97584" w:rsidRDefault="00DF6DB8" w:rsidP="00E97584">
            <w:pPr>
              <w:jc w:val="center"/>
            </w:pPr>
            <w:r>
              <w:t>1</w:t>
            </w:r>
          </w:p>
        </w:tc>
        <w:tc>
          <w:tcPr>
            <w:tcW w:w="1080" w:type="dxa"/>
            <w:tcBorders>
              <w:top w:val="nil"/>
              <w:left w:val="nil"/>
              <w:bottom w:val="single" w:sz="8" w:space="0" w:color="auto"/>
              <w:right w:val="single" w:sz="8" w:space="0" w:color="auto"/>
            </w:tcBorders>
            <w:vAlign w:val="center"/>
          </w:tcPr>
          <w:p w:rsidR="00E97584" w:rsidRDefault="00052018" w:rsidP="00E97584">
            <w:pPr>
              <w:jc w:val="center"/>
            </w:pPr>
            <w:r>
              <w:t>1</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97584" w:rsidRDefault="00052018" w:rsidP="00E97584">
            <w:pPr>
              <w:jc w:val="center"/>
            </w:pPr>
            <w:r>
              <w:t>12</w:t>
            </w:r>
          </w:p>
        </w:tc>
      </w:tr>
      <w:tr w:rsidR="006C790D" w:rsidTr="004E16F6">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C790D" w:rsidRDefault="00FC3C1C">
            <w:r>
              <w:t>Appendix B</w:t>
            </w:r>
            <w:r w:rsidR="006C790D">
              <w:t>: Post-Implementation Focus Group for Patients and Family Members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90D" w:rsidRDefault="00646E5C" w:rsidP="00E97584">
            <w:pPr>
              <w:jc w:val="center"/>
            </w:pPr>
            <w:r>
              <w:t>72</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90D" w:rsidRDefault="00FC3C1C" w:rsidP="00E97584">
            <w:pPr>
              <w:jc w:val="center"/>
            </w:pPr>
            <w:r>
              <w:t>2</w:t>
            </w:r>
          </w:p>
        </w:tc>
        <w:tc>
          <w:tcPr>
            <w:tcW w:w="1080" w:type="dxa"/>
            <w:tcBorders>
              <w:top w:val="nil"/>
              <w:left w:val="nil"/>
              <w:bottom w:val="single" w:sz="8" w:space="0" w:color="auto"/>
              <w:right w:val="single" w:sz="8" w:space="0" w:color="auto"/>
            </w:tcBorders>
            <w:vAlign w:val="center"/>
          </w:tcPr>
          <w:p w:rsidR="006C790D" w:rsidRPr="00087420" w:rsidRDefault="00646E5C" w:rsidP="00E97584">
            <w:pPr>
              <w:jc w:val="center"/>
            </w:pPr>
            <w:r w:rsidRPr="00087420">
              <w:t>1.5</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C790D" w:rsidRPr="00087420" w:rsidRDefault="00087420" w:rsidP="00E97584">
            <w:pPr>
              <w:jc w:val="center"/>
            </w:pPr>
            <w:r w:rsidRPr="00087420">
              <w:t>216</w:t>
            </w:r>
          </w:p>
        </w:tc>
      </w:tr>
      <w:tr w:rsidR="006C790D" w:rsidTr="004E16F6">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C790D" w:rsidRDefault="00FC3C1C">
            <w:r>
              <w:t>Appendix C</w:t>
            </w:r>
            <w:r w:rsidR="00E12E29">
              <w:t xml:space="preserve">: </w:t>
            </w:r>
            <w:r w:rsidR="00592B04">
              <w:t>Interview Guide- Baseline Practice Readiness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90D" w:rsidRDefault="00592B04" w:rsidP="00E97584">
            <w:pPr>
              <w:jc w:val="center"/>
            </w:pPr>
            <w:r>
              <w:t>12</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90D" w:rsidRDefault="00646E5C" w:rsidP="00E97584">
            <w:pPr>
              <w:jc w:val="center"/>
            </w:pPr>
            <w:r>
              <w:t>1</w:t>
            </w:r>
          </w:p>
        </w:tc>
        <w:tc>
          <w:tcPr>
            <w:tcW w:w="1080" w:type="dxa"/>
            <w:tcBorders>
              <w:top w:val="nil"/>
              <w:left w:val="nil"/>
              <w:bottom w:val="single" w:sz="8" w:space="0" w:color="auto"/>
              <w:right w:val="single" w:sz="8" w:space="0" w:color="auto"/>
            </w:tcBorders>
            <w:vAlign w:val="center"/>
          </w:tcPr>
          <w:p w:rsidR="006C790D" w:rsidRDefault="00646E5C" w:rsidP="00E97584">
            <w:pPr>
              <w:jc w:val="center"/>
            </w:pPr>
            <w:r>
              <w:t>.75</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C790D" w:rsidRDefault="00646E5C" w:rsidP="00E97584">
            <w:pPr>
              <w:jc w:val="center"/>
            </w:pPr>
            <w:r>
              <w:t>9</w:t>
            </w:r>
          </w:p>
        </w:tc>
      </w:tr>
      <w:tr w:rsidR="006C790D" w:rsidTr="004E16F6">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C790D" w:rsidRDefault="00FC3C1C">
            <w:r>
              <w:t>Appendix D</w:t>
            </w:r>
            <w:r w:rsidR="00E12E29">
              <w:t xml:space="preserve">: </w:t>
            </w:r>
            <w:r w:rsidR="00646E5C">
              <w:t>Post-Implementation Interview Protocol- Providers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90D" w:rsidRDefault="00FC3C1C" w:rsidP="00E97584">
            <w:pPr>
              <w:jc w:val="center"/>
            </w:pPr>
            <w:r>
              <w:t>24</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90D" w:rsidRDefault="00FC3C1C" w:rsidP="00E97584">
            <w:pPr>
              <w:jc w:val="center"/>
            </w:pPr>
            <w:r>
              <w:t>2</w:t>
            </w:r>
          </w:p>
        </w:tc>
        <w:tc>
          <w:tcPr>
            <w:tcW w:w="1080" w:type="dxa"/>
            <w:tcBorders>
              <w:top w:val="nil"/>
              <w:left w:val="nil"/>
              <w:bottom w:val="single" w:sz="8" w:space="0" w:color="auto"/>
              <w:right w:val="single" w:sz="8" w:space="0" w:color="auto"/>
            </w:tcBorders>
            <w:vAlign w:val="center"/>
          </w:tcPr>
          <w:p w:rsidR="006C790D" w:rsidRDefault="00646E5C" w:rsidP="00E97584">
            <w:pPr>
              <w:jc w:val="center"/>
            </w:pPr>
            <w:r>
              <w:t>.75</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C790D" w:rsidRDefault="00FC3C1C" w:rsidP="00E97584">
            <w:pPr>
              <w:jc w:val="center"/>
            </w:pPr>
            <w:r>
              <w:t>36</w:t>
            </w:r>
          </w:p>
        </w:tc>
      </w:tr>
      <w:tr w:rsidR="006C790D" w:rsidTr="004E16F6">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C790D" w:rsidRDefault="00FC3C1C">
            <w:r>
              <w:t>Appendix E</w:t>
            </w:r>
            <w:r w:rsidR="00E12E29">
              <w:t xml:space="preserve">: </w:t>
            </w:r>
            <w:r w:rsidR="00976C83">
              <w:t>Post-Implementation Focus Group Protocol- Practice Staff</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90D" w:rsidRDefault="00976C83" w:rsidP="00E97584">
            <w:pPr>
              <w:jc w:val="center"/>
            </w:pPr>
            <w:r>
              <w:t>72</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90D" w:rsidRDefault="00FC3C1C" w:rsidP="00E97584">
            <w:pPr>
              <w:jc w:val="center"/>
            </w:pPr>
            <w:r>
              <w:t>2</w:t>
            </w:r>
          </w:p>
        </w:tc>
        <w:tc>
          <w:tcPr>
            <w:tcW w:w="1080" w:type="dxa"/>
            <w:tcBorders>
              <w:top w:val="nil"/>
              <w:left w:val="nil"/>
              <w:bottom w:val="single" w:sz="8" w:space="0" w:color="auto"/>
              <w:right w:val="single" w:sz="8" w:space="0" w:color="auto"/>
            </w:tcBorders>
            <w:vAlign w:val="center"/>
          </w:tcPr>
          <w:p w:rsidR="006C790D" w:rsidRPr="00FC3C1C" w:rsidRDefault="00976C83" w:rsidP="00E97584">
            <w:pPr>
              <w:jc w:val="center"/>
              <w:rPr>
                <w:highlight w:val="yellow"/>
              </w:rPr>
            </w:pPr>
            <w:r w:rsidRPr="00087420">
              <w:t>1.5</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C790D" w:rsidRPr="00FC3C1C" w:rsidRDefault="00087420" w:rsidP="00B7120A">
            <w:pPr>
              <w:jc w:val="center"/>
              <w:rPr>
                <w:highlight w:val="yellow"/>
              </w:rPr>
            </w:pPr>
            <w:r w:rsidRPr="00087420">
              <w:t>216</w:t>
            </w:r>
          </w:p>
        </w:tc>
      </w:tr>
      <w:tr w:rsidR="006C790D" w:rsidTr="004E16F6">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C790D" w:rsidRDefault="00087420">
            <w:r>
              <w:t>Appendix F</w:t>
            </w:r>
            <w:r w:rsidR="00E12E29">
              <w:t xml:space="preserve">: </w:t>
            </w:r>
            <w:r w:rsidR="00975BFB">
              <w:t>Topic guide for Telephone Protocol- Guide Practice Champions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90D" w:rsidRDefault="00975BFB" w:rsidP="00E97584">
            <w:pPr>
              <w:jc w:val="center"/>
            </w:pPr>
            <w:r>
              <w:t>12</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C790D" w:rsidRDefault="00EA1573" w:rsidP="00EA1573">
            <w:pPr>
              <w:jc w:val="center"/>
            </w:pPr>
            <w:r>
              <w:t>6</w:t>
            </w:r>
          </w:p>
        </w:tc>
        <w:tc>
          <w:tcPr>
            <w:tcW w:w="1080" w:type="dxa"/>
            <w:tcBorders>
              <w:top w:val="nil"/>
              <w:left w:val="nil"/>
              <w:bottom w:val="single" w:sz="8" w:space="0" w:color="auto"/>
              <w:right w:val="single" w:sz="8" w:space="0" w:color="auto"/>
            </w:tcBorders>
            <w:vAlign w:val="center"/>
          </w:tcPr>
          <w:p w:rsidR="006C790D" w:rsidRDefault="00FE32B6" w:rsidP="00E97584">
            <w:pPr>
              <w:jc w:val="center"/>
            </w:pPr>
            <w:r>
              <w:t>.5</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C790D" w:rsidRDefault="00917228" w:rsidP="00E97584">
            <w:pPr>
              <w:jc w:val="center"/>
            </w:pPr>
            <w:r>
              <w:t>36</w:t>
            </w:r>
          </w:p>
        </w:tc>
      </w:tr>
      <w:tr w:rsidR="00E97584" w:rsidTr="004E16F6">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97584" w:rsidRDefault="00E97584">
            <w:r>
              <w:rPr>
                <w:b/>
                <w:bCs/>
                <w:color w:val="000000"/>
                <w:sz w:val="20"/>
                <w:szCs w:val="2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97584" w:rsidRDefault="00087420" w:rsidP="00E97584">
            <w:pPr>
              <w:jc w:val="center"/>
            </w:pPr>
            <w:r>
              <w:t>204</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97584" w:rsidRDefault="00371B27" w:rsidP="00E97584">
            <w:pPr>
              <w:jc w:val="center"/>
            </w:pPr>
            <w:r>
              <w:t>NA</w:t>
            </w:r>
          </w:p>
        </w:tc>
        <w:tc>
          <w:tcPr>
            <w:tcW w:w="1080" w:type="dxa"/>
            <w:tcBorders>
              <w:top w:val="nil"/>
              <w:left w:val="nil"/>
              <w:bottom w:val="single" w:sz="8" w:space="0" w:color="auto"/>
              <w:right w:val="single" w:sz="8" w:space="0" w:color="auto"/>
            </w:tcBorders>
          </w:tcPr>
          <w:p w:rsidR="00E97584" w:rsidRDefault="00371B27" w:rsidP="00E97584">
            <w:pPr>
              <w:jc w:val="center"/>
              <w:rPr>
                <w:b/>
                <w:bCs/>
                <w:color w:val="000000"/>
                <w:sz w:val="20"/>
                <w:szCs w:val="20"/>
              </w:rPr>
            </w:pPr>
            <w:r>
              <w:rPr>
                <w:b/>
                <w:bCs/>
                <w:color w:val="000000"/>
                <w:sz w:val="20"/>
                <w:szCs w:val="20"/>
              </w:rPr>
              <w:t>NA</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97584" w:rsidRDefault="00087420" w:rsidP="00E97584">
            <w:pPr>
              <w:jc w:val="center"/>
            </w:pPr>
            <w:r>
              <w:t>525</w:t>
            </w:r>
          </w:p>
        </w:tc>
      </w:tr>
    </w:tbl>
    <w:bookmarkEnd w:id="46"/>
    <w:bookmarkEnd w:id="47"/>
    <w:p w:rsidR="00414C80" w:rsidRDefault="00414C80" w:rsidP="00414C80">
      <w:r>
        <w:t> </w:t>
      </w:r>
    </w:p>
    <w:p w:rsidR="006C2C31" w:rsidRDefault="006C2C31" w:rsidP="00414C80">
      <w:r>
        <w:t>Exhibit 2 shows the estimated annualized cost burden based on the respondents’ time to participate in this project. The total cost burden is estimated to be $</w:t>
      </w:r>
      <w:r w:rsidR="003F5DC3">
        <w:t>18,629.16</w:t>
      </w:r>
      <w:r w:rsidR="008F662E">
        <w:t>.</w:t>
      </w:r>
    </w:p>
    <w:p w:rsidR="00AF15C4" w:rsidRDefault="00AF15C4" w:rsidP="00414C80"/>
    <w:p w:rsidR="00037998" w:rsidRDefault="00037998" w:rsidP="003535E0">
      <w:pPr>
        <w:spacing w:after="240"/>
        <w:rPr>
          <w:b/>
        </w:rPr>
      </w:pPr>
      <w:proofErr w:type="gramStart"/>
      <w:r w:rsidRPr="00037998">
        <w:rPr>
          <w:b/>
        </w:rPr>
        <w:t>Exhibit 2.</w:t>
      </w:r>
      <w:proofErr w:type="gramEnd"/>
      <w:r w:rsidRPr="00037998">
        <w:rPr>
          <w:b/>
        </w:rPr>
        <w:t xml:space="preserve">  Estimated annualized cost burden</w:t>
      </w:r>
    </w:p>
    <w:tbl>
      <w:tblPr>
        <w:tblW w:w="0" w:type="auto"/>
        <w:tblInd w:w="108" w:type="dxa"/>
        <w:tblCellMar>
          <w:left w:w="0" w:type="dxa"/>
          <w:right w:w="0" w:type="dxa"/>
        </w:tblCellMar>
        <w:tblLook w:val="0000" w:firstRow="0" w:lastRow="0" w:firstColumn="0" w:lastColumn="0" w:noHBand="0" w:noVBand="0"/>
      </w:tblPr>
      <w:tblGrid>
        <w:gridCol w:w="3600"/>
        <w:gridCol w:w="1440"/>
        <w:gridCol w:w="900"/>
        <w:gridCol w:w="1460"/>
        <w:gridCol w:w="1260"/>
      </w:tblGrid>
      <w:tr w:rsidR="003C60BD" w:rsidTr="004E16F6">
        <w:tc>
          <w:tcPr>
            <w:tcW w:w="36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C60BD" w:rsidRDefault="004C4A74" w:rsidP="009C4881">
            <w:pPr>
              <w:jc w:val="center"/>
            </w:pPr>
            <w:r>
              <w:rPr>
                <w:color w:val="000000"/>
                <w:sz w:val="20"/>
                <w:szCs w:val="20"/>
              </w:rPr>
              <w:t>Form Name</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C60BD" w:rsidRDefault="00015AAF" w:rsidP="009C4881">
            <w:pPr>
              <w:jc w:val="center"/>
            </w:pPr>
            <w:r>
              <w:rPr>
                <w:color w:val="000000"/>
                <w:sz w:val="20"/>
                <w:szCs w:val="20"/>
              </w:rPr>
              <w:t>Number of r</w:t>
            </w:r>
            <w:r w:rsidR="003C60BD">
              <w:rPr>
                <w:color w:val="000000"/>
                <w:sz w:val="20"/>
                <w:szCs w:val="20"/>
              </w:rPr>
              <w:t>espondents</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C60BD" w:rsidRDefault="00015AAF" w:rsidP="009C4881">
            <w:pPr>
              <w:jc w:val="center"/>
            </w:pPr>
            <w:r>
              <w:rPr>
                <w:color w:val="000000"/>
                <w:sz w:val="20"/>
                <w:szCs w:val="20"/>
              </w:rPr>
              <w:t>Total b</w:t>
            </w:r>
            <w:r w:rsidR="003C60BD">
              <w:rPr>
                <w:color w:val="000000"/>
                <w:sz w:val="20"/>
                <w:szCs w:val="20"/>
              </w:rPr>
              <w:t>urden hours</w:t>
            </w:r>
          </w:p>
        </w:tc>
        <w:tc>
          <w:tcPr>
            <w:tcW w:w="14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C60BD" w:rsidRDefault="00015AAF" w:rsidP="009C4881">
            <w:pPr>
              <w:jc w:val="center"/>
            </w:pPr>
            <w:r>
              <w:rPr>
                <w:color w:val="000000"/>
                <w:sz w:val="20"/>
                <w:szCs w:val="20"/>
              </w:rPr>
              <w:t>Average hourly wage r</w:t>
            </w:r>
            <w:r w:rsidR="003C60BD">
              <w:rPr>
                <w:color w:val="000000"/>
                <w:sz w:val="20"/>
                <w:szCs w:val="20"/>
              </w:rPr>
              <w:t>ate*</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C60BD" w:rsidRDefault="00217616" w:rsidP="009C4881">
            <w:pPr>
              <w:jc w:val="center"/>
            </w:pPr>
            <w:r>
              <w:rPr>
                <w:color w:val="000000"/>
                <w:sz w:val="20"/>
                <w:szCs w:val="20"/>
              </w:rPr>
              <w:t xml:space="preserve">Total </w:t>
            </w:r>
            <w:r w:rsidR="00015AAF">
              <w:rPr>
                <w:color w:val="000000"/>
                <w:sz w:val="20"/>
                <w:szCs w:val="20"/>
              </w:rPr>
              <w:t>cost b</w:t>
            </w:r>
            <w:r w:rsidR="003C60BD">
              <w:rPr>
                <w:color w:val="000000"/>
                <w:sz w:val="20"/>
                <w:szCs w:val="20"/>
              </w:rPr>
              <w:t>urden</w:t>
            </w:r>
          </w:p>
        </w:tc>
      </w:tr>
      <w:tr w:rsidR="004E1092" w:rsidTr="004E16F6">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E1092" w:rsidRDefault="004E1092" w:rsidP="002B421E">
            <w:r>
              <w:t>Appendix A: Baseline Practice Assessment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E1092" w:rsidRDefault="004E1092" w:rsidP="002B421E">
            <w:pPr>
              <w:jc w:val="center"/>
            </w:pPr>
            <w:r>
              <w:t>12</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E1092" w:rsidRDefault="004E1092" w:rsidP="002B421E">
            <w:pPr>
              <w:jc w:val="center"/>
            </w:pPr>
            <w:r>
              <w:t>12</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E1092" w:rsidRPr="009B3622" w:rsidRDefault="00712E20" w:rsidP="000717CD">
            <w:pPr>
              <w:jc w:val="center"/>
              <w:rPr>
                <w:vertAlign w:val="superscript"/>
              </w:rPr>
            </w:pPr>
            <w:r>
              <w:t>$</w:t>
            </w:r>
            <w:r w:rsidR="000717CD">
              <w:t>37.40</w:t>
            </w:r>
            <w:r w:rsidR="00D30A3B" w:rsidRPr="00D30A3B">
              <w:rPr>
                <w:vertAlign w:val="superscript"/>
              </w:rPr>
              <w:t>a</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E1092" w:rsidRDefault="000717CD" w:rsidP="003C60BD">
            <w:pPr>
              <w:jc w:val="center"/>
            </w:pPr>
            <w:r>
              <w:t>448.80</w:t>
            </w:r>
          </w:p>
        </w:tc>
      </w:tr>
      <w:tr w:rsidR="004E1092" w:rsidTr="004E16F6">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E1092" w:rsidRDefault="004E1092" w:rsidP="002B421E">
            <w:r>
              <w:t>Appendix B: Post-Implementation Focus Group for Patients and Family Members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E1092" w:rsidRDefault="004E1092" w:rsidP="002B421E">
            <w:pPr>
              <w:jc w:val="center"/>
            </w:pPr>
            <w:r>
              <w:t>72</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E1092" w:rsidRPr="00087420" w:rsidRDefault="004E1092" w:rsidP="002B421E">
            <w:pPr>
              <w:jc w:val="center"/>
            </w:pPr>
            <w:r w:rsidRPr="00087420">
              <w:t>216</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E1092" w:rsidRPr="009B3622" w:rsidRDefault="00BD1B44" w:rsidP="009C70B7">
            <w:pPr>
              <w:jc w:val="center"/>
              <w:rPr>
                <w:vertAlign w:val="superscript"/>
              </w:rPr>
            </w:pPr>
            <w:r>
              <w:t>$</w:t>
            </w:r>
            <w:r w:rsidR="009C70B7">
              <w:t>23.23</w:t>
            </w:r>
            <w:r w:rsidR="004B7032" w:rsidRPr="00D30A3B">
              <w:rPr>
                <w:vertAlign w:val="superscript"/>
              </w:rPr>
              <w:t>a</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E1092" w:rsidRDefault="009C70B7" w:rsidP="003C60BD">
            <w:pPr>
              <w:jc w:val="center"/>
            </w:pPr>
            <w:r>
              <w:t>5,017.68</w:t>
            </w:r>
          </w:p>
        </w:tc>
      </w:tr>
      <w:tr w:rsidR="004E1092" w:rsidTr="004E16F6">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E1092" w:rsidRDefault="004E1092" w:rsidP="002B421E">
            <w:r>
              <w:t>Appendix C: Interview Guide- Baseline Practice Readiness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E1092" w:rsidRDefault="004E1092" w:rsidP="002B421E">
            <w:pPr>
              <w:jc w:val="center"/>
            </w:pPr>
            <w:r>
              <w:t>12</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E1092" w:rsidRDefault="004E1092" w:rsidP="002B421E">
            <w:pPr>
              <w:jc w:val="center"/>
            </w:pPr>
            <w:r>
              <w:t>9</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E1092" w:rsidRDefault="00D34490" w:rsidP="000717CD">
            <w:pPr>
              <w:jc w:val="center"/>
            </w:pPr>
            <w:r>
              <w:t>$</w:t>
            </w:r>
            <w:r w:rsidR="000717CD">
              <w:t>37.40</w:t>
            </w:r>
            <w:r w:rsidRPr="00D30A3B">
              <w:rPr>
                <w:vertAlign w:val="superscript"/>
              </w:rPr>
              <w:t>a</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E1092" w:rsidRDefault="000717CD" w:rsidP="003C60BD">
            <w:pPr>
              <w:jc w:val="center"/>
            </w:pPr>
            <w:r>
              <w:t>336.60</w:t>
            </w:r>
          </w:p>
        </w:tc>
      </w:tr>
      <w:tr w:rsidR="004E1092" w:rsidTr="004E16F6">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E1092" w:rsidRDefault="004E1092" w:rsidP="002B421E">
            <w:r>
              <w:t>Appendix D: Post-Implementation Interview Protocol- Providers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E1092" w:rsidRDefault="004E1092" w:rsidP="002B421E">
            <w:pPr>
              <w:jc w:val="center"/>
            </w:pPr>
            <w:r>
              <w:t>24</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E1092" w:rsidRDefault="004E1092" w:rsidP="002B421E">
            <w:pPr>
              <w:jc w:val="center"/>
            </w:pPr>
            <w:r>
              <w:t>36</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E1092" w:rsidRDefault="00D30A3B" w:rsidP="000717CD">
            <w:pPr>
              <w:jc w:val="center"/>
            </w:pPr>
            <w:r>
              <w:t>$</w:t>
            </w:r>
            <w:r w:rsidR="000717CD">
              <w:t>94.48</w:t>
            </w:r>
            <w:r w:rsidR="0098241C">
              <w:rPr>
                <w:vertAlign w:val="superscript"/>
              </w:rPr>
              <w:t>b</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E1092" w:rsidRDefault="000717CD" w:rsidP="003C60BD">
            <w:pPr>
              <w:jc w:val="center"/>
            </w:pPr>
            <w:r>
              <w:t>3401.28</w:t>
            </w:r>
          </w:p>
        </w:tc>
      </w:tr>
      <w:tr w:rsidR="004E1092" w:rsidTr="004E16F6">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E1092" w:rsidRDefault="004E1092" w:rsidP="002B421E">
            <w:r>
              <w:t>Appendix E: Post-Implementation Focus Group Protocol- Practice Staff</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E1092" w:rsidRDefault="004E1092" w:rsidP="002B421E">
            <w:pPr>
              <w:jc w:val="center"/>
            </w:pPr>
            <w:r>
              <w:t>72</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E1092" w:rsidRPr="00FC3C1C" w:rsidRDefault="004E1092" w:rsidP="00FC5076">
            <w:pPr>
              <w:jc w:val="center"/>
              <w:rPr>
                <w:highlight w:val="yellow"/>
              </w:rPr>
            </w:pPr>
            <w:r w:rsidRPr="00087420">
              <w:t>216</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E1092" w:rsidRDefault="00CC69E8" w:rsidP="000717CD">
            <w:pPr>
              <w:jc w:val="center"/>
            </w:pPr>
            <w:r>
              <w:t>$</w:t>
            </w:r>
            <w:r w:rsidR="000717CD">
              <w:t>37.40</w:t>
            </w:r>
            <w:r w:rsidRPr="00D30A3B">
              <w:rPr>
                <w:vertAlign w:val="superscript"/>
              </w:rPr>
              <w:t>a</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E1092" w:rsidRDefault="000717CD" w:rsidP="003C60BD">
            <w:pPr>
              <w:jc w:val="center"/>
            </w:pPr>
            <w:r>
              <w:t>8078.40</w:t>
            </w:r>
          </w:p>
        </w:tc>
      </w:tr>
      <w:tr w:rsidR="004E1092" w:rsidTr="004E16F6">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E1092" w:rsidRDefault="004E1092" w:rsidP="002B421E">
            <w:r>
              <w:t>Appendix F: Topic guide for Telephone Protocol- Guide Practice Champions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E1092" w:rsidRDefault="004E1092" w:rsidP="002B421E">
            <w:pPr>
              <w:jc w:val="center"/>
            </w:pPr>
            <w:r>
              <w:t>12</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E1092" w:rsidRDefault="004E1092" w:rsidP="002B421E">
            <w:pPr>
              <w:jc w:val="center"/>
            </w:pPr>
            <w:r>
              <w:t>36</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E1092" w:rsidRDefault="00CC69E8" w:rsidP="000717CD">
            <w:pPr>
              <w:jc w:val="center"/>
            </w:pPr>
            <w:r>
              <w:t>$</w:t>
            </w:r>
            <w:r w:rsidR="000717CD">
              <w:t>37.40</w:t>
            </w:r>
            <w:r w:rsidRPr="00D30A3B">
              <w:rPr>
                <w:vertAlign w:val="superscript"/>
              </w:rPr>
              <w:t>a</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E1092" w:rsidRDefault="000717CD" w:rsidP="003C60BD">
            <w:pPr>
              <w:jc w:val="center"/>
            </w:pPr>
            <w:r>
              <w:t>1346.40</w:t>
            </w:r>
          </w:p>
        </w:tc>
      </w:tr>
      <w:tr w:rsidR="004E1092" w:rsidTr="004E16F6">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E1092" w:rsidRDefault="004E1092" w:rsidP="009D3DBB">
            <w:r>
              <w:rPr>
                <w:b/>
                <w:bCs/>
                <w:color w:val="000000"/>
                <w:sz w:val="20"/>
                <w:szCs w:val="2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E1092" w:rsidRDefault="00FC5076" w:rsidP="003C60BD">
            <w:pPr>
              <w:jc w:val="center"/>
            </w:pPr>
            <w:r>
              <w:t>204</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E1092" w:rsidRDefault="00FC5076" w:rsidP="003C60BD">
            <w:pPr>
              <w:jc w:val="center"/>
            </w:pPr>
            <w:r>
              <w:t>525</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E1092" w:rsidRDefault="004E1092" w:rsidP="003C60BD">
            <w:pPr>
              <w:jc w:val="center"/>
            </w:pP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E1092" w:rsidRDefault="009C70B7" w:rsidP="003C60BD">
            <w:pPr>
              <w:jc w:val="center"/>
            </w:pPr>
            <w:r>
              <w:t>18,629.16</w:t>
            </w:r>
          </w:p>
        </w:tc>
      </w:tr>
    </w:tbl>
    <w:p w:rsidR="003C60BD" w:rsidRDefault="00520CE0" w:rsidP="009B3622">
      <w:pPr>
        <w:tabs>
          <w:tab w:val="left" w:pos="180"/>
        </w:tabs>
        <w:ind w:left="180" w:hanging="180"/>
      </w:pPr>
      <w:r>
        <w:rPr>
          <w:color w:val="000000"/>
          <w:sz w:val="20"/>
          <w:szCs w:val="20"/>
        </w:rPr>
        <w:lastRenderedPageBreak/>
        <w:t>*</w:t>
      </w:r>
      <w:r w:rsidR="009B3622">
        <w:rPr>
          <w:color w:val="000000"/>
          <w:sz w:val="20"/>
          <w:szCs w:val="20"/>
        </w:rPr>
        <w:tab/>
      </w:r>
      <w:r w:rsidR="003C60BD">
        <w:rPr>
          <w:color w:val="000000"/>
          <w:sz w:val="20"/>
          <w:szCs w:val="20"/>
        </w:rPr>
        <w:t xml:space="preserve">National Compensation Survey: Occupational wages in the United States </w:t>
      </w:r>
      <w:r w:rsidR="00841047">
        <w:rPr>
          <w:color w:val="000000"/>
          <w:sz w:val="20"/>
          <w:szCs w:val="20"/>
        </w:rPr>
        <w:t>May 201</w:t>
      </w:r>
      <w:r w:rsidR="007E6FD2">
        <w:rPr>
          <w:color w:val="000000"/>
          <w:sz w:val="20"/>
          <w:szCs w:val="20"/>
        </w:rPr>
        <w:t>5</w:t>
      </w:r>
      <w:r w:rsidR="003C60BD">
        <w:rPr>
          <w:color w:val="000000"/>
          <w:sz w:val="20"/>
          <w:szCs w:val="20"/>
        </w:rPr>
        <w:t>, “U.S. Department of Labor, Bureau of Labor Statistics.”</w:t>
      </w:r>
    </w:p>
    <w:p w:rsidR="00D30A3B" w:rsidRDefault="008008A1" w:rsidP="00D30A3B">
      <w:pPr>
        <w:rPr>
          <w:color w:val="000000"/>
          <w:sz w:val="20"/>
          <w:szCs w:val="20"/>
        </w:rPr>
      </w:pPr>
      <w:proofErr w:type="gramStart"/>
      <w:r>
        <w:rPr>
          <w:color w:val="000000"/>
          <w:sz w:val="20"/>
          <w:szCs w:val="20"/>
          <w:vertAlign w:val="superscript"/>
        </w:rPr>
        <w:t>a</w:t>
      </w:r>
      <w:r w:rsidR="00D30A3B">
        <w:rPr>
          <w:color w:val="000000"/>
          <w:sz w:val="20"/>
          <w:szCs w:val="20"/>
        </w:rPr>
        <w:t xml:space="preserve">  Based</w:t>
      </w:r>
      <w:proofErr w:type="gramEnd"/>
      <w:r w:rsidR="00D30A3B">
        <w:rPr>
          <w:color w:val="000000"/>
          <w:sz w:val="20"/>
          <w:szCs w:val="20"/>
        </w:rPr>
        <w:t xml:space="preserve"> on the mean wages for </w:t>
      </w:r>
      <w:r>
        <w:rPr>
          <w:color w:val="000000"/>
          <w:sz w:val="20"/>
          <w:szCs w:val="20"/>
        </w:rPr>
        <w:t xml:space="preserve">Miscellaneous Healthcare Worker </w:t>
      </w:r>
      <w:r w:rsidR="00D34490">
        <w:rPr>
          <w:color w:val="000000"/>
          <w:sz w:val="20"/>
          <w:szCs w:val="20"/>
        </w:rPr>
        <w:t xml:space="preserve"> (Code </w:t>
      </w:r>
      <w:r>
        <w:rPr>
          <w:color w:val="000000"/>
          <w:sz w:val="20"/>
          <w:szCs w:val="20"/>
        </w:rPr>
        <w:t>29-9090</w:t>
      </w:r>
      <w:r w:rsidR="00D34490">
        <w:rPr>
          <w:color w:val="000000"/>
          <w:sz w:val="20"/>
          <w:szCs w:val="20"/>
        </w:rPr>
        <w:t>)</w:t>
      </w:r>
    </w:p>
    <w:p w:rsidR="008008A1" w:rsidRPr="009B3622" w:rsidRDefault="008008A1" w:rsidP="008008A1">
      <w:pPr>
        <w:rPr>
          <w:b/>
        </w:rPr>
      </w:pPr>
      <w:proofErr w:type="gramStart"/>
      <w:r>
        <w:rPr>
          <w:color w:val="000000"/>
          <w:sz w:val="20"/>
          <w:szCs w:val="20"/>
          <w:vertAlign w:val="superscript"/>
        </w:rPr>
        <w:t>b</w:t>
      </w:r>
      <w:r>
        <w:rPr>
          <w:color w:val="000000"/>
          <w:sz w:val="20"/>
          <w:szCs w:val="20"/>
        </w:rPr>
        <w:t xml:space="preserve">  Based</w:t>
      </w:r>
      <w:proofErr w:type="gramEnd"/>
      <w:r>
        <w:rPr>
          <w:color w:val="000000"/>
          <w:sz w:val="20"/>
          <w:szCs w:val="20"/>
        </w:rPr>
        <w:t xml:space="preserve"> on the mean wages for </w:t>
      </w:r>
      <w:r w:rsidRPr="00D34490">
        <w:rPr>
          <w:color w:val="000000"/>
          <w:sz w:val="20"/>
          <w:szCs w:val="20"/>
        </w:rPr>
        <w:t>Internists, General</w:t>
      </w:r>
      <w:r>
        <w:rPr>
          <w:color w:val="000000"/>
          <w:sz w:val="20"/>
          <w:szCs w:val="20"/>
        </w:rPr>
        <w:t xml:space="preserve"> (Code </w:t>
      </w:r>
      <w:r w:rsidRPr="00D34490">
        <w:rPr>
          <w:color w:val="000000"/>
          <w:sz w:val="20"/>
          <w:szCs w:val="20"/>
        </w:rPr>
        <w:t>29-1063</w:t>
      </w:r>
      <w:r>
        <w:rPr>
          <w:color w:val="000000"/>
          <w:sz w:val="20"/>
          <w:szCs w:val="20"/>
        </w:rPr>
        <w:t>)</w:t>
      </w:r>
    </w:p>
    <w:p w:rsidR="008008A1" w:rsidRPr="009B3622" w:rsidRDefault="008008A1" w:rsidP="00D30A3B">
      <w:pPr>
        <w:rPr>
          <w:b/>
        </w:rPr>
      </w:pPr>
    </w:p>
    <w:p w:rsidR="009B633D" w:rsidRPr="00412C6F" w:rsidRDefault="009B633D" w:rsidP="000F0A95">
      <w:pPr>
        <w:pStyle w:val="Heading2"/>
        <w:spacing w:after="240"/>
        <w:rPr>
          <w:sz w:val="24"/>
        </w:rPr>
      </w:pPr>
      <w:bookmarkStart w:id="48" w:name="_Toc151782188"/>
      <w:bookmarkStart w:id="49" w:name="_Toc158526228"/>
      <w:bookmarkStart w:id="50" w:name="_Toc469151336"/>
      <w:r w:rsidRPr="00412C6F">
        <w:rPr>
          <w:sz w:val="24"/>
        </w:rPr>
        <w:t>13. Estimates of Annualized Respondent Capital and Maintenance Costs</w:t>
      </w:r>
      <w:bookmarkEnd w:id="48"/>
      <w:bookmarkEnd w:id="49"/>
      <w:bookmarkEnd w:id="50"/>
    </w:p>
    <w:p w:rsidR="00371B27" w:rsidRDefault="00371B27" w:rsidP="00371B27">
      <w:pPr>
        <w:spacing w:before="120"/>
      </w:pPr>
      <w:bookmarkStart w:id="51" w:name="_Toc58725299"/>
      <w:bookmarkStart w:id="52" w:name="_Toc151782189"/>
      <w:bookmarkStart w:id="53" w:name="_Toc158526229"/>
      <w:r>
        <w:t>Capital and maintenance costs include the purchase of equipment, computers or computer software or services, or storage facilities for records, as a result of complying with this data collection. There are no direct costs to respondents other than their time to participate in the study.</w:t>
      </w:r>
    </w:p>
    <w:p w:rsidR="009B633D" w:rsidRPr="00412C6F" w:rsidRDefault="009B633D" w:rsidP="000F0A95">
      <w:pPr>
        <w:pStyle w:val="Heading2"/>
        <w:spacing w:after="240"/>
        <w:rPr>
          <w:sz w:val="24"/>
        </w:rPr>
      </w:pPr>
      <w:bookmarkStart w:id="54" w:name="_Toc469151337"/>
      <w:r w:rsidRPr="00412C6F">
        <w:rPr>
          <w:sz w:val="24"/>
        </w:rPr>
        <w:t xml:space="preserve">14. Estimates of </w:t>
      </w:r>
      <w:r w:rsidR="00DA79B5">
        <w:rPr>
          <w:sz w:val="24"/>
        </w:rPr>
        <w:t xml:space="preserve">Total and </w:t>
      </w:r>
      <w:r w:rsidRPr="00412C6F">
        <w:rPr>
          <w:sz w:val="24"/>
        </w:rPr>
        <w:t>Annualized Cost to the Government</w:t>
      </w:r>
      <w:bookmarkEnd w:id="51"/>
      <w:bookmarkEnd w:id="52"/>
      <w:bookmarkEnd w:id="53"/>
      <w:bookmarkEnd w:id="54"/>
    </w:p>
    <w:p w:rsidR="00E94A33" w:rsidRDefault="00E94A33" w:rsidP="00E94A33">
      <w:bookmarkStart w:id="55" w:name="_Toc151782190"/>
      <w:bookmarkStart w:id="56" w:name="_Toc158526230"/>
      <w:r>
        <w:t>Exhibit 3</w:t>
      </w:r>
      <w:r w:rsidR="007D1D87">
        <w:t>a</w:t>
      </w:r>
      <w:r>
        <w:t xml:space="preserve"> </w:t>
      </w:r>
      <w:r w:rsidR="007D1D87">
        <w:t>and Exhibit 3b</w:t>
      </w:r>
      <w:r>
        <w:t xml:space="preserve"> shows the estimated annualized cost to the government for the contractor and government personnel for developing, maintaining, and managing the database and analyzing the data and producing reports for each year in which data are collected. The cost is estimated to </w:t>
      </w:r>
      <w:r w:rsidRPr="00F77E14">
        <w:t xml:space="preserve">be </w:t>
      </w:r>
      <w:r w:rsidR="00DE0B9F">
        <w:t>$388,316.16</w:t>
      </w:r>
      <w:r>
        <w:t xml:space="preserve"> annually.</w:t>
      </w:r>
    </w:p>
    <w:p w:rsidR="00E94A33" w:rsidRPr="000C01BB" w:rsidRDefault="00E94A33" w:rsidP="00E94A33"/>
    <w:p w:rsidR="00012FB9" w:rsidRDefault="00012FB9" w:rsidP="00012FB9">
      <w:proofErr w:type="gramStart"/>
      <w:r>
        <w:rPr>
          <w:b/>
          <w:bCs/>
          <w:color w:val="000000"/>
        </w:rPr>
        <w:t>Exhibit 3</w:t>
      </w:r>
      <w:r w:rsidR="00DA79B5">
        <w:rPr>
          <w:b/>
          <w:bCs/>
          <w:color w:val="000000"/>
        </w:rPr>
        <w:t>a</w:t>
      </w:r>
      <w:r>
        <w:rPr>
          <w:b/>
          <w:bCs/>
          <w:color w:val="000000"/>
        </w:rPr>
        <w:t>.</w:t>
      </w:r>
      <w:proofErr w:type="gramEnd"/>
      <w:r>
        <w:rPr>
          <w:b/>
          <w:bCs/>
          <w:color w:val="000000"/>
        </w:rPr>
        <w:t>  Estimated</w:t>
      </w:r>
      <w:r w:rsidR="00FD1D9C">
        <w:rPr>
          <w:b/>
          <w:bCs/>
          <w:color w:val="000000"/>
        </w:rPr>
        <w:t xml:space="preserve"> Total and Annualized</w:t>
      </w:r>
      <w:r>
        <w:rPr>
          <w:b/>
          <w:bCs/>
          <w:color w:val="000000"/>
        </w:rPr>
        <w:t xml:space="preserve"> Cost</w:t>
      </w:r>
    </w:p>
    <w:tbl>
      <w:tblPr>
        <w:tblW w:w="0" w:type="auto"/>
        <w:tblInd w:w="108" w:type="dxa"/>
        <w:tblCellMar>
          <w:left w:w="0" w:type="dxa"/>
          <w:right w:w="0" w:type="dxa"/>
        </w:tblCellMar>
        <w:tblLook w:val="0000" w:firstRow="0" w:lastRow="0" w:firstColumn="0" w:lastColumn="0" w:noHBand="0" w:noVBand="0"/>
      </w:tblPr>
      <w:tblGrid>
        <w:gridCol w:w="3600"/>
        <w:gridCol w:w="1440"/>
      </w:tblGrid>
      <w:tr w:rsidR="00D97F88" w:rsidTr="00350E4E">
        <w:tc>
          <w:tcPr>
            <w:tcW w:w="36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D97F88" w:rsidRPr="00012FB9" w:rsidRDefault="00D97F88" w:rsidP="00012FB9">
            <w:pPr>
              <w:rPr>
                <w:b/>
              </w:rPr>
            </w:pPr>
            <w:r w:rsidRPr="00012FB9">
              <w:rPr>
                <w:b/>
                <w:color w:val="000000"/>
              </w:rPr>
              <w:t xml:space="preserve">Cost Component </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97F88" w:rsidRPr="00012FB9" w:rsidRDefault="00D97F88" w:rsidP="001A28C0">
            <w:pPr>
              <w:jc w:val="center"/>
              <w:rPr>
                <w:b/>
              </w:rPr>
            </w:pPr>
            <w:r w:rsidRPr="00012FB9">
              <w:rPr>
                <w:b/>
              </w:rPr>
              <w:t>Total Cost</w:t>
            </w:r>
          </w:p>
        </w:tc>
      </w:tr>
      <w:tr w:rsidR="00D97F88" w:rsidTr="00350E4E">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D97F88" w:rsidRDefault="00D97F88" w:rsidP="001514E8">
            <w:r>
              <w:t>Project Development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97F88" w:rsidRDefault="00D97F88" w:rsidP="001514E8">
            <w:pPr>
              <w:jc w:val="center"/>
            </w:pPr>
            <w:r>
              <w:t>$19,035.20</w:t>
            </w:r>
          </w:p>
        </w:tc>
      </w:tr>
      <w:tr w:rsidR="00D97F88" w:rsidTr="00350E4E">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D97F88" w:rsidRDefault="00D97F88" w:rsidP="001514E8">
            <w:r>
              <w:t>Data Collection Activities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97F88" w:rsidRDefault="00D97F88" w:rsidP="004B5566">
            <w:r>
              <w:t>$158,199.67</w:t>
            </w:r>
          </w:p>
        </w:tc>
      </w:tr>
      <w:tr w:rsidR="00D97F88" w:rsidTr="00350E4E">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D97F88" w:rsidRDefault="00D97F88" w:rsidP="001514E8">
            <w:r>
              <w:t>Data Processing and Analysis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97F88" w:rsidRDefault="00D97F88" w:rsidP="001514E8">
            <w:pPr>
              <w:jc w:val="center"/>
            </w:pPr>
            <w:r>
              <w:t>$38,930.39</w:t>
            </w:r>
          </w:p>
        </w:tc>
      </w:tr>
      <w:tr w:rsidR="00D97F88" w:rsidTr="00350E4E">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D97F88" w:rsidRDefault="00D97F88" w:rsidP="001514E8">
            <w:r>
              <w:t>Publication of Results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97F88" w:rsidRDefault="00D97F88" w:rsidP="001514E8">
            <w:pPr>
              <w:jc w:val="center"/>
            </w:pPr>
            <w:r>
              <w:t>$6,011.73</w:t>
            </w:r>
          </w:p>
        </w:tc>
      </w:tr>
      <w:tr w:rsidR="00D97F88" w:rsidTr="00350E4E">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D97F88" w:rsidRDefault="00D97F88" w:rsidP="001514E8">
            <w:r>
              <w:t>Project Management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97F88" w:rsidRDefault="00D97F88" w:rsidP="001514E8">
            <w:pPr>
              <w:jc w:val="center"/>
            </w:pPr>
            <w:r>
              <w:t>$24,046.93</w:t>
            </w:r>
          </w:p>
        </w:tc>
      </w:tr>
      <w:tr w:rsidR="00D97F88" w:rsidTr="00350E4E">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D97F88" w:rsidRDefault="00D97F88" w:rsidP="001514E8">
            <w:r>
              <w:t>Overhead</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97F88" w:rsidRDefault="00D97F88" w:rsidP="001514E8">
            <w:pPr>
              <w:jc w:val="center"/>
            </w:pPr>
            <w:r>
              <w:t>$142,092.24</w:t>
            </w:r>
          </w:p>
        </w:tc>
      </w:tr>
      <w:tr w:rsidR="00D97F88" w:rsidTr="00350E4E">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D97F88" w:rsidRPr="006D1C5E" w:rsidRDefault="00D97F88" w:rsidP="001514E8">
            <w:r w:rsidRPr="006D1C5E">
              <w:rPr>
                <w:b/>
                <w:bCs/>
                <w:color w:val="00000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97F88" w:rsidRDefault="00D97F88" w:rsidP="001514E8">
            <w:pPr>
              <w:jc w:val="center"/>
            </w:pPr>
            <w:r>
              <w:t>$388,316.16</w:t>
            </w:r>
          </w:p>
        </w:tc>
      </w:tr>
    </w:tbl>
    <w:p w:rsidR="00D20C47" w:rsidRDefault="00D20C47" w:rsidP="00D20C47">
      <w:pPr>
        <w:ind w:firstLine="90"/>
        <w:rPr>
          <w:b/>
        </w:rPr>
      </w:pPr>
    </w:p>
    <w:p w:rsidR="00307A62" w:rsidRDefault="00D20C47" w:rsidP="00D20C47">
      <w:pPr>
        <w:ind w:firstLine="90"/>
        <w:rPr>
          <w:b/>
        </w:rPr>
      </w:pPr>
      <w:proofErr w:type="gramStart"/>
      <w:r w:rsidRPr="00DA79B5">
        <w:rPr>
          <w:b/>
        </w:rPr>
        <w:t>Exhibit 3b.</w:t>
      </w:r>
      <w:proofErr w:type="gramEnd"/>
      <w:r w:rsidRPr="00DA79B5">
        <w:rPr>
          <w:b/>
        </w:rPr>
        <w:t xml:space="preserve"> Federal Government Personnel Cost</w:t>
      </w:r>
    </w:p>
    <w:p w:rsidR="00307A62" w:rsidRPr="00DA79B5" w:rsidRDefault="00307A62" w:rsidP="00D20C47">
      <w:pPr>
        <w:ind w:firstLine="90"/>
        <w:rPr>
          <w:b/>
        </w:rPr>
      </w:pPr>
    </w:p>
    <w:tbl>
      <w:tblPr>
        <w:tblW w:w="8726" w:type="dxa"/>
        <w:jc w:val="center"/>
        <w:tblInd w:w="-1007" w:type="dxa"/>
        <w:tblLayout w:type="fixed"/>
        <w:tblCellMar>
          <w:left w:w="100" w:type="dxa"/>
          <w:right w:w="100" w:type="dxa"/>
        </w:tblCellMar>
        <w:tblLook w:val="04A0" w:firstRow="1" w:lastRow="0" w:firstColumn="1" w:lastColumn="0" w:noHBand="0" w:noVBand="1"/>
      </w:tblPr>
      <w:tblGrid>
        <w:gridCol w:w="2781"/>
        <w:gridCol w:w="2250"/>
        <w:gridCol w:w="1042"/>
        <w:gridCol w:w="1260"/>
        <w:gridCol w:w="1393"/>
      </w:tblGrid>
      <w:tr w:rsidR="00307A62" w:rsidRPr="00DA79B5" w:rsidTr="008C21FB">
        <w:trPr>
          <w:cantSplit/>
          <w:trHeight w:val="403"/>
          <w:jc w:val="center"/>
        </w:trPr>
        <w:tc>
          <w:tcPr>
            <w:tcW w:w="2781" w:type="dxa"/>
            <w:tcBorders>
              <w:top w:val="single" w:sz="6" w:space="0" w:color="auto"/>
              <w:left w:val="single" w:sz="6" w:space="0" w:color="auto"/>
              <w:bottom w:val="nil"/>
              <w:right w:val="nil"/>
            </w:tcBorders>
            <w:vAlign w:val="bottom"/>
          </w:tcPr>
          <w:p w:rsidR="00307A62" w:rsidRPr="00DA79B5" w:rsidRDefault="00307A62" w:rsidP="008C21FB">
            <w:pPr>
              <w:jc w:val="center"/>
              <w:rPr>
                <w:b/>
                <w:bCs/>
              </w:rPr>
            </w:pPr>
            <w:r w:rsidRPr="00DA79B5">
              <w:rPr>
                <w:b/>
                <w:bCs/>
              </w:rPr>
              <w:t>Activity</w:t>
            </w:r>
          </w:p>
        </w:tc>
        <w:tc>
          <w:tcPr>
            <w:tcW w:w="2250" w:type="dxa"/>
            <w:tcBorders>
              <w:top w:val="single" w:sz="6" w:space="0" w:color="auto"/>
              <w:left w:val="single" w:sz="6" w:space="0" w:color="auto"/>
              <w:bottom w:val="single" w:sz="6" w:space="0" w:color="auto"/>
              <w:right w:val="nil"/>
            </w:tcBorders>
            <w:vAlign w:val="bottom"/>
          </w:tcPr>
          <w:p w:rsidR="00307A62" w:rsidRPr="00DA79B5" w:rsidRDefault="00307A62" w:rsidP="008C21FB">
            <w:pPr>
              <w:jc w:val="center"/>
              <w:rPr>
                <w:b/>
                <w:bCs/>
              </w:rPr>
            </w:pPr>
            <w:r w:rsidRPr="00DA79B5">
              <w:rPr>
                <w:b/>
                <w:bCs/>
              </w:rPr>
              <w:t>Federal Personnel</w:t>
            </w:r>
          </w:p>
        </w:tc>
        <w:tc>
          <w:tcPr>
            <w:tcW w:w="1042" w:type="dxa"/>
            <w:tcBorders>
              <w:top w:val="single" w:sz="6" w:space="0" w:color="auto"/>
              <w:left w:val="single" w:sz="6" w:space="0" w:color="auto"/>
              <w:bottom w:val="single" w:sz="6" w:space="0" w:color="auto"/>
              <w:right w:val="single" w:sz="6" w:space="0" w:color="auto"/>
            </w:tcBorders>
            <w:vAlign w:val="bottom"/>
          </w:tcPr>
          <w:p w:rsidR="00307A62" w:rsidRPr="00DA79B5" w:rsidRDefault="00307A62" w:rsidP="008C21FB">
            <w:pPr>
              <w:jc w:val="center"/>
              <w:rPr>
                <w:b/>
                <w:bCs/>
              </w:rPr>
            </w:pPr>
            <w:r w:rsidRPr="00DA79B5">
              <w:rPr>
                <w:b/>
                <w:bCs/>
              </w:rPr>
              <w:t>Hourly Rate</w:t>
            </w:r>
          </w:p>
        </w:tc>
        <w:tc>
          <w:tcPr>
            <w:tcW w:w="1260" w:type="dxa"/>
            <w:tcBorders>
              <w:top w:val="single" w:sz="6" w:space="0" w:color="auto"/>
              <w:left w:val="single" w:sz="6" w:space="0" w:color="auto"/>
              <w:bottom w:val="single" w:sz="6" w:space="0" w:color="auto"/>
              <w:right w:val="nil"/>
            </w:tcBorders>
            <w:vAlign w:val="bottom"/>
          </w:tcPr>
          <w:p w:rsidR="00307A62" w:rsidRPr="00DA79B5" w:rsidRDefault="00307A62" w:rsidP="008C21FB">
            <w:pPr>
              <w:jc w:val="center"/>
              <w:rPr>
                <w:b/>
                <w:bCs/>
              </w:rPr>
            </w:pPr>
            <w:r w:rsidRPr="00DA79B5">
              <w:rPr>
                <w:b/>
                <w:bCs/>
              </w:rPr>
              <w:t>Estimated Hours</w:t>
            </w:r>
          </w:p>
        </w:tc>
        <w:tc>
          <w:tcPr>
            <w:tcW w:w="1393" w:type="dxa"/>
            <w:tcBorders>
              <w:top w:val="single" w:sz="6" w:space="0" w:color="auto"/>
              <w:left w:val="single" w:sz="6" w:space="0" w:color="auto"/>
              <w:bottom w:val="single" w:sz="6" w:space="0" w:color="auto"/>
              <w:right w:val="single" w:sz="6" w:space="0" w:color="auto"/>
            </w:tcBorders>
            <w:vAlign w:val="bottom"/>
          </w:tcPr>
          <w:p w:rsidR="00307A62" w:rsidRPr="00DA79B5" w:rsidRDefault="00307A62" w:rsidP="008C21FB">
            <w:pPr>
              <w:jc w:val="center"/>
              <w:rPr>
                <w:b/>
                <w:bCs/>
              </w:rPr>
            </w:pPr>
            <w:r w:rsidRPr="00DA79B5">
              <w:rPr>
                <w:b/>
                <w:bCs/>
              </w:rPr>
              <w:t>Cost</w:t>
            </w:r>
          </w:p>
        </w:tc>
      </w:tr>
      <w:tr w:rsidR="00307A62" w:rsidRPr="00DA79B5" w:rsidTr="008C21FB">
        <w:trPr>
          <w:cantSplit/>
          <w:trHeight w:val="403"/>
          <w:jc w:val="center"/>
        </w:trPr>
        <w:tc>
          <w:tcPr>
            <w:tcW w:w="2781" w:type="dxa"/>
            <w:vMerge w:val="restart"/>
            <w:tcBorders>
              <w:top w:val="single" w:sz="6" w:space="0" w:color="auto"/>
              <w:left w:val="single" w:sz="6" w:space="0" w:color="auto"/>
              <w:right w:val="nil"/>
            </w:tcBorders>
            <w:vAlign w:val="bottom"/>
          </w:tcPr>
          <w:p w:rsidR="00307A62" w:rsidRPr="00DA79B5" w:rsidRDefault="00307A62" w:rsidP="008C21FB">
            <w:r>
              <w:t>Project oversight to include data collection o</w:t>
            </w:r>
            <w:r w:rsidRPr="00DA79B5">
              <w:t>versight</w:t>
            </w:r>
            <w:r>
              <w:t xml:space="preserve"> and review of results</w:t>
            </w:r>
          </w:p>
        </w:tc>
        <w:tc>
          <w:tcPr>
            <w:tcW w:w="2250" w:type="dxa"/>
            <w:tcBorders>
              <w:top w:val="single" w:sz="6" w:space="0" w:color="auto"/>
              <w:left w:val="single" w:sz="6" w:space="0" w:color="auto"/>
              <w:bottom w:val="single" w:sz="6" w:space="0" w:color="auto"/>
              <w:right w:val="nil"/>
            </w:tcBorders>
          </w:tcPr>
          <w:p w:rsidR="00307A62" w:rsidRPr="00DA79B5" w:rsidRDefault="00307A62" w:rsidP="008C21FB">
            <w:pPr>
              <w:jc w:val="center"/>
            </w:pPr>
            <w:r>
              <w:t xml:space="preserve">Project Officer </w:t>
            </w:r>
            <w:r w:rsidRPr="00F77E14">
              <w:t>GS14</w:t>
            </w:r>
            <w:r w:rsidRPr="00D66E2B">
              <w:rPr>
                <w:highlight w:val="yellow"/>
              </w:rPr>
              <w:t xml:space="preserve"> </w:t>
            </w:r>
          </w:p>
        </w:tc>
        <w:tc>
          <w:tcPr>
            <w:tcW w:w="1042" w:type="dxa"/>
            <w:tcBorders>
              <w:top w:val="single" w:sz="6" w:space="0" w:color="auto"/>
              <w:left w:val="single" w:sz="6" w:space="0" w:color="auto"/>
              <w:bottom w:val="single" w:sz="6" w:space="0" w:color="auto"/>
              <w:right w:val="single" w:sz="6" w:space="0" w:color="auto"/>
            </w:tcBorders>
            <w:vAlign w:val="bottom"/>
          </w:tcPr>
          <w:p w:rsidR="00307A62" w:rsidRPr="00DA79B5" w:rsidRDefault="00307A62" w:rsidP="008C21FB">
            <w:pPr>
              <w:jc w:val="center"/>
            </w:pPr>
            <w:r>
              <w:t>68.05</w:t>
            </w:r>
          </w:p>
        </w:tc>
        <w:tc>
          <w:tcPr>
            <w:tcW w:w="1260" w:type="dxa"/>
            <w:tcBorders>
              <w:top w:val="single" w:sz="6" w:space="0" w:color="auto"/>
              <w:left w:val="single" w:sz="6" w:space="0" w:color="auto"/>
              <w:bottom w:val="single" w:sz="6" w:space="0" w:color="auto"/>
              <w:right w:val="nil"/>
            </w:tcBorders>
            <w:vAlign w:val="bottom"/>
          </w:tcPr>
          <w:p w:rsidR="00307A62" w:rsidRPr="00DA79B5" w:rsidRDefault="00307A62" w:rsidP="008C21FB">
            <w:pPr>
              <w:jc w:val="center"/>
            </w:pPr>
            <w:r>
              <w:t>25</w:t>
            </w:r>
          </w:p>
        </w:tc>
        <w:tc>
          <w:tcPr>
            <w:tcW w:w="1393" w:type="dxa"/>
            <w:tcBorders>
              <w:top w:val="single" w:sz="6" w:space="0" w:color="auto"/>
              <w:left w:val="single" w:sz="6" w:space="0" w:color="auto"/>
              <w:bottom w:val="single" w:sz="6" w:space="0" w:color="auto"/>
              <w:right w:val="single" w:sz="6" w:space="0" w:color="auto"/>
            </w:tcBorders>
            <w:vAlign w:val="bottom"/>
          </w:tcPr>
          <w:p w:rsidR="00307A62" w:rsidRPr="00DA79B5" w:rsidRDefault="00307A62" w:rsidP="008C21FB">
            <w:pPr>
              <w:jc w:val="center"/>
            </w:pPr>
            <w:r>
              <w:t xml:space="preserve">$1,701.38 </w:t>
            </w:r>
          </w:p>
        </w:tc>
      </w:tr>
      <w:tr w:rsidR="00307A62" w:rsidRPr="00DA79B5" w:rsidTr="008C21FB">
        <w:trPr>
          <w:cantSplit/>
          <w:trHeight w:val="403"/>
          <w:jc w:val="center"/>
        </w:trPr>
        <w:tc>
          <w:tcPr>
            <w:tcW w:w="2781" w:type="dxa"/>
            <w:vMerge/>
            <w:tcBorders>
              <w:left w:val="single" w:sz="6" w:space="0" w:color="auto"/>
              <w:bottom w:val="nil"/>
              <w:right w:val="nil"/>
            </w:tcBorders>
            <w:vAlign w:val="bottom"/>
          </w:tcPr>
          <w:p w:rsidR="00307A62" w:rsidRPr="00DA79B5" w:rsidRDefault="00307A62" w:rsidP="008C21FB"/>
        </w:tc>
        <w:tc>
          <w:tcPr>
            <w:tcW w:w="2250" w:type="dxa"/>
            <w:tcBorders>
              <w:top w:val="single" w:sz="6" w:space="0" w:color="auto"/>
              <w:left w:val="single" w:sz="6" w:space="0" w:color="auto"/>
              <w:bottom w:val="single" w:sz="6" w:space="0" w:color="auto"/>
              <w:right w:val="nil"/>
            </w:tcBorders>
          </w:tcPr>
          <w:p w:rsidR="00307A62" w:rsidRPr="0016648B" w:rsidRDefault="00307A62" w:rsidP="008C21FB">
            <w:pPr>
              <w:jc w:val="center"/>
            </w:pPr>
            <w:r w:rsidRPr="0016648B">
              <w:t xml:space="preserve">Health Scientist Administrator </w:t>
            </w:r>
            <w:r w:rsidRPr="00F77E14">
              <w:t xml:space="preserve">GS 13  </w:t>
            </w:r>
          </w:p>
        </w:tc>
        <w:tc>
          <w:tcPr>
            <w:tcW w:w="1042" w:type="dxa"/>
            <w:tcBorders>
              <w:top w:val="single" w:sz="6" w:space="0" w:color="auto"/>
              <w:left w:val="single" w:sz="6" w:space="0" w:color="auto"/>
              <w:bottom w:val="single" w:sz="6" w:space="0" w:color="auto"/>
              <w:right w:val="single" w:sz="6" w:space="0" w:color="auto"/>
            </w:tcBorders>
            <w:vAlign w:val="bottom"/>
          </w:tcPr>
          <w:p w:rsidR="00307A62" w:rsidRPr="0016648B" w:rsidRDefault="00307A62" w:rsidP="008C21FB">
            <w:pPr>
              <w:jc w:val="center"/>
            </w:pPr>
            <w:r>
              <w:t>50.21</w:t>
            </w:r>
          </w:p>
        </w:tc>
        <w:tc>
          <w:tcPr>
            <w:tcW w:w="1260" w:type="dxa"/>
            <w:tcBorders>
              <w:top w:val="single" w:sz="6" w:space="0" w:color="auto"/>
              <w:left w:val="single" w:sz="6" w:space="0" w:color="auto"/>
              <w:bottom w:val="single" w:sz="6" w:space="0" w:color="auto"/>
              <w:right w:val="nil"/>
            </w:tcBorders>
            <w:vAlign w:val="bottom"/>
          </w:tcPr>
          <w:p w:rsidR="00307A62" w:rsidRPr="00DA79B5" w:rsidRDefault="00307A62" w:rsidP="008C21FB">
            <w:pPr>
              <w:jc w:val="center"/>
            </w:pPr>
            <w:r>
              <w:t xml:space="preserve"> 25</w:t>
            </w:r>
          </w:p>
        </w:tc>
        <w:tc>
          <w:tcPr>
            <w:tcW w:w="1393" w:type="dxa"/>
            <w:tcBorders>
              <w:top w:val="single" w:sz="6" w:space="0" w:color="auto"/>
              <w:left w:val="single" w:sz="6" w:space="0" w:color="auto"/>
              <w:bottom w:val="single" w:sz="6" w:space="0" w:color="auto"/>
              <w:right w:val="single" w:sz="6" w:space="0" w:color="auto"/>
            </w:tcBorders>
            <w:vAlign w:val="bottom"/>
          </w:tcPr>
          <w:p w:rsidR="00307A62" w:rsidRPr="00DA79B5" w:rsidRDefault="00307A62" w:rsidP="008C21FB">
            <w:pPr>
              <w:jc w:val="center"/>
            </w:pPr>
            <w:r>
              <w:t xml:space="preserve">$1,255.25 </w:t>
            </w:r>
          </w:p>
        </w:tc>
      </w:tr>
      <w:tr w:rsidR="00307A62" w:rsidRPr="00DA79B5" w:rsidTr="008C21FB">
        <w:trPr>
          <w:cantSplit/>
          <w:trHeight w:val="403"/>
          <w:jc w:val="center"/>
        </w:trPr>
        <w:tc>
          <w:tcPr>
            <w:tcW w:w="7333" w:type="dxa"/>
            <w:gridSpan w:val="4"/>
            <w:tcBorders>
              <w:top w:val="single" w:sz="6" w:space="0" w:color="auto"/>
              <w:left w:val="single" w:sz="6" w:space="0" w:color="auto"/>
              <w:bottom w:val="single" w:sz="6" w:space="0" w:color="auto"/>
              <w:right w:val="nil"/>
            </w:tcBorders>
            <w:vAlign w:val="bottom"/>
            <w:hideMark/>
          </w:tcPr>
          <w:p w:rsidR="00307A62" w:rsidRPr="00DA79B5" w:rsidRDefault="00307A62" w:rsidP="008C21FB">
            <w:pPr>
              <w:rPr>
                <w:b/>
                <w:bCs/>
              </w:rPr>
            </w:pPr>
            <w:r w:rsidRPr="00DA79B5">
              <w:rPr>
                <w:b/>
                <w:bCs/>
              </w:rPr>
              <w:t>Total</w:t>
            </w:r>
          </w:p>
        </w:tc>
        <w:tc>
          <w:tcPr>
            <w:tcW w:w="1393" w:type="dxa"/>
            <w:tcBorders>
              <w:top w:val="single" w:sz="6" w:space="0" w:color="auto"/>
              <w:left w:val="single" w:sz="6" w:space="0" w:color="auto"/>
              <w:bottom w:val="single" w:sz="6" w:space="0" w:color="auto"/>
              <w:right w:val="single" w:sz="6" w:space="0" w:color="auto"/>
            </w:tcBorders>
            <w:vAlign w:val="bottom"/>
            <w:hideMark/>
          </w:tcPr>
          <w:p w:rsidR="00307A62" w:rsidRPr="00DA79B5" w:rsidRDefault="00307A62" w:rsidP="008C21FB">
            <w:pPr>
              <w:jc w:val="center"/>
              <w:rPr>
                <w:b/>
                <w:bCs/>
              </w:rPr>
            </w:pPr>
            <w:r>
              <w:rPr>
                <w:b/>
                <w:bCs/>
              </w:rPr>
              <w:t xml:space="preserve"> $2,956.63</w:t>
            </w:r>
          </w:p>
        </w:tc>
      </w:tr>
    </w:tbl>
    <w:p w:rsidR="004131BC" w:rsidRDefault="004131BC" w:rsidP="004131BC">
      <w:pPr>
        <w:rPr>
          <w:rStyle w:val="Hyperlink"/>
          <w:rFonts w:ascii="Calibri" w:hAnsi="Calibri"/>
          <w:sz w:val="22"/>
          <w:szCs w:val="22"/>
        </w:rPr>
      </w:pPr>
      <w:r>
        <w:rPr>
          <w:rFonts w:ascii="Calibri" w:hAnsi="Calibri"/>
          <w:color w:val="000000"/>
          <w:sz w:val="20"/>
          <w:szCs w:val="22"/>
        </w:rPr>
        <w:t>Annual salaries based on 201</w:t>
      </w:r>
      <w:r w:rsidR="008F662E">
        <w:rPr>
          <w:rFonts w:ascii="Calibri" w:hAnsi="Calibri"/>
          <w:color w:val="000000"/>
          <w:sz w:val="20"/>
          <w:szCs w:val="22"/>
        </w:rPr>
        <w:t>6</w:t>
      </w:r>
      <w:r w:rsidRPr="000C6156">
        <w:rPr>
          <w:rFonts w:ascii="Calibri" w:hAnsi="Calibri"/>
          <w:color w:val="000000"/>
          <w:sz w:val="20"/>
          <w:szCs w:val="22"/>
        </w:rPr>
        <w:t xml:space="preserve"> OPM Pay Schedule for Washington/DC area:</w:t>
      </w:r>
      <w:r w:rsidRPr="000C6156">
        <w:rPr>
          <w:rFonts w:ascii="Calibri" w:hAnsi="Calibri"/>
          <w:sz w:val="22"/>
          <w:szCs w:val="22"/>
        </w:rPr>
        <w:t xml:space="preserve"> </w:t>
      </w:r>
      <w:hyperlink r:id="rId9" w:history="1">
        <w:r w:rsidR="000717CD" w:rsidRPr="000717CD">
          <w:rPr>
            <w:rStyle w:val="Hyperlink"/>
            <w:rFonts w:ascii="Calibri" w:hAnsi="Calibri"/>
            <w:sz w:val="22"/>
            <w:szCs w:val="22"/>
          </w:rPr>
          <w:t>http://www.opm.gov/policy-data-oversight/pay-leave/salaries-wages/salary-tables/pdf/2016/DCB.pdf</w:t>
        </w:r>
      </w:hyperlink>
    </w:p>
    <w:p w:rsidR="00016418" w:rsidRPr="000C6156" w:rsidRDefault="00016418" w:rsidP="004131BC">
      <w:pPr>
        <w:rPr>
          <w:rFonts w:ascii="Calibri" w:hAnsi="Calibri"/>
          <w:sz w:val="22"/>
          <w:szCs w:val="22"/>
        </w:rPr>
      </w:pPr>
    </w:p>
    <w:p w:rsidR="00016418" w:rsidRDefault="009B633D" w:rsidP="00016418">
      <w:pPr>
        <w:pStyle w:val="Heading2"/>
        <w:spacing w:after="240"/>
        <w:rPr>
          <w:sz w:val="24"/>
          <w:szCs w:val="24"/>
        </w:rPr>
      </w:pPr>
      <w:bookmarkStart w:id="57" w:name="_Toc469151338"/>
      <w:r w:rsidRPr="00016418">
        <w:rPr>
          <w:sz w:val="24"/>
          <w:szCs w:val="24"/>
        </w:rPr>
        <w:lastRenderedPageBreak/>
        <w:t>15. Changes in Hour Burden</w:t>
      </w:r>
      <w:bookmarkEnd w:id="55"/>
      <w:bookmarkEnd w:id="56"/>
      <w:r w:rsidR="00A270F8" w:rsidRPr="00016418">
        <w:rPr>
          <w:sz w:val="24"/>
          <w:szCs w:val="24"/>
        </w:rPr>
        <w:t>.</w:t>
      </w:r>
      <w:bookmarkEnd w:id="57"/>
      <w:r w:rsidR="00A270F8" w:rsidRPr="00016418">
        <w:rPr>
          <w:sz w:val="24"/>
          <w:szCs w:val="24"/>
        </w:rPr>
        <w:t xml:space="preserve"> </w:t>
      </w:r>
    </w:p>
    <w:p w:rsidR="002C2D08" w:rsidRPr="00016418" w:rsidRDefault="002C2D08" w:rsidP="00016418">
      <w:r w:rsidRPr="00016418">
        <w:t>This is a new collection of information</w:t>
      </w:r>
      <w:r w:rsidR="00016418">
        <w:t>, thus no changes in hour burden is expected or reported here.</w:t>
      </w:r>
    </w:p>
    <w:p w:rsidR="002005F0" w:rsidRPr="002C2D08" w:rsidRDefault="002005F0" w:rsidP="002C2D08"/>
    <w:p w:rsidR="00F53812" w:rsidRPr="000269B8" w:rsidRDefault="009B633D" w:rsidP="00016418">
      <w:pPr>
        <w:pStyle w:val="Heading2"/>
        <w:spacing w:before="0" w:after="240"/>
        <w:rPr>
          <w:sz w:val="24"/>
        </w:rPr>
      </w:pPr>
      <w:bookmarkStart w:id="58" w:name="_Toc151782191"/>
      <w:bookmarkStart w:id="59" w:name="_Toc158526231"/>
      <w:bookmarkStart w:id="60" w:name="_Toc469151339"/>
      <w:r w:rsidRPr="00412C6F">
        <w:rPr>
          <w:sz w:val="24"/>
        </w:rPr>
        <w:t>16. Time Schedule, Publication and Analysis Plans</w:t>
      </w:r>
      <w:bookmarkStart w:id="61" w:name="_Toc151782192"/>
      <w:bookmarkEnd w:id="58"/>
      <w:bookmarkEnd w:id="59"/>
      <w:bookmarkEnd w:id="60"/>
    </w:p>
    <w:p w:rsidR="00570ACD" w:rsidRDefault="00570ACD" w:rsidP="002005F0">
      <w:r>
        <w:t xml:space="preserve">A final project report will be delivered to AHRQ on </w:t>
      </w:r>
      <w:r w:rsidR="00790761">
        <w:t>September</w:t>
      </w:r>
      <w:r w:rsidR="00016418">
        <w:t xml:space="preserve"> 20, 2018</w:t>
      </w:r>
      <w:r>
        <w:t xml:space="preserve">.  Current publication plans </w:t>
      </w:r>
      <w:r w:rsidR="00016418">
        <w:t>include:</w:t>
      </w:r>
    </w:p>
    <w:p w:rsidR="00016418" w:rsidRDefault="00016418" w:rsidP="002005F0"/>
    <w:p w:rsidR="00016418" w:rsidRDefault="00016418" w:rsidP="00016418">
      <w:pPr>
        <w:numPr>
          <w:ilvl w:val="0"/>
          <w:numId w:val="6"/>
        </w:numPr>
      </w:pPr>
      <w:r>
        <w:t>Publication of the Environmental Scan results – Fall, 2016</w:t>
      </w:r>
    </w:p>
    <w:p w:rsidR="00016418" w:rsidRDefault="00016418" w:rsidP="00016418">
      <w:pPr>
        <w:numPr>
          <w:ilvl w:val="0"/>
          <w:numId w:val="6"/>
        </w:numPr>
      </w:pPr>
      <w:r>
        <w:t>Publication of the results of the field test – Summer 2018</w:t>
      </w:r>
    </w:p>
    <w:p w:rsidR="00AF022E" w:rsidRDefault="00AF022E" w:rsidP="002005F0"/>
    <w:p w:rsidR="00016418" w:rsidRDefault="00016418" w:rsidP="002005F0">
      <w:r>
        <w:t xml:space="preserve">Guide field testing will begin in </w:t>
      </w:r>
      <w:r w:rsidR="00457982">
        <w:t xml:space="preserve">late </w:t>
      </w:r>
      <w:r>
        <w:t>January 2017 upon submission of the final Guide materials to AHRQ on January 13, 2017 and continue through December 31, 2017. The Field testing, evaluation, and Guide Revision (Task 7) will be initiated and completed within one calendar year. Activities during this period will include:</w:t>
      </w:r>
    </w:p>
    <w:p w:rsidR="00016418" w:rsidRDefault="00016418" w:rsidP="002005F0"/>
    <w:p w:rsidR="00016418" w:rsidRDefault="00016418" w:rsidP="00016418">
      <w:pPr>
        <w:numPr>
          <w:ilvl w:val="0"/>
          <w:numId w:val="7"/>
        </w:numPr>
      </w:pPr>
      <w:r>
        <w:t>Recruitment of Primary Care Practices – January-April 2017</w:t>
      </w:r>
    </w:p>
    <w:p w:rsidR="00016418" w:rsidRDefault="00016418" w:rsidP="00016418">
      <w:pPr>
        <w:numPr>
          <w:ilvl w:val="0"/>
          <w:numId w:val="7"/>
        </w:numPr>
      </w:pPr>
      <w:r>
        <w:t>Field Testing of the Guide – February-November, 2017</w:t>
      </w:r>
    </w:p>
    <w:p w:rsidR="00016418" w:rsidRDefault="00016418" w:rsidP="00016418">
      <w:pPr>
        <w:numPr>
          <w:ilvl w:val="0"/>
          <w:numId w:val="7"/>
        </w:numPr>
      </w:pPr>
      <w:r>
        <w:t>Evaluation of the Guide – February-</w:t>
      </w:r>
      <w:r w:rsidR="00457982">
        <w:t>December</w:t>
      </w:r>
      <w:r>
        <w:t>, 2017</w:t>
      </w:r>
    </w:p>
    <w:p w:rsidR="00457982" w:rsidRDefault="00457982" w:rsidP="00457982">
      <w:pPr>
        <w:numPr>
          <w:ilvl w:val="1"/>
          <w:numId w:val="7"/>
        </w:numPr>
      </w:pPr>
      <w:r>
        <w:t>Conduct Baseline Evaluation – February-April 2017</w:t>
      </w:r>
    </w:p>
    <w:p w:rsidR="00457982" w:rsidRDefault="00457982" w:rsidP="00457982">
      <w:pPr>
        <w:numPr>
          <w:ilvl w:val="1"/>
          <w:numId w:val="7"/>
        </w:numPr>
      </w:pPr>
      <w:r>
        <w:t>Conduct Interim Analysis – May-July, 2017</w:t>
      </w:r>
    </w:p>
    <w:p w:rsidR="00457982" w:rsidRDefault="00457982" w:rsidP="00457982">
      <w:pPr>
        <w:numPr>
          <w:ilvl w:val="1"/>
          <w:numId w:val="7"/>
        </w:numPr>
      </w:pPr>
      <w:r>
        <w:t>Conduct Final Evaluation – August-November 2017</w:t>
      </w:r>
    </w:p>
    <w:p w:rsidR="00457982" w:rsidRDefault="00457982" w:rsidP="00457982">
      <w:pPr>
        <w:numPr>
          <w:ilvl w:val="1"/>
          <w:numId w:val="7"/>
        </w:numPr>
      </w:pPr>
      <w:r>
        <w:t>Analyze and Process Data – November-December 2017</w:t>
      </w:r>
    </w:p>
    <w:p w:rsidR="00016418" w:rsidRDefault="00457982" w:rsidP="00016418">
      <w:pPr>
        <w:numPr>
          <w:ilvl w:val="0"/>
          <w:numId w:val="7"/>
        </w:numPr>
      </w:pPr>
      <w:r>
        <w:t>Evaluation Report – January 2018</w:t>
      </w:r>
    </w:p>
    <w:p w:rsidR="00457982" w:rsidRDefault="00457982" w:rsidP="00457982"/>
    <w:p w:rsidR="00457982" w:rsidRDefault="00457982" w:rsidP="00457982">
      <w:r>
        <w:t>Publication of the results of the field test will be developed along with the evaluation report and submitted for publication in early January 2018.</w:t>
      </w:r>
    </w:p>
    <w:p w:rsidR="00016418" w:rsidRDefault="00016418" w:rsidP="002005F0"/>
    <w:p w:rsidR="009B633D" w:rsidRPr="00424E6E" w:rsidRDefault="009B633D" w:rsidP="00457982">
      <w:pPr>
        <w:pStyle w:val="Heading2"/>
        <w:spacing w:after="240"/>
        <w:rPr>
          <w:sz w:val="24"/>
        </w:rPr>
      </w:pPr>
      <w:bookmarkStart w:id="62" w:name="_Toc151782196"/>
      <w:bookmarkStart w:id="63" w:name="_Toc158526232"/>
      <w:bookmarkStart w:id="64" w:name="_Toc469151340"/>
      <w:bookmarkEnd w:id="61"/>
      <w:r w:rsidRPr="00424E6E">
        <w:rPr>
          <w:sz w:val="24"/>
        </w:rPr>
        <w:t>17. Exemption for Display of Expiration Date</w:t>
      </w:r>
      <w:bookmarkEnd w:id="62"/>
      <w:bookmarkEnd w:id="63"/>
      <w:bookmarkEnd w:id="64"/>
    </w:p>
    <w:p w:rsidR="00D67911" w:rsidRPr="00D226E8" w:rsidRDefault="009B633D" w:rsidP="00D226E8">
      <w:r w:rsidRPr="004F03D2">
        <w:t>AHRQ does not seek this exemption</w:t>
      </w:r>
      <w:r>
        <w:t>.</w:t>
      </w:r>
    </w:p>
    <w:p w:rsidR="00016560" w:rsidRDefault="00904CC3" w:rsidP="00450538">
      <w:pPr>
        <w:pStyle w:val="NormalWeb"/>
        <w:rPr>
          <w:rFonts w:ascii="Arial" w:hAnsi="Arial" w:cs="Arial"/>
          <w:b/>
        </w:rPr>
      </w:pPr>
      <w:r>
        <w:rPr>
          <w:rFonts w:ascii="Arial" w:hAnsi="Arial" w:cs="Arial"/>
          <w:b/>
        </w:rPr>
        <w:t xml:space="preserve">List of </w:t>
      </w:r>
      <w:r w:rsidR="00016560" w:rsidRPr="00016560">
        <w:rPr>
          <w:rFonts w:ascii="Arial" w:hAnsi="Arial" w:cs="Arial"/>
          <w:b/>
        </w:rPr>
        <w:t>Attachments:</w:t>
      </w:r>
    </w:p>
    <w:p w:rsidR="00570ACD" w:rsidRPr="00C06C83" w:rsidRDefault="00570ACD" w:rsidP="00C06C83">
      <w:pPr>
        <w:pStyle w:val="NormalWeb"/>
        <w:spacing w:before="0" w:beforeAutospacing="0" w:after="0" w:afterAutospacing="0"/>
      </w:pPr>
      <w:r w:rsidRPr="00C06C83">
        <w:t>Attachment A:</w:t>
      </w:r>
      <w:r w:rsidRPr="00C06C83">
        <w:rPr>
          <w:b/>
        </w:rPr>
        <w:t xml:space="preserve"> </w:t>
      </w:r>
      <w:r w:rsidRPr="00C06C83">
        <w:t>Baseline Practice Assessment</w:t>
      </w:r>
    </w:p>
    <w:p w:rsidR="00570ACD" w:rsidRPr="00C06C83" w:rsidRDefault="005C55AE" w:rsidP="00C06C83">
      <w:pPr>
        <w:pStyle w:val="NormalWeb"/>
        <w:spacing w:before="0" w:beforeAutospacing="0" w:after="0" w:afterAutospacing="0"/>
      </w:pPr>
      <w:r>
        <w:t xml:space="preserve">Attachment B: </w:t>
      </w:r>
      <w:r w:rsidRPr="00C06C83">
        <w:t>Implementation Focus Group for Patients and Family Members</w:t>
      </w:r>
    </w:p>
    <w:p w:rsidR="00570ACD" w:rsidRPr="00C06C83" w:rsidRDefault="00570ACD" w:rsidP="00C06C83">
      <w:pPr>
        <w:pStyle w:val="NormalWeb"/>
        <w:spacing w:before="0" w:beforeAutospacing="0" w:after="0" w:afterAutospacing="0"/>
      </w:pPr>
      <w:r w:rsidRPr="00C06C83">
        <w:t>Attachment C: Interview Guide-Baseline Practice Readiness</w:t>
      </w:r>
    </w:p>
    <w:p w:rsidR="00570ACD" w:rsidRPr="00C06C83" w:rsidRDefault="005C55AE" w:rsidP="00C06C83">
      <w:pPr>
        <w:pStyle w:val="NormalWeb"/>
        <w:spacing w:before="0" w:beforeAutospacing="0" w:after="0" w:afterAutospacing="0"/>
      </w:pPr>
      <w:r>
        <w:t>Attachment D</w:t>
      </w:r>
      <w:r w:rsidR="00570ACD" w:rsidRPr="00C06C83">
        <w:t>: Post-Implementation Interview Protocol- Providers</w:t>
      </w:r>
    </w:p>
    <w:p w:rsidR="00570ACD" w:rsidRPr="00C06C83" w:rsidRDefault="005C55AE" w:rsidP="00C06C83">
      <w:pPr>
        <w:pStyle w:val="NormalWeb"/>
        <w:spacing w:before="0" w:beforeAutospacing="0" w:after="0" w:afterAutospacing="0"/>
      </w:pPr>
      <w:r>
        <w:t>Attachment E</w:t>
      </w:r>
      <w:r w:rsidR="00570ACD" w:rsidRPr="00C06C83">
        <w:t>: Post-Implementation Focus Group Protocol- Practice Staff</w:t>
      </w:r>
    </w:p>
    <w:p w:rsidR="00570ACD" w:rsidRDefault="005C55AE" w:rsidP="00C06C83">
      <w:pPr>
        <w:pStyle w:val="NormalWeb"/>
        <w:spacing w:before="0" w:beforeAutospacing="0" w:after="0" w:afterAutospacing="0"/>
      </w:pPr>
      <w:r>
        <w:t>Attachment F</w:t>
      </w:r>
      <w:r w:rsidR="00570ACD" w:rsidRPr="00C06C83">
        <w:t>: Topic guide for Telephone Protocol- Guide Practice Champions</w:t>
      </w:r>
    </w:p>
    <w:p w:rsidR="00396B01" w:rsidRPr="00C06C83" w:rsidRDefault="00396B01" w:rsidP="00C06C83">
      <w:pPr>
        <w:pStyle w:val="NormalWeb"/>
        <w:spacing w:before="0" w:beforeAutospacing="0" w:after="0" w:afterAutospacing="0"/>
        <w:rPr>
          <w:b/>
        </w:rPr>
      </w:pPr>
      <w:r>
        <w:t>Attachment G: Federal Register Notice</w:t>
      </w:r>
    </w:p>
    <w:p w:rsidR="00DA79B5" w:rsidRDefault="00DA79B5" w:rsidP="00F94B00">
      <w:pPr>
        <w:pStyle w:val="EndnoteText"/>
        <w:tabs>
          <w:tab w:val="left" w:pos="360"/>
          <w:tab w:val="left" w:pos="720"/>
          <w:tab w:val="left" w:pos="1080"/>
          <w:tab w:val="left" w:pos="4680"/>
          <w:tab w:val="left" w:pos="5940"/>
        </w:tabs>
        <w:rPr>
          <w:i/>
          <w:sz w:val="24"/>
          <w:szCs w:val="24"/>
        </w:rPr>
      </w:pPr>
    </w:p>
    <w:p w:rsidR="00B7181C" w:rsidRDefault="00D226E8" w:rsidP="00B7181C">
      <w:pPr>
        <w:pStyle w:val="Heading1"/>
      </w:pPr>
      <w:bookmarkStart w:id="65" w:name="_Toc196124492"/>
      <w:bookmarkStart w:id="66" w:name="_Toc257129389"/>
      <w:r>
        <w:rPr>
          <w:i/>
          <w:iCs/>
        </w:rPr>
        <w:br w:type="page"/>
      </w:r>
      <w:bookmarkStart w:id="67" w:name="_Toc469151341"/>
      <w:r w:rsidRPr="00C963FE">
        <w:lastRenderedPageBreak/>
        <w:t>References</w:t>
      </w:r>
      <w:bookmarkEnd w:id="67"/>
    </w:p>
    <w:p w:rsidR="00FB2070" w:rsidRPr="00FB2070" w:rsidRDefault="0084671A" w:rsidP="00FB2070">
      <w:pPr>
        <w:widowControl w:val="0"/>
        <w:autoSpaceDE w:val="0"/>
        <w:autoSpaceDN w:val="0"/>
        <w:adjustRightInd w:val="0"/>
        <w:spacing w:after="140"/>
        <w:ind w:left="640" w:hanging="640"/>
        <w:rPr>
          <w:noProof/>
        </w:rPr>
      </w:pPr>
      <w:r w:rsidRPr="00E42791">
        <w:rPr>
          <w:b/>
        </w:rPr>
        <w:fldChar w:fldCharType="begin" w:fldLock="1"/>
      </w:r>
      <w:r w:rsidR="00D226E8" w:rsidRPr="00E42791">
        <w:rPr>
          <w:b/>
        </w:rPr>
        <w:instrText xml:space="preserve">ADDIN Mendeley Bibliography CSL_BIBLIOGRAPHY </w:instrText>
      </w:r>
      <w:r w:rsidRPr="00E42791">
        <w:rPr>
          <w:b/>
        </w:rPr>
        <w:fldChar w:fldCharType="separate"/>
      </w:r>
      <w:r w:rsidR="00FB2070" w:rsidRPr="00FB2070">
        <w:rPr>
          <w:noProof/>
        </w:rPr>
        <w:t xml:space="preserve">1. </w:t>
      </w:r>
      <w:r w:rsidR="00FB2070" w:rsidRPr="00FB2070">
        <w:rPr>
          <w:noProof/>
        </w:rPr>
        <w:tab/>
        <w:t>Kohn LT, Corrigan JM, Donaldson MS. To Err is Human: Building a Safer Health System. Committee on Quality of Health Care in America I of M, ed. 2000.</w:t>
      </w:r>
    </w:p>
    <w:p w:rsidR="00FB2070" w:rsidRPr="00FB2070" w:rsidRDefault="00FB2070" w:rsidP="00FB2070">
      <w:pPr>
        <w:widowControl w:val="0"/>
        <w:autoSpaceDE w:val="0"/>
        <w:autoSpaceDN w:val="0"/>
        <w:adjustRightInd w:val="0"/>
        <w:spacing w:after="140"/>
        <w:ind w:left="640" w:hanging="640"/>
        <w:rPr>
          <w:noProof/>
        </w:rPr>
      </w:pPr>
      <w:r w:rsidRPr="00FB2070">
        <w:rPr>
          <w:noProof/>
        </w:rPr>
        <w:t xml:space="preserve">2. </w:t>
      </w:r>
      <w:r w:rsidRPr="00FB2070">
        <w:rPr>
          <w:noProof/>
        </w:rPr>
        <w:tab/>
        <w:t xml:space="preserve">Berger Z, Flickinger TE, Pfoh E, Martinez KA, Dy SM. Promoting engagement by patients and families to reduce adverse events in acute care settings: a systematic review. </w:t>
      </w:r>
      <w:r w:rsidRPr="00FB2070">
        <w:rPr>
          <w:i/>
          <w:iCs/>
          <w:noProof/>
        </w:rPr>
        <w:t>BMJ Qual Saf</w:t>
      </w:r>
      <w:r w:rsidRPr="00FB2070">
        <w:rPr>
          <w:noProof/>
        </w:rPr>
        <w:t>. 2014;23(7):548-555. doi:10.1136/bmjqs-2012-001769.</w:t>
      </w:r>
    </w:p>
    <w:p w:rsidR="00FB2070" w:rsidRPr="00FB2070" w:rsidRDefault="00FB2070" w:rsidP="00FB2070">
      <w:pPr>
        <w:widowControl w:val="0"/>
        <w:autoSpaceDE w:val="0"/>
        <w:autoSpaceDN w:val="0"/>
        <w:adjustRightInd w:val="0"/>
        <w:spacing w:after="140"/>
        <w:ind w:left="640" w:hanging="640"/>
        <w:rPr>
          <w:noProof/>
        </w:rPr>
      </w:pPr>
      <w:r w:rsidRPr="00FB2070">
        <w:rPr>
          <w:noProof/>
        </w:rPr>
        <w:t xml:space="preserve">3. </w:t>
      </w:r>
      <w:r w:rsidRPr="00FB2070">
        <w:rPr>
          <w:noProof/>
        </w:rPr>
        <w:tab/>
        <w:t xml:space="preserve">Kushner C, Davis D. Improving safety: engaging with patients and families makes a difference! </w:t>
      </w:r>
      <w:r w:rsidRPr="00FB2070">
        <w:rPr>
          <w:i/>
          <w:iCs/>
          <w:noProof/>
        </w:rPr>
        <w:t>Healthc Q</w:t>
      </w:r>
      <w:r w:rsidRPr="00FB2070">
        <w:rPr>
          <w:noProof/>
        </w:rPr>
        <w:t>. 2014;17 Spec No:41-44. http://www.ncbi.nlm.nih.gov/pubmed/25344615. Accessed July 11, 2015.</w:t>
      </w:r>
    </w:p>
    <w:p w:rsidR="00FB2070" w:rsidRPr="00FB2070" w:rsidRDefault="00FB2070" w:rsidP="00FB2070">
      <w:pPr>
        <w:widowControl w:val="0"/>
        <w:autoSpaceDE w:val="0"/>
        <w:autoSpaceDN w:val="0"/>
        <w:adjustRightInd w:val="0"/>
        <w:spacing w:after="140"/>
        <w:ind w:left="640" w:hanging="640"/>
        <w:rPr>
          <w:noProof/>
        </w:rPr>
      </w:pPr>
      <w:r w:rsidRPr="00FB2070">
        <w:rPr>
          <w:noProof/>
        </w:rPr>
        <w:t xml:space="preserve">4. </w:t>
      </w:r>
      <w:r w:rsidRPr="00FB2070">
        <w:rPr>
          <w:noProof/>
        </w:rPr>
        <w:tab/>
        <w:t xml:space="preserve">Helmchen, Lorens; Richards, Michael R.; McDonald TB. How Does Routine Disclosure of Medical Error Affect Patients’ Propensity to Sue and Their Assessment of Provider Quality?: Evidence From Survey Data. </w:t>
      </w:r>
      <w:r w:rsidRPr="00FB2070">
        <w:rPr>
          <w:i/>
          <w:iCs/>
          <w:noProof/>
        </w:rPr>
        <w:t>Med Care</w:t>
      </w:r>
      <w:r w:rsidRPr="00FB2070">
        <w:rPr>
          <w:noProof/>
        </w:rPr>
        <w:t>. 2010;48(11):955-961. http://journals.lww.com/lww-medicalcare/Abstract/2010/11000/How_Does_Routine_Disclosure_of_Medical_Error.4.aspx.</w:t>
      </w:r>
    </w:p>
    <w:p w:rsidR="00FB2070" w:rsidRPr="00FB2070" w:rsidRDefault="00FB2070" w:rsidP="00FB2070">
      <w:pPr>
        <w:widowControl w:val="0"/>
        <w:autoSpaceDE w:val="0"/>
        <w:autoSpaceDN w:val="0"/>
        <w:adjustRightInd w:val="0"/>
        <w:spacing w:after="140"/>
        <w:ind w:left="640" w:hanging="640"/>
        <w:rPr>
          <w:noProof/>
        </w:rPr>
      </w:pPr>
      <w:r w:rsidRPr="00FB2070">
        <w:rPr>
          <w:noProof/>
        </w:rPr>
        <w:t xml:space="preserve">5. </w:t>
      </w:r>
      <w:r w:rsidRPr="00FB2070">
        <w:rPr>
          <w:noProof/>
        </w:rPr>
        <w:tab/>
        <w:t xml:space="preserve">Smith KM, Hatlie MJ, Mayer DB, McDonald TB. A 10-year journey engaging patients in patient safety education, research and improvement. In: </w:t>
      </w:r>
      <w:r w:rsidRPr="00FB2070">
        <w:rPr>
          <w:i/>
          <w:iCs/>
          <w:noProof/>
        </w:rPr>
        <w:t>International Society for Communication Science and Medicine</w:t>
      </w:r>
      <w:r w:rsidRPr="00FB2070">
        <w:rPr>
          <w:noProof/>
        </w:rPr>
        <w:t>. Montecatini Terme, Italy; 2015:SP57, p36. http://iscome.org/sites/default/files/iscome-2015/LibrettoProgramma.pdf.</w:t>
      </w:r>
    </w:p>
    <w:p w:rsidR="00FB2070" w:rsidRPr="00FB2070" w:rsidRDefault="00FB2070" w:rsidP="00FB2070">
      <w:pPr>
        <w:widowControl w:val="0"/>
        <w:autoSpaceDE w:val="0"/>
        <w:autoSpaceDN w:val="0"/>
        <w:adjustRightInd w:val="0"/>
        <w:spacing w:after="140"/>
        <w:ind w:left="640" w:hanging="640"/>
        <w:rPr>
          <w:noProof/>
        </w:rPr>
      </w:pPr>
      <w:r w:rsidRPr="00FB2070">
        <w:rPr>
          <w:noProof/>
        </w:rPr>
        <w:t xml:space="preserve">6. </w:t>
      </w:r>
      <w:r w:rsidRPr="00FB2070">
        <w:rPr>
          <w:noProof/>
        </w:rPr>
        <w:tab/>
        <w:t xml:space="preserve">McDonald TB, Helmchen LA, Smith KM, et al. Responding to patient safety incidents: the “seven pillars”. </w:t>
      </w:r>
      <w:r w:rsidRPr="00FB2070">
        <w:rPr>
          <w:i/>
          <w:iCs/>
          <w:noProof/>
        </w:rPr>
        <w:t>Qual Saf Health Care</w:t>
      </w:r>
      <w:r w:rsidRPr="00FB2070">
        <w:rPr>
          <w:noProof/>
        </w:rPr>
        <w:t>. 2010;19(6):e11. doi:10.1136/qshc.2008.031633.</w:t>
      </w:r>
    </w:p>
    <w:p w:rsidR="00FB2070" w:rsidRPr="00FB2070" w:rsidRDefault="00FB2070" w:rsidP="00FB2070">
      <w:pPr>
        <w:widowControl w:val="0"/>
        <w:autoSpaceDE w:val="0"/>
        <w:autoSpaceDN w:val="0"/>
        <w:adjustRightInd w:val="0"/>
        <w:spacing w:after="140"/>
        <w:ind w:left="640" w:hanging="640"/>
        <w:rPr>
          <w:noProof/>
        </w:rPr>
      </w:pPr>
      <w:r w:rsidRPr="00FB2070">
        <w:rPr>
          <w:noProof/>
        </w:rPr>
        <w:t xml:space="preserve">7. </w:t>
      </w:r>
      <w:r w:rsidRPr="00FB2070">
        <w:rPr>
          <w:noProof/>
        </w:rPr>
        <w:tab/>
        <w:t xml:space="preserve">Scholle S, Torda P, Peikes D, Han E, Genevro J. </w:t>
      </w:r>
      <w:r w:rsidRPr="00FB2070">
        <w:rPr>
          <w:i/>
          <w:iCs/>
          <w:noProof/>
        </w:rPr>
        <w:t>Engaging Patients and Families in the Medical Home</w:t>
      </w:r>
      <w:r w:rsidRPr="00FB2070">
        <w:rPr>
          <w:noProof/>
        </w:rPr>
        <w:t>.; 2010. http://pcmh.ahrq.gov/sites/default/files/attachments/Engaging Patients and Families in the Medical Home.pdf.</w:t>
      </w:r>
    </w:p>
    <w:p w:rsidR="00FB2070" w:rsidRPr="00FB2070" w:rsidRDefault="00FB2070" w:rsidP="00FB2070">
      <w:pPr>
        <w:widowControl w:val="0"/>
        <w:autoSpaceDE w:val="0"/>
        <w:autoSpaceDN w:val="0"/>
        <w:adjustRightInd w:val="0"/>
        <w:spacing w:after="140"/>
        <w:ind w:left="640" w:hanging="640"/>
        <w:rPr>
          <w:noProof/>
        </w:rPr>
      </w:pPr>
      <w:r w:rsidRPr="00FB2070">
        <w:rPr>
          <w:noProof/>
        </w:rPr>
        <w:t xml:space="preserve">8. </w:t>
      </w:r>
      <w:r w:rsidRPr="00FB2070">
        <w:rPr>
          <w:noProof/>
        </w:rPr>
        <w:tab/>
        <w:t xml:space="preserve">Schwappach DLB. Review: engaging patients as vigilant partners in safety: a systematic review. </w:t>
      </w:r>
      <w:r w:rsidRPr="00FB2070">
        <w:rPr>
          <w:i/>
          <w:iCs/>
          <w:noProof/>
        </w:rPr>
        <w:t>Med Care Res Rev</w:t>
      </w:r>
      <w:r w:rsidRPr="00FB2070">
        <w:rPr>
          <w:noProof/>
        </w:rPr>
        <w:t>. 2010;67(2):119-148. doi:10.1177/1077558709342254.</w:t>
      </w:r>
    </w:p>
    <w:p w:rsidR="00FB2070" w:rsidRPr="00FB2070" w:rsidRDefault="00FB2070" w:rsidP="00FB2070">
      <w:pPr>
        <w:widowControl w:val="0"/>
        <w:autoSpaceDE w:val="0"/>
        <w:autoSpaceDN w:val="0"/>
        <w:adjustRightInd w:val="0"/>
        <w:spacing w:after="140"/>
        <w:ind w:left="640" w:hanging="640"/>
        <w:rPr>
          <w:noProof/>
        </w:rPr>
      </w:pPr>
      <w:r w:rsidRPr="00FB2070">
        <w:rPr>
          <w:noProof/>
        </w:rPr>
        <w:t xml:space="preserve">9. </w:t>
      </w:r>
      <w:r w:rsidRPr="00FB2070">
        <w:rPr>
          <w:noProof/>
        </w:rPr>
        <w:tab/>
        <w:t xml:space="preserve">Entwistle VA, Mello MM, Brennan TA. Advising patients about patient safety: current initiatives risk shifting responsibility. </w:t>
      </w:r>
      <w:r w:rsidRPr="00FB2070">
        <w:rPr>
          <w:i/>
          <w:iCs/>
          <w:noProof/>
        </w:rPr>
        <w:t>Jt Comm J Qual Patient Saf</w:t>
      </w:r>
      <w:r w:rsidRPr="00FB2070">
        <w:rPr>
          <w:noProof/>
        </w:rPr>
        <w:t>. 2005;31(9):483-494. http://www.ncbi.nlm.nih.gov/pubmed/16255326. Accessed July 21, 2015.</w:t>
      </w:r>
    </w:p>
    <w:p w:rsidR="00FB2070" w:rsidRPr="00FB2070" w:rsidRDefault="00FB2070" w:rsidP="00FB2070">
      <w:pPr>
        <w:widowControl w:val="0"/>
        <w:autoSpaceDE w:val="0"/>
        <w:autoSpaceDN w:val="0"/>
        <w:adjustRightInd w:val="0"/>
        <w:spacing w:after="140"/>
        <w:ind w:left="640" w:hanging="640"/>
        <w:rPr>
          <w:noProof/>
        </w:rPr>
      </w:pPr>
      <w:r w:rsidRPr="00FB2070">
        <w:rPr>
          <w:noProof/>
        </w:rPr>
        <w:t xml:space="preserve">10. </w:t>
      </w:r>
      <w:r w:rsidRPr="00FB2070">
        <w:rPr>
          <w:noProof/>
        </w:rPr>
        <w:tab/>
        <w:t xml:space="preserve">Entwistle VA. Differing perspectives on patient involvement in patient safety. </w:t>
      </w:r>
      <w:r w:rsidRPr="00FB2070">
        <w:rPr>
          <w:i/>
          <w:iCs/>
          <w:noProof/>
        </w:rPr>
        <w:t>Qual Saf Health Care</w:t>
      </w:r>
      <w:r w:rsidRPr="00FB2070">
        <w:rPr>
          <w:noProof/>
        </w:rPr>
        <w:t>. 2007;16(2):82-83. doi:10.1136/qshc.2006.020362.</w:t>
      </w:r>
    </w:p>
    <w:p w:rsidR="00FB2070" w:rsidRPr="00FB2070" w:rsidRDefault="00FB2070" w:rsidP="00FB2070">
      <w:pPr>
        <w:widowControl w:val="0"/>
        <w:autoSpaceDE w:val="0"/>
        <w:autoSpaceDN w:val="0"/>
        <w:adjustRightInd w:val="0"/>
        <w:spacing w:after="140"/>
        <w:ind w:left="640" w:hanging="640"/>
        <w:rPr>
          <w:noProof/>
        </w:rPr>
      </w:pPr>
      <w:r w:rsidRPr="00FB2070">
        <w:rPr>
          <w:noProof/>
        </w:rPr>
        <w:t xml:space="preserve">11. </w:t>
      </w:r>
      <w:r w:rsidRPr="00FB2070">
        <w:rPr>
          <w:noProof/>
        </w:rPr>
        <w:tab/>
        <w:t xml:space="preserve">Lyons M. Should patients have a role in patient safety? A safety engineering view. </w:t>
      </w:r>
      <w:r w:rsidRPr="00FB2070">
        <w:rPr>
          <w:i/>
          <w:iCs/>
          <w:noProof/>
        </w:rPr>
        <w:t>Qual Saf Health Care</w:t>
      </w:r>
      <w:r w:rsidRPr="00FB2070">
        <w:rPr>
          <w:noProof/>
        </w:rPr>
        <w:t>. 2007;16(2):140-142. doi:10.1136/qshc.2006.018861.</w:t>
      </w:r>
    </w:p>
    <w:p w:rsidR="00FB2070" w:rsidRPr="00FB2070" w:rsidRDefault="00FB2070" w:rsidP="00FB2070">
      <w:pPr>
        <w:widowControl w:val="0"/>
        <w:autoSpaceDE w:val="0"/>
        <w:autoSpaceDN w:val="0"/>
        <w:adjustRightInd w:val="0"/>
        <w:spacing w:after="140"/>
        <w:ind w:left="640" w:hanging="640"/>
        <w:rPr>
          <w:noProof/>
        </w:rPr>
      </w:pPr>
      <w:r w:rsidRPr="00FB2070">
        <w:rPr>
          <w:noProof/>
        </w:rPr>
        <w:t xml:space="preserve">12. </w:t>
      </w:r>
      <w:r w:rsidRPr="00FB2070">
        <w:rPr>
          <w:noProof/>
        </w:rPr>
        <w:tab/>
        <w:t xml:space="preserve">Arthur HM, Wright DM, Smith KM. Women and Heart Disease: The Treatment May End but the Suffering Continues. </w:t>
      </w:r>
      <w:r w:rsidRPr="00FB2070">
        <w:rPr>
          <w:i/>
          <w:iCs/>
          <w:noProof/>
        </w:rPr>
        <w:t>Can J Nurs Res</w:t>
      </w:r>
      <w:r w:rsidRPr="00FB2070">
        <w:rPr>
          <w:noProof/>
        </w:rPr>
        <w:t>. 2001;33(3):17-29.</w:t>
      </w:r>
    </w:p>
    <w:p w:rsidR="00FB2070" w:rsidRPr="00FB2070" w:rsidRDefault="00FB2070" w:rsidP="00FB2070">
      <w:pPr>
        <w:widowControl w:val="0"/>
        <w:autoSpaceDE w:val="0"/>
        <w:autoSpaceDN w:val="0"/>
        <w:adjustRightInd w:val="0"/>
        <w:spacing w:after="140"/>
        <w:ind w:left="640" w:hanging="640"/>
        <w:rPr>
          <w:noProof/>
        </w:rPr>
      </w:pPr>
      <w:r w:rsidRPr="00FB2070">
        <w:rPr>
          <w:noProof/>
        </w:rPr>
        <w:lastRenderedPageBreak/>
        <w:t xml:space="preserve">13. </w:t>
      </w:r>
      <w:r w:rsidRPr="00FB2070">
        <w:rPr>
          <w:noProof/>
        </w:rPr>
        <w:tab/>
        <w:t xml:space="preserve">Smith K, Winegard K, Hicks AL, McCartney N. Two Years of Resistance Training in Older Men and Women: The Effects of Three Years of Detraining on the Retention of Dynamic Strength. </w:t>
      </w:r>
      <w:r w:rsidRPr="00FB2070">
        <w:rPr>
          <w:i/>
          <w:iCs/>
          <w:noProof/>
        </w:rPr>
        <w:t>Can J Appl Physiol</w:t>
      </w:r>
      <w:r w:rsidRPr="00FB2070">
        <w:rPr>
          <w:noProof/>
        </w:rPr>
        <w:t>. 2003;28(3):462-474. doi:10.1139/h03-034.</w:t>
      </w:r>
    </w:p>
    <w:p w:rsidR="00FB2070" w:rsidRPr="00FB2070" w:rsidRDefault="00FB2070" w:rsidP="00FB2070">
      <w:pPr>
        <w:widowControl w:val="0"/>
        <w:autoSpaceDE w:val="0"/>
        <w:autoSpaceDN w:val="0"/>
        <w:adjustRightInd w:val="0"/>
        <w:spacing w:after="140"/>
        <w:ind w:left="640" w:hanging="640"/>
        <w:rPr>
          <w:noProof/>
        </w:rPr>
      </w:pPr>
      <w:r w:rsidRPr="00FB2070">
        <w:rPr>
          <w:noProof/>
        </w:rPr>
        <w:t xml:space="preserve">14. </w:t>
      </w:r>
      <w:r w:rsidRPr="00FB2070">
        <w:rPr>
          <w:noProof/>
        </w:rPr>
        <w:tab/>
        <w:t xml:space="preserve">Koopmans B, Nielen MM, Schellevis FG, Korevaar JC. Non-participation in population-based disease prevention programs in general practice. </w:t>
      </w:r>
      <w:r w:rsidRPr="00FB2070">
        <w:rPr>
          <w:i/>
          <w:iCs/>
          <w:noProof/>
        </w:rPr>
        <w:t>BMC Public Health</w:t>
      </w:r>
      <w:r w:rsidRPr="00FB2070">
        <w:rPr>
          <w:noProof/>
        </w:rPr>
        <w:t>. 2012;12:1. doi:10.1186/1471-2458-12-856.</w:t>
      </w:r>
    </w:p>
    <w:p w:rsidR="00FB2070" w:rsidRPr="00FB2070" w:rsidRDefault="00FB2070" w:rsidP="00FB2070">
      <w:pPr>
        <w:widowControl w:val="0"/>
        <w:autoSpaceDE w:val="0"/>
        <w:autoSpaceDN w:val="0"/>
        <w:adjustRightInd w:val="0"/>
        <w:spacing w:after="140"/>
        <w:ind w:left="640" w:hanging="640"/>
        <w:rPr>
          <w:noProof/>
        </w:rPr>
      </w:pPr>
      <w:r w:rsidRPr="00FB2070">
        <w:rPr>
          <w:noProof/>
        </w:rPr>
        <w:t xml:space="preserve">15. </w:t>
      </w:r>
      <w:r w:rsidRPr="00FB2070">
        <w:rPr>
          <w:noProof/>
        </w:rPr>
        <w:tab/>
        <w:t xml:space="preserve">Ver Ploeg M, Moffitt RA, Citro CF. </w:t>
      </w:r>
      <w:r w:rsidRPr="00FB2070">
        <w:rPr>
          <w:i/>
          <w:iCs/>
          <w:noProof/>
        </w:rPr>
        <w:t>Studies of Welfare Populations: Data Collection and Research Issues. Panel on Data and Methods for Measuring the Effects of Changes in Social Welfare Programs</w:t>
      </w:r>
      <w:r w:rsidRPr="00FB2070">
        <w:rPr>
          <w:noProof/>
        </w:rPr>
        <w:t>. Washington DC; 2002. https://www.nap.edu/read/10206.</w:t>
      </w:r>
    </w:p>
    <w:p w:rsidR="00FB2070" w:rsidRPr="00FB2070" w:rsidRDefault="00FB2070" w:rsidP="00FB2070">
      <w:pPr>
        <w:widowControl w:val="0"/>
        <w:autoSpaceDE w:val="0"/>
        <w:autoSpaceDN w:val="0"/>
        <w:adjustRightInd w:val="0"/>
        <w:spacing w:after="140"/>
        <w:ind w:left="640" w:hanging="640"/>
        <w:rPr>
          <w:noProof/>
        </w:rPr>
      </w:pPr>
      <w:r w:rsidRPr="00FB2070">
        <w:rPr>
          <w:noProof/>
        </w:rPr>
        <w:t xml:space="preserve">16. </w:t>
      </w:r>
      <w:r w:rsidRPr="00FB2070">
        <w:rPr>
          <w:noProof/>
        </w:rPr>
        <w:tab/>
        <w:t xml:space="preserve">Arthur H, Wright D, Smith K. Women and heart disease: the treatment may end but the suffering continues. </w:t>
      </w:r>
      <w:r w:rsidRPr="00FB2070">
        <w:rPr>
          <w:i/>
          <w:iCs/>
          <w:noProof/>
        </w:rPr>
        <w:t>Can J Nurs Res</w:t>
      </w:r>
      <w:r w:rsidRPr="00FB2070">
        <w:rPr>
          <w:noProof/>
        </w:rPr>
        <w:t>. 2001;33(3):17-29. http://europepmc.org/abstract/MED/11845619/reload=0. Accessed February 7, 2014.</w:t>
      </w:r>
    </w:p>
    <w:p w:rsidR="00FB2070" w:rsidRPr="00FB2070" w:rsidRDefault="00FB2070" w:rsidP="00FB2070">
      <w:pPr>
        <w:widowControl w:val="0"/>
        <w:autoSpaceDE w:val="0"/>
        <w:autoSpaceDN w:val="0"/>
        <w:adjustRightInd w:val="0"/>
        <w:spacing w:after="140"/>
        <w:ind w:left="640" w:hanging="640"/>
        <w:rPr>
          <w:noProof/>
        </w:rPr>
      </w:pPr>
      <w:r w:rsidRPr="00FB2070">
        <w:rPr>
          <w:noProof/>
        </w:rPr>
        <w:t xml:space="preserve">17. </w:t>
      </w:r>
      <w:r w:rsidRPr="00FB2070">
        <w:rPr>
          <w:noProof/>
        </w:rPr>
        <w:tab/>
        <w:t xml:space="preserve">Carman KL, Dardess P, Maurer M, et al. Patient and family engagement: a framework for understanding the elements and developing interventions and policies. </w:t>
      </w:r>
      <w:r w:rsidRPr="00FB2070">
        <w:rPr>
          <w:i/>
          <w:iCs/>
          <w:noProof/>
        </w:rPr>
        <w:t>Heal Aff</w:t>
      </w:r>
      <w:r w:rsidRPr="00FB2070">
        <w:rPr>
          <w:noProof/>
        </w:rPr>
        <w:t>. 2013;32(2):223-231. doi:10.1377/hlthaff.2012.1133.</w:t>
      </w:r>
    </w:p>
    <w:p w:rsidR="00FB2070" w:rsidRPr="00FB2070" w:rsidRDefault="00FB2070" w:rsidP="00FB2070">
      <w:pPr>
        <w:widowControl w:val="0"/>
        <w:autoSpaceDE w:val="0"/>
        <w:autoSpaceDN w:val="0"/>
        <w:adjustRightInd w:val="0"/>
        <w:spacing w:after="140"/>
        <w:ind w:left="640" w:hanging="640"/>
        <w:rPr>
          <w:noProof/>
        </w:rPr>
      </w:pPr>
      <w:r w:rsidRPr="00FB2070">
        <w:rPr>
          <w:noProof/>
        </w:rPr>
        <w:t xml:space="preserve">18. </w:t>
      </w:r>
      <w:r w:rsidRPr="00FB2070">
        <w:rPr>
          <w:noProof/>
        </w:rPr>
        <w:tab/>
        <w:t>Bonevski B, Randell M, Paul C, et al. Reaching the hard-to-reach: a systematic review of strategies for improving health and medical research with socially disadvantaged groups. 2014. doi:10.1186/1471-2288-14-42.</w:t>
      </w:r>
    </w:p>
    <w:p w:rsidR="00FB2070" w:rsidRPr="00FB2070" w:rsidRDefault="00FB2070" w:rsidP="00FB2070">
      <w:pPr>
        <w:widowControl w:val="0"/>
        <w:autoSpaceDE w:val="0"/>
        <w:autoSpaceDN w:val="0"/>
        <w:adjustRightInd w:val="0"/>
        <w:spacing w:after="140"/>
        <w:ind w:left="640" w:hanging="640"/>
        <w:rPr>
          <w:noProof/>
        </w:rPr>
      </w:pPr>
      <w:r w:rsidRPr="00FB2070">
        <w:rPr>
          <w:noProof/>
        </w:rPr>
        <w:t xml:space="preserve">19. </w:t>
      </w:r>
      <w:r w:rsidRPr="00FB2070">
        <w:rPr>
          <w:noProof/>
        </w:rPr>
        <w:tab/>
        <w:t>Smith KM, Mazor KM, Gallagher TH. We Want to Know. MedStar Health. http://www.wewant2know.org/. Published 2014. Accessed January 1, 2016.</w:t>
      </w:r>
    </w:p>
    <w:p w:rsidR="00FB2070" w:rsidRPr="00FB2070" w:rsidRDefault="00FB2070" w:rsidP="00FB2070">
      <w:pPr>
        <w:widowControl w:val="0"/>
        <w:autoSpaceDE w:val="0"/>
        <w:autoSpaceDN w:val="0"/>
        <w:adjustRightInd w:val="0"/>
        <w:spacing w:after="140"/>
        <w:ind w:left="640" w:hanging="640"/>
        <w:rPr>
          <w:noProof/>
        </w:rPr>
      </w:pPr>
      <w:r w:rsidRPr="00FB2070">
        <w:rPr>
          <w:noProof/>
        </w:rPr>
        <w:t xml:space="preserve">20. </w:t>
      </w:r>
      <w:r w:rsidRPr="00FB2070">
        <w:rPr>
          <w:noProof/>
        </w:rPr>
        <w:tab/>
        <w:t>Quality A for HR and. Communication and Optimal Resolution (CANDOR) Toolkit. https://www.ahrq.gov/professionals/quality-patient-safety/patient-safety-resources/resources/candor/introduction.html.</w:t>
      </w:r>
    </w:p>
    <w:p w:rsidR="00FB2070" w:rsidRPr="00FB2070" w:rsidRDefault="00FB2070" w:rsidP="00FB2070">
      <w:pPr>
        <w:widowControl w:val="0"/>
        <w:autoSpaceDE w:val="0"/>
        <w:autoSpaceDN w:val="0"/>
        <w:adjustRightInd w:val="0"/>
        <w:spacing w:after="140"/>
        <w:ind w:left="640" w:hanging="640"/>
        <w:rPr>
          <w:noProof/>
        </w:rPr>
      </w:pPr>
      <w:r w:rsidRPr="00FB2070">
        <w:rPr>
          <w:noProof/>
        </w:rPr>
        <w:t xml:space="preserve">21. </w:t>
      </w:r>
      <w:r w:rsidRPr="00FB2070">
        <w:rPr>
          <w:noProof/>
        </w:rPr>
        <w:tab/>
        <w:t xml:space="preserve">Lambert BL, Centomani NM, Smith KM, et al. The “Seven Pillars” Response to Patient Safety Incidents: Effects on Medical Liability Processes and Outcomes. </w:t>
      </w:r>
      <w:r w:rsidRPr="00FB2070">
        <w:rPr>
          <w:i/>
          <w:iCs/>
          <w:noProof/>
        </w:rPr>
        <w:t>Health Serv Res</w:t>
      </w:r>
      <w:r w:rsidRPr="00FB2070">
        <w:rPr>
          <w:noProof/>
        </w:rPr>
        <w:t>. 2016:1-25. doi:10.1111/1475-6773.12548.</w:t>
      </w:r>
    </w:p>
    <w:p w:rsidR="00FB2070" w:rsidRPr="00FB2070" w:rsidRDefault="00FB2070" w:rsidP="00FB2070">
      <w:pPr>
        <w:widowControl w:val="0"/>
        <w:autoSpaceDE w:val="0"/>
        <w:autoSpaceDN w:val="0"/>
        <w:adjustRightInd w:val="0"/>
        <w:spacing w:after="140"/>
        <w:ind w:left="640" w:hanging="640"/>
        <w:rPr>
          <w:noProof/>
        </w:rPr>
      </w:pPr>
      <w:r w:rsidRPr="00FB2070">
        <w:rPr>
          <w:noProof/>
        </w:rPr>
        <w:t xml:space="preserve">22. </w:t>
      </w:r>
      <w:r w:rsidRPr="00FB2070">
        <w:rPr>
          <w:noProof/>
        </w:rPr>
        <w:tab/>
        <w:t xml:space="preserve">Mazor KM, Smith KM, Fisher KA, Gallagher TH. Speak Up! Addressing the Paradox Plaguing Patient-Centered Care. </w:t>
      </w:r>
      <w:r w:rsidRPr="00FB2070">
        <w:rPr>
          <w:i/>
          <w:iCs/>
          <w:noProof/>
        </w:rPr>
        <w:t>Ann Intern Med</w:t>
      </w:r>
      <w:r w:rsidRPr="00FB2070">
        <w:rPr>
          <w:noProof/>
        </w:rPr>
        <w:t>. February 2016:1. doi:10.7326/M15-2416.</w:t>
      </w:r>
    </w:p>
    <w:p w:rsidR="00FB2070" w:rsidRPr="00FB2070" w:rsidRDefault="00FB2070" w:rsidP="00FB2070">
      <w:pPr>
        <w:widowControl w:val="0"/>
        <w:autoSpaceDE w:val="0"/>
        <w:autoSpaceDN w:val="0"/>
        <w:adjustRightInd w:val="0"/>
        <w:spacing w:after="140"/>
        <w:ind w:left="640" w:hanging="640"/>
        <w:rPr>
          <w:noProof/>
        </w:rPr>
      </w:pPr>
      <w:r w:rsidRPr="00FB2070">
        <w:rPr>
          <w:noProof/>
        </w:rPr>
        <w:t xml:space="preserve">23. </w:t>
      </w:r>
      <w:r w:rsidRPr="00FB2070">
        <w:rPr>
          <w:noProof/>
        </w:rPr>
        <w:tab/>
        <w:t xml:space="preserve">Bell SK, White AA, Yi JC, Yi-Frazier JP, Gallagher TH. Transparency When Things Go Wrong: Physician Attitudes About Reporting Medical Errors to Patients, Peers, and Institutions. </w:t>
      </w:r>
      <w:r w:rsidRPr="00FB2070">
        <w:rPr>
          <w:i/>
          <w:iCs/>
          <w:noProof/>
        </w:rPr>
        <w:t>J Patient Saf</w:t>
      </w:r>
      <w:r w:rsidRPr="00FB2070">
        <w:rPr>
          <w:noProof/>
        </w:rPr>
        <w:t>. February 2015. doi:10.1097/PTS.0000000000000153.</w:t>
      </w:r>
    </w:p>
    <w:p w:rsidR="00FB2070" w:rsidRPr="00FB2070" w:rsidRDefault="00FB2070" w:rsidP="00FB2070">
      <w:pPr>
        <w:widowControl w:val="0"/>
        <w:autoSpaceDE w:val="0"/>
        <w:autoSpaceDN w:val="0"/>
        <w:adjustRightInd w:val="0"/>
        <w:spacing w:after="140"/>
        <w:ind w:left="640" w:hanging="640"/>
        <w:rPr>
          <w:noProof/>
        </w:rPr>
      </w:pPr>
      <w:r w:rsidRPr="00FB2070">
        <w:rPr>
          <w:noProof/>
        </w:rPr>
        <w:t xml:space="preserve">24. </w:t>
      </w:r>
      <w:r w:rsidRPr="00FB2070">
        <w:rPr>
          <w:noProof/>
        </w:rPr>
        <w:tab/>
        <w:t xml:space="preserve">Bell SK, Smulowitz PB, Woodward AC, et al. Disclosure, apology, and offer programs: stakeholders’ views of barriers to and strategies for broad implementation. </w:t>
      </w:r>
      <w:r w:rsidRPr="00FB2070">
        <w:rPr>
          <w:i/>
          <w:iCs/>
          <w:noProof/>
        </w:rPr>
        <w:t>Milbank Q</w:t>
      </w:r>
      <w:r w:rsidRPr="00FB2070">
        <w:rPr>
          <w:noProof/>
        </w:rPr>
        <w:t>. 2012;90(4):682-705. doi:10.1111/j.1468-0009.2012.00679.x.</w:t>
      </w:r>
    </w:p>
    <w:p w:rsidR="00D226E8" w:rsidRDefault="0084671A" w:rsidP="00D226E8">
      <w:pPr>
        <w:keepNext/>
        <w:spacing w:before="240" w:after="60"/>
        <w:outlineLvl w:val="1"/>
        <w:rPr>
          <w:rFonts w:ascii="Arial" w:hAnsi="Arial" w:cs="Arial"/>
          <w:b/>
          <w:bCs/>
          <w:i/>
          <w:iCs/>
        </w:rPr>
      </w:pPr>
      <w:r w:rsidRPr="00E42791">
        <w:rPr>
          <w:b/>
        </w:rPr>
        <w:lastRenderedPageBreak/>
        <w:fldChar w:fldCharType="end"/>
      </w:r>
    </w:p>
    <w:bookmarkEnd w:id="65"/>
    <w:bookmarkEnd w:id="66"/>
    <w:p w:rsidR="00C963FE" w:rsidRDefault="00C963FE" w:rsidP="0048137E">
      <w:pPr>
        <w:widowControl w:val="0"/>
        <w:autoSpaceDE w:val="0"/>
        <w:autoSpaceDN w:val="0"/>
        <w:adjustRightInd w:val="0"/>
        <w:spacing w:after="140"/>
        <w:ind w:left="640" w:hanging="640"/>
      </w:pPr>
    </w:p>
    <w:p w:rsidR="00DA79B5" w:rsidRPr="00535B56" w:rsidRDefault="00DA79B5" w:rsidP="0048137E">
      <w:pPr>
        <w:widowControl w:val="0"/>
        <w:autoSpaceDE w:val="0"/>
        <w:autoSpaceDN w:val="0"/>
        <w:adjustRightInd w:val="0"/>
        <w:spacing w:after="140"/>
        <w:ind w:left="640" w:hanging="640"/>
      </w:pPr>
    </w:p>
    <w:sectPr w:rsidR="00DA79B5" w:rsidRPr="00535B56" w:rsidSect="009B633D">
      <w:footerReference w:type="even" r:id="rId10"/>
      <w:footerReference w:type="default" r:id="rId11"/>
      <w:endnotePr>
        <w:numFmt w:val="decimal"/>
      </w:endnotePr>
      <w:pgSz w:w="12240" w:h="15840"/>
      <w:pgMar w:top="1440" w:right="1800" w:bottom="1260" w:left="1800" w:header="720" w:footer="720"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2D7" w:rsidRDefault="00B822D7">
      <w:r>
        <w:separator/>
      </w:r>
    </w:p>
  </w:endnote>
  <w:endnote w:type="continuationSeparator" w:id="0">
    <w:p w:rsidR="00B822D7" w:rsidRDefault="00B82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MdCn BT">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00000001"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7A8" w:rsidRDefault="0084671A" w:rsidP="009B633D">
    <w:pPr>
      <w:pStyle w:val="Footer"/>
      <w:framePr w:wrap="around" w:vAnchor="text" w:hAnchor="margin" w:xAlign="center" w:y="1"/>
      <w:rPr>
        <w:rStyle w:val="PageNumber"/>
      </w:rPr>
    </w:pPr>
    <w:r>
      <w:rPr>
        <w:rStyle w:val="PageNumber"/>
      </w:rPr>
      <w:fldChar w:fldCharType="begin"/>
    </w:r>
    <w:r w:rsidR="000227A8">
      <w:rPr>
        <w:rStyle w:val="PageNumber"/>
      </w:rPr>
      <w:instrText xml:space="preserve">PAGE  </w:instrText>
    </w:r>
    <w:r>
      <w:rPr>
        <w:rStyle w:val="PageNumber"/>
      </w:rPr>
      <w:fldChar w:fldCharType="end"/>
    </w:r>
  </w:p>
  <w:p w:rsidR="000227A8" w:rsidRDefault="000227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6BB" w:rsidRDefault="008A7689">
    <w:pPr>
      <w:pStyle w:val="Footer"/>
      <w:jc w:val="center"/>
    </w:pPr>
    <w:r>
      <w:fldChar w:fldCharType="begin"/>
    </w:r>
    <w:r>
      <w:instrText xml:space="preserve"> PAGE   \* MERGEFORMAT </w:instrText>
    </w:r>
    <w:r>
      <w:fldChar w:fldCharType="separate"/>
    </w:r>
    <w:r w:rsidR="000E5426">
      <w:rPr>
        <w:noProof/>
      </w:rPr>
      <w:t>- 21 -</w:t>
    </w:r>
    <w:r>
      <w:rPr>
        <w:noProof/>
      </w:rPr>
      <w:fldChar w:fldCharType="end"/>
    </w:r>
  </w:p>
  <w:p w:rsidR="000227A8" w:rsidRDefault="000227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2D7" w:rsidRDefault="00B822D7">
      <w:r>
        <w:separator/>
      </w:r>
    </w:p>
  </w:footnote>
  <w:footnote w:type="continuationSeparator" w:id="0">
    <w:p w:rsidR="00B822D7" w:rsidRDefault="00B822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6B89B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BE27D5B"/>
    <w:multiLevelType w:val="hybridMultilevel"/>
    <w:tmpl w:val="B0926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711E6A"/>
    <w:multiLevelType w:val="hybridMultilevel"/>
    <w:tmpl w:val="FBB852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547456F"/>
    <w:multiLevelType w:val="hybridMultilevel"/>
    <w:tmpl w:val="FC8E6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CE09B4"/>
    <w:multiLevelType w:val="hybridMultilevel"/>
    <w:tmpl w:val="D2B4C102"/>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A42358"/>
    <w:multiLevelType w:val="hybridMultilevel"/>
    <w:tmpl w:val="51D4A5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4D0178"/>
    <w:multiLevelType w:val="hybridMultilevel"/>
    <w:tmpl w:val="1B5E32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2D5C71"/>
    <w:multiLevelType w:val="hybridMultilevel"/>
    <w:tmpl w:val="617665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D06AB5"/>
    <w:multiLevelType w:val="hybridMultilevel"/>
    <w:tmpl w:val="E070A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471120"/>
    <w:multiLevelType w:val="hybridMultilevel"/>
    <w:tmpl w:val="728AB8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11">
    <w:nsid w:val="5B8132EC"/>
    <w:multiLevelType w:val="hybridMultilevel"/>
    <w:tmpl w:val="7A381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AD16D9"/>
    <w:multiLevelType w:val="hybridMultilevel"/>
    <w:tmpl w:val="88989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3445CC"/>
    <w:multiLevelType w:val="hybridMultilevel"/>
    <w:tmpl w:val="5D723B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9C5920"/>
    <w:multiLevelType w:val="hybridMultilevel"/>
    <w:tmpl w:val="BFACD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5F1B43"/>
    <w:multiLevelType w:val="hybridMultilevel"/>
    <w:tmpl w:val="297CE1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88B5159"/>
    <w:multiLevelType w:val="hybridMultilevel"/>
    <w:tmpl w:val="165C2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num w:numId="1">
    <w:abstractNumId w:val="17"/>
  </w:num>
  <w:num w:numId="2">
    <w:abstractNumId w:val="10"/>
  </w:num>
  <w:num w:numId="3">
    <w:abstractNumId w:val="9"/>
  </w:num>
  <w:num w:numId="4">
    <w:abstractNumId w:val="16"/>
  </w:num>
  <w:num w:numId="5">
    <w:abstractNumId w:val="1"/>
  </w:num>
  <w:num w:numId="6">
    <w:abstractNumId w:val="11"/>
  </w:num>
  <w:num w:numId="7">
    <w:abstractNumId w:val="12"/>
  </w:num>
  <w:num w:numId="8">
    <w:abstractNumId w:val="3"/>
  </w:num>
  <w:num w:numId="9">
    <w:abstractNumId w:val="8"/>
  </w:num>
  <w:num w:numId="10">
    <w:abstractNumId w:val="0"/>
  </w:num>
  <w:num w:numId="11">
    <w:abstractNumId w:val="6"/>
  </w:num>
  <w:num w:numId="12">
    <w:abstractNumId w:val="4"/>
  </w:num>
  <w:num w:numId="13">
    <w:abstractNumId w:val="13"/>
  </w:num>
  <w:num w:numId="14">
    <w:abstractNumId w:val="5"/>
  </w:num>
  <w:num w:numId="15">
    <w:abstractNumId w:val="7"/>
  </w:num>
  <w:num w:numId="16">
    <w:abstractNumId w:val="15"/>
  </w:num>
  <w:num w:numId="17">
    <w:abstractNumId w:val="2"/>
  </w:num>
  <w:num w:numId="18">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11E85"/>
    <w:rsid w:val="00012921"/>
    <w:rsid w:val="00012FB9"/>
    <w:rsid w:val="00014774"/>
    <w:rsid w:val="00015AAF"/>
    <w:rsid w:val="00016418"/>
    <w:rsid w:val="00016560"/>
    <w:rsid w:val="00021343"/>
    <w:rsid w:val="00021ADD"/>
    <w:rsid w:val="000227A8"/>
    <w:rsid w:val="00024FEE"/>
    <w:rsid w:val="000269B8"/>
    <w:rsid w:val="00033301"/>
    <w:rsid w:val="00037998"/>
    <w:rsid w:val="0004096A"/>
    <w:rsid w:val="00043473"/>
    <w:rsid w:val="000448AE"/>
    <w:rsid w:val="00045959"/>
    <w:rsid w:val="00046359"/>
    <w:rsid w:val="00047C28"/>
    <w:rsid w:val="00052018"/>
    <w:rsid w:val="0005405E"/>
    <w:rsid w:val="000573C9"/>
    <w:rsid w:val="0006207D"/>
    <w:rsid w:val="000717CD"/>
    <w:rsid w:val="000763FC"/>
    <w:rsid w:val="000769F7"/>
    <w:rsid w:val="000779A9"/>
    <w:rsid w:val="00082047"/>
    <w:rsid w:val="000848C2"/>
    <w:rsid w:val="00087420"/>
    <w:rsid w:val="00094648"/>
    <w:rsid w:val="000A016A"/>
    <w:rsid w:val="000A140E"/>
    <w:rsid w:val="000A3475"/>
    <w:rsid w:val="000A4277"/>
    <w:rsid w:val="000A5A4F"/>
    <w:rsid w:val="000B6553"/>
    <w:rsid w:val="000B78CB"/>
    <w:rsid w:val="000D1BC9"/>
    <w:rsid w:val="000D1C75"/>
    <w:rsid w:val="000D429E"/>
    <w:rsid w:val="000E01D1"/>
    <w:rsid w:val="000E2DC3"/>
    <w:rsid w:val="000E305B"/>
    <w:rsid w:val="000E4300"/>
    <w:rsid w:val="000E5426"/>
    <w:rsid w:val="000F0A95"/>
    <w:rsid w:val="000F1328"/>
    <w:rsid w:val="000F2B59"/>
    <w:rsid w:val="00104B5C"/>
    <w:rsid w:val="00112DF2"/>
    <w:rsid w:val="00120A0C"/>
    <w:rsid w:val="001235A6"/>
    <w:rsid w:val="00124917"/>
    <w:rsid w:val="001301AA"/>
    <w:rsid w:val="00131443"/>
    <w:rsid w:val="00147C46"/>
    <w:rsid w:val="001514E8"/>
    <w:rsid w:val="0015645A"/>
    <w:rsid w:val="001607F9"/>
    <w:rsid w:val="00162FE1"/>
    <w:rsid w:val="0016648B"/>
    <w:rsid w:val="00166A69"/>
    <w:rsid w:val="001700A2"/>
    <w:rsid w:val="001702E8"/>
    <w:rsid w:val="001727D9"/>
    <w:rsid w:val="00183345"/>
    <w:rsid w:val="001837CE"/>
    <w:rsid w:val="001868E0"/>
    <w:rsid w:val="00187A50"/>
    <w:rsid w:val="001A28C0"/>
    <w:rsid w:val="001A6FF1"/>
    <w:rsid w:val="001B11F1"/>
    <w:rsid w:val="001B1C61"/>
    <w:rsid w:val="001B5136"/>
    <w:rsid w:val="001C0415"/>
    <w:rsid w:val="001C59E4"/>
    <w:rsid w:val="001E63C6"/>
    <w:rsid w:val="001F4AEC"/>
    <w:rsid w:val="002005F0"/>
    <w:rsid w:val="00204CA0"/>
    <w:rsid w:val="00211E70"/>
    <w:rsid w:val="00217616"/>
    <w:rsid w:val="0022366A"/>
    <w:rsid w:val="0024313F"/>
    <w:rsid w:val="00244AFD"/>
    <w:rsid w:val="00254786"/>
    <w:rsid w:val="00260212"/>
    <w:rsid w:val="0026424E"/>
    <w:rsid w:val="00272E29"/>
    <w:rsid w:val="00273B1B"/>
    <w:rsid w:val="002869CB"/>
    <w:rsid w:val="00291B73"/>
    <w:rsid w:val="0029734C"/>
    <w:rsid w:val="00297D66"/>
    <w:rsid w:val="002A289E"/>
    <w:rsid w:val="002A36BB"/>
    <w:rsid w:val="002A3A8F"/>
    <w:rsid w:val="002B382B"/>
    <w:rsid w:val="002B421E"/>
    <w:rsid w:val="002B7635"/>
    <w:rsid w:val="002C028B"/>
    <w:rsid w:val="002C2D08"/>
    <w:rsid w:val="002E0B4A"/>
    <w:rsid w:val="002E190D"/>
    <w:rsid w:val="002E3942"/>
    <w:rsid w:val="002E54EF"/>
    <w:rsid w:val="002F2B33"/>
    <w:rsid w:val="002F4DE8"/>
    <w:rsid w:val="0030688A"/>
    <w:rsid w:val="00307A62"/>
    <w:rsid w:val="00307F04"/>
    <w:rsid w:val="003251CC"/>
    <w:rsid w:val="00325B9C"/>
    <w:rsid w:val="003270FA"/>
    <w:rsid w:val="00340D97"/>
    <w:rsid w:val="0034154A"/>
    <w:rsid w:val="0034325D"/>
    <w:rsid w:val="00350E4E"/>
    <w:rsid w:val="003535E0"/>
    <w:rsid w:val="003609DD"/>
    <w:rsid w:val="00361D31"/>
    <w:rsid w:val="00361F52"/>
    <w:rsid w:val="00365B7B"/>
    <w:rsid w:val="00371B27"/>
    <w:rsid w:val="0037254D"/>
    <w:rsid w:val="0037427A"/>
    <w:rsid w:val="00375AE3"/>
    <w:rsid w:val="00377301"/>
    <w:rsid w:val="0037771B"/>
    <w:rsid w:val="00377D80"/>
    <w:rsid w:val="0038217D"/>
    <w:rsid w:val="003926DB"/>
    <w:rsid w:val="00396B01"/>
    <w:rsid w:val="003A0672"/>
    <w:rsid w:val="003A181C"/>
    <w:rsid w:val="003A4593"/>
    <w:rsid w:val="003B2951"/>
    <w:rsid w:val="003B5859"/>
    <w:rsid w:val="003B6B41"/>
    <w:rsid w:val="003C0C9C"/>
    <w:rsid w:val="003C220A"/>
    <w:rsid w:val="003C2F4D"/>
    <w:rsid w:val="003C60BD"/>
    <w:rsid w:val="003D21A7"/>
    <w:rsid w:val="003D3480"/>
    <w:rsid w:val="003D3937"/>
    <w:rsid w:val="003D4B99"/>
    <w:rsid w:val="003D73D8"/>
    <w:rsid w:val="003E2801"/>
    <w:rsid w:val="003E2CD3"/>
    <w:rsid w:val="003F29B8"/>
    <w:rsid w:val="003F4662"/>
    <w:rsid w:val="003F51E1"/>
    <w:rsid w:val="003F5921"/>
    <w:rsid w:val="003F59B5"/>
    <w:rsid w:val="003F5DC3"/>
    <w:rsid w:val="003F61D9"/>
    <w:rsid w:val="004049D0"/>
    <w:rsid w:val="00407515"/>
    <w:rsid w:val="004100AD"/>
    <w:rsid w:val="004131BC"/>
    <w:rsid w:val="00414C80"/>
    <w:rsid w:val="004155E1"/>
    <w:rsid w:val="00420F20"/>
    <w:rsid w:val="00423E8F"/>
    <w:rsid w:val="00425974"/>
    <w:rsid w:val="00432ECD"/>
    <w:rsid w:val="0043596B"/>
    <w:rsid w:val="0044769A"/>
    <w:rsid w:val="00450538"/>
    <w:rsid w:val="004517A2"/>
    <w:rsid w:val="00452268"/>
    <w:rsid w:val="00456179"/>
    <w:rsid w:val="00457982"/>
    <w:rsid w:val="00467084"/>
    <w:rsid w:val="004670C2"/>
    <w:rsid w:val="00467163"/>
    <w:rsid w:val="0047504D"/>
    <w:rsid w:val="00480523"/>
    <w:rsid w:val="004811AD"/>
    <w:rsid w:val="0048137E"/>
    <w:rsid w:val="00485CDD"/>
    <w:rsid w:val="00492F5F"/>
    <w:rsid w:val="004A003F"/>
    <w:rsid w:val="004A2251"/>
    <w:rsid w:val="004A5113"/>
    <w:rsid w:val="004A624D"/>
    <w:rsid w:val="004B5566"/>
    <w:rsid w:val="004B7032"/>
    <w:rsid w:val="004C1CB0"/>
    <w:rsid w:val="004C3BA7"/>
    <w:rsid w:val="004C4A74"/>
    <w:rsid w:val="004C5B2F"/>
    <w:rsid w:val="004D05B4"/>
    <w:rsid w:val="004E1092"/>
    <w:rsid w:val="004E16F6"/>
    <w:rsid w:val="004E2557"/>
    <w:rsid w:val="004E3A1B"/>
    <w:rsid w:val="004F0CA3"/>
    <w:rsid w:val="00501308"/>
    <w:rsid w:val="005035FD"/>
    <w:rsid w:val="00510909"/>
    <w:rsid w:val="005152B4"/>
    <w:rsid w:val="00520CE0"/>
    <w:rsid w:val="005243AB"/>
    <w:rsid w:val="00527BBD"/>
    <w:rsid w:val="00531857"/>
    <w:rsid w:val="00535B56"/>
    <w:rsid w:val="00553CC6"/>
    <w:rsid w:val="00556046"/>
    <w:rsid w:val="00556066"/>
    <w:rsid w:val="005611C2"/>
    <w:rsid w:val="0056238F"/>
    <w:rsid w:val="0057035B"/>
    <w:rsid w:val="00570ACD"/>
    <w:rsid w:val="005735F6"/>
    <w:rsid w:val="00575A1F"/>
    <w:rsid w:val="00581FD2"/>
    <w:rsid w:val="00592B04"/>
    <w:rsid w:val="00593E67"/>
    <w:rsid w:val="005968AC"/>
    <w:rsid w:val="005A13B0"/>
    <w:rsid w:val="005A2DF5"/>
    <w:rsid w:val="005B285A"/>
    <w:rsid w:val="005B2955"/>
    <w:rsid w:val="005B3C01"/>
    <w:rsid w:val="005B62CF"/>
    <w:rsid w:val="005B6FAA"/>
    <w:rsid w:val="005B715B"/>
    <w:rsid w:val="005C55AE"/>
    <w:rsid w:val="005D59C1"/>
    <w:rsid w:val="005E49B8"/>
    <w:rsid w:val="005F1874"/>
    <w:rsid w:val="005F4B12"/>
    <w:rsid w:val="005F7869"/>
    <w:rsid w:val="0060047D"/>
    <w:rsid w:val="006014DB"/>
    <w:rsid w:val="00603989"/>
    <w:rsid w:val="00604437"/>
    <w:rsid w:val="00606400"/>
    <w:rsid w:val="00613C05"/>
    <w:rsid w:val="00614156"/>
    <w:rsid w:val="00620B93"/>
    <w:rsid w:val="00622574"/>
    <w:rsid w:val="00625C1B"/>
    <w:rsid w:val="00626D1D"/>
    <w:rsid w:val="00631C81"/>
    <w:rsid w:val="00635119"/>
    <w:rsid w:val="00636A0C"/>
    <w:rsid w:val="00646E5C"/>
    <w:rsid w:val="00655A17"/>
    <w:rsid w:val="00667DFB"/>
    <w:rsid w:val="00673146"/>
    <w:rsid w:val="00673643"/>
    <w:rsid w:val="00673A57"/>
    <w:rsid w:val="006818B4"/>
    <w:rsid w:val="00691C2E"/>
    <w:rsid w:val="006A28E1"/>
    <w:rsid w:val="006A4D4E"/>
    <w:rsid w:val="006C2C31"/>
    <w:rsid w:val="006C45D0"/>
    <w:rsid w:val="006C6AF7"/>
    <w:rsid w:val="006C790D"/>
    <w:rsid w:val="006D1C5E"/>
    <w:rsid w:val="006E28A0"/>
    <w:rsid w:val="006E3CDB"/>
    <w:rsid w:val="006F7EBE"/>
    <w:rsid w:val="0070072D"/>
    <w:rsid w:val="00703573"/>
    <w:rsid w:val="007109B1"/>
    <w:rsid w:val="00710C91"/>
    <w:rsid w:val="00712E20"/>
    <w:rsid w:val="007172E8"/>
    <w:rsid w:val="00720558"/>
    <w:rsid w:val="00720756"/>
    <w:rsid w:val="007208E0"/>
    <w:rsid w:val="00723075"/>
    <w:rsid w:val="007235BC"/>
    <w:rsid w:val="0072506E"/>
    <w:rsid w:val="007320C7"/>
    <w:rsid w:val="00733323"/>
    <w:rsid w:val="00744D19"/>
    <w:rsid w:val="00747A7E"/>
    <w:rsid w:val="00747D2F"/>
    <w:rsid w:val="00750D34"/>
    <w:rsid w:val="00751429"/>
    <w:rsid w:val="00752EA8"/>
    <w:rsid w:val="0075551D"/>
    <w:rsid w:val="00763435"/>
    <w:rsid w:val="00765D1A"/>
    <w:rsid w:val="00766E33"/>
    <w:rsid w:val="007700A7"/>
    <w:rsid w:val="007721F3"/>
    <w:rsid w:val="00775D2F"/>
    <w:rsid w:val="00776654"/>
    <w:rsid w:val="00790761"/>
    <w:rsid w:val="007A1298"/>
    <w:rsid w:val="007A265C"/>
    <w:rsid w:val="007B0CF3"/>
    <w:rsid w:val="007B2929"/>
    <w:rsid w:val="007B3A8E"/>
    <w:rsid w:val="007C1ECB"/>
    <w:rsid w:val="007D1D87"/>
    <w:rsid w:val="007D4F9F"/>
    <w:rsid w:val="007E4359"/>
    <w:rsid w:val="007E6FD2"/>
    <w:rsid w:val="008008A1"/>
    <w:rsid w:val="0080612B"/>
    <w:rsid w:val="008073F6"/>
    <w:rsid w:val="00811735"/>
    <w:rsid w:val="0081706D"/>
    <w:rsid w:val="00817DA0"/>
    <w:rsid w:val="00822CAB"/>
    <w:rsid w:val="00825DA9"/>
    <w:rsid w:val="0083145C"/>
    <w:rsid w:val="00841047"/>
    <w:rsid w:val="008450C0"/>
    <w:rsid w:val="0084671A"/>
    <w:rsid w:val="00855168"/>
    <w:rsid w:val="008573ED"/>
    <w:rsid w:val="00861E61"/>
    <w:rsid w:val="00867D9A"/>
    <w:rsid w:val="00871ED4"/>
    <w:rsid w:val="00873F74"/>
    <w:rsid w:val="00880DFE"/>
    <w:rsid w:val="008814C4"/>
    <w:rsid w:val="00883C2E"/>
    <w:rsid w:val="00886780"/>
    <w:rsid w:val="00887F65"/>
    <w:rsid w:val="00892655"/>
    <w:rsid w:val="008A30B9"/>
    <w:rsid w:val="008A7689"/>
    <w:rsid w:val="008B593F"/>
    <w:rsid w:val="008B5C64"/>
    <w:rsid w:val="008C21FB"/>
    <w:rsid w:val="008C3D22"/>
    <w:rsid w:val="008C4938"/>
    <w:rsid w:val="008C5245"/>
    <w:rsid w:val="008C580E"/>
    <w:rsid w:val="008D028E"/>
    <w:rsid w:val="008D7FA0"/>
    <w:rsid w:val="008E14C2"/>
    <w:rsid w:val="008E1DC5"/>
    <w:rsid w:val="008E4FC9"/>
    <w:rsid w:val="008E567E"/>
    <w:rsid w:val="008F0B8B"/>
    <w:rsid w:val="008F662E"/>
    <w:rsid w:val="008F7BC4"/>
    <w:rsid w:val="00904CC3"/>
    <w:rsid w:val="00917228"/>
    <w:rsid w:val="009374DF"/>
    <w:rsid w:val="009511FC"/>
    <w:rsid w:val="00955553"/>
    <w:rsid w:val="0097106B"/>
    <w:rsid w:val="009746A1"/>
    <w:rsid w:val="00975BFB"/>
    <w:rsid w:val="00976C83"/>
    <w:rsid w:val="0098241C"/>
    <w:rsid w:val="00984FB8"/>
    <w:rsid w:val="00987BEA"/>
    <w:rsid w:val="00987F15"/>
    <w:rsid w:val="009943E2"/>
    <w:rsid w:val="009943E4"/>
    <w:rsid w:val="00994497"/>
    <w:rsid w:val="00994C16"/>
    <w:rsid w:val="0099646C"/>
    <w:rsid w:val="00996EB3"/>
    <w:rsid w:val="009A237A"/>
    <w:rsid w:val="009A49A7"/>
    <w:rsid w:val="009A52C9"/>
    <w:rsid w:val="009B20D9"/>
    <w:rsid w:val="009B3622"/>
    <w:rsid w:val="009B633D"/>
    <w:rsid w:val="009C19A2"/>
    <w:rsid w:val="009C4881"/>
    <w:rsid w:val="009C70B7"/>
    <w:rsid w:val="009D3DBB"/>
    <w:rsid w:val="009E6F7B"/>
    <w:rsid w:val="009F299E"/>
    <w:rsid w:val="009F43EA"/>
    <w:rsid w:val="009F597D"/>
    <w:rsid w:val="009F600A"/>
    <w:rsid w:val="00A13D8D"/>
    <w:rsid w:val="00A15D49"/>
    <w:rsid w:val="00A2374F"/>
    <w:rsid w:val="00A270F8"/>
    <w:rsid w:val="00A30D9A"/>
    <w:rsid w:val="00A37A04"/>
    <w:rsid w:val="00A44855"/>
    <w:rsid w:val="00A4694A"/>
    <w:rsid w:val="00A47C7F"/>
    <w:rsid w:val="00A5017F"/>
    <w:rsid w:val="00A62E99"/>
    <w:rsid w:val="00A63B17"/>
    <w:rsid w:val="00A64E80"/>
    <w:rsid w:val="00A65884"/>
    <w:rsid w:val="00A664E7"/>
    <w:rsid w:val="00A74E0A"/>
    <w:rsid w:val="00A75520"/>
    <w:rsid w:val="00A777E1"/>
    <w:rsid w:val="00A806FC"/>
    <w:rsid w:val="00A81D0D"/>
    <w:rsid w:val="00A835E4"/>
    <w:rsid w:val="00A905D8"/>
    <w:rsid w:val="00A94219"/>
    <w:rsid w:val="00AA0B6B"/>
    <w:rsid w:val="00AA1DDC"/>
    <w:rsid w:val="00AA3F0B"/>
    <w:rsid w:val="00AA788A"/>
    <w:rsid w:val="00AB1EB8"/>
    <w:rsid w:val="00AD01B7"/>
    <w:rsid w:val="00AD15F8"/>
    <w:rsid w:val="00AD192F"/>
    <w:rsid w:val="00AD2D80"/>
    <w:rsid w:val="00AD6516"/>
    <w:rsid w:val="00AE20E6"/>
    <w:rsid w:val="00AE4702"/>
    <w:rsid w:val="00AF022E"/>
    <w:rsid w:val="00AF15C4"/>
    <w:rsid w:val="00AF3108"/>
    <w:rsid w:val="00AF44D9"/>
    <w:rsid w:val="00B238AD"/>
    <w:rsid w:val="00B257FE"/>
    <w:rsid w:val="00B327DD"/>
    <w:rsid w:val="00B35C6B"/>
    <w:rsid w:val="00B370C3"/>
    <w:rsid w:val="00B52533"/>
    <w:rsid w:val="00B61FEB"/>
    <w:rsid w:val="00B62718"/>
    <w:rsid w:val="00B645ED"/>
    <w:rsid w:val="00B659CD"/>
    <w:rsid w:val="00B7120A"/>
    <w:rsid w:val="00B7181C"/>
    <w:rsid w:val="00B720EC"/>
    <w:rsid w:val="00B762E0"/>
    <w:rsid w:val="00B822D7"/>
    <w:rsid w:val="00B825D0"/>
    <w:rsid w:val="00B83929"/>
    <w:rsid w:val="00B840B5"/>
    <w:rsid w:val="00B915F1"/>
    <w:rsid w:val="00BA3A1F"/>
    <w:rsid w:val="00BA7DEC"/>
    <w:rsid w:val="00BB1C2F"/>
    <w:rsid w:val="00BB2479"/>
    <w:rsid w:val="00BB7136"/>
    <w:rsid w:val="00BC2E2E"/>
    <w:rsid w:val="00BC5061"/>
    <w:rsid w:val="00BD1B44"/>
    <w:rsid w:val="00BD357C"/>
    <w:rsid w:val="00BE0430"/>
    <w:rsid w:val="00BE0EF5"/>
    <w:rsid w:val="00BE573B"/>
    <w:rsid w:val="00BF735E"/>
    <w:rsid w:val="00C01B46"/>
    <w:rsid w:val="00C024D1"/>
    <w:rsid w:val="00C04F47"/>
    <w:rsid w:val="00C0644C"/>
    <w:rsid w:val="00C06C83"/>
    <w:rsid w:val="00C07125"/>
    <w:rsid w:val="00C163C6"/>
    <w:rsid w:val="00C205C8"/>
    <w:rsid w:val="00C4006D"/>
    <w:rsid w:val="00C41C66"/>
    <w:rsid w:val="00C46919"/>
    <w:rsid w:val="00C65B05"/>
    <w:rsid w:val="00C671C3"/>
    <w:rsid w:val="00C73150"/>
    <w:rsid w:val="00C73F08"/>
    <w:rsid w:val="00C77433"/>
    <w:rsid w:val="00C84911"/>
    <w:rsid w:val="00C929D4"/>
    <w:rsid w:val="00C933ED"/>
    <w:rsid w:val="00C963FE"/>
    <w:rsid w:val="00CA136B"/>
    <w:rsid w:val="00CA5D9C"/>
    <w:rsid w:val="00CA7470"/>
    <w:rsid w:val="00CB2224"/>
    <w:rsid w:val="00CB329C"/>
    <w:rsid w:val="00CC2FEA"/>
    <w:rsid w:val="00CC69E8"/>
    <w:rsid w:val="00CD36B7"/>
    <w:rsid w:val="00CD48F8"/>
    <w:rsid w:val="00CD655B"/>
    <w:rsid w:val="00CD6D90"/>
    <w:rsid w:val="00CE334E"/>
    <w:rsid w:val="00CE6AA7"/>
    <w:rsid w:val="00CF1909"/>
    <w:rsid w:val="00CF1A8E"/>
    <w:rsid w:val="00CF3861"/>
    <w:rsid w:val="00CF631F"/>
    <w:rsid w:val="00D059F9"/>
    <w:rsid w:val="00D0660C"/>
    <w:rsid w:val="00D11271"/>
    <w:rsid w:val="00D11BE0"/>
    <w:rsid w:val="00D12934"/>
    <w:rsid w:val="00D150A9"/>
    <w:rsid w:val="00D15D3C"/>
    <w:rsid w:val="00D201B7"/>
    <w:rsid w:val="00D20C47"/>
    <w:rsid w:val="00D226E8"/>
    <w:rsid w:val="00D2521F"/>
    <w:rsid w:val="00D27D52"/>
    <w:rsid w:val="00D30A3B"/>
    <w:rsid w:val="00D321B7"/>
    <w:rsid w:val="00D34490"/>
    <w:rsid w:val="00D35685"/>
    <w:rsid w:val="00D44D4E"/>
    <w:rsid w:val="00D474B5"/>
    <w:rsid w:val="00D543D5"/>
    <w:rsid w:val="00D57E7F"/>
    <w:rsid w:val="00D6058C"/>
    <w:rsid w:val="00D6371D"/>
    <w:rsid w:val="00D64A7D"/>
    <w:rsid w:val="00D6542F"/>
    <w:rsid w:val="00D65AD3"/>
    <w:rsid w:val="00D66E2B"/>
    <w:rsid w:val="00D66E74"/>
    <w:rsid w:val="00D67911"/>
    <w:rsid w:val="00D70428"/>
    <w:rsid w:val="00D70AF4"/>
    <w:rsid w:val="00D71264"/>
    <w:rsid w:val="00D85528"/>
    <w:rsid w:val="00D93F99"/>
    <w:rsid w:val="00D97F88"/>
    <w:rsid w:val="00DA097F"/>
    <w:rsid w:val="00DA3E7C"/>
    <w:rsid w:val="00DA73A3"/>
    <w:rsid w:val="00DA79B5"/>
    <w:rsid w:val="00DB3948"/>
    <w:rsid w:val="00DB49A0"/>
    <w:rsid w:val="00DB7D4A"/>
    <w:rsid w:val="00DD0A49"/>
    <w:rsid w:val="00DE0B9F"/>
    <w:rsid w:val="00DE2E04"/>
    <w:rsid w:val="00DF4F3C"/>
    <w:rsid w:val="00DF4F6F"/>
    <w:rsid w:val="00DF6DB8"/>
    <w:rsid w:val="00E076A3"/>
    <w:rsid w:val="00E12E29"/>
    <w:rsid w:val="00E14FC3"/>
    <w:rsid w:val="00E2592B"/>
    <w:rsid w:val="00E30E6F"/>
    <w:rsid w:val="00E329EE"/>
    <w:rsid w:val="00E43EBB"/>
    <w:rsid w:val="00E47851"/>
    <w:rsid w:val="00E503C5"/>
    <w:rsid w:val="00E52235"/>
    <w:rsid w:val="00E54E40"/>
    <w:rsid w:val="00E56716"/>
    <w:rsid w:val="00E612D9"/>
    <w:rsid w:val="00E706B3"/>
    <w:rsid w:val="00E7422B"/>
    <w:rsid w:val="00E76E4C"/>
    <w:rsid w:val="00E771C3"/>
    <w:rsid w:val="00E80877"/>
    <w:rsid w:val="00E81160"/>
    <w:rsid w:val="00E9364B"/>
    <w:rsid w:val="00E94A33"/>
    <w:rsid w:val="00E97584"/>
    <w:rsid w:val="00E97E8D"/>
    <w:rsid w:val="00EA1573"/>
    <w:rsid w:val="00EA767A"/>
    <w:rsid w:val="00EB58F3"/>
    <w:rsid w:val="00EC7AB3"/>
    <w:rsid w:val="00EC7D7A"/>
    <w:rsid w:val="00ED0EBB"/>
    <w:rsid w:val="00ED2756"/>
    <w:rsid w:val="00EE4455"/>
    <w:rsid w:val="00EE5C41"/>
    <w:rsid w:val="00EF1B25"/>
    <w:rsid w:val="00EF790F"/>
    <w:rsid w:val="00F00EF3"/>
    <w:rsid w:val="00F04055"/>
    <w:rsid w:val="00F122B9"/>
    <w:rsid w:val="00F12D0B"/>
    <w:rsid w:val="00F21CD9"/>
    <w:rsid w:val="00F22750"/>
    <w:rsid w:val="00F3207F"/>
    <w:rsid w:val="00F3541A"/>
    <w:rsid w:val="00F3753D"/>
    <w:rsid w:val="00F46275"/>
    <w:rsid w:val="00F52B5D"/>
    <w:rsid w:val="00F53812"/>
    <w:rsid w:val="00F5665F"/>
    <w:rsid w:val="00F60488"/>
    <w:rsid w:val="00F62790"/>
    <w:rsid w:val="00F631B6"/>
    <w:rsid w:val="00F63BC0"/>
    <w:rsid w:val="00F640FB"/>
    <w:rsid w:val="00F70715"/>
    <w:rsid w:val="00F719B8"/>
    <w:rsid w:val="00F76298"/>
    <w:rsid w:val="00F77E14"/>
    <w:rsid w:val="00F81C81"/>
    <w:rsid w:val="00F86336"/>
    <w:rsid w:val="00F94B00"/>
    <w:rsid w:val="00F968AD"/>
    <w:rsid w:val="00F97E9A"/>
    <w:rsid w:val="00FA03AD"/>
    <w:rsid w:val="00FA2E89"/>
    <w:rsid w:val="00FA63F8"/>
    <w:rsid w:val="00FA6A59"/>
    <w:rsid w:val="00FB0826"/>
    <w:rsid w:val="00FB2070"/>
    <w:rsid w:val="00FB4BFF"/>
    <w:rsid w:val="00FB6500"/>
    <w:rsid w:val="00FB7968"/>
    <w:rsid w:val="00FC3C1C"/>
    <w:rsid w:val="00FC430C"/>
    <w:rsid w:val="00FC5076"/>
    <w:rsid w:val="00FC5140"/>
    <w:rsid w:val="00FC7332"/>
    <w:rsid w:val="00FD1D9C"/>
    <w:rsid w:val="00FD6C70"/>
    <w:rsid w:val="00FD76AC"/>
    <w:rsid w:val="00FD78F7"/>
    <w:rsid w:val="00FE0D9B"/>
    <w:rsid w:val="00FE32B6"/>
    <w:rsid w:val="00FE792D"/>
    <w:rsid w:val="00FE7A0D"/>
    <w:rsid w:val="00FF42BD"/>
    <w:rsid w:val="00FF6211"/>
    <w:rsid w:val="00FF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1D0454"/>
  </w:style>
  <w:style w:type="paragraph" w:styleId="TOC2">
    <w:name w:val="toc 2"/>
    <w:basedOn w:val="Normal"/>
    <w:next w:val="Normal"/>
    <w:autoRedefine/>
    <w:uiPriority w:val="39"/>
    <w:rsid w:val="001D0454"/>
    <w:pPr>
      <w:ind w:left="240"/>
    </w:pPr>
  </w:style>
  <w:style w:type="paragraph" w:styleId="TOC3">
    <w:name w:val="toc 3"/>
    <w:basedOn w:val="Normal"/>
    <w:next w:val="Normal"/>
    <w:autoRedefine/>
    <w:semiHidden/>
    <w:rsid w:val="001D0454"/>
    <w:pPr>
      <w:ind w:left="480"/>
    </w:pPr>
  </w:style>
  <w:style w:type="character" w:styleId="Hyperlink">
    <w:name w:val="Hyperlink"/>
    <w:uiPriority w:val="99"/>
    <w:rsid w:val="001D0454"/>
    <w:rPr>
      <w:color w:val="0000FF"/>
      <w:u w:val="single"/>
    </w:rPr>
  </w:style>
  <w:style w:type="paragraph" w:styleId="Footer">
    <w:name w:val="footer"/>
    <w:basedOn w:val="Normal"/>
    <w:link w:val="FooterChar"/>
    <w:uiPriority w:val="99"/>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621299"/>
    <w:rPr>
      <w:sz w:val="16"/>
      <w:szCs w:val="16"/>
    </w:rPr>
  </w:style>
  <w:style w:type="paragraph" w:styleId="CommentText">
    <w:name w:val="annotation text"/>
    <w:basedOn w:val="Normal"/>
    <w:link w:val="CommentTextChar"/>
    <w:uiPriority w:val="99"/>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character" w:customStyle="1" w:styleId="CommentTextChar">
    <w:name w:val="Comment Text Char"/>
    <w:basedOn w:val="DefaultParagraphFont"/>
    <w:link w:val="CommentText"/>
    <w:uiPriority w:val="99"/>
    <w:semiHidden/>
    <w:locked/>
    <w:rsid w:val="00E076A3"/>
  </w:style>
  <w:style w:type="table" w:customStyle="1" w:styleId="TableList31">
    <w:name w:val="Table List 31"/>
    <w:basedOn w:val="TableNormal"/>
    <w:next w:val="TableList3"/>
    <w:uiPriority w:val="99"/>
    <w:rsid w:val="00DA79B5"/>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paragraph" w:customStyle="1" w:styleId="ColorfulList-Accent11">
    <w:name w:val="Colorful List - Accent 11"/>
    <w:basedOn w:val="Normal"/>
    <w:uiPriority w:val="34"/>
    <w:qFormat/>
    <w:rsid w:val="00FD78F7"/>
    <w:pPr>
      <w:spacing w:after="200" w:line="276" w:lineRule="auto"/>
      <w:ind w:left="720"/>
      <w:contextualSpacing/>
    </w:pPr>
    <w:rPr>
      <w:rFonts w:ascii="Calibri" w:eastAsia="Calibri" w:hAnsi="Calibri"/>
      <w:sz w:val="22"/>
      <w:szCs w:val="22"/>
    </w:rPr>
  </w:style>
  <w:style w:type="paragraph" w:customStyle="1" w:styleId="MediumGrid1-Accent21">
    <w:name w:val="Medium Grid 1 - Accent 21"/>
    <w:basedOn w:val="Normal"/>
    <w:uiPriority w:val="34"/>
    <w:qFormat/>
    <w:rsid w:val="000448AE"/>
    <w:pPr>
      <w:ind w:left="720"/>
      <w:contextualSpacing/>
    </w:pPr>
    <w:rPr>
      <w:rFonts w:ascii="Calibri" w:eastAsia="Calibri" w:hAnsi="Calibri"/>
    </w:rPr>
  </w:style>
  <w:style w:type="paragraph" w:customStyle="1" w:styleId="GridTable31">
    <w:name w:val="Grid Table 31"/>
    <w:basedOn w:val="Heading1"/>
    <w:next w:val="Normal"/>
    <w:uiPriority w:val="39"/>
    <w:unhideWhenUsed/>
    <w:qFormat/>
    <w:rsid w:val="00B7120A"/>
    <w:pPr>
      <w:keepLines/>
      <w:spacing w:after="0" w:line="259" w:lineRule="auto"/>
      <w:outlineLvl w:val="9"/>
    </w:pPr>
    <w:rPr>
      <w:rFonts w:ascii="Calibri Light" w:hAnsi="Calibri Light" w:cs="Times New Roman"/>
      <w:b w:val="0"/>
      <w:bCs w:val="0"/>
      <w:color w:val="2E74B5"/>
      <w:kern w:val="0"/>
    </w:rPr>
  </w:style>
  <w:style w:type="paragraph" w:customStyle="1" w:styleId="ColorfulList-Accent12">
    <w:name w:val="Colorful List - Accent 12"/>
    <w:basedOn w:val="Normal"/>
    <w:uiPriority w:val="34"/>
    <w:qFormat/>
    <w:rsid w:val="001B5136"/>
    <w:pPr>
      <w:spacing w:after="160" w:line="259" w:lineRule="auto"/>
      <w:ind w:left="720"/>
      <w:contextualSpacing/>
    </w:pPr>
    <w:rPr>
      <w:rFonts w:ascii="Calibri" w:eastAsia="Calibri" w:hAnsi="Calibri"/>
      <w:sz w:val="22"/>
      <w:szCs w:val="22"/>
    </w:rPr>
  </w:style>
  <w:style w:type="character" w:customStyle="1" w:styleId="FooterChar">
    <w:name w:val="Footer Char"/>
    <w:link w:val="Footer"/>
    <w:uiPriority w:val="99"/>
    <w:rsid w:val="002A36BB"/>
    <w:rPr>
      <w:sz w:val="24"/>
      <w:szCs w:val="24"/>
    </w:rPr>
  </w:style>
  <w:style w:type="paragraph" w:styleId="Revision">
    <w:name w:val="Revision"/>
    <w:hidden/>
    <w:uiPriority w:val="99"/>
    <w:semiHidden/>
    <w:rsid w:val="00BC5061"/>
    <w:rPr>
      <w:sz w:val="24"/>
      <w:szCs w:val="24"/>
    </w:rPr>
  </w:style>
  <w:style w:type="paragraph" w:styleId="Caption">
    <w:name w:val="caption"/>
    <w:basedOn w:val="Normal"/>
    <w:next w:val="Normal"/>
    <w:unhideWhenUsed/>
    <w:qFormat/>
    <w:rsid w:val="00673A5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1D0454"/>
  </w:style>
  <w:style w:type="paragraph" w:styleId="TOC2">
    <w:name w:val="toc 2"/>
    <w:basedOn w:val="Normal"/>
    <w:next w:val="Normal"/>
    <w:autoRedefine/>
    <w:uiPriority w:val="39"/>
    <w:rsid w:val="001D0454"/>
    <w:pPr>
      <w:ind w:left="240"/>
    </w:pPr>
  </w:style>
  <w:style w:type="paragraph" w:styleId="TOC3">
    <w:name w:val="toc 3"/>
    <w:basedOn w:val="Normal"/>
    <w:next w:val="Normal"/>
    <w:autoRedefine/>
    <w:semiHidden/>
    <w:rsid w:val="001D0454"/>
    <w:pPr>
      <w:ind w:left="480"/>
    </w:pPr>
  </w:style>
  <w:style w:type="character" w:styleId="Hyperlink">
    <w:name w:val="Hyperlink"/>
    <w:uiPriority w:val="99"/>
    <w:rsid w:val="001D0454"/>
    <w:rPr>
      <w:color w:val="0000FF"/>
      <w:u w:val="single"/>
    </w:rPr>
  </w:style>
  <w:style w:type="paragraph" w:styleId="Footer">
    <w:name w:val="footer"/>
    <w:basedOn w:val="Normal"/>
    <w:link w:val="FooterChar"/>
    <w:uiPriority w:val="99"/>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621299"/>
    <w:rPr>
      <w:sz w:val="16"/>
      <w:szCs w:val="16"/>
    </w:rPr>
  </w:style>
  <w:style w:type="paragraph" w:styleId="CommentText">
    <w:name w:val="annotation text"/>
    <w:basedOn w:val="Normal"/>
    <w:link w:val="CommentTextChar"/>
    <w:uiPriority w:val="99"/>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character" w:customStyle="1" w:styleId="CommentTextChar">
    <w:name w:val="Comment Text Char"/>
    <w:basedOn w:val="DefaultParagraphFont"/>
    <w:link w:val="CommentText"/>
    <w:uiPriority w:val="99"/>
    <w:semiHidden/>
    <w:locked/>
    <w:rsid w:val="00E076A3"/>
  </w:style>
  <w:style w:type="table" w:customStyle="1" w:styleId="TableList31">
    <w:name w:val="Table List 31"/>
    <w:basedOn w:val="TableNormal"/>
    <w:next w:val="TableList3"/>
    <w:uiPriority w:val="99"/>
    <w:rsid w:val="00DA79B5"/>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paragraph" w:customStyle="1" w:styleId="ColorfulList-Accent11">
    <w:name w:val="Colorful List - Accent 11"/>
    <w:basedOn w:val="Normal"/>
    <w:uiPriority w:val="34"/>
    <w:qFormat/>
    <w:rsid w:val="00FD78F7"/>
    <w:pPr>
      <w:spacing w:after="200" w:line="276" w:lineRule="auto"/>
      <w:ind w:left="720"/>
      <w:contextualSpacing/>
    </w:pPr>
    <w:rPr>
      <w:rFonts w:ascii="Calibri" w:eastAsia="Calibri" w:hAnsi="Calibri"/>
      <w:sz w:val="22"/>
      <w:szCs w:val="22"/>
    </w:rPr>
  </w:style>
  <w:style w:type="paragraph" w:customStyle="1" w:styleId="MediumGrid1-Accent21">
    <w:name w:val="Medium Grid 1 - Accent 21"/>
    <w:basedOn w:val="Normal"/>
    <w:uiPriority w:val="34"/>
    <w:qFormat/>
    <w:rsid w:val="000448AE"/>
    <w:pPr>
      <w:ind w:left="720"/>
      <w:contextualSpacing/>
    </w:pPr>
    <w:rPr>
      <w:rFonts w:ascii="Calibri" w:eastAsia="Calibri" w:hAnsi="Calibri"/>
    </w:rPr>
  </w:style>
  <w:style w:type="paragraph" w:customStyle="1" w:styleId="GridTable31">
    <w:name w:val="Grid Table 31"/>
    <w:basedOn w:val="Heading1"/>
    <w:next w:val="Normal"/>
    <w:uiPriority w:val="39"/>
    <w:unhideWhenUsed/>
    <w:qFormat/>
    <w:rsid w:val="00B7120A"/>
    <w:pPr>
      <w:keepLines/>
      <w:spacing w:after="0" w:line="259" w:lineRule="auto"/>
      <w:outlineLvl w:val="9"/>
    </w:pPr>
    <w:rPr>
      <w:rFonts w:ascii="Calibri Light" w:hAnsi="Calibri Light" w:cs="Times New Roman"/>
      <w:b w:val="0"/>
      <w:bCs w:val="0"/>
      <w:color w:val="2E74B5"/>
      <w:kern w:val="0"/>
    </w:rPr>
  </w:style>
  <w:style w:type="paragraph" w:customStyle="1" w:styleId="ColorfulList-Accent12">
    <w:name w:val="Colorful List - Accent 12"/>
    <w:basedOn w:val="Normal"/>
    <w:uiPriority w:val="34"/>
    <w:qFormat/>
    <w:rsid w:val="001B5136"/>
    <w:pPr>
      <w:spacing w:after="160" w:line="259" w:lineRule="auto"/>
      <w:ind w:left="720"/>
      <w:contextualSpacing/>
    </w:pPr>
    <w:rPr>
      <w:rFonts w:ascii="Calibri" w:eastAsia="Calibri" w:hAnsi="Calibri"/>
      <w:sz w:val="22"/>
      <w:szCs w:val="22"/>
    </w:rPr>
  </w:style>
  <w:style w:type="character" w:customStyle="1" w:styleId="FooterChar">
    <w:name w:val="Footer Char"/>
    <w:link w:val="Footer"/>
    <w:uiPriority w:val="99"/>
    <w:rsid w:val="002A36BB"/>
    <w:rPr>
      <w:sz w:val="24"/>
      <w:szCs w:val="24"/>
    </w:rPr>
  </w:style>
  <w:style w:type="paragraph" w:styleId="Revision">
    <w:name w:val="Revision"/>
    <w:hidden/>
    <w:uiPriority w:val="99"/>
    <w:semiHidden/>
    <w:rsid w:val="00BC5061"/>
    <w:rPr>
      <w:sz w:val="24"/>
      <w:szCs w:val="24"/>
    </w:rPr>
  </w:style>
  <w:style w:type="paragraph" w:styleId="Caption">
    <w:name w:val="caption"/>
    <w:basedOn w:val="Normal"/>
    <w:next w:val="Normal"/>
    <w:unhideWhenUsed/>
    <w:qFormat/>
    <w:rsid w:val="00673A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304508312">
      <w:bodyDiv w:val="1"/>
      <w:marLeft w:val="0"/>
      <w:marRight w:val="0"/>
      <w:marTop w:val="0"/>
      <w:marBottom w:val="0"/>
      <w:divBdr>
        <w:top w:val="none" w:sz="0" w:space="0" w:color="auto"/>
        <w:left w:val="none" w:sz="0" w:space="0" w:color="auto"/>
        <w:bottom w:val="none" w:sz="0" w:space="0" w:color="auto"/>
        <w:right w:val="none" w:sz="0" w:space="0" w:color="auto"/>
      </w:divBdr>
    </w:div>
    <w:div w:id="343015543">
      <w:bodyDiv w:val="1"/>
      <w:marLeft w:val="0"/>
      <w:marRight w:val="0"/>
      <w:marTop w:val="0"/>
      <w:marBottom w:val="0"/>
      <w:divBdr>
        <w:top w:val="none" w:sz="0" w:space="0" w:color="auto"/>
        <w:left w:val="none" w:sz="0" w:space="0" w:color="auto"/>
        <w:bottom w:val="none" w:sz="0" w:space="0" w:color="auto"/>
        <w:right w:val="none" w:sz="0" w:space="0" w:color="auto"/>
      </w:divBdr>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053771174">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opm.gov/policy-data-oversight/pay-leave/salaries-wages/salary-tables/pdf/2016/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E4D24-9929-4AA6-9747-1EE6B9ADE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21</Pages>
  <Words>6779</Words>
  <Characters>109511</Characters>
  <Application>Microsoft Office Word</Application>
  <DocSecurity>0</DocSecurity>
  <Lines>912</Lines>
  <Paragraphs>232</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MedStar Health</Company>
  <LinksUpToDate>false</LinksUpToDate>
  <CharactersWithSpaces>116058</CharactersWithSpaces>
  <SharedDoc>false</SharedDoc>
  <HLinks>
    <vt:vector size="126" baseType="variant">
      <vt:variant>
        <vt:i4>1507330</vt:i4>
      </vt:variant>
      <vt:variant>
        <vt:i4>161</vt:i4>
      </vt:variant>
      <vt:variant>
        <vt:i4>0</vt:i4>
      </vt:variant>
      <vt:variant>
        <vt:i4>5</vt:i4>
      </vt:variant>
      <vt:variant>
        <vt:lpwstr>http://www.opm.gov/policy-data-oversight/pay-leave/salaries-wages/salary-tables/pdf/2016/DCB.pdf</vt:lpwstr>
      </vt:variant>
      <vt:variant>
        <vt:lpwstr/>
      </vt:variant>
      <vt:variant>
        <vt:i4>1376315</vt:i4>
      </vt:variant>
      <vt:variant>
        <vt:i4>116</vt:i4>
      </vt:variant>
      <vt:variant>
        <vt:i4>0</vt:i4>
      </vt:variant>
      <vt:variant>
        <vt:i4>5</vt:i4>
      </vt:variant>
      <vt:variant>
        <vt:lpwstr/>
      </vt:variant>
      <vt:variant>
        <vt:lpwstr>_Toc469151341</vt:lpwstr>
      </vt:variant>
      <vt:variant>
        <vt:i4>1376315</vt:i4>
      </vt:variant>
      <vt:variant>
        <vt:i4>110</vt:i4>
      </vt:variant>
      <vt:variant>
        <vt:i4>0</vt:i4>
      </vt:variant>
      <vt:variant>
        <vt:i4>5</vt:i4>
      </vt:variant>
      <vt:variant>
        <vt:lpwstr/>
      </vt:variant>
      <vt:variant>
        <vt:lpwstr>_Toc469151340</vt:lpwstr>
      </vt:variant>
      <vt:variant>
        <vt:i4>1179707</vt:i4>
      </vt:variant>
      <vt:variant>
        <vt:i4>104</vt:i4>
      </vt:variant>
      <vt:variant>
        <vt:i4>0</vt:i4>
      </vt:variant>
      <vt:variant>
        <vt:i4>5</vt:i4>
      </vt:variant>
      <vt:variant>
        <vt:lpwstr/>
      </vt:variant>
      <vt:variant>
        <vt:lpwstr>_Toc469151339</vt:lpwstr>
      </vt:variant>
      <vt:variant>
        <vt:i4>1179707</vt:i4>
      </vt:variant>
      <vt:variant>
        <vt:i4>98</vt:i4>
      </vt:variant>
      <vt:variant>
        <vt:i4>0</vt:i4>
      </vt:variant>
      <vt:variant>
        <vt:i4>5</vt:i4>
      </vt:variant>
      <vt:variant>
        <vt:lpwstr/>
      </vt:variant>
      <vt:variant>
        <vt:lpwstr>_Toc469151338</vt:lpwstr>
      </vt:variant>
      <vt:variant>
        <vt:i4>1179707</vt:i4>
      </vt:variant>
      <vt:variant>
        <vt:i4>92</vt:i4>
      </vt:variant>
      <vt:variant>
        <vt:i4>0</vt:i4>
      </vt:variant>
      <vt:variant>
        <vt:i4>5</vt:i4>
      </vt:variant>
      <vt:variant>
        <vt:lpwstr/>
      </vt:variant>
      <vt:variant>
        <vt:lpwstr>_Toc469151337</vt:lpwstr>
      </vt:variant>
      <vt:variant>
        <vt:i4>1179707</vt:i4>
      </vt:variant>
      <vt:variant>
        <vt:i4>86</vt:i4>
      </vt:variant>
      <vt:variant>
        <vt:i4>0</vt:i4>
      </vt:variant>
      <vt:variant>
        <vt:i4>5</vt:i4>
      </vt:variant>
      <vt:variant>
        <vt:lpwstr/>
      </vt:variant>
      <vt:variant>
        <vt:lpwstr>_Toc469151336</vt:lpwstr>
      </vt:variant>
      <vt:variant>
        <vt:i4>1179707</vt:i4>
      </vt:variant>
      <vt:variant>
        <vt:i4>80</vt:i4>
      </vt:variant>
      <vt:variant>
        <vt:i4>0</vt:i4>
      </vt:variant>
      <vt:variant>
        <vt:i4>5</vt:i4>
      </vt:variant>
      <vt:variant>
        <vt:lpwstr/>
      </vt:variant>
      <vt:variant>
        <vt:lpwstr>_Toc469151335</vt:lpwstr>
      </vt:variant>
      <vt:variant>
        <vt:i4>1179707</vt:i4>
      </vt:variant>
      <vt:variant>
        <vt:i4>74</vt:i4>
      </vt:variant>
      <vt:variant>
        <vt:i4>0</vt:i4>
      </vt:variant>
      <vt:variant>
        <vt:i4>5</vt:i4>
      </vt:variant>
      <vt:variant>
        <vt:lpwstr/>
      </vt:variant>
      <vt:variant>
        <vt:lpwstr>_Toc469151334</vt:lpwstr>
      </vt:variant>
      <vt:variant>
        <vt:i4>1179707</vt:i4>
      </vt:variant>
      <vt:variant>
        <vt:i4>68</vt:i4>
      </vt:variant>
      <vt:variant>
        <vt:i4>0</vt:i4>
      </vt:variant>
      <vt:variant>
        <vt:i4>5</vt:i4>
      </vt:variant>
      <vt:variant>
        <vt:lpwstr/>
      </vt:variant>
      <vt:variant>
        <vt:lpwstr>_Toc469151333</vt:lpwstr>
      </vt:variant>
      <vt:variant>
        <vt:i4>1179707</vt:i4>
      </vt:variant>
      <vt:variant>
        <vt:i4>62</vt:i4>
      </vt:variant>
      <vt:variant>
        <vt:i4>0</vt:i4>
      </vt:variant>
      <vt:variant>
        <vt:i4>5</vt:i4>
      </vt:variant>
      <vt:variant>
        <vt:lpwstr/>
      </vt:variant>
      <vt:variant>
        <vt:lpwstr>_Toc469151332</vt:lpwstr>
      </vt:variant>
      <vt:variant>
        <vt:i4>1179707</vt:i4>
      </vt:variant>
      <vt:variant>
        <vt:i4>56</vt:i4>
      </vt:variant>
      <vt:variant>
        <vt:i4>0</vt:i4>
      </vt:variant>
      <vt:variant>
        <vt:i4>5</vt:i4>
      </vt:variant>
      <vt:variant>
        <vt:lpwstr/>
      </vt:variant>
      <vt:variant>
        <vt:lpwstr>_Toc469151331</vt:lpwstr>
      </vt:variant>
      <vt:variant>
        <vt:i4>1179707</vt:i4>
      </vt:variant>
      <vt:variant>
        <vt:i4>50</vt:i4>
      </vt:variant>
      <vt:variant>
        <vt:i4>0</vt:i4>
      </vt:variant>
      <vt:variant>
        <vt:i4>5</vt:i4>
      </vt:variant>
      <vt:variant>
        <vt:lpwstr/>
      </vt:variant>
      <vt:variant>
        <vt:lpwstr>_Toc469151330</vt:lpwstr>
      </vt:variant>
      <vt:variant>
        <vt:i4>1245243</vt:i4>
      </vt:variant>
      <vt:variant>
        <vt:i4>44</vt:i4>
      </vt:variant>
      <vt:variant>
        <vt:i4>0</vt:i4>
      </vt:variant>
      <vt:variant>
        <vt:i4>5</vt:i4>
      </vt:variant>
      <vt:variant>
        <vt:lpwstr/>
      </vt:variant>
      <vt:variant>
        <vt:lpwstr>_Toc469151329</vt:lpwstr>
      </vt:variant>
      <vt:variant>
        <vt:i4>1245243</vt:i4>
      </vt:variant>
      <vt:variant>
        <vt:i4>38</vt:i4>
      </vt:variant>
      <vt:variant>
        <vt:i4>0</vt:i4>
      </vt:variant>
      <vt:variant>
        <vt:i4>5</vt:i4>
      </vt:variant>
      <vt:variant>
        <vt:lpwstr/>
      </vt:variant>
      <vt:variant>
        <vt:lpwstr>_Toc469151328</vt:lpwstr>
      </vt:variant>
      <vt:variant>
        <vt:i4>1245243</vt:i4>
      </vt:variant>
      <vt:variant>
        <vt:i4>32</vt:i4>
      </vt:variant>
      <vt:variant>
        <vt:i4>0</vt:i4>
      </vt:variant>
      <vt:variant>
        <vt:i4>5</vt:i4>
      </vt:variant>
      <vt:variant>
        <vt:lpwstr/>
      </vt:variant>
      <vt:variant>
        <vt:lpwstr>_Toc469151327</vt:lpwstr>
      </vt:variant>
      <vt:variant>
        <vt:i4>1245243</vt:i4>
      </vt:variant>
      <vt:variant>
        <vt:i4>26</vt:i4>
      </vt:variant>
      <vt:variant>
        <vt:i4>0</vt:i4>
      </vt:variant>
      <vt:variant>
        <vt:i4>5</vt:i4>
      </vt:variant>
      <vt:variant>
        <vt:lpwstr/>
      </vt:variant>
      <vt:variant>
        <vt:lpwstr>_Toc469151326</vt:lpwstr>
      </vt:variant>
      <vt:variant>
        <vt:i4>1245243</vt:i4>
      </vt:variant>
      <vt:variant>
        <vt:i4>20</vt:i4>
      </vt:variant>
      <vt:variant>
        <vt:i4>0</vt:i4>
      </vt:variant>
      <vt:variant>
        <vt:i4>5</vt:i4>
      </vt:variant>
      <vt:variant>
        <vt:lpwstr/>
      </vt:variant>
      <vt:variant>
        <vt:lpwstr>_Toc469151325</vt:lpwstr>
      </vt:variant>
      <vt:variant>
        <vt:i4>1245243</vt:i4>
      </vt:variant>
      <vt:variant>
        <vt:i4>14</vt:i4>
      </vt:variant>
      <vt:variant>
        <vt:i4>0</vt:i4>
      </vt:variant>
      <vt:variant>
        <vt:i4>5</vt:i4>
      </vt:variant>
      <vt:variant>
        <vt:lpwstr/>
      </vt:variant>
      <vt:variant>
        <vt:lpwstr>_Toc469151324</vt:lpwstr>
      </vt:variant>
      <vt:variant>
        <vt:i4>1245243</vt:i4>
      </vt:variant>
      <vt:variant>
        <vt:i4>8</vt:i4>
      </vt:variant>
      <vt:variant>
        <vt:i4>0</vt:i4>
      </vt:variant>
      <vt:variant>
        <vt:i4>5</vt:i4>
      </vt:variant>
      <vt:variant>
        <vt:lpwstr/>
      </vt:variant>
      <vt:variant>
        <vt:lpwstr>_Toc469151323</vt:lpwstr>
      </vt:variant>
      <vt:variant>
        <vt:i4>1245243</vt:i4>
      </vt:variant>
      <vt:variant>
        <vt:i4>2</vt:i4>
      </vt:variant>
      <vt:variant>
        <vt:i4>0</vt:i4>
      </vt:variant>
      <vt:variant>
        <vt:i4>5</vt:i4>
      </vt:variant>
      <vt:variant>
        <vt:lpwstr/>
      </vt:variant>
      <vt:variant>
        <vt:lpwstr>_Toc469151322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creator>hamlin-ben</dc:creator>
  <cp:lastModifiedBy>Windows User</cp:lastModifiedBy>
  <cp:revision>6</cp:revision>
  <cp:lastPrinted>2011-07-06T19:06:00Z</cp:lastPrinted>
  <dcterms:created xsi:type="dcterms:W3CDTF">2017-02-06T18:53:00Z</dcterms:created>
  <dcterms:modified xsi:type="dcterms:W3CDTF">2017-02-06T19:03:00Z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http://www.zotero.org/styles/american-medical-association</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16th edition (author-date)</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(author-date)</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7th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e0de152f-b908-3f51-bb29-a9539230c94b</vt:lpwstr>
  </property>
</Properties>
</file>