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1B698" w14:textId="68071BD4" w:rsidR="00E67D7E" w:rsidRPr="00BE7606" w:rsidRDefault="00E67D7E" w:rsidP="00E67D7E">
      <w:pPr>
        <w:pStyle w:val="Heading2"/>
        <w:rPr>
          <w:sz w:val="16"/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Study Syllabus </w:t>
      </w:r>
      <w:r w:rsidRPr="00A2462C">
        <w:rPr>
          <w:shd w:val="clear" w:color="auto" w:fill="FFFFFF"/>
        </w:rPr>
        <w:t>Q</w:t>
      </w:r>
      <w:r>
        <w:rPr>
          <w:shd w:val="clear" w:color="auto" w:fill="FFFFFF"/>
        </w:rPr>
        <w:t>uiz</w:t>
      </w:r>
      <w:r w:rsidR="007E4E3A">
        <w:rPr>
          <w:shd w:val="clear" w:color="auto" w:fill="FFFFFF"/>
        </w:rPr>
        <w:t>—Example multiple choice questions</w:t>
      </w:r>
    </w:p>
    <w:p w14:paraId="2036A6DC" w14:textId="77777777" w:rsidR="00E67D7E" w:rsidRPr="00A2462C" w:rsidRDefault="00E67D7E" w:rsidP="00E67D7E">
      <w:pPr>
        <w:keepLines/>
        <w:rPr>
          <w:rFonts w:cs="Arial"/>
          <w:sz w:val="16"/>
          <w:shd w:val="clear" w:color="auto" w:fill="FFFFFF"/>
        </w:rPr>
      </w:pPr>
    </w:p>
    <w:p w14:paraId="6BABFDE4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403807F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1. Which of the following judgments is required BEFORE a reader completes Sections 2A and 3A of the NIOSH form?</w:t>
      </w:r>
    </w:p>
    <w:p w14:paraId="40967D8D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85B567F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Any pleural or parenchymal findings are consistent with pneumoconiosis</w:t>
      </w:r>
    </w:p>
    <w:p w14:paraId="131242E5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E9D0F3A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The radiographic findings are not consistent with pneumoconiosis</w:t>
      </w:r>
    </w:p>
    <w:p w14:paraId="2A5DFB37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27B29F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Radiographic changes are most likely due to pneumoconiosis</w:t>
      </w:r>
    </w:p>
    <w:p w14:paraId="7A0609C0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4B0F1E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It is necessary to establish whether or not a worker is entitled to compensation</w:t>
      </w:r>
    </w:p>
    <w:p w14:paraId="233DEF96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1A1D02D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 xml:space="preserve">2. Regarding the technical quality of a radiograph to be classified using the ILO system (Section 1, Film Quality): </w:t>
      </w:r>
    </w:p>
    <w:p w14:paraId="6602D88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639BED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Assessing the technical quality of a radiograph is optional, but recommended</w:t>
      </w:r>
    </w:p>
    <w:p w14:paraId="405BD58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E1AE965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Assessing the technical quality of a radiograph is required, but it is not necessary to specify the defect on the interpretation form</w:t>
      </w:r>
    </w:p>
    <w:p w14:paraId="0978834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F506453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if a technical defect is noted, it should be specified on the reading form</w:t>
      </w:r>
    </w:p>
    <w:p w14:paraId="7A25ACD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264116B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Images of quality grade 2 have defects that are likely to affect the classification process</w:t>
      </w:r>
    </w:p>
    <w:p w14:paraId="23FCE59A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8011379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1C54CA39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 xml:space="preserve">3. Regarding the naming conventions of the ILO system for small opacities due to dust: </w:t>
      </w:r>
    </w:p>
    <w:p w14:paraId="7BDEA83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7E78EE9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Rounded small opacities are labeled s, t, or u</w:t>
      </w:r>
    </w:p>
    <w:p w14:paraId="79624726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4A507A16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Irregular small irregular opacities are labeled p, q, or r</w:t>
      </w:r>
    </w:p>
    <w:p w14:paraId="0C686C7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D150BB6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The widths of “t” opacities and diameters of “q” opacities range from 1.5 to 3 mm</w:t>
      </w:r>
    </w:p>
    <w:p w14:paraId="4B6F04BB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D155BF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The size of irregular small opacities is determined by their length</w:t>
      </w:r>
    </w:p>
    <w:p w14:paraId="3774F68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D21977F" w14:textId="77777777" w:rsidR="00E67D7E" w:rsidRDefault="00E67D7E" w:rsidP="00E67D7E">
      <w:pPr>
        <w:keepLines/>
        <w:spacing w:before="0" w:line="240" w:lineRule="atLeast"/>
        <w:rPr>
          <w:rFonts w:cs="Arial"/>
          <w:sz w:val="30"/>
          <w:shd w:val="clear" w:color="auto" w:fill="FFFFFF"/>
        </w:rPr>
      </w:pPr>
    </w:p>
    <w:p w14:paraId="2CBD9471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4. How are lung zones defined for reporting the profusion of small opacities?</w:t>
      </w:r>
    </w:p>
    <w:p w14:paraId="7FF47A74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10AB85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Each lung is divided into six zones</w:t>
      </w:r>
    </w:p>
    <w:p w14:paraId="734DBEC9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89D0A2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Each lung is divided into upper, middle, and lower zones</w:t>
      </w:r>
    </w:p>
    <w:p w14:paraId="0B9C1C3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EF348D6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Lung zones are labeled A, B, and C from top to bottom</w:t>
      </w:r>
    </w:p>
    <w:p w14:paraId="563E384C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C028D82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Lung zones are labeled 1, 2, and 3 from top to bottom</w:t>
      </w:r>
    </w:p>
    <w:p w14:paraId="78FB7C2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2D6F2C1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6B2BC96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 xml:space="preserve">5. When categorizing small-opacity profusions, which of the following is the correct way to determine the overall ILO profusion category? </w:t>
      </w:r>
    </w:p>
    <w:p w14:paraId="09DB495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C997A6E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As the profusion category increases from 0 to 3, the number of opacities per unit area decreases</w:t>
      </w:r>
    </w:p>
    <w:p w14:paraId="66FA900C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574FE24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The lung vessels are seen progressively more clearly as the profusion category increases</w:t>
      </w:r>
    </w:p>
    <w:p w14:paraId="6446867D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0A25A55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If a reader indicates that the profusion category is 1/0, the reader seriously considered the category 0/0 ILO Standard but judged the radiograph to more closely resemble the category 1/1 ILO Standard</w:t>
      </w:r>
    </w:p>
    <w:p w14:paraId="6F701816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A590073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The overall profusion category that is marked on the reading sheet should be mentally calculated as the average of all zones, including zones that are not affected by pneumoconiosis</w:t>
      </w:r>
    </w:p>
    <w:p w14:paraId="037315EC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11C9F8D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7221D37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6. Regarding the classification of large pneumoconiotic opacities:</w:t>
      </w:r>
    </w:p>
    <w:p w14:paraId="16BB589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C41C41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Classification A denotes an opacity whose greatest diameter exceeds 20 mm but is less than 60 mm</w:t>
      </w:r>
    </w:p>
    <w:p w14:paraId="720D55AA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49C3F64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Coalescence of small opacities is classified the same as type A large opacity, provided the small opacities are homogeneous in appearance</w:t>
      </w:r>
    </w:p>
    <w:p w14:paraId="793890B4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A143E22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A large opacity can be labeled C only if it occurs in the right upper zone</w:t>
      </w:r>
    </w:p>
    <w:p w14:paraId="45A051D4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27003B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Large opacities usually occur in the presence of a background of small opacities</w:t>
      </w:r>
    </w:p>
    <w:p w14:paraId="0E4A5055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3F874BD" w14:textId="77777777" w:rsidR="00E67D7E" w:rsidRDefault="00E67D7E" w:rsidP="00E67D7E">
      <w:pPr>
        <w:keepLines/>
        <w:spacing w:before="0" w:line="240" w:lineRule="atLeast"/>
        <w:rPr>
          <w:rFonts w:cs="Arial"/>
          <w:sz w:val="30"/>
          <w:shd w:val="clear" w:color="auto" w:fill="FFFFFF"/>
        </w:rPr>
      </w:pPr>
    </w:p>
    <w:p w14:paraId="7DA368C6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7. In which of the following locations are localized plaques reported to LEAST occur from asbestos exposure?</w:t>
      </w:r>
    </w:p>
    <w:p w14:paraId="00F76646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E1B461A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Both hemidiaphragms</w:t>
      </w:r>
    </w:p>
    <w:p w14:paraId="675D0F89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829FA0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The lateral chest wall</w:t>
      </w:r>
    </w:p>
    <w:p w14:paraId="7D6A05C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76CB3A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Along the mediastinum</w:t>
      </w:r>
    </w:p>
    <w:p w14:paraId="5035F4F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4102E6D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In the trachea and main bronchi</w:t>
      </w:r>
    </w:p>
    <w:p w14:paraId="275EBAC5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82FEA49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613BE0B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 xml:space="preserve">8. Concerning the classification of pleural plaques and diffuse pleural thickening: </w:t>
      </w:r>
    </w:p>
    <w:p w14:paraId="512993FE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431F4F3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 xml:space="preserve">A) A pleural thickening of width category </w:t>
      </w:r>
      <w:r>
        <w:rPr>
          <w:rFonts w:cs="Arial"/>
          <w:shd w:val="clear" w:color="auto" w:fill="FFFFFF"/>
        </w:rPr>
        <w:t>A</w:t>
      </w:r>
      <w:r w:rsidRPr="00A2462C">
        <w:rPr>
          <w:rFonts w:cs="Arial"/>
          <w:shd w:val="clear" w:color="auto" w:fill="FFFFFF"/>
        </w:rPr>
        <w:t xml:space="preserve"> ranges from 0 to 5 mm in width</w:t>
      </w:r>
    </w:p>
    <w:p w14:paraId="232FBA71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9104E6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A face-on plaque is seen sharply along either the right or left lateral chest wall</w:t>
      </w:r>
    </w:p>
    <w:p w14:paraId="019BA41A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4AF32A39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The width refers to the vertical length, or the sum of the lengths of the plaques present</w:t>
      </w:r>
    </w:p>
    <w:p w14:paraId="6DA7B010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51A3592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In any location where pleural calcification is noted, a plaque should also be recorded</w:t>
      </w:r>
    </w:p>
    <w:p w14:paraId="69860145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4EBAF19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70A935A9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9. Concerning the correct classification of costophrenic angle obliteration:</w:t>
      </w:r>
    </w:p>
    <w:p w14:paraId="267C7D99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0EB0AF6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It should be recorded when the angle is less obliterated than in the t/t - 1/1 Standard Radiograph</w:t>
      </w:r>
    </w:p>
    <w:p w14:paraId="2410319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C4A7C57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Diffuse pleural thickening should be recorded as present in a hemithorax in the absence of associated obliteration of the costophrenic angle</w:t>
      </w:r>
    </w:p>
    <w:p w14:paraId="7090E85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22DA66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Costophrenic angle obliteration can be recorded either with or without associated diffuse pleural thickening of the chest wall</w:t>
      </w:r>
    </w:p>
    <w:p w14:paraId="2C546BD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DBA157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Even marked costophrenic angle obliteration should be recorded provided it is clearly related to chest wall trauma</w:t>
      </w:r>
    </w:p>
    <w:p w14:paraId="26D53D9C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DA94DEE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431F8F82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10. Which of the following is the correct use of obligatory symbols in classifying other abnormalities?</w:t>
      </w:r>
    </w:p>
    <w:p w14:paraId="2CD1453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3594AC2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Mesothelioma should be coded “mo”</w:t>
      </w:r>
    </w:p>
    <w:p w14:paraId="4395F760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B40044D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Calcified primary tuberculosis with a hilar calcification is properly coded “tb”</w:t>
      </w:r>
    </w:p>
    <w:p w14:paraId="11F1E36E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7AEA45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A thickened minor fissure is coded “pi”</w:t>
      </w:r>
    </w:p>
    <w:p w14:paraId="51E36BFB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CB255E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Significant atelectasis is coded “at”</w:t>
      </w:r>
    </w:p>
    <w:p w14:paraId="0095361D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749B1CD" w14:textId="77777777" w:rsidR="00E67D7E" w:rsidRDefault="00E67D7E" w:rsidP="00E67D7E">
      <w:pPr>
        <w:keepLines/>
        <w:spacing w:before="0" w:line="240" w:lineRule="atLeast"/>
        <w:jc w:val="center"/>
        <w:rPr>
          <w:rFonts w:cs="Arial"/>
          <w:sz w:val="30"/>
          <w:shd w:val="clear" w:color="auto" w:fill="FFFFFF"/>
        </w:rPr>
      </w:pPr>
    </w:p>
    <w:p w14:paraId="6136F950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11. Which of the following judgments are required before a reader marks any of the 28 obligatory symbols in Section 4B of the ILO form?</w:t>
      </w:r>
    </w:p>
    <w:p w14:paraId="15075066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4A426D4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The radiographic findings are suggestive of the condition</w:t>
      </w:r>
    </w:p>
    <w:p w14:paraId="387281AF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BE5FB48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The radiographic findings are most likely due to the condition</w:t>
      </w:r>
    </w:p>
    <w:p w14:paraId="60E5B16D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6D48C3F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The radiographic findings are diagnostic of the condition</w:t>
      </w:r>
    </w:p>
    <w:p w14:paraId="03152B13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E2237BD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The radiographic findings should be confirmed on CT</w:t>
      </w:r>
    </w:p>
    <w:p w14:paraId="61C14492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4E708FFF" w14:textId="77777777" w:rsidR="00E67D7E" w:rsidRPr="00E67D7E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 xml:space="preserve">12. Which of the following should be recorded in Section 4 </w:t>
      </w:r>
      <w:r>
        <w:rPr>
          <w:rFonts w:cs="Arial"/>
          <w:sz w:val="36"/>
          <w:shd w:val="clear" w:color="auto" w:fill="FFFFFF"/>
        </w:rPr>
        <w:t xml:space="preserve">of the </w:t>
      </w:r>
      <w:r w:rsidRPr="00A2462C">
        <w:rPr>
          <w:rFonts w:cs="Arial"/>
          <w:sz w:val="36"/>
          <w:shd w:val="clear" w:color="auto" w:fill="FFFFFF"/>
        </w:rPr>
        <w:t xml:space="preserve"> NIOSH Classification form?</w:t>
      </w:r>
    </w:p>
    <w:p w14:paraId="4F51063F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2698C34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The name and address of the subject</w:t>
      </w:r>
    </w:p>
    <w:p w14:paraId="5634A79E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3D0F34A3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B) Additional descriptions of abnormalities or diseases noted on the face of the form</w:t>
      </w:r>
    </w:p>
    <w:p w14:paraId="0B631BB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42A4444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ILO St</w:t>
      </w:r>
      <w:r>
        <w:rPr>
          <w:rFonts w:cs="Arial"/>
          <w:shd w:val="clear" w:color="auto" w:fill="FFFFFF"/>
        </w:rPr>
        <w:t xml:space="preserve">andard radiographs that were reviewed </w:t>
      </w:r>
      <w:r w:rsidRPr="00A2462C">
        <w:rPr>
          <w:rFonts w:cs="Arial"/>
          <w:shd w:val="clear" w:color="auto" w:fill="FFFFFF"/>
        </w:rPr>
        <w:t>in completing the form</w:t>
      </w:r>
    </w:p>
    <w:p w14:paraId="1489E548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092DC94F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A description of the suspected cause of the pneumoconiotic opacities</w:t>
      </w:r>
    </w:p>
    <w:p w14:paraId="3C90A07C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13698526" w14:textId="77777777" w:rsidR="00E67D7E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</w:p>
    <w:p w14:paraId="5225BCF3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z w:val="36"/>
          <w:shd w:val="clear" w:color="auto" w:fill="FFFFFF"/>
        </w:rPr>
      </w:pPr>
      <w:r w:rsidRPr="00A2462C">
        <w:rPr>
          <w:rFonts w:cs="Arial"/>
          <w:sz w:val="36"/>
          <w:shd w:val="clear" w:color="auto" w:fill="FFFFFF"/>
        </w:rPr>
        <w:t>13. If a reader notes significant non-pneumoconiotic abnormalities other than the obligatory symbols, what procedure should be followed?</w:t>
      </w:r>
    </w:p>
    <w:p w14:paraId="0CCE8E52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6B36A3AC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A) Do not mark a box; just describe findings on the back of the form</w:t>
      </w:r>
    </w:p>
    <w:p w14:paraId="2A31ED0E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585FF765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 xml:space="preserve">B) Mark OD and add written comments about the abnormalities on the </w:t>
      </w:r>
      <w:r w:rsidRPr="00ED3C45">
        <w:rPr>
          <w:rFonts w:cs="Arial"/>
          <w:shd w:val="clear" w:color="auto" w:fill="FFFFFF"/>
        </w:rPr>
        <w:t>face</w:t>
      </w:r>
      <w:r w:rsidRPr="00A2462C">
        <w:rPr>
          <w:rFonts w:cs="Arial"/>
          <w:shd w:val="clear" w:color="auto" w:fill="FFFFFF"/>
        </w:rPr>
        <w:t xml:space="preserve"> of the form</w:t>
      </w:r>
    </w:p>
    <w:p w14:paraId="74A2B834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1818CEB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C) Mark PX and describe findings on the back of the form</w:t>
      </w:r>
    </w:p>
    <w:p w14:paraId="0207C7C0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7F86C2F3" w14:textId="77777777" w:rsidR="00E67D7E" w:rsidRPr="00A2462C" w:rsidRDefault="00E67D7E" w:rsidP="00E67D7E">
      <w:pPr>
        <w:keepLines/>
        <w:spacing w:before="0" w:line="240" w:lineRule="atLeast"/>
        <w:rPr>
          <w:rFonts w:cs="Arial"/>
          <w:shd w:val="clear" w:color="auto" w:fill="FFFFFF"/>
        </w:rPr>
      </w:pPr>
      <w:r w:rsidRPr="00A2462C">
        <w:rPr>
          <w:rFonts w:cs="Arial"/>
          <w:shd w:val="clear" w:color="auto" w:fill="FFFFFF"/>
        </w:rPr>
        <w:t>D) Mark OD and describe findings on the back of the form</w:t>
      </w:r>
    </w:p>
    <w:p w14:paraId="6FF1D8F1" w14:textId="77777777" w:rsidR="00E67D7E" w:rsidRPr="00A2462C" w:rsidRDefault="00E67D7E" w:rsidP="00E67D7E">
      <w:pPr>
        <w:keepLines/>
        <w:spacing w:before="0"/>
        <w:rPr>
          <w:rFonts w:cs="Arial"/>
          <w:sz w:val="16"/>
          <w:shd w:val="clear" w:color="auto" w:fill="FFFFFF"/>
        </w:rPr>
      </w:pPr>
    </w:p>
    <w:p w14:paraId="2C1C7F47" w14:textId="77777777" w:rsidR="00E67D7E" w:rsidRDefault="00E67D7E" w:rsidP="00E67D7E">
      <w:pPr>
        <w:keepLines/>
        <w:spacing w:before="0" w:line="240" w:lineRule="atLeast"/>
        <w:jc w:val="center"/>
        <w:rPr>
          <w:rFonts w:cs="Arial"/>
          <w:sz w:val="30"/>
          <w:shd w:val="clear" w:color="auto" w:fill="FFFFFF"/>
        </w:rPr>
      </w:pPr>
    </w:p>
    <w:p w14:paraId="5C4B85A8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7E"/>
    <w:rsid w:val="005910C3"/>
    <w:rsid w:val="007E4E3A"/>
    <w:rsid w:val="009D6F7B"/>
    <w:rsid w:val="00C323AE"/>
    <w:rsid w:val="00D26908"/>
    <w:rsid w:val="00E67D7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1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7E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D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7D7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7E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D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7D7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7" ma:contentTypeDescription="Create a new document." ma:contentTypeScope="" ma:versionID="5c86817ab70f3abd55374379a6b18e74">
  <xsd:schema xmlns:xsd="http://www.w3.org/2001/XMLSchema" xmlns:xs="http://www.w3.org/2001/XMLSchema" xmlns:p="http://schemas.microsoft.com/office/2006/metadata/properties" xmlns:ns3="b306ee79-2f51-4bda-a734-8653703d17c0" xmlns:ns4="3d326652-0b14-4e9a-87c1-dce06bb2442c" targetNamespace="http://schemas.microsoft.com/office/2006/metadata/properties" ma:root="true" ma:fieldsID="bdf52b06a31e7ea473481948f0f0a627" ns3:_="" ns4:_=""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900E4-1F6A-4296-81E5-89CC98B55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90DF6-28F5-4D25-BD6A-F3502C9D87C3}">
  <ds:schemaRefs>
    <ds:schemaRef ds:uri="3d326652-0b14-4e9a-87c1-dce06bb2442c"/>
    <ds:schemaRef ds:uri="http://purl.org/dc/terms/"/>
    <ds:schemaRef ds:uri="http://schemas.openxmlformats.org/package/2006/metadata/core-properties"/>
    <ds:schemaRef ds:uri="b306ee79-2f51-4bda-a734-8653703d17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76FDFC-1028-4AC9-9DC3-E69D1DE1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Halldin, Cara N. (CDC/NIOSH/RHD/SB)</dc:creator>
  <cp:keywords/>
  <dc:description/>
  <cp:lastModifiedBy>SYSTEM</cp:lastModifiedBy>
  <cp:revision>2</cp:revision>
  <dcterms:created xsi:type="dcterms:W3CDTF">2019-09-25T11:08:00Z</dcterms:created>
  <dcterms:modified xsi:type="dcterms:W3CDTF">2019-09-25T11:08:00Z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</Properties>
</file>