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203" w:rsidRDefault="00856203">
      <w:bookmarkStart w:id="0" w:name="_GoBack"/>
      <w:bookmarkEnd w:id="0"/>
    </w:p>
    <w:p w:rsidR="00856203" w:rsidRDefault="00856203" w:rsidP="00856203">
      <w:pPr>
        <w:jc w:val="center"/>
        <w:rPr>
          <w:rFonts w:cstheme="minorHAnsi"/>
          <w:szCs w:val="24"/>
        </w:rPr>
      </w:pPr>
    </w:p>
    <w:p w:rsidR="00856203" w:rsidRDefault="00856203" w:rsidP="00856203">
      <w:pPr>
        <w:jc w:val="center"/>
        <w:rPr>
          <w:rFonts w:cstheme="minorHAnsi"/>
          <w:szCs w:val="24"/>
        </w:rPr>
      </w:pPr>
    </w:p>
    <w:p w:rsidR="00856203" w:rsidRDefault="00856203" w:rsidP="00856203">
      <w:pPr>
        <w:jc w:val="center"/>
        <w:rPr>
          <w:rFonts w:cstheme="minorHAnsi"/>
          <w:szCs w:val="24"/>
        </w:rPr>
      </w:pPr>
    </w:p>
    <w:p w:rsidR="00856203" w:rsidRDefault="00856203" w:rsidP="00856203">
      <w:pPr>
        <w:jc w:val="center"/>
        <w:rPr>
          <w:rFonts w:cstheme="minorHAnsi"/>
          <w:szCs w:val="24"/>
        </w:rPr>
      </w:pPr>
    </w:p>
    <w:p w:rsidR="00856203" w:rsidRDefault="00856203" w:rsidP="00856203">
      <w:pPr>
        <w:jc w:val="center"/>
        <w:rPr>
          <w:rFonts w:cstheme="minorHAnsi"/>
          <w:szCs w:val="24"/>
        </w:rPr>
      </w:pPr>
    </w:p>
    <w:p w:rsidR="00856203" w:rsidRDefault="00856203" w:rsidP="00856203">
      <w:pPr>
        <w:jc w:val="center"/>
        <w:rPr>
          <w:rFonts w:cstheme="minorHAnsi"/>
          <w:szCs w:val="24"/>
        </w:rPr>
      </w:pPr>
    </w:p>
    <w:p w:rsidR="00856203" w:rsidRDefault="00856203" w:rsidP="00856203">
      <w:pPr>
        <w:jc w:val="center"/>
        <w:rPr>
          <w:rFonts w:cstheme="minorHAnsi"/>
          <w:szCs w:val="24"/>
        </w:rPr>
      </w:pPr>
    </w:p>
    <w:p w:rsidR="00856203" w:rsidRDefault="008C0F03" w:rsidP="00856203">
      <w:pPr>
        <w:jc w:val="center"/>
        <w:rPr>
          <w:rFonts w:cstheme="minorHAnsi"/>
          <w:szCs w:val="24"/>
        </w:rPr>
      </w:pPr>
      <w:r>
        <w:rPr>
          <w:rFonts w:cstheme="minorHAnsi"/>
          <w:szCs w:val="24"/>
        </w:rPr>
        <w:t>Formative Assessment of the Information Needs T</w:t>
      </w:r>
      <w:r w:rsidR="00856203" w:rsidRPr="00366355">
        <w:rPr>
          <w:rFonts w:cstheme="minorHAnsi"/>
          <w:szCs w:val="24"/>
        </w:rPr>
        <w:t xml:space="preserve">o </w:t>
      </w:r>
      <w:r>
        <w:rPr>
          <w:rFonts w:cstheme="minorHAnsi"/>
          <w:szCs w:val="24"/>
        </w:rPr>
        <w:t>P</w:t>
      </w:r>
      <w:r w:rsidR="00D510E0">
        <w:rPr>
          <w:rFonts w:cstheme="minorHAnsi"/>
          <w:szCs w:val="24"/>
        </w:rPr>
        <w:t xml:space="preserve">revent Work-related Musculoskeletal Disorders </w:t>
      </w:r>
      <w:r w:rsidR="00856203" w:rsidRPr="00366355">
        <w:rPr>
          <w:rFonts w:cstheme="minorHAnsi"/>
          <w:szCs w:val="24"/>
        </w:rPr>
        <w:t xml:space="preserve">and </w:t>
      </w:r>
      <w:r>
        <w:rPr>
          <w:rFonts w:cstheme="minorHAnsi"/>
          <w:szCs w:val="24"/>
        </w:rPr>
        <w:t>F</w:t>
      </w:r>
      <w:r w:rsidR="00856203" w:rsidRPr="00366355">
        <w:rPr>
          <w:rFonts w:cstheme="minorHAnsi"/>
          <w:szCs w:val="24"/>
        </w:rPr>
        <w:t xml:space="preserve">alls </w:t>
      </w:r>
      <w:r w:rsidR="00B4217E">
        <w:rPr>
          <w:rFonts w:cstheme="minorHAnsi"/>
          <w:szCs w:val="24"/>
        </w:rPr>
        <w:t>among</w:t>
      </w:r>
      <w:r w:rsidR="00856203" w:rsidRPr="00366355">
        <w:rPr>
          <w:rFonts w:cstheme="minorHAnsi"/>
          <w:szCs w:val="24"/>
        </w:rPr>
        <w:t xml:space="preserve"> </w:t>
      </w:r>
      <w:r>
        <w:rPr>
          <w:rFonts w:cstheme="minorHAnsi"/>
          <w:szCs w:val="24"/>
        </w:rPr>
        <w:t>A</w:t>
      </w:r>
      <w:r w:rsidR="00856203" w:rsidRPr="00366355">
        <w:rPr>
          <w:rFonts w:cstheme="minorHAnsi"/>
          <w:szCs w:val="24"/>
        </w:rPr>
        <w:t xml:space="preserve">ging </w:t>
      </w:r>
      <w:r>
        <w:rPr>
          <w:rFonts w:cstheme="minorHAnsi"/>
          <w:szCs w:val="24"/>
        </w:rPr>
        <w:t>R</w:t>
      </w:r>
      <w:r w:rsidR="00856203" w:rsidRPr="00366355">
        <w:rPr>
          <w:rFonts w:cstheme="minorHAnsi"/>
          <w:szCs w:val="24"/>
        </w:rPr>
        <w:t xml:space="preserve">etail </w:t>
      </w:r>
      <w:r>
        <w:rPr>
          <w:rFonts w:cstheme="minorHAnsi"/>
          <w:szCs w:val="24"/>
        </w:rPr>
        <w:t>W</w:t>
      </w:r>
      <w:r w:rsidR="00856203" w:rsidRPr="00366355">
        <w:rPr>
          <w:rFonts w:cstheme="minorHAnsi"/>
          <w:szCs w:val="24"/>
        </w:rPr>
        <w:t>orkers</w:t>
      </w:r>
    </w:p>
    <w:p w:rsidR="00856203" w:rsidRDefault="00856203" w:rsidP="00856203">
      <w:pPr>
        <w:jc w:val="center"/>
        <w:rPr>
          <w:rFonts w:cstheme="minorHAnsi"/>
          <w:szCs w:val="24"/>
        </w:rPr>
      </w:pPr>
    </w:p>
    <w:p w:rsidR="00856203" w:rsidRDefault="00856203" w:rsidP="00856203">
      <w:pPr>
        <w:jc w:val="center"/>
        <w:rPr>
          <w:rFonts w:cstheme="minorHAnsi"/>
          <w:szCs w:val="24"/>
        </w:rPr>
      </w:pPr>
      <w:r>
        <w:rPr>
          <w:rFonts w:cstheme="minorHAnsi"/>
          <w:szCs w:val="24"/>
        </w:rPr>
        <w:t>Supporting Statement-Section A</w:t>
      </w:r>
    </w:p>
    <w:p w:rsidR="00856203" w:rsidRDefault="00856203" w:rsidP="00856203">
      <w:pPr>
        <w:jc w:val="center"/>
        <w:rPr>
          <w:rFonts w:cstheme="minorHAnsi"/>
          <w:szCs w:val="24"/>
        </w:rPr>
      </w:pPr>
    </w:p>
    <w:p w:rsidR="00856203" w:rsidRDefault="00856203" w:rsidP="00856203">
      <w:pPr>
        <w:jc w:val="center"/>
        <w:rPr>
          <w:rFonts w:cstheme="minorHAnsi"/>
          <w:szCs w:val="24"/>
        </w:rPr>
      </w:pPr>
    </w:p>
    <w:p w:rsidR="00856203" w:rsidRDefault="00856203" w:rsidP="00856203">
      <w:pPr>
        <w:jc w:val="center"/>
      </w:pPr>
      <w:r>
        <w:rPr>
          <w:rFonts w:cstheme="minorHAnsi"/>
          <w:szCs w:val="24"/>
        </w:rPr>
        <w:t>OMB No. 0920-1154</w:t>
      </w:r>
    </w:p>
    <w:p w:rsidR="00856203" w:rsidRDefault="00856203"/>
    <w:p w:rsidR="00856203" w:rsidRDefault="00856203"/>
    <w:p w:rsidR="00856203" w:rsidRDefault="00856203"/>
    <w:p w:rsidR="00856203" w:rsidRDefault="00856203"/>
    <w:p w:rsidR="00856203" w:rsidRDefault="00856203"/>
    <w:p w:rsidR="00856203" w:rsidRDefault="00856203"/>
    <w:p w:rsidR="00856203" w:rsidRDefault="00856203"/>
    <w:p w:rsidR="00856203" w:rsidRDefault="00856203"/>
    <w:p w:rsidR="00856203" w:rsidRDefault="00856203"/>
    <w:p w:rsidR="00856203" w:rsidRDefault="00856203"/>
    <w:p w:rsidR="00856203" w:rsidRDefault="00856203"/>
    <w:p w:rsidR="00856203" w:rsidRDefault="00856203"/>
    <w:p w:rsidR="00856203" w:rsidRDefault="00856203"/>
    <w:p w:rsidR="00856203" w:rsidRDefault="00856203"/>
    <w:p w:rsidR="00856203" w:rsidRDefault="00856203"/>
    <w:p w:rsidR="00C8057D" w:rsidRDefault="00C8057D">
      <w:pPr>
        <w:rPr>
          <w:b/>
        </w:rPr>
      </w:pPr>
    </w:p>
    <w:sdt>
      <w:sdtPr>
        <w:rPr>
          <w:rFonts w:asciiTheme="minorHAnsi" w:eastAsiaTheme="minorHAnsi" w:hAnsiTheme="minorHAnsi" w:cstheme="minorBidi"/>
          <w:color w:val="auto"/>
          <w:sz w:val="22"/>
          <w:szCs w:val="22"/>
        </w:rPr>
        <w:id w:val="2033147176"/>
        <w:docPartObj>
          <w:docPartGallery w:val="Table of Contents"/>
          <w:docPartUnique/>
        </w:docPartObj>
      </w:sdtPr>
      <w:sdtEndPr>
        <w:rPr>
          <w:b/>
          <w:bCs/>
          <w:noProof/>
        </w:rPr>
      </w:sdtEndPr>
      <w:sdtContent>
        <w:p w:rsidR="00C8057D" w:rsidRDefault="00C8057D">
          <w:pPr>
            <w:pStyle w:val="TOCHeading"/>
          </w:pPr>
          <w:r>
            <w:t>Contents</w:t>
          </w:r>
        </w:p>
        <w:p w:rsidR="007D096E" w:rsidRDefault="00C8057D">
          <w:pPr>
            <w:pStyle w:val="TOC1"/>
            <w:tabs>
              <w:tab w:val="left" w:pos="440"/>
              <w:tab w:val="right" w:leader="dot" w:pos="10070"/>
            </w:tabs>
            <w:rPr>
              <w:noProof/>
            </w:rPr>
          </w:pPr>
          <w:r>
            <w:fldChar w:fldCharType="begin"/>
          </w:r>
          <w:r>
            <w:instrText xml:space="preserve"> TOC \o "1-3" \h \z \u </w:instrText>
          </w:r>
          <w:r>
            <w:fldChar w:fldCharType="separate"/>
          </w:r>
          <w:hyperlink w:anchor="_Toc9946250" w:history="1">
            <w:r w:rsidR="007D096E" w:rsidRPr="001C07EE">
              <w:rPr>
                <w:rStyle w:val="Hyperlink"/>
                <w:rFonts w:cstheme="minorHAnsi"/>
                <w:b/>
                <w:noProof/>
              </w:rPr>
              <w:t>1.</w:t>
            </w:r>
            <w:r w:rsidR="007D096E">
              <w:rPr>
                <w:noProof/>
              </w:rPr>
              <w:tab/>
            </w:r>
            <w:r w:rsidR="007D096E" w:rsidRPr="001C07EE">
              <w:rPr>
                <w:rStyle w:val="Hyperlink"/>
                <w:rFonts w:cstheme="minorHAnsi"/>
                <w:b/>
                <w:noProof/>
              </w:rPr>
              <w:t>Circumstances making the collection of information necessary</w:t>
            </w:r>
            <w:r w:rsidR="007D096E">
              <w:rPr>
                <w:noProof/>
                <w:webHidden/>
              </w:rPr>
              <w:tab/>
            </w:r>
            <w:r w:rsidR="007D096E">
              <w:rPr>
                <w:noProof/>
                <w:webHidden/>
              </w:rPr>
              <w:fldChar w:fldCharType="begin"/>
            </w:r>
            <w:r w:rsidR="007D096E">
              <w:rPr>
                <w:noProof/>
                <w:webHidden/>
              </w:rPr>
              <w:instrText xml:space="preserve"> PAGEREF _Toc9946250 \h </w:instrText>
            </w:r>
            <w:r w:rsidR="007D096E">
              <w:rPr>
                <w:noProof/>
                <w:webHidden/>
              </w:rPr>
            </w:r>
            <w:r w:rsidR="007D096E">
              <w:rPr>
                <w:noProof/>
                <w:webHidden/>
              </w:rPr>
              <w:fldChar w:fldCharType="separate"/>
            </w:r>
            <w:r w:rsidR="007D096E">
              <w:rPr>
                <w:noProof/>
                <w:webHidden/>
              </w:rPr>
              <w:t>3</w:t>
            </w:r>
            <w:r w:rsidR="007D096E">
              <w:rPr>
                <w:noProof/>
                <w:webHidden/>
              </w:rPr>
              <w:fldChar w:fldCharType="end"/>
            </w:r>
          </w:hyperlink>
        </w:p>
        <w:p w:rsidR="007D096E" w:rsidRDefault="004F122D">
          <w:pPr>
            <w:pStyle w:val="TOC1"/>
            <w:tabs>
              <w:tab w:val="left" w:pos="440"/>
              <w:tab w:val="right" w:leader="dot" w:pos="10070"/>
            </w:tabs>
            <w:rPr>
              <w:noProof/>
            </w:rPr>
          </w:pPr>
          <w:hyperlink w:anchor="_Toc9946251" w:history="1">
            <w:r w:rsidR="007D096E" w:rsidRPr="001C07EE">
              <w:rPr>
                <w:rStyle w:val="Hyperlink"/>
                <w:rFonts w:cstheme="minorHAnsi"/>
                <w:b/>
                <w:noProof/>
              </w:rPr>
              <w:t>2.</w:t>
            </w:r>
            <w:r w:rsidR="007D096E">
              <w:rPr>
                <w:noProof/>
              </w:rPr>
              <w:tab/>
            </w:r>
            <w:r w:rsidR="007D096E" w:rsidRPr="001C07EE">
              <w:rPr>
                <w:rStyle w:val="Hyperlink"/>
                <w:rFonts w:cstheme="minorHAnsi"/>
                <w:b/>
                <w:noProof/>
              </w:rPr>
              <w:t>Purpose and Use of the Information Collection</w:t>
            </w:r>
            <w:r w:rsidR="007D096E">
              <w:rPr>
                <w:noProof/>
                <w:webHidden/>
              </w:rPr>
              <w:tab/>
            </w:r>
            <w:r w:rsidR="007D096E">
              <w:rPr>
                <w:noProof/>
                <w:webHidden/>
              </w:rPr>
              <w:fldChar w:fldCharType="begin"/>
            </w:r>
            <w:r w:rsidR="007D096E">
              <w:rPr>
                <w:noProof/>
                <w:webHidden/>
              </w:rPr>
              <w:instrText xml:space="preserve"> PAGEREF _Toc9946251 \h </w:instrText>
            </w:r>
            <w:r w:rsidR="007D096E">
              <w:rPr>
                <w:noProof/>
                <w:webHidden/>
              </w:rPr>
            </w:r>
            <w:r w:rsidR="007D096E">
              <w:rPr>
                <w:noProof/>
                <w:webHidden/>
              </w:rPr>
              <w:fldChar w:fldCharType="separate"/>
            </w:r>
            <w:r w:rsidR="007D096E">
              <w:rPr>
                <w:noProof/>
                <w:webHidden/>
              </w:rPr>
              <w:t>4</w:t>
            </w:r>
            <w:r w:rsidR="007D096E">
              <w:rPr>
                <w:noProof/>
                <w:webHidden/>
              </w:rPr>
              <w:fldChar w:fldCharType="end"/>
            </w:r>
          </w:hyperlink>
        </w:p>
        <w:p w:rsidR="007D096E" w:rsidRDefault="004F122D">
          <w:pPr>
            <w:pStyle w:val="TOC1"/>
            <w:tabs>
              <w:tab w:val="left" w:pos="440"/>
              <w:tab w:val="right" w:leader="dot" w:pos="10070"/>
            </w:tabs>
            <w:rPr>
              <w:noProof/>
            </w:rPr>
          </w:pPr>
          <w:hyperlink w:anchor="_Toc9946252" w:history="1">
            <w:r w:rsidR="007D096E" w:rsidRPr="001C07EE">
              <w:rPr>
                <w:rStyle w:val="Hyperlink"/>
                <w:rFonts w:cstheme="minorHAnsi"/>
                <w:b/>
                <w:noProof/>
              </w:rPr>
              <w:t>3.</w:t>
            </w:r>
            <w:r w:rsidR="007D096E">
              <w:rPr>
                <w:noProof/>
              </w:rPr>
              <w:tab/>
            </w:r>
            <w:r w:rsidR="007D096E" w:rsidRPr="001C07EE">
              <w:rPr>
                <w:rStyle w:val="Hyperlink"/>
                <w:rFonts w:cstheme="minorHAnsi"/>
                <w:b/>
                <w:noProof/>
              </w:rPr>
              <w:t>Use of Improved Information Technology and Burden Reduction</w:t>
            </w:r>
            <w:r w:rsidR="007D096E">
              <w:rPr>
                <w:noProof/>
                <w:webHidden/>
              </w:rPr>
              <w:tab/>
            </w:r>
            <w:r w:rsidR="007D096E">
              <w:rPr>
                <w:noProof/>
                <w:webHidden/>
              </w:rPr>
              <w:fldChar w:fldCharType="begin"/>
            </w:r>
            <w:r w:rsidR="007D096E">
              <w:rPr>
                <w:noProof/>
                <w:webHidden/>
              </w:rPr>
              <w:instrText xml:space="preserve"> PAGEREF _Toc9946252 \h </w:instrText>
            </w:r>
            <w:r w:rsidR="007D096E">
              <w:rPr>
                <w:noProof/>
                <w:webHidden/>
              </w:rPr>
            </w:r>
            <w:r w:rsidR="007D096E">
              <w:rPr>
                <w:noProof/>
                <w:webHidden/>
              </w:rPr>
              <w:fldChar w:fldCharType="separate"/>
            </w:r>
            <w:r w:rsidR="007D096E">
              <w:rPr>
                <w:noProof/>
                <w:webHidden/>
              </w:rPr>
              <w:t>4</w:t>
            </w:r>
            <w:r w:rsidR="007D096E">
              <w:rPr>
                <w:noProof/>
                <w:webHidden/>
              </w:rPr>
              <w:fldChar w:fldCharType="end"/>
            </w:r>
          </w:hyperlink>
        </w:p>
        <w:p w:rsidR="007D096E" w:rsidRDefault="004F122D">
          <w:pPr>
            <w:pStyle w:val="TOC1"/>
            <w:tabs>
              <w:tab w:val="left" w:pos="440"/>
              <w:tab w:val="right" w:leader="dot" w:pos="10070"/>
            </w:tabs>
            <w:rPr>
              <w:noProof/>
            </w:rPr>
          </w:pPr>
          <w:hyperlink w:anchor="_Toc9946253" w:history="1">
            <w:r w:rsidR="007D096E" w:rsidRPr="001C07EE">
              <w:rPr>
                <w:rStyle w:val="Hyperlink"/>
                <w:rFonts w:cstheme="minorHAnsi"/>
                <w:b/>
                <w:noProof/>
              </w:rPr>
              <w:t>4.</w:t>
            </w:r>
            <w:r w:rsidR="007D096E">
              <w:rPr>
                <w:noProof/>
              </w:rPr>
              <w:tab/>
            </w:r>
            <w:r w:rsidR="007D096E" w:rsidRPr="001C07EE">
              <w:rPr>
                <w:rStyle w:val="Hyperlink"/>
                <w:rFonts w:cstheme="minorHAnsi"/>
                <w:b/>
                <w:noProof/>
              </w:rPr>
              <w:t>Efforts to Identify Duplication and Use of Similar Information</w:t>
            </w:r>
            <w:r w:rsidR="007D096E">
              <w:rPr>
                <w:noProof/>
                <w:webHidden/>
              </w:rPr>
              <w:tab/>
            </w:r>
            <w:r w:rsidR="007D096E">
              <w:rPr>
                <w:noProof/>
                <w:webHidden/>
              </w:rPr>
              <w:fldChar w:fldCharType="begin"/>
            </w:r>
            <w:r w:rsidR="007D096E">
              <w:rPr>
                <w:noProof/>
                <w:webHidden/>
              </w:rPr>
              <w:instrText xml:space="preserve"> PAGEREF _Toc9946253 \h </w:instrText>
            </w:r>
            <w:r w:rsidR="007D096E">
              <w:rPr>
                <w:noProof/>
                <w:webHidden/>
              </w:rPr>
            </w:r>
            <w:r w:rsidR="007D096E">
              <w:rPr>
                <w:noProof/>
                <w:webHidden/>
              </w:rPr>
              <w:fldChar w:fldCharType="separate"/>
            </w:r>
            <w:r w:rsidR="007D096E">
              <w:rPr>
                <w:noProof/>
                <w:webHidden/>
              </w:rPr>
              <w:t>4</w:t>
            </w:r>
            <w:r w:rsidR="007D096E">
              <w:rPr>
                <w:noProof/>
                <w:webHidden/>
              </w:rPr>
              <w:fldChar w:fldCharType="end"/>
            </w:r>
          </w:hyperlink>
        </w:p>
        <w:p w:rsidR="007D096E" w:rsidRDefault="004F122D">
          <w:pPr>
            <w:pStyle w:val="TOC1"/>
            <w:tabs>
              <w:tab w:val="left" w:pos="440"/>
              <w:tab w:val="right" w:leader="dot" w:pos="10070"/>
            </w:tabs>
            <w:rPr>
              <w:noProof/>
            </w:rPr>
          </w:pPr>
          <w:hyperlink w:anchor="_Toc9946254" w:history="1">
            <w:r w:rsidR="007D096E" w:rsidRPr="001C07EE">
              <w:rPr>
                <w:rStyle w:val="Hyperlink"/>
                <w:rFonts w:cstheme="minorHAnsi"/>
                <w:b/>
                <w:noProof/>
              </w:rPr>
              <w:t>5.</w:t>
            </w:r>
            <w:r w:rsidR="007D096E">
              <w:rPr>
                <w:noProof/>
              </w:rPr>
              <w:tab/>
            </w:r>
            <w:r w:rsidR="007D096E" w:rsidRPr="001C07EE">
              <w:rPr>
                <w:rStyle w:val="Hyperlink"/>
                <w:rFonts w:cstheme="minorHAnsi"/>
                <w:b/>
                <w:noProof/>
              </w:rPr>
              <w:t>Impact on small Businesses or other small entities</w:t>
            </w:r>
            <w:r w:rsidR="007D096E">
              <w:rPr>
                <w:noProof/>
                <w:webHidden/>
              </w:rPr>
              <w:tab/>
            </w:r>
            <w:r w:rsidR="007D096E">
              <w:rPr>
                <w:noProof/>
                <w:webHidden/>
              </w:rPr>
              <w:fldChar w:fldCharType="begin"/>
            </w:r>
            <w:r w:rsidR="007D096E">
              <w:rPr>
                <w:noProof/>
                <w:webHidden/>
              </w:rPr>
              <w:instrText xml:space="preserve"> PAGEREF _Toc9946254 \h </w:instrText>
            </w:r>
            <w:r w:rsidR="007D096E">
              <w:rPr>
                <w:noProof/>
                <w:webHidden/>
              </w:rPr>
            </w:r>
            <w:r w:rsidR="007D096E">
              <w:rPr>
                <w:noProof/>
                <w:webHidden/>
              </w:rPr>
              <w:fldChar w:fldCharType="separate"/>
            </w:r>
            <w:r w:rsidR="007D096E">
              <w:rPr>
                <w:noProof/>
                <w:webHidden/>
              </w:rPr>
              <w:t>5</w:t>
            </w:r>
            <w:r w:rsidR="007D096E">
              <w:rPr>
                <w:noProof/>
                <w:webHidden/>
              </w:rPr>
              <w:fldChar w:fldCharType="end"/>
            </w:r>
          </w:hyperlink>
        </w:p>
        <w:p w:rsidR="007D096E" w:rsidRDefault="004F122D">
          <w:pPr>
            <w:pStyle w:val="TOC1"/>
            <w:tabs>
              <w:tab w:val="left" w:pos="440"/>
              <w:tab w:val="right" w:leader="dot" w:pos="10070"/>
            </w:tabs>
            <w:rPr>
              <w:noProof/>
            </w:rPr>
          </w:pPr>
          <w:hyperlink w:anchor="_Toc9946255" w:history="1">
            <w:r w:rsidR="007D096E" w:rsidRPr="001C07EE">
              <w:rPr>
                <w:rStyle w:val="Hyperlink"/>
                <w:rFonts w:cstheme="minorHAnsi"/>
                <w:b/>
                <w:noProof/>
              </w:rPr>
              <w:t>6.</w:t>
            </w:r>
            <w:r w:rsidR="007D096E">
              <w:rPr>
                <w:noProof/>
              </w:rPr>
              <w:tab/>
            </w:r>
            <w:r w:rsidR="007D096E" w:rsidRPr="001C07EE">
              <w:rPr>
                <w:rStyle w:val="Hyperlink"/>
                <w:rFonts w:cstheme="minorHAnsi"/>
                <w:b/>
                <w:noProof/>
              </w:rPr>
              <w:t>Consequences of collecting the information less frequently</w:t>
            </w:r>
            <w:r w:rsidR="007D096E">
              <w:rPr>
                <w:noProof/>
                <w:webHidden/>
              </w:rPr>
              <w:tab/>
            </w:r>
            <w:r w:rsidR="007D096E">
              <w:rPr>
                <w:noProof/>
                <w:webHidden/>
              </w:rPr>
              <w:fldChar w:fldCharType="begin"/>
            </w:r>
            <w:r w:rsidR="007D096E">
              <w:rPr>
                <w:noProof/>
                <w:webHidden/>
              </w:rPr>
              <w:instrText xml:space="preserve"> PAGEREF _Toc9946255 \h </w:instrText>
            </w:r>
            <w:r w:rsidR="007D096E">
              <w:rPr>
                <w:noProof/>
                <w:webHidden/>
              </w:rPr>
            </w:r>
            <w:r w:rsidR="007D096E">
              <w:rPr>
                <w:noProof/>
                <w:webHidden/>
              </w:rPr>
              <w:fldChar w:fldCharType="separate"/>
            </w:r>
            <w:r w:rsidR="007D096E">
              <w:rPr>
                <w:noProof/>
                <w:webHidden/>
              </w:rPr>
              <w:t>5</w:t>
            </w:r>
            <w:r w:rsidR="007D096E">
              <w:rPr>
                <w:noProof/>
                <w:webHidden/>
              </w:rPr>
              <w:fldChar w:fldCharType="end"/>
            </w:r>
          </w:hyperlink>
        </w:p>
        <w:p w:rsidR="007D096E" w:rsidRDefault="004F122D">
          <w:pPr>
            <w:pStyle w:val="TOC1"/>
            <w:tabs>
              <w:tab w:val="left" w:pos="440"/>
              <w:tab w:val="right" w:leader="dot" w:pos="10070"/>
            </w:tabs>
            <w:rPr>
              <w:noProof/>
            </w:rPr>
          </w:pPr>
          <w:hyperlink w:anchor="_Toc9946256" w:history="1">
            <w:r w:rsidR="007D096E" w:rsidRPr="001C07EE">
              <w:rPr>
                <w:rStyle w:val="Hyperlink"/>
                <w:rFonts w:cstheme="minorHAnsi"/>
                <w:b/>
                <w:noProof/>
              </w:rPr>
              <w:t>7.</w:t>
            </w:r>
            <w:r w:rsidR="007D096E">
              <w:rPr>
                <w:noProof/>
              </w:rPr>
              <w:tab/>
            </w:r>
            <w:r w:rsidR="007D096E" w:rsidRPr="001C07EE">
              <w:rPr>
                <w:rStyle w:val="Hyperlink"/>
                <w:rFonts w:cstheme="minorHAnsi"/>
                <w:b/>
                <w:noProof/>
              </w:rPr>
              <w:t>Special Circumstances Relating to the Guidance of 5 CFR1320.5</w:t>
            </w:r>
            <w:r w:rsidR="007D096E">
              <w:rPr>
                <w:noProof/>
                <w:webHidden/>
              </w:rPr>
              <w:tab/>
            </w:r>
            <w:r w:rsidR="007D096E">
              <w:rPr>
                <w:noProof/>
                <w:webHidden/>
              </w:rPr>
              <w:fldChar w:fldCharType="begin"/>
            </w:r>
            <w:r w:rsidR="007D096E">
              <w:rPr>
                <w:noProof/>
                <w:webHidden/>
              </w:rPr>
              <w:instrText xml:space="preserve"> PAGEREF _Toc9946256 \h </w:instrText>
            </w:r>
            <w:r w:rsidR="007D096E">
              <w:rPr>
                <w:noProof/>
                <w:webHidden/>
              </w:rPr>
            </w:r>
            <w:r w:rsidR="007D096E">
              <w:rPr>
                <w:noProof/>
                <w:webHidden/>
              </w:rPr>
              <w:fldChar w:fldCharType="separate"/>
            </w:r>
            <w:r w:rsidR="007D096E">
              <w:rPr>
                <w:noProof/>
                <w:webHidden/>
              </w:rPr>
              <w:t>5</w:t>
            </w:r>
            <w:r w:rsidR="007D096E">
              <w:rPr>
                <w:noProof/>
                <w:webHidden/>
              </w:rPr>
              <w:fldChar w:fldCharType="end"/>
            </w:r>
          </w:hyperlink>
        </w:p>
        <w:p w:rsidR="007D096E" w:rsidRDefault="004F122D">
          <w:pPr>
            <w:pStyle w:val="TOC1"/>
            <w:tabs>
              <w:tab w:val="left" w:pos="440"/>
              <w:tab w:val="right" w:leader="dot" w:pos="10070"/>
            </w:tabs>
            <w:rPr>
              <w:noProof/>
            </w:rPr>
          </w:pPr>
          <w:hyperlink w:anchor="_Toc9946257" w:history="1">
            <w:r w:rsidR="007D096E" w:rsidRPr="001C07EE">
              <w:rPr>
                <w:rStyle w:val="Hyperlink"/>
                <w:rFonts w:cstheme="minorHAnsi"/>
                <w:b/>
                <w:bCs/>
                <w:noProof/>
              </w:rPr>
              <w:t>8.</w:t>
            </w:r>
            <w:r w:rsidR="007D096E">
              <w:rPr>
                <w:noProof/>
              </w:rPr>
              <w:tab/>
            </w:r>
            <w:r w:rsidR="007D096E" w:rsidRPr="001C07EE">
              <w:rPr>
                <w:rStyle w:val="Hyperlink"/>
                <w:rFonts w:cstheme="minorHAnsi"/>
                <w:b/>
                <w:bCs/>
                <w:noProof/>
              </w:rPr>
              <w:t>Comments in Response to the Federal Register Notice and Efforts to Consult Outside the Agency</w:t>
            </w:r>
            <w:r w:rsidR="007D096E">
              <w:rPr>
                <w:noProof/>
                <w:webHidden/>
              </w:rPr>
              <w:tab/>
            </w:r>
            <w:r w:rsidR="007D096E">
              <w:rPr>
                <w:noProof/>
                <w:webHidden/>
              </w:rPr>
              <w:fldChar w:fldCharType="begin"/>
            </w:r>
            <w:r w:rsidR="007D096E">
              <w:rPr>
                <w:noProof/>
                <w:webHidden/>
              </w:rPr>
              <w:instrText xml:space="preserve"> PAGEREF _Toc9946257 \h </w:instrText>
            </w:r>
            <w:r w:rsidR="007D096E">
              <w:rPr>
                <w:noProof/>
                <w:webHidden/>
              </w:rPr>
            </w:r>
            <w:r w:rsidR="007D096E">
              <w:rPr>
                <w:noProof/>
                <w:webHidden/>
              </w:rPr>
              <w:fldChar w:fldCharType="separate"/>
            </w:r>
            <w:r w:rsidR="007D096E">
              <w:rPr>
                <w:noProof/>
                <w:webHidden/>
              </w:rPr>
              <w:t>5</w:t>
            </w:r>
            <w:r w:rsidR="007D096E">
              <w:rPr>
                <w:noProof/>
                <w:webHidden/>
              </w:rPr>
              <w:fldChar w:fldCharType="end"/>
            </w:r>
          </w:hyperlink>
        </w:p>
        <w:p w:rsidR="007D096E" w:rsidRDefault="004F122D">
          <w:pPr>
            <w:pStyle w:val="TOC1"/>
            <w:tabs>
              <w:tab w:val="left" w:pos="440"/>
              <w:tab w:val="right" w:leader="dot" w:pos="10070"/>
            </w:tabs>
            <w:rPr>
              <w:noProof/>
            </w:rPr>
          </w:pPr>
          <w:hyperlink w:anchor="_Toc9946258" w:history="1">
            <w:r w:rsidR="007D096E" w:rsidRPr="001C07EE">
              <w:rPr>
                <w:rStyle w:val="Hyperlink"/>
                <w:rFonts w:cstheme="minorHAnsi"/>
                <w:b/>
                <w:noProof/>
              </w:rPr>
              <w:t>9.</w:t>
            </w:r>
            <w:r w:rsidR="007D096E">
              <w:rPr>
                <w:noProof/>
              </w:rPr>
              <w:tab/>
            </w:r>
            <w:r w:rsidR="007D096E" w:rsidRPr="001C07EE">
              <w:rPr>
                <w:rStyle w:val="Hyperlink"/>
                <w:rFonts w:cstheme="minorHAnsi"/>
                <w:b/>
                <w:noProof/>
              </w:rPr>
              <w:t>Explanation of Any Payment or Gift to Respondents</w:t>
            </w:r>
            <w:r w:rsidR="007D096E">
              <w:rPr>
                <w:noProof/>
                <w:webHidden/>
              </w:rPr>
              <w:tab/>
            </w:r>
            <w:r w:rsidR="007D096E">
              <w:rPr>
                <w:noProof/>
                <w:webHidden/>
              </w:rPr>
              <w:fldChar w:fldCharType="begin"/>
            </w:r>
            <w:r w:rsidR="007D096E">
              <w:rPr>
                <w:noProof/>
                <w:webHidden/>
              </w:rPr>
              <w:instrText xml:space="preserve"> PAGEREF _Toc9946258 \h </w:instrText>
            </w:r>
            <w:r w:rsidR="007D096E">
              <w:rPr>
                <w:noProof/>
                <w:webHidden/>
              </w:rPr>
            </w:r>
            <w:r w:rsidR="007D096E">
              <w:rPr>
                <w:noProof/>
                <w:webHidden/>
              </w:rPr>
              <w:fldChar w:fldCharType="separate"/>
            </w:r>
            <w:r w:rsidR="007D096E">
              <w:rPr>
                <w:noProof/>
                <w:webHidden/>
              </w:rPr>
              <w:t>5</w:t>
            </w:r>
            <w:r w:rsidR="007D096E">
              <w:rPr>
                <w:noProof/>
                <w:webHidden/>
              </w:rPr>
              <w:fldChar w:fldCharType="end"/>
            </w:r>
          </w:hyperlink>
        </w:p>
        <w:p w:rsidR="007D096E" w:rsidRDefault="004F122D">
          <w:pPr>
            <w:pStyle w:val="TOC1"/>
            <w:tabs>
              <w:tab w:val="left" w:pos="660"/>
              <w:tab w:val="right" w:leader="dot" w:pos="10070"/>
            </w:tabs>
            <w:rPr>
              <w:noProof/>
            </w:rPr>
          </w:pPr>
          <w:hyperlink w:anchor="_Toc9946259" w:history="1">
            <w:r w:rsidR="007D096E" w:rsidRPr="001C07EE">
              <w:rPr>
                <w:rStyle w:val="Hyperlink"/>
                <w:rFonts w:cstheme="minorHAnsi"/>
                <w:b/>
                <w:bCs/>
                <w:noProof/>
              </w:rPr>
              <w:t>10.</w:t>
            </w:r>
            <w:r w:rsidR="007D096E">
              <w:rPr>
                <w:noProof/>
              </w:rPr>
              <w:tab/>
            </w:r>
            <w:r w:rsidR="007D096E" w:rsidRPr="001C07EE">
              <w:rPr>
                <w:rStyle w:val="Hyperlink"/>
                <w:rFonts w:cstheme="minorHAnsi"/>
                <w:b/>
                <w:noProof/>
              </w:rPr>
              <w:t>Protection of the Privacy and Confidentiality of Information Provided by Respondents</w:t>
            </w:r>
            <w:r w:rsidR="007D096E">
              <w:rPr>
                <w:noProof/>
                <w:webHidden/>
              </w:rPr>
              <w:tab/>
            </w:r>
            <w:r w:rsidR="007D096E">
              <w:rPr>
                <w:noProof/>
                <w:webHidden/>
              </w:rPr>
              <w:fldChar w:fldCharType="begin"/>
            </w:r>
            <w:r w:rsidR="007D096E">
              <w:rPr>
                <w:noProof/>
                <w:webHidden/>
              </w:rPr>
              <w:instrText xml:space="preserve"> PAGEREF _Toc9946259 \h </w:instrText>
            </w:r>
            <w:r w:rsidR="007D096E">
              <w:rPr>
                <w:noProof/>
                <w:webHidden/>
              </w:rPr>
            </w:r>
            <w:r w:rsidR="007D096E">
              <w:rPr>
                <w:noProof/>
                <w:webHidden/>
              </w:rPr>
              <w:fldChar w:fldCharType="separate"/>
            </w:r>
            <w:r w:rsidR="007D096E">
              <w:rPr>
                <w:noProof/>
                <w:webHidden/>
              </w:rPr>
              <w:t>5</w:t>
            </w:r>
            <w:r w:rsidR="007D096E">
              <w:rPr>
                <w:noProof/>
                <w:webHidden/>
              </w:rPr>
              <w:fldChar w:fldCharType="end"/>
            </w:r>
          </w:hyperlink>
        </w:p>
        <w:p w:rsidR="007D096E" w:rsidRDefault="004F122D">
          <w:pPr>
            <w:pStyle w:val="TOC1"/>
            <w:tabs>
              <w:tab w:val="left" w:pos="660"/>
              <w:tab w:val="right" w:leader="dot" w:pos="10070"/>
            </w:tabs>
            <w:rPr>
              <w:noProof/>
            </w:rPr>
          </w:pPr>
          <w:hyperlink w:anchor="_Toc9946260" w:history="1">
            <w:r w:rsidR="007D096E" w:rsidRPr="001C07EE">
              <w:rPr>
                <w:rStyle w:val="Hyperlink"/>
                <w:rFonts w:cstheme="minorHAnsi"/>
                <w:b/>
                <w:noProof/>
              </w:rPr>
              <w:t>11.</w:t>
            </w:r>
            <w:r w:rsidR="007D096E">
              <w:rPr>
                <w:noProof/>
              </w:rPr>
              <w:tab/>
            </w:r>
            <w:r w:rsidR="007D096E" w:rsidRPr="001C07EE">
              <w:rPr>
                <w:rStyle w:val="Hyperlink"/>
                <w:rFonts w:cstheme="minorHAnsi"/>
                <w:b/>
                <w:noProof/>
              </w:rPr>
              <w:t>Institutional Review Board (IRB) and Justification for Sensitive Questions</w:t>
            </w:r>
            <w:r w:rsidR="007D096E">
              <w:rPr>
                <w:noProof/>
                <w:webHidden/>
              </w:rPr>
              <w:tab/>
            </w:r>
            <w:r w:rsidR="007D096E">
              <w:rPr>
                <w:noProof/>
                <w:webHidden/>
              </w:rPr>
              <w:fldChar w:fldCharType="begin"/>
            </w:r>
            <w:r w:rsidR="007D096E">
              <w:rPr>
                <w:noProof/>
                <w:webHidden/>
              </w:rPr>
              <w:instrText xml:space="preserve"> PAGEREF _Toc9946260 \h </w:instrText>
            </w:r>
            <w:r w:rsidR="007D096E">
              <w:rPr>
                <w:noProof/>
                <w:webHidden/>
              </w:rPr>
            </w:r>
            <w:r w:rsidR="007D096E">
              <w:rPr>
                <w:noProof/>
                <w:webHidden/>
              </w:rPr>
              <w:fldChar w:fldCharType="separate"/>
            </w:r>
            <w:r w:rsidR="007D096E">
              <w:rPr>
                <w:noProof/>
                <w:webHidden/>
              </w:rPr>
              <w:t>5</w:t>
            </w:r>
            <w:r w:rsidR="007D096E">
              <w:rPr>
                <w:noProof/>
                <w:webHidden/>
              </w:rPr>
              <w:fldChar w:fldCharType="end"/>
            </w:r>
          </w:hyperlink>
        </w:p>
        <w:p w:rsidR="007D096E" w:rsidRDefault="004F122D">
          <w:pPr>
            <w:pStyle w:val="TOC1"/>
            <w:tabs>
              <w:tab w:val="left" w:pos="660"/>
              <w:tab w:val="right" w:leader="dot" w:pos="10070"/>
            </w:tabs>
            <w:rPr>
              <w:noProof/>
            </w:rPr>
          </w:pPr>
          <w:hyperlink w:anchor="_Toc9946261" w:history="1">
            <w:r w:rsidR="007D096E" w:rsidRPr="001C07EE">
              <w:rPr>
                <w:rStyle w:val="Hyperlink"/>
                <w:rFonts w:cstheme="minorHAnsi"/>
                <w:b/>
                <w:noProof/>
              </w:rPr>
              <w:t>12.</w:t>
            </w:r>
            <w:r w:rsidR="007D096E">
              <w:rPr>
                <w:noProof/>
              </w:rPr>
              <w:tab/>
            </w:r>
            <w:r w:rsidR="007D096E" w:rsidRPr="001C07EE">
              <w:rPr>
                <w:rStyle w:val="Hyperlink"/>
                <w:rFonts w:cstheme="minorHAnsi"/>
                <w:b/>
                <w:noProof/>
              </w:rPr>
              <w:t>Estimated of Annualized Burden Hours and Costs</w:t>
            </w:r>
            <w:r w:rsidR="007D096E">
              <w:rPr>
                <w:noProof/>
                <w:webHidden/>
              </w:rPr>
              <w:tab/>
            </w:r>
            <w:r w:rsidR="007D096E">
              <w:rPr>
                <w:noProof/>
                <w:webHidden/>
              </w:rPr>
              <w:fldChar w:fldCharType="begin"/>
            </w:r>
            <w:r w:rsidR="007D096E">
              <w:rPr>
                <w:noProof/>
                <w:webHidden/>
              </w:rPr>
              <w:instrText xml:space="preserve"> PAGEREF _Toc9946261 \h </w:instrText>
            </w:r>
            <w:r w:rsidR="007D096E">
              <w:rPr>
                <w:noProof/>
                <w:webHidden/>
              </w:rPr>
            </w:r>
            <w:r w:rsidR="007D096E">
              <w:rPr>
                <w:noProof/>
                <w:webHidden/>
              </w:rPr>
              <w:fldChar w:fldCharType="separate"/>
            </w:r>
            <w:r w:rsidR="007D096E">
              <w:rPr>
                <w:noProof/>
                <w:webHidden/>
              </w:rPr>
              <w:t>6</w:t>
            </w:r>
            <w:r w:rsidR="007D096E">
              <w:rPr>
                <w:noProof/>
                <w:webHidden/>
              </w:rPr>
              <w:fldChar w:fldCharType="end"/>
            </w:r>
          </w:hyperlink>
        </w:p>
        <w:p w:rsidR="007D096E" w:rsidRDefault="004F122D">
          <w:pPr>
            <w:pStyle w:val="TOC1"/>
            <w:tabs>
              <w:tab w:val="left" w:pos="660"/>
              <w:tab w:val="right" w:leader="dot" w:pos="10070"/>
            </w:tabs>
            <w:rPr>
              <w:noProof/>
            </w:rPr>
          </w:pPr>
          <w:hyperlink w:anchor="_Toc9946262" w:history="1">
            <w:r w:rsidR="007D096E" w:rsidRPr="001C07EE">
              <w:rPr>
                <w:rStyle w:val="Hyperlink"/>
                <w:rFonts w:cstheme="minorHAnsi"/>
                <w:b/>
                <w:noProof/>
              </w:rPr>
              <w:t>13.</w:t>
            </w:r>
            <w:r w:rsidR="007D096E">
              <w:rPr>
                <w:noProof/>
              </w:rPr>
              <w:tab/>
            </w:r>
            <w:r w:rsidR="007D096E" w:rsidRPr="001C07EE">
              <w:rPr>
                <w:rStyle w:val="Hyperlink"/>
                <w:rFonts w:cstheme="minorHAnsi"/>
                <w:b/>
                <w:noProof/>
              </w:rPr>
              <w:t>Estimates of Other Total Annual Cost Burden to Respondents and Record Keeping</w:t>
            </w:r>
            <w:r w:rsidR="007D096E">
              <w:rPr>
                <w:noProof/>
                <w:webHidden/>
              </w:rPr>
              <w:tab/>
            </w:r>
            <w:r w:rsidR="007D096E">
              <w:rPr>
                <w:noProof/>
                <w:webHidden/>
              </w:rPr>
              <w:fldChar w:fldCharType="begin"/>
            </w:r>
            <w:r w:rsidR="007D096E">
              <w:rPr>
                <w:noProof/>
                <w:webHidden/>
              </w:rPr>
              <w:instrText xml:space="preserve"> PAGEREF _Toc9946262 \h </w:instrText>
            </w:r>
            <w:r w:rsidR="007D096E">
              <w:rPr>
                <w:noProof/>
                <w:webHidden/>
              </w:rPr>
            </w:r>
            <w:r w:rsidR="007D096E">
              <w:rPr>
                <w:noProof/>
                <w:webHidden/>
              </w:rPr>
              <w:fldChar w:fldCharType="separate"/>
            </w:r>
            <w:r w:rsidR="007D096E">
              <w:rPr>
                <w:noProof/>
                <w:webHidden/>
              </w:rPr>
              <w:t>6</w:t>
            </w:r>
            <w:r w:rsidR="007D096E">
              <w:rPr>
                <w:noProof/>
                <w:webHidden/>
              </w:rPr>
              <w:fldChar w:fldCharType="end"/>
            </w:r>
          </w:hyperlink>
        </w:p>
        <w:p w:rsidR="007D096E" w:rsidRDefault="004F122D">
          <w:pPr>
            <w:pStyle w:val="TOC1"/>
            <w:tabs>
              <w:tab w:val="left" w:pos="660"/>
              <w:tab w:val="right" w:leader="dot" w:pos="10070"/>
            </w:tabs>
            <w:rPr>
              <w:noProof/>
            </w:rPr>
          </w:pPr>
          <w:hyperlink w:anchor="_Toc9946263" w:history="1">
            <w:r w:rsidR="007D096E" w:rsidRPr="001C07EE">
              <w:rPr>
                <w:rStyle w:val="Hyperlink"/>
                <w:rFonts w:cstheme="minorHAnsi"/>
                <w:b/>
                <w:noProof/>
              </w:rPr>
              <w:t>14.</w:t>
            </w:r>
            <w:r w:rsidR="007D096E">
              <w:rPr>
                <w:noProof/>
              </w:rPr>
              <w:tab/>
            </w:r>
            <w:r w:rsidR="007D096E" w:rsidRPr="001C07EE">
              <w:rPr>
                <w:rStyle w:val="Hyperlink"/>
                <w:rFonts w:cstheme="minorHAnsi"/>
                <w:b/>
                <w:noProof/>
              </w:rPr>
              <w:t>Annualized Cost to the Government</w:t>
            </w:r>
            <w:r w:rsidR="007D096E">
              <w:rPr>
                <w:noProof/>
                <w:webHidden/>
              </w:rPr>
              <w:tab/>
            </w:r>
            <w:r w:rsidR="007D096E">
              <w:rPr>
                <w:noProof/>
                <w:webHidden/>
              </w:rPr>
              <w:fldChar w:fldCharType="begin"/>
            </w:r>
            <w:r w:rsidR="007D096E">
              <w:rPr>
                <w:noProof/>
                <w:webHidden/>
              </w:rPr>
              <w:instrText xml:space="preserve"> PAGEREF _Toc9946263 \h </w:instrText>
            </w:r>
            <w:r w:rsidR="007D096E">
              <w:rPr>
                <w:noProof/>
                <w:webHidden/>
              </w:rPr>
            </w:r>
            <w:r w:rsidR="007D096E">
              <w:rPr>
                <w:noProof/>
                <w:webHidden/>
              </w:rPr>
              <w:fldChar w:fldCharType="separate"/>
            </w:r>
            <w:r w:rsidR="007D096E">
              <w:rPr>
                <w:noProof/>
                <w:webHidden/>
              </w:rPr>
              <w:t>7</w:t>
            </w:r>
            <w:r w:rsidR="007D096E">
              <w:rPr>
                <w:noProof/>
                <w:webHidden/>
              </w:rPr>
              <w:fldChar w:fldCharType="end"/>
            </w:r>
          </w:hyperlink>
        </w:p>
        <w:p w:rsidR="007D096E" w:rsidRDefault="004F122D">
          <w:pPr>
            <w:pStyle w:val="TOC1"/>
            <w:tabs>
              <w:tab w:val="left" w:pos="660"/>
              <w:tab w:val="right" w:leader="dot" w:pos="10070"/>
            </w:tabs>
            <w:rPr>
              <w:noProof/>
            </w:rPr>
          </w:pPr>
          <w:hyperlink w:anchor="_Toc9946264" w:history="1">
            <w:r w:rsidR="007D096E" w:rsidRPr="001C07EE">
              <w:rPr>
                <w:rStyle w:val="Hyperlink"/>
                <w:rFonts w:cstheme="minorHAnsi"/>
                <w:b/>
                <w:noProof/>
              </w:rPr>
              <w:t>15.</w:t>
            </w:r>
            <w:r w:rsidR="007D096E">
              <w:rPr>
                <w:noProof/>
              </w:rPr>
              <w:tab/>
            </w:r>
            <w:r w:rsidR="007D096E" w:rsidRPr="001C07EE">
              <w:rPr>
                <w:rStyle w:val="Hyperlink"/>
                <w:rFonts w:cstheme="minorHAnsi"/>
                <w:b/>
                <w:noProof/>
              </w:rPr>
              <w:t>Explanation for Program Changes or Adjustments</w:t>
            </w:r>
            <w:r w:rsidR="007D096E">
              <w:rPr>
                <w:noProof/>
                <w:webHidden/>
              </w:rPr>
              <w:tab/>
            </w:r>
            <w:r w:rsidR="007D096E">
              <w:rPr>
                <w:noProof/>
                <w:webHidden/>
              </w:rPr>
              <w:fldChar w:fldCharType="begin"/>
            </w:r>
            <w:r w:rsidR="007D096E">
              <w:rPr>
                <w:noProof/>
                <w:webHidden/>
              </w:rPr>
              <w:instrText xml:space="preserve"> PAGEREF _Toc9946264 \h </w:instrText>
            </w:r>
            <w:r w:rsidR="007D096E">
              <w:rPr>
                <w:noProof/>
                <w:webHidden/>
              </w:rPr>
            </w:r>
            <w:r w:rsidR="007D096E">
              <w:rPr>
                <w:noProof/>
                <w:webHidden/>
              </w:rPr>
              <w:fldChar w:fldCharType="separate"/>
            </w:r>
            <w:r w:rsidR="007D096E">
              <w:rPr>
                <w:noProof/>
                <w:webHidden/>
              </w:rPr>
              <w:t>7</w:t>
            </w:r>
            <w:r w:rsidR="007D096E">
              <w:rPr>
                <w:noProof/>
                <w:webHidden/>
              </w:rPr>
              <w:fldChar w:fldCharType="end"/>
            </w:r>
          </w:hyperlink>
        </w:p>
        <w:p w:rsidR="007D096E" w:rsidRDefault="004F122D">
          <w:pPr>
            <w:pStyle w:val="TOC1"/>
            <w:tabs>
              <w:tab w:val="left" w:pos="660"/>
              <w:tab w:val="right" w:leader="dot" w:pos="10070"/>
            </w:tabs>
            <w:rPr>
              <w:noProof/>
            </w:rPr>
          </w:pPr>
          <w:hyperlink w:anchor="_Toc9946265" w:history="1">
            <w:r w:rsidR="007D096E" w:rsidRPr="001C07EE">
              <w:rPr>
                <w:rStyle w:val="Hyperlink"/>
                <w:rFonts w:cstheme="minorHAnsi"/>
                <w:b/>
                <w:noProof/>
              </w:rPr>
              <w:t>16.</w:t>
            </w:r>
            <w:r w:rsidR="007D096E">
              <w:rPr>
                <w:noProof/>
              </w:rPr>
              <w:tab/>
            </w:r>
            <w:r w:rsidR="007D096E" w:rsidRPr="001C07EE">
              <w:rPr>
                <w:rStyle w:val="Hyperlink"/>
                <w:rFonts w:cstheme="minorHAnsi"/>
                <w:b/>
                <w:noProof/>
              </w:rPr>
              <w:t>Plans for Tabulation and Publication and Project Time Schedule</w:t>
            </w:r>
            <w:r w:rsidR="007D096E">
              <w:rPr>
                <w:noProof/>
                <w:webHidden/>
              </w:rPr>
              <w:tab/>
            </w:r>
            <w:r w:rsidR="007D096E">
              <w:rPr>
                <w:noProof/>
                <w:webHidden/>
              </w:rPr>
              <w:fldChar w:fldCharType="begin"/>
            </w:r>
            <w:r w:rsidR="007D096E">
              <w:rPr>
                <w:noProof/>
                <w:webHidden/>
              </w:rPr>
              <w:instrText xml:space="preserve"> PAGEREF _Toc9946265 \h </w:instrText>
            </w:r>
            <w:r w:rsidR="007D096E">
              <w:rPr>
                <w:noProof/>
                <w:webHidden/>
              </w:rPr>
            </w:r>
            <w:r w:rsidR="007D096E">
              <w:rPr>
                <w:noProof/>
                <w:webHidden/>
              </w:rPr>
              <w:fldChar w:fldCharType="separate"/>
            </w:r>
            <w:r w:rsidR="007D096E">
              <w:rPr>
                <w:noProof/>
                <w:webHidden/>
              </w:rPr>
              <w:t>7</w:t>
            </w:r>
            <w:r w:rsidR="007D096E">
              <w:rPr>
                <w:noProof/>
                <w:webHidden/>
              </w:rPr>
              <w:fldChar w:fldCharType="end"/>
            </w:r>
          </w:hyperlink>
        </w:p>
        <w:p w:rsidR="007D096E" w:rsidRDefault="004F122D">
          <w:pPr>
            <w:pStyle w:val="TOC1"/>
            <w:tabs>
              <w:tab w:val="left" w:pos="660"/>
              <w:tab w:val="right" w:leader="dot" w:pos="10070"/>
            </w:tabs>
            <w:rPr>
              <w:noProof/>
            </w:rPr>
          </w:pPr>
          <w:hyperlink w:anchor="_Toc9946266" w:history="1">
            <w:r w:rsidR="007D096E" w:rsidRPr="001C07EE">
              <w:rPr>
                <w:rStyle w:val="Hyperlink"/>
                <w:rFonts w:cstheme="minorHAnsi"/>
                <w:b/>
                <w:noProof/>
              </w:rPr>
              <w:t>17.</w:t>
            </w:r>
            <w:r w:rsidR="007D096E">
              <w:rPr>
                <w:noProof/>
              </w:rPr>
              <w:tab/>
            </w:r>
            <w:r w:rsidR="007D096E" w:rsidRPr="001C07EE">
              <w:rPr>
                <w:rStyle w:val="Hyperlink"/>
                <w:rFonts w:cstheme="minorHAnsi"/>
                <w:b/>
                <w:noProof/>
              </w:rPr>
              <w:t>Reason(s) Display of OMB Expiration Date is Inappropriate</w:t>
            </w:r>
            <w:r w:rsidR="007D096E">
              <w:rPr>
                <w:noProof/>
                <w:webHidden/>
              </w:rPr>
              <w:tab/>
            </w:r>
            <w:r w:rsidR="007D096E">
              <w:rPr>
                <w:noProof/>
                <w:webHidden/>
              </w:rPr>
              <w:fldChar w:fldCharType="begin"/>
            </w:r>
            <w:r w:rsidR="007D096E">
              <w:rPr>
                <w:noProof/>
                <w:webHidden/>
              </w:rPr>
              <w:instrText xml:space="preserve"> PAGEREF _Toc9946266 \h </w:instrText>
            </w:r>
            <w:r w:rsidR="007D096E">
              <w:rPr>
                <w:noProof/>
                <w:webHidden/>
              </w:rPr>
            </w:r>
            <w:r w:rsidR="007D096E">
              <w:rPr>
                <w:noProof/>
                <w:webHidden/>
              </w:rPr>
              <w:fldChar w:fldCharType="separate"/>
            </w:r>
            <w:r w:rsidR="007D096E">
              <w:rPr>
                <w:noProof/>
                <w:webHidden/>
              </w:rPr>
              <w:t>8</w:t>
            </w:r>
            <w:r w:rsidR="007D096E">
              <w:rPr>
                <w:noProof/>
                <w:webHidden/>
              </w:rPr>
              <w:fldChar w:fldCharType="end"/>
            </w:r>
          </w:hyperlink>
        </w:p>
        <w:p w:rsidR="007D096E" w:rsidRDefault="004F122D">
          <w:pPr>
            <w:pStyle w:val="TOC1"/>
            <w:tabs>
              <w:tab w:val="left" w:pos="660"/>
              <w:tab w:val="right" w:leader="dot" w:pos="10070"/>
            </w:tabs>
            <w:rPr>
              <w:noProof/>
            </w:rPr>
          </w:pPr>
          <w:hyperlink w:anchor="_Toc9946267" w:history="1">
            <w:r w:rsidR="007D096E" w:rsidRPr="001C07EE">
              <w:rPr>
                <w:rStyle w:val="Hyperlink"/>
                <w:rFonts w:cstheme="minorHAnsi"/>
                <w:b/>
                <w:noProof/>
              </w:rPr>
              <w:t>18.</w:t>
            </w:r>
            <w:r w:rsidR="007D096E">
              <w:rPr>
                <w:noProof/>
              </w:rPr>
              <w:tab/>
            </w:r>
            <w:r w:rsidR="007D096E" w:rsidRPr="001C07EE">
              <w:rPr>
                <w:rStyle w:val="Hyperlink"/>
                <w:rFonts w:cstheme="minorHAnsi"/>
                <w:b/>
                <w:noProof/>
              </w:rPr>
              <w:t>Exceptions to Certification for Paperwork Reduction Act Submissions</w:t>
            </w:r>
            <w:r w:rsidR="007D096E">
              <w:rPr>
                <w:noProof/>
                <w:webHidden/>
              </w:rPr>
              <w:tab/>
            </w:r>
            <w:r w:rsidR="007D096E">
              <w:rPr>
                <w:noProof/>
                <w:webHidden/>
              </w:rPr>
              <w:fldChar w:fldCharType="begin"/>
            </w:r>
            <w:r w:rsidR="007D096E">
              <w:rPr>
                <w:noProof/>
                <w:webHidden/>
              </w:rPr>
              <w:instrText xml:space="preserve"> PAGEREF _Toc9946267 \h </w:instrText>
            </w:r>
            <w:r w:rsidR="007D096E">
              <w:rPr>
                <w:noProof/>
                <w:webHidden/>
              </w:rPr>
            </w:r>
            <w:r w:rsidR="007D096E">
              <w:rPr>
                <w:noProof/>
                <w:webHidden/>
              </w:rPr>
              <w:fldChar w:fldCharType="separate"/>
            </w:r>
            <w:r w:rsidR="007D096E">
              <w:rPr>
                <w:noProof/>
                <w:webHidden/>
              </w:rPr>
              <w:t>8</w:t>
            </w:r>
            <w:r w:rsidR="007D096E">
              <w:rPr>
                <w:noProof/>
                <w:webHidden/>
              </w:rPr>
              <w:fldChar w:fldCharType="end"/>
            </w:r>
          </w:hyperlink>
        </w:p>
        <w:p w:rsidR="00C8057D" w:rsidRDefault="00C8057D">
          <w:r>
            <w:rPr>
              <w:b/>
              <w:bCs/>
              <w:noProof/>
            </w:rPr>
            <w:fldChar w:fldCharType="end"/>
          </w:r>
        </w:p>
      </w:sdtContent>
    </w:sdt>
    <w:p w:rsidR="00C8057D" w:rsidRDefault="00C8057D">
      <w:pPr>
        <w:rPr>
          <w:b/>
        </w:rPr>
      </w:pPr>
    </w:p>
    <w:p w:rsidR="00C8057D" w:rsidRDefault="00C8057D">
      <w:pPr>
        <w:rPr>
          <w:b/>
        </w:rPr>
      </w:pPr>
    </w:p>
    <w:p w:rsidR="0054270B" w:rsidRDefault="00C8057D">
      <w:pPr>
        <w:rPr>
          <w:b/>
        </w:rPr>
      </w:pPr>
      <w:r>
        <w:rPr>
          <w:b/>
        </w:rPr>
        <w:br w:type="page"/>
      </w:r>
    </w:p>
    <w:p w:rsidR="0054270B" w:rsidRDefault="0054270B">
      <w:pPr>
        <w:rPr>
          <w:b/>
        </w:rPr>
      </w:pPr>
      <w:r>
        <w:rPr>
          <w:b/>
        </w:rPr>
        <w:lastRenderedPageBreak/>
        <w:t xml:space="preserve">List of Attachments </w:t>
      </w:r>
    </w:p>
    <w:p w:rsidR="0054270B" w:rsidRDefault="0054270B" w:rsidP="0054270B">
      <w:pPr>
        <w:pStyle w:val="ListParagraph"/>
        <w:numPr>
          <w:ilvl w:val="0"/>
          <w:numId w:val="16"/>
        </w:numPr>
      </w:pPr>
      <w:r>
        <w:t xml:space="preserve">Signed </w:t>
      </w:r>
      <w:r w:rsidRPr="0054270B">
        <w:t xml:space="preserve">NIOSH IRB Determination </w:t>
      </w:r>
      <w:r>
        <w:t>Form</w:t>
      </w:r>
    </w:p>
    <w:p w:rsidR="006C501B" w:rsidRPr="0054270B" w:rsidRDefault="006C501B" w:rsidP="006C501B">
      <w:pPr>
        <w:pStyle w:val="ListParagraph"/>
        <w:numPr>
          <w:ilvl w:val="0"/>
          <w:numId w:val="16"/>
        </w:numPr>
      </w:pPr>
      <w:r w:rsidRPr="0054270B">
        <w:t>Protocol for older retail workers</w:t>
      </w:r>
    </w:p>
    <w:p w:rsidR="006C501B" w:rsidRPr="0054270B" w:rsidRDefault="006C501B" w:rsidP="006C501B">
      <w:pPr>
        <w:pStyle w:val="ListParagraph"/>
        <w:numPr>
          <w:ilvl w:val="0"/>
          <w:numId w:val="16"/>
        </w:numPr>
      </w:pPr>
      <w:r w:rsidRPr="0054270B">
        <w:t>Protocol for younger retail workers</w:t>
      </w:r>
    </w:p>
    <w:p w:rsidR="006C501B" w:rsidRPr="0054270B" w:rsidRDefault="006C501B" w:rsidP="006C501B">
      <w:pPr>
        <w:pStyle w:val="ListParagraph"/>
        <w:numPr>
          <w:ilvl w:val="0"/>
          <w:numId w:val="16"/>
        </w:numPr>
      </w:pPr>
      <w:r w:rsidRPr="0054270B">
        <w:t>Protocol for retail employers</w:t>
      </w:r>
    </w:p>
    <w:p w:rsidR="006C501B" w:rsidRDefault="006C501B" w:rsidP="006C501B">
      <w:pPr>
        <w:pStyle w:val="ListParagraph"/>
      </w:pPr>
    </w:p>
    <w:p w:rsidR="0054270B" w:rsidRPr="0054270B" w:rsidRDefault="0054270B" w:rsidP="0054270B">
      <w:pPr>
        <w:pStyle w:val="ListParagraph"/>
        <w:numPr>
          <w:ilvl w:val="0"/>
          <w:numId w:val="16"/>
        </w:numPr>
      </w:pPr>
      <w:r w:rsidRPr="0054270B">
        <w:br w:type="page"/>
      </w:r>
    </w:p>
    <w:tbl>
      <w:tblPr>
        <w:tblStyle w:val="TableGrid1"/>
        <w:tblpPr w:leftFromText="180" w:rightFromText="180" w:vertAnchor="text" w:horzAnchor="margin" w:tblpY="-187"/>
        <w:tblW w:w="0" w:type="auto"/>
        <w:tblLook w:val="04A0" w:firstRow="1" w:lastRow="0" w:firstColumn="1" w:lastColumn="0" w:noHBand="0" w:noVBand="1"/>
      </w:tblPr>
      <w:tblGrid>
        <w:gridCol w:w="9350"/>
      </w:tblGrid>
      <w:tr w:rsidR="00C35E15" w:rsidRPr="00C35E15" w:rsidTr="005529EA">
        <w:tc>
          <w:tcPr>
            <w:tcW w:w="9350" w:type="dxa"/>
          </w:tcPr>
          <w:p w:rsidR="00C35E15" w:rsidRPr="00C35E15" w:rsidRDefault="00C35E15" w:rsidP="00C35E15">
            <w:pPr>
              <w:numPr>
                <w:ilvl w:val="0"/>
                <w:numId w:val="17"/>
              </w:numPr>
              <w:contextualSpacing/>
              <w:jc w:val="both"/>
              <w:rPr>
                <w:rFonts w:eastAsia="Calibri"/>
              </w:rPr>
            </w:pPr>
            <w:r w:rsidRPr="00C35E15">
              <w:rPr>
                <w:rFonts w:eastAsia="Calibri"/>
                <w:b/>
                <w:bCs/>
              </w:rPr>
              <w:t>Goals of the project:</w:t>
            </w:r>
            <w:r w:rsidRPr="00C35E15">
              <w:rPr>
                <w:rFonts w:eastAsia="Calibri"/>
              </w:rPr>
              <w:t xml:space="preserve"> </w:t>
            </w:r>
            <w:r w:rsidR="00462C9B">
              <w:rPr>
                <w:rFonts w:eastAsia="Calibri"/>
              </w:rPr>
              <w:t>To develop communication products to prevent work-related musculoskeletal disorders</w:t>
            </w:r>
            <w:r w:rsidR="00EB04EB">
              <w:rPr>
                <w:rFonts w:eastAsia="Calibri"/>
              </w:rPr>
              <w:t xml:space="preserve"> (WMSDs)</w:t>
            </w:r>
            <w:r w:rsidR="00462C9B">
              <w:rPr>
                <w:rFonts w:eastAsia="Calibri"/>
              </w:rPr>
              <w:t xml:space="preserve"> and falls among </w:t>
            </w:r>
            <w:r w:rsidR="00EB04EB">
              <w:rPr>
                <w:rFonts w:eastAsia="Calibri"/>
              </w:rPr>
              <w:t xml:space="preserve">aging </w:t>
            </w:r>
            <w:r w:rsidR="00462C9B">
              <w:rPr>
                <w:rFonts w:eastAsia="Calibri"/>
              </w:rPr>
              <w:t xml:space="preserve">retail workers. </w:t>
            </w:r>
            <w:r w:rsidRPr="00C35E15">
              <w:rPr>
                <w:rFonts w:eastAsia="Calibri"/>
              </w:rPr>
              <w:t xml:space="preserve"> </w:t>
            </w:r>
          </w:p>
          <w:p w:rsidR="00C35E15" w:rsidRPr="00C35E15" w:rsidRDefault="00C35E15" w:rsidP="00C35E15">
            <w:pPr>
              <w:contextualSpacing/>
              <w:jc w:val="both"/>
              <w:rPr>
                <w:rFonts w:eastAsia="Calibri"/>
              </w:rPr>
            </w:pPr>
          </w:p>
          <w:p w:rsidR="00C35E15" w:rsidRPr="00C35E15" w:rsidRDefault="00C35E15" w:rsidP="00C35E15">
            <w:pPr>
              <w:numPr>
                <w:ilvl w:val="0"/>
                <w:numId w:val="17"/>
              </w:numPr>
              <w:contextualSpacing/>
              <w:jc w:val="both"/>
              <w:rPr>
                <w:rFonts w:eastAsia="Calibri"/>
              </w:rPr>
            </w:pPr>
            <w:r w:rsidRPr="00C35E15">
              <w:rPr>
                <w:rFonts w:eastAsia="Calibri"/>
                <w:b/>
                <w:bCs/>
              </w:rPr>
              <w:t>Intended use of the resulting data:</w:t>
            </w:r>
            <w:r w:rsidRPr="00C35E15">
              <w:rPr>
                <w:rFonts w:eastAsia="Calibri"/>
              </w:rPr>
              <w:t xml:space="preserve"> </w:t>
            </w:r>
            <w:r w:rsidR="00462C9B">
              <w:rPr>
                <w:rFonts w:eastAsia="Calibri"/>
              </w:rPr>
              <w:t>Internal use to develop communication products</w:t>
            </w:r>
            <w:r w:rsidR="00EB04EB">
              <w:rPr>
                <w:rFonts w:eastAsia="Calibri"/>
              </w:rPr>
              <w:t xml:space="preserve"> on WMSDs and falls</w:t>
            </w:r>
            <w:r w:rsidR="00462C9B">
              <w:rPr>
                <w:rFonts w:eastAsia="Calibri"/>
              </w:rPr>
              <w:t xml:space="preserve"> for retail workers</w:t>
            </w:r>
          </w:p>
          <w:p w:rsidR="00C35E15" w:rsidRPr="00C35E15" w:rsidRDefault="00C35E15" w:rsidP="00C35E15">
            <w:pPr>
              <w:contextualSpacing/>
              <w:jc w:val="both"/>
              <w:rPr>
                <w:rFonts w:eastAsia="Calibri"/>
              </w:rPr>
            </w:pPr>
          </w:p>
          <w:p w:rsidR="00C35E15" w:rsidRPr="00C35E15" w:rsidRDefault="00C35E15" w:rsidP="00C35E15">
            <w:pPr>
              <w:numPr>
                <w:ilvl w:val="0"/>
                <w:numId w:val="17"/>
              </w:numPr>
              <w:contextualSpacing/>
              <w:jc w:val="both"/>
              <w:rPr>
                <w:rFonts w:eastAsia="Calibri"/>
                <w:b/>
                <w:bCs/>
              </w:rPr>
            </w:pPr>
            <w:r w:rsidRPr="00C35E15">
              <w:rPr>
                <w:rFonts w:eastAsia="Calibri"/>
                <w:b/>
                <w:bCs/>
              </w:rPr>
              <w:t xml:space="preserve">Methods to be used to collect data: </w:t>
            </w:r>
            <w:r w:rsidR="00EB04EB" w:rsidRPr="00EB04EB">
              <w:rPr>
                <w:rFonts w:eastAsia="Calibri"/>
                <w:bCs/>
              </w:rPr>
              <w:t>Focus Group</w:t>
            </w:r>
          </w:p>
          <w:p w:rsidR="00C35E15" w:rsidRPr="00C35E15" w:rsidRDefault="00C35E15" w:rsidP="00C35E15">
            <w:pPr>
              <w:contextualSpacing/>
              <w:jc w:val="both"/>
              <w:rPr>
                <w:rFonts w:eastAsia="Calibri"/>
                <w:b/>
                <w:bCs/>
              </w:rPr>
            </w:pPr>
          </w:p>
          <w:p w:rsidR="00C35E15" w:rsidRPr="00C35E15" w:rsidRDefault="00C35E15" w:rsidP="00C35E15">
            <w:pPr>
              <w:numPr>
                <w:ilvl w:val="0"/>
                <w:numId w:val="17"/>
              </w:numPr>
              <w:contextualSpacing/>
              <w:jc w:val="both"/>
              <w:rPr>
                <w:rFonts w:eastAsia="Calibri"/>
              </w:rPr>
            </w:pPr>
            <w:r w:rsidRPr="00C35E15">
              <w:rPr>
                <w:rFonts w:eastAsia="Calibri"/>
                <w:b/>
                <w:bCs/>
              </w:rPr>
              <w:t>The subpopulation to be studied:</w:t>
            </w:r>
            <w:r w:rsidRPr="00C35E15">
              <w:rPr>
                <w:rFonts w:eastAsia="Calibri"/>
              </w:rPr>
              <w:t xml:space="preserve"> </w:t>
            </w:r>
            <w:r w:rsidR="00EB04EB">
              <w:rPr>
                <w:rFonts w:eastAsia="Calibri"/>
              </w:rPr>
              <w:t>Employees and Employers from small and large retail businesses</w:t>
            </w:r>
          </w:p>
          <w:p w:rsidR="00C35E15" w:rsidRPr="00C35E15" w:rsidRDefault="00C35E15" w:rsidP="00C35E15">
            <w:pPr>
              <w:contextualSpacing/>
              <w:jc w:val="both"/>
              <w:rPr>
                <w:rFonts w:eastAsia="Calibri"/>
              </w:rPr>
            </w:pPr>
          </w:p>
          <w:p w:rsidR="00C35E15" w:rsidRPr="00C35E15" w:rsidRDefault="00C35E15" w:rsidP="00C35E15">
            <w:pPr>
              <w:numPr>
                <w:ilvl w:val="0"/>
                <w:numId w:val="17"/>
              </w:numPr>
              <w:contextualSpacing/>
              <w:jc w:val="both"/>
              <w:rPr>
                <w:rFonts w:eastAsia="Calibri"/>
              </w:rPr>
            </w:pPr>
            <w:r w:rsidRPr="00C35E15">
              <w:rPr>
                <w:rFonts w:eastAsia="Calibri"/>
                <w:b/>
              </w:rPr>
              <w:t>How data will be analyzed:</w:t>
            </w:r>
            <w:r w:rsidRPr="00C35E15">
              <w:rPr>
                <w:rFonts w:eastAsia="Calibri"/>
              </w:rPr>
              <w:t xml:space="preserve"> </w:t>
            </w:r>
            <w:r w:rsidR="00EB04EB">
              <w:rPr>
                <w:rFonts w:eastAsia="Calibri"/>
              </w:rPr>
              <w:t>Qualitative analysis will be performed to examine themes and major topics mentioned by focus group participants.</w:t>
            </w:r>
            <w:r w:rsidRPr="00C35E15">
              <w:rPr>
                <w:rFonts w:eastAsia="Calibri"/>
              </w:rPr>
              <w:t xml:space="preserve"> </w:t>
            </w:r>
          </w:p>
        </w:tc>
      </w:tr>
    </w:tbl>
    <w:p w:rsidR="00C35E15" w:rsidRDefault="00C35E15">
      <w:pPr>
        <w:rPr>
          <w:b/>
        </w:rPr>
      </w:pPr>
    </w:p>
    <w:p w:rsidR="00C35E15" w:rsidRDefault="00C35E15">
      <w:pPr>
        <w:rPr>
          <w:b/>
        </w:rPr>
      </w:pPr>
    </w:p>
    <w:p w:rsidR="00C35E15" w:rsidRDefault="00C35E15">
      <w:pPr>
        <w:rPr>
          <w:b/>
        </w:rPr>
      </w:pPr>
    </w:p>
    <w:p w:rsidR="00C35E15" w:rsidRDefault="00C35E15">
      <w:pPr>
        <w:rPr>
          <w:b/>
        </w:rPr>
      </w:pPr>
    </w:p>
    <w:p w:rsidR="00C35E15" w:rsidRDefault="00C35E15">
      <w:pPr>
        <w:rPr>
          <w:b/>
        </w:rPr>
      </w:pPr>
    </w:p>
    <w:p w:rsidR="00C35E15" w:rsidRDefault="00C35E15">
      <w:pPr>
        <w:rPr>
          <w:b/>
        </w:rPr>
      </w:pPr>
    </w:p>
    <w:p w:rsidR="00C35E15" w:rsidRDefault="00C35E15">
      <w:pPr>
        <w:rPr>
          <w:b/>
        </w:rPr>
      </w:pPr>
    </w:p>
    <w:p w:rsidR="00C35E15" w:rsidRDefault="00C35E15">
      <w:pPr>
        <w:rPr>
          <w:b/>
        </w:rPr>
      </w:pPr>
    </w:p>
    <w:p w:rsidR="00C35E15" w:rsidRDefault="00C35E15">
      <w:pPr>
        <w:rPr>
          <w:b/>
        </w:rPr>
      </w:pPr>
    </w:p>
    <w:p w:rsidR="00C35E15" w:rsidRDefault="00C35E15">
      <w:pPr>
        <w:rPr>
          <w:b/>
        </w:rPr>
      </w:pPr>
    </w:p>
    <w:p w:rsidR="00C35E15" w:rsidRDefault="00C35E15">
      <w:pPr>
        <w:rPr>
          <w:b/>
        </w:rPr>
      </w:pPr>
    </w:p>
    <w:p w:rsidR="00FC70C6" w:rsidRPr="00542C7E" w:rsidRDefault="00856203">
      <w:pPr>
        <w:rPr>
          <w:b/>
        </w:rPr>
      </w:pPr>
      <w:r w:rsidRPr="00542C7E">
        <w:rPr>
          <w:b/>
        </w:rPr>
        <w:t>Section A-Justification</w:t>
      </w:r>
    </w:p>
    <w:p w:rsidR="00856203" w:rsidRPr="00C8057D" w:rsidRDefault="00856203" w:rsidP="00C8057D">
      <w:pPr>
        <w:pStyle w:val="Heading1"/>
        <w:numPr>
          <w:ilvl w:val="0"/>
          <w:numId w:val="7"/>
        </w:numPr>
        <w:rPr>
          <w:rFonts w:asciiTheme="minorHAnsi" w:hAnsiTheme="minorHAnsi" w:cstheme="minorHAnsi"/>
          <w:b/>
          <w:color w:val="000000" w:themeColor="text1"/>
          <w:sz w:val="22"/>
          <w:szCs w:val="22"/>
        </w:rPr>
      </w:pPr>
      <w:bookmarkStart w:id="1" w:name="_Toc9946250"/>
      <w:r w:rsidRPr="00C8057D">
        <w:rPr>
          <w:rFonts w:asciiTheme="minorHAnsi" w:hAnsiTheme="minorHAnsi" w:cstheme="minorHAnsi"/>
          <w:b/>
          <w:color w:val="000000" w:themeColor="text1"/>
          <w:sz w:val="22"/>
          <w:szCs w:val="22"/>
        </w:rPr>
        <w:t>Circumstances making the collection of information necessary</w:t>
      </w:r>
      <w:bookmarkEnd w:id="1"/>
    </w:p>
    <w:p w:rsidR="00856203" w:rsidRDefault="00856203"/>
    <w:p w:rsidR="00856203" w:rsidRPr="00AF6E8C" w:rsidRDefault="00856203">
      <w:pPr>
        <w:rPr>
          <w:b/>
        </w:rPr>
      </w:pPr>
      <w:r w:rsidRPr="00AF6E8C">
        <w:rPr>
          <w:b/>
        </w:rPr>
        <w:t xml:space="preserve">Background </w:t>
      </w:r>
    </w:p>
    <w:p w:rsidR="00856203" w:rsidRDefault="00856203">
      <w:pPr>
        <w:rPr>
          <w:rFonts w:cstheme="minorHAnsi"/>
        </w:rPr>
      </w:pPr>
      <w:r w:rsidRPr="00AB019A">
        <w:rPr>
          <w:rFonts w:cstheme="minorHAnsi"/>
        </w:rPr>
        <w:t>The retail trade accounts for about 10 percent of the U.S. labor force. In 2017, approximately 16.7 million people were employed in retail, with 21% of these workers 55 years and older.</w:t>
      </w:r>
      <w:r w:rsidRPr="00AB019A">
        <w:rPr>
          <w:rFonts w:cstheme="minorHAnsi"/>
        </w:rPr>
        <w:fldChar w:fldCharType="begin"/>
      </w:r>
      <w:r w:rsidR="001A5121">
        <w:rPr>
          <w:rFonts w:cstheme="minorHAnsi"/>
        </w:rPr>
        <w:instrText xml:space="preserve"> ADDIN EN.CITE &lt;EndNote&gt;&lt;Cite&gt;&lt;Author&gt;CPS&lt;/Author&gt;&lt;Year&gt;2018&lt;/Year&gt;&lt;RecNum&gt;1520&lt;/RecNum&gt;&lt;DisplayText&gt;&lt;style face="superscript"&gt;1&lt;/style&gt;&lt;/DisplayText&gt;&lt;record&gt;&lt;rec-number&gt;1520&lt;/rec-number&gt;&lt;foreign-keys&gt;&lt;key app="EN" db-id="erpdtx02zt9fr1eze5cp5p9nrexptdr20pet" timestamp="1517945267"&gt;1520&lt;/key&gt;&lt;/foreign-keys&gt;&lt;ref-type name="Web Page"&gt;12&lt;/ref-type&gt;&lt;contributors&gt;&lt;authors&gt;&lt;author&gt;CPS&lt;/author&gt;&lt;/authors&gt;&lt;/contributors&gt;&lt;titles&gt;&lt;title&gt;Labor Force Statistics from the Current Population Survey&lt;/title&gt;&lt;/titles&gt;&lt;volume&gt;2018&lt;/volume&gt;&lt;number&gt;2/6/2018&lt;/number&gt;&lt;dates&gt;&lt;year&gt;2018&lt;/year&gt;&lt;/dates&gt;&lt;urls&gt;&lt;related-urls&gt;&lt;url&gt;https://www.bls.gov/cps/cpsaat18b.htm&lt;/url&gt;&lt;/related-urls&gt;&lt;/urls&gt;&lt;/record&gt;&lt;/Cite&gt;&lt;/EndNote&gt;</w:instrText>
      </w:r>
      <w:r w:rsidRPr="00AB019A">
        <w:rPr>
          <w:rFonts w:cstheme="minorHAnsi"/>
        </w:rPr>
        <w:fldChar w:fldCharType="separate"/>
      </w:r>
      <w:r w:rsidR="001A5121" w:rsidRPr="001A5121">
        <w:rPr>
          <w:rFonts w:cstheme="minorHAnsi"/>
          <w:noProof/>
          <w:vertAlign w:val="superscript"/>
        </w:rPr>
        <w:t>1</w:t>
      </w:r>
      <w:r w:rsidRPr="00AB019A">
        <w:rPr>
          <w:rFonts w:cstheme="minorHAnsi"/>
        </w:rPr>
        <w:fldChar w:fldCharType="end"/>
      </w:r>
      <w:r w:rsidRPr="00AB019A">
        <w:rPr>
          <w:rFonts w:cstheme="minorHAnsi"/>
        </w:rPr>
        <w:t xml:space="preserve"> For many people, a job in the retail sector represents their initial entry into the workforce, as well as their last place of work as older workers who are phasing out of the workforce or re-entering it after retirement. Retail workers are exposed to a wide variety of work activities and hazards that can contribute to </w:t>
      </w:r>
      <w:r w:rsidR="00746C0B" w:rsidRPr="00AB019A">
        <w:rPr>
          <w:rFonts w:cstheme="minorHAnsi"/>
        </w:rPr>
        <w:t>work-related musculoskeletal disorders (</w:t>
      </w:r>
      <w:r w:rsidRPr="00AB019A">
        <w:rPr>
          <w:rFonts w:cstheme="minorHAnsi"/>
        </w:rPr>
        <w:t>WMSDs</w:t>
      </w:r>
      <w:r w:rsidR="00746C0B" w:rsidRPr="00AB019A">
        <w:rPr>
          <w:rFonts w:cstheme="minorHAnsi"/>
        </w:rPr>
        <w:t>)</w:t>
      </w:r>
      <w:r w:rsidRPr="00AB019A">
        <w:rPr>
          <w:rFonts w:cstheme="minorHAnsi"/>
        </w:rPr>
        <w:t xml:space="preserve"> (e.g., bending, lifting, carrying) and </w:t>
      </w:r>
      <w:r w:rsidR="007E5494">
        <w:rPr>
          <w:rFonts w:cstheme="minorHAnsi"/>
        </w:rPr>
        <w:t>s</w:t>
      </w:r>
      <w:r w:rsidR="00746C0B" w:rsidRPr="00AB019A">
        <w:rPr>
          <w:rFonts w:cstheme="minorHAnsi"/>
        </w:rPr>
        <w:t xml:space="preserve">lips, </w:t>
      </w:r>
      <w:r w:rsidR="007E5494">
        <w:rPr>
          <w:rFonts w:cstheme="minorHAnsi"/>
        </w:rPr>
        <w:t>t</w:t>
      </w:r>
      <w:r w:rsidR="00746C0B" w:rsidRPr="00AB019A">
        <w:rPr>
          <w:rFonts w:cstheme="minorHAnsi"/>
        </w:rPr>
        <w:t xml:space="preserve">rips and </w:t>
      </w:r>
      <w:r w:rsidR="007E5494">
        <w:rPr>
          <w:rFonts w:cstheme="minorHAnsi"/>
        </w:rPr>
        <w:t>f</w:t>
      </w:r>
      <w:r w:rsidR="00746C0B" w:rsidRPr="00AB019A">
        <w:rPr>
          <w:rFonts w:cstheme="minorHAnsi"/>
        </w:rPr>
        <w:t>alls (</w:t>
      </w:r>
      <w:r w:rsidRPr="00AB019A">
        <w:rPr>
          <w:rFonts w:cstheme="minorHAnsi"/>
        </w:rPr>
        <w:t>STFs</w:t>
      </w:r>
      <w:r w:rsidR="00746C0B" w:rsidRPr="00AB019A">
        <w:rPr>
          <w:rFonts w:cstheme="minorHAnsi"/>
        </w:rPr>
        <w:t>)</w:t>
      </w:r>
      <w:r w:rsidRPr="00AB019A">
        <w:rPr>
          <w:rFonts w:cstheme="minorHAnsi"/>
        </w:rPr>
        <w:t xml:space="preserve"> (e.g., walking on slippery surfaces, poor lighting).</w:t>
      </w:r>
      <w:r w:rsidRPr="00EE725B">
        <w:rPr>
          <w:rFonts w:cstheme="minorHAnsi"/>
        </w:rPr>
        <w:t xml:space="preserve">  </w:t>
      </w:r>
    </w:p>
    <w:p w:rsidR="00E04F83" w:rsidRDefault="00E04F83" w:rsidP="00E04F83">
      <w:r>
        <w:t xml:space="preserve">WMSDs and injuries from </w:t>
      </w:r>
      <w:r w:rsidR="003717F7">
        <w:t>STFs</w:t>
      </w:r>
      <w:r>
        <w:t xml:space="preserve"> are a major health and economic burden on workers and their employers.</w:t>
      </w:r>
      <w:r>
        <w:fldChar w:fldCharType="begin"/>
      </w:r>
      <w:r w:rsidR="001A5121">
        <w:instrText xml:space="preserve"> ADDIN EN.CITE &lt;EndNote&gt;&lt;Cite&gt;&lt;Author&gt;Anderson&lt;/Author&gt;&lt;Year&gt;2010&lt;/Year&gt;&lt;RecNum&gt;1522&lt;/RecNum&gt;&lt;DisplayText&gt;&lt;style face="superscript"&gt;2,3&lt;/style&gt;&lt;/DisplayText&gt;&lt;record&gt;&lt;rec-number&gt;1522&lt;/rec-number&gt;&lt;foreign-keys&gt;&lt;key app="EN" db-id="erpdtx02zt9fr1eze5cp5p9nrexptdr20pet" timestamp="1518101245"&gt;1522&lt;/key&gt;&lt;/foreign-keys&gt;&lt;ref-type name="Journal Article"&gt;17&lt;/ref-type&gt;&lt;contributors&gt;&lt;authors&gt;&lt;author&gt;Anderson, Vern Putz&lt;/author&gt;&lt;author&gt;Schulte, Paul A&lt;/author&gt;&lt;author&gt;Sestito, John&lt;/author&gt;&lt;author&gt;Linn, Herb&lt;/author&gt;&lt;author&gt;Nguyen, Long S&lt;/author&gt;&lt;/authors&gt;&lt;/contributors&gt;&lt;titles&gt;&lt;title&gt;Occupational fatalities, injuries, illnesses, and related economic loss in the wholesale and retail trade sector&lt;/title&gt;&lt;secondary-title&gt;American journal of industrial medicine&lt;/secondary-title&gt;&lt;/titles&gt;&lt;periodical&gt;&lt;full-title&gt;American Journal of Industrial Medicine&lt;/full-title&gt;&lt;/periodical&gt;&lt;pages&gt;673-685&lt;/pages&gt;&lt;volume&gt;53&lt;/volume&gt;&lt;number&gt;7&lt;/number&gt;&lt;dates&gt;&lt;year&gt;2010&lt;/year&gt;&lt;/dates&gt;&lt;isbn&gt;1097-0274&lt;/isbn&gt;&lt;urls&gt;&lt;/urls&gt;&lt;/record&gt;&lt;/Cite&gt;&lt;Cite&gt;&lt;Author&gt;NIOSH&lt;/Author&gt;&lt;Year&gt;2005&lt;/Year&gt;&lt;RecNum&gt;1523&lt;/RecNum&gt;&lt;record&gt;&lt;rec-number&gt;1523&lt;/rec-number&gt;&lt;foreign-keys&gt;&lt;key app="EN" db-id="erpdtx02zt9fr1eze5cp5p9nrexptdr20pet" timestamp="1518101676"&gt;1523&lt;/key&gt;&lt;/foreign-keys&gt;&lt;ref-type name="Report"&gt;27&lt;/ref-type&gt;&lt;contributors&gt;&lt;authors&gt;&lt;author&gt;NIOSH,&lt;/author&gt;&lt;/authors&gt;&lt;/contributors&gt;&lt;titles&gt;&lt;title&gt;Injuries, Illnesses and Fatalities in Wholesale and Retail Trade in 2005: Chartbook&lt;/title&gt;&lt;/titles&gt;&lt;dates&gt;&lt;year&gt;2005&lt;/year&gt;&lt;/dates&gt;&lt;urls&gt;&lt;related-urls&gt;&lt;url&gt;https://www.cdc.gov/niosh/docs/2012-106/pdfs/2012-106.pdf&lt;/url&gt;&lt;/related-urls&gt;&lt;/urls&gt;&lt;access-date&gt;2/6/2018&lt;/access-date&gt;&lt;/record&gt;&lt;/Cite&gt;&lt;/EndNote&gt;</w:instrText>
      </w:r>
      <w:r>
        <w:fldChar w:fldCharType="separate"/>
      </w:r>
      <w:r w:rsidR="001A5121" w:rsidRPr="001A5121">
        <w:rPr>
          <w:noProof/>
          <w:vertAlign w:val="superscript"/>
        </w:rPr>
        <w:t>2,3</w:t>
      </w:r>
      <w:r>
        <w:fldChar w:fldCharType="end"/>
      </w:r>
      <w:r>
        <w:t xml:space="preserve"> WMSDs include cases when the event or exposure leading to the injury or illness is overexertion and bodily reaction, which can be caused by repetitive motion, awkward postures, excessive force, and vibration. In 2014, the musculoskeletal injury rate was 35.3 per 10,000 full-time retail workers while the rate of falls was 17.3 per 10,000. Although there has been a reduction in the number of injuries over time, the injury rate in the wholesale and retail trade (WRT) is still higher than the average of all industries (31.9 per 10,000 full-time workers in 2014). </w:t>
      </w:r>
      <w:r w:rsidRPr="00C72EC5">
        <w:t>However, there has been</w:t>
      </w:r>
      <w:r>
        <w:t xml:space="preserve"> a</w:t>
      </w:r>
      <w:r w:rsidRPr="00C72EC5">
        <w:t xml:space="preserve"> gradual increase in the rate of STFs over time.</w:t>
      </w:r>
      <w:r>
        <w:t xml:space="preserve"> STFs are the third most common cause of lost-workday injuries in WRT establishments. Seventy-five percent of STF injuries in WRT occur at same-level</w:t>
      </w:r>
      <w:r w:rsidR="001A5121">
        <w:t xml:space="preserve"> (not from a higher level)</w:t>
      </w:r>
      <w:r>
        <w:t>. Recent research indicates that there is a higher frequency of same-level fall injuries at work among older workers relative to younger workers.</w:t>
      </w:r>
      <w:r>
        <w:fldChar w:fldCharType="begin"/>
      </w:r>
      <w:r w:rsidR="001A5121">
        <w:instrText xml:space="preserve"> ADDIN EN.CITE &lt;EndNote&gt;&lt;Cite&gt;&lt;Author&gt;Scott&lt;/Author&gt;&lt;RecNum&gt;1485&lt;/RecNum&gt;&lt;DisplayText&gt;&lt;style face="superscript"&gt;4&lt;/style&gt;&lt;/DisplayText&gt;&lt;record&gt;&lt;rec-number&gt;1485&lt;/rec-number&gt;&lt;foreign-keys&gt;&lt;key app="EN" db-id="erpdtx02zt9fr1eze5cp5p9nrexptdr20pet" timestamp="1514472285"&gt;1485&lt;/key&gt;&lt;/foreign-keys&gt;&lt;ref-type name="Journal Article"&gt;17&lt;/ref-type&gt;&lt;contributors&gt;&lt;authors&gt;&lt;author&gt;Scott, Kenneth A.&lt;/author&gt;&lt;author&gt;Fisher, Gwenith G.&lt;/author&gt;&lt;author&gt;Barón, Anna E.&lt;/author&gt;&lt;author&gt;Tompa, Emile&lt;/author&gt;&lt;author&gt;Stallones, Lorann&lt;/author&gt;&lt;author&gt;DiGuiseppi, Carolyn&lt;/author&gt;&lt;/authors&gt;&lt;/contributors&gt;&lt;titles&gt;&lt;title&gt;Same-level fall injuries in US workplaces by age group, gender, and industry&lt;/title&gt;&lt;secondary-title&gt;American Journal of Industrial Medicine&lt;/secondary-title&gt;&lt;/titles&gt;&lt;periodical&gt;&lt;full-title&gt;American Journal of Industrial Medicine&lt;/full-title&gt;&lt;/periodical&gt;&lt;pages&gt;n/a-n/a&lt;/pages&gt;&lt;keywords&gt;&lt;keyword&gt;accidental falls&lt;/keyword&gt;&lt;keyword&gt;demographic aging&lt;/keyword&gt;&lt;keyword&gt;epidemiology&lt;/keyword&gt;&lt;keyword&gt;industry&lt;/keyword&gt;&lt;keyword&gt;occupational injuries&lt;/keyword&gt;&lt;/keywords&gt;&lt;dates&gt;&lt;/dates&gt;&lt;isbn&gt;1097-0274&lt;/isbn&gt;&lt;urls&gt;&lt;related-urls&gt;&lt;url&gt;http://dx.doi.org/10.1002/ajim.22796&lt;/url&gt;&lt;/related-urls&gt;&lt;/urls&gt;&lt;electronic-resource-num&gt;10.1002/ajim.22796&lt;/electronic-resource-num&gt;&lt;/record&gt;&lt;/Cite&gt;&lt;/EndNote&gt;</w:instrText>
      </w:r>
      <w:r>
        <w:fldChar w:fldCharType="separate"/>
      </w:r>
      <w:r w:rsidR="001A5121" w:rsidRPr="001A5121">
        <w:rPr>
          <w:noProof/>
          <w:vertAlign w:val="superscript"/>
        </w:rPr>
        <w:t>4</w:t>
      </w:r>
      <w:r>
        <w:fldChar w:fldCharType="end"/>
      </w:r>
    </w:p>
    <w:p w:rsidR="00E04F83" w:rsidRDefault="00E04F83" w:rsidP="00E04F83">
      <w:pPr>
        <w:rPr>
          <w:rFonts w:cstheme="minorHAnsi"/>
        </w:rPr>
      </w:pPr>
      <w:r>
        <w:rPr>
          <w:rFonts w:cstheme="minorHAnsi"/>
        </w:rPr>
        <w:t>As the U.S. workforce continues to age, the</w:t>
      </w:r>
      <w:r w:rsidR="00224879">
        <w:rPr>
          <w:rFonts w:cstheme="minorHAnsi"/>
        </w:rPr>
        <w:t xml:space="preserve">re </w:t>
      </w:r>
      <w:r w:rsidR="001411AF">
        <w:rPr>
          <w:rFonts w:cstheme="minorHAnsi"/>
        </w:rPr>
        <w:t xml:space="preserve">is </w:t>
      </w:r>
      <w:r w:rsidR="00224879">
        <w:rPr>
          <w:rFonts w:cstheme="minorHAnsi"/>
        </w:rPr>
        <w:t>an increasing</w:t>
      </w:r>
      <w:r>
        <w:rPr>
          <w:rFonts w:cstheme="minorHAnsi"/>
        </w:rPr>
        <w:t xml:space="preserve"> need to create age-friendly workplaces</w:t>
      </w:r>
      <w:r w:rsidR="001A5121">
        <w:rPr>
          <w:rFonts w:cstheme="minorHAnsi"/>
        </w:rPr>
        <w:fldChar w:fldCharType="begin"/>
      </w:r>
      <w:r w:rsidR="001A5121">
        <w:rPr>
          <w:rFonts w:cstheme="minorHAnsi"/>
        </w:rPr>
        <w:instrText xml:space="preserve"> ADDIN EN.CITE &lt;EndNote&gt;&lt;Cite&gt;&lt;Author&gt;De Guzman&lt;/Author&gt;&lt;Year&gt;2014&lt;/Year&gt;&lt;RecNum&gt;1635&lt;/RecNum&gt;&lt;DisplayText&gt;&lt;style face="superscript"&gt;5&lt;/style&gt;&lt;/DisplayText&gt;&lt;record&gt;&lt;rec-number&gt;1635&lt;/rec-number&gt;&lt;foreign-keys&gt;&lt;key app="EN" db-id="erpdtx02zt9fr1eze5cp5p9nrexptdr20pet" timestamp="1559065390"&gt;1635&lt;/key&gt;&lt;/foreign-keys&gt;&lt;ref-type name="Journal Article"&gt;17&lt;/ref-type&gt;&lt;contributors&gt;&lt;authors&gt;&lt;author&gt;De Guzman, Allan B&lt;/author&gt;&lt;author&gt;Amrad, Hazel N&lt;/author&gt;&lt;author&gt;Araullo, Roren Charisse G&lt;/author&gt;&lt;author&gt;Cheung, Hershey Betricia O %J Educational gerontology&lt;/author&gt;&lt;/authors&gt;&lt;/contributors&gt;&lt;titles&gt;&lt;title&gt;A structural equation modeling of the factors affecting an age-friendly workplace&lt;/title&gt;&lt;/titles&gt;&lt;pages&gt;387-400&lt;/pages&gt;&lt;volume&gt;40&lt;/volume&gt;&lt;number&gt;6&lt;/number&gt;&lt;dates&gt;&lt;year&gt;2014&lt;/year&gt;&lt;/dates&gt;&lt;isbn&gt;0360-1277&lt;/isbn&gt;&lt;urls&gt;&lt;/urls&gt;&lt;/record&gt;&lt;/Cite&gt;&lt;/EndNote&gt;</w:instrText>
      </w:r>
      <w:r w:rsidR="001A5121">
        <w:rPr>
          <w:rFonts w:cstheme="minorHAnsi"/>
        </w:rPr>
        <w:fldChar w:fldCharType="separate"/>
      </w:r>
      <w:r w:rsidR="001A5121" w:rsidRPr="001A5121">
        <w:rPr>
          <w:rFonts w:cstheme="minorHAnsi"/>
          <w:noProof/>
          <w:vertAlign w:val="superscript"/>
        </w:rPr>
        <w:t>5</w:t>
      </w:r>
      <w:r w:rsidR="001A5121">
        <w:rPr>
          <w:rFonts w:cstheme="minorHAnsi"/>
        </w:rPr>
        <w:fldChar w:fldCharType="end"/>
      </w:r>
      <w:r w:rsidR="00224879">
        <w:rPr>
          <w:rFonts w:cstheme="minorHAnsi"/>
        </w:rPr>
        <w:t>—work settings that sustain the physical and psychosocial safety all of workers as they get older</w:t>
      </w:r>
      <w:r>
        <w:rPr>
          <w:rFonts w:cstheme="minorHAnsi"/>
        </w:rPr>
        <w:t>.  Although there are some sources of guidance with regard to preventing WMSDs and STFs in the retail sector,</w:t>
      </w:r>
      <w:r>
        <w:rPr>
          <w:rFonts w:cstheme="minorHAnsi"/>
        </w:rPr>
        <w:fldChar w:fldCharType="begin"/>
      </w:r>
      <w:r w:rsidR="001A5121">
        <w:rPr>
          <w:rFonts w:cstheme="minorHAnsi"/>
        </w:rPr>
        <w:instrText xml:space="preserve"> ADDIN EN.CITE &lt;EndNote&gt;&lt;Cite&gt;&lt;Author&gt;Afanuh&lt;/Author&gt;&lt;RecNum&gt;1524&lt;/RecNum&gt;&lt;DisplayText&gt;&lt;style face="superscript"&gt;6,7&lt;/style&gt;&lt;/DisplayText&gt;&lt;record&gt;&lt;rec-number&gt;1524&lt;/rec-number&gt;&lt;foreign-keys&gt;&lt;key app="EN" db-id="erpdtx02zt9fr1eze5cp5p9nrexptdr20pet" timestamp="1518102037"&gt;1524&lt;/key&gt;&lt;/foreign-keys&gt;&lt;ref-type name="Journal Article"&gt;17&lt;/ref-type&gt;&lt;contributors&gt;&lt;authors&gt;&lt;author&gt;Afanuh, Susan&lt;/author&gt;&lt;author&gt;Anderson, Vern Putz&lt;/author&gt;&lt;author&gt;Bell, Jennifer&lt;/author&gt;&lt;/authors&gt;&lt;/contributors&gt;&lt;titles&gt;&lt;title&gt;Preventing slips, trips, and falls in wholesale and retail trade establishments&lt;/title&gt;&lt;/titles&gt;&lt;dates&gt;&lt;/dates&gt;&lt;urls&gt;&lt;/urls&gt;&lt;/record&gt;&lt;/Cite&gt;&lt;Cite&gt;&lt;Author&gt;WorkSafeBC&lt;/Author&gt;&lt;Year&gt;2012&lt;/Year&gt;&lt;RecNum&gt;1525&lt;/RecNum&gt;&lt;record&gt;&lt;rec-number&gt;1525&lt;/rec-number&gt;&lt;foreign-keys&gt;&lt;key app="EN" db-id="erpdtx02zt9fr1eze5cp5p9nrexptdr20pet" timestamp="1518102469"&gt;1525&lt;/key&gt;&lt;/foreign-keys&gt;&lt;ref-type name="Report"&gt;27&lt;/ref-type&gt;&lt;contributors&gt;&lt;authors&gt;&lt;author&gt;WorkSafeBC,&lt;/author&gt;&lt;/authors&gt;&lt;tertiary-authors&gt;&lt;author&gt;Workers&amp;apos; Compensation Board of British Columbia&lt;/author&gt;&lt;/tertiary-authors&gt;&lt;/contributors&gt;&lt;titles&gt;&lt;title&gt;Health and Safety Guide for New Retail Workers&lt;/title&gt;&lt;/titles&gt;&lt;dates&gt;&lt;year&gt;2012&lt;/year&gt;&lt;/dates&gt;&lt;urls&gt;&lt;related-urls&gt;&lt;url&gt;https://www.retailcouncil.org/sites/default/files/documents/bc_RetailWorkerSafetyBooklet.pdf&lt;/url&gt;&lt;/related-urls&gt;&lt;/urls&gt;&lt;access-date&gt;2/6/2018&lt;/access-date&gt;&lt;/record&gt;&lt;/Cite&gt;&lt;/EndNote&gt;</w:instrText>
      </w:r>
      <w:r>
        <w:rPr>
          <w:rFonts w:cstheme="minorHAnsi"/>
        </w:rPr>
        <w:fldChar w:fldCharType="separate"/>
      </w:r>
      <w:r w:rsidR="001A5121" w:rsidRPr="001A5121">
        <w:rPr>
          <w:rFonts w:cstheme="minorHAnsi"/>
          <w:noProof/>
          <w:vertAlign w:val="superscript"/>
        </w:rPr>
        <w:t>6,7</w:t>
      </w:r>
      <w:r>
        <w:rPr>
          <w:rFonts w:cstheme="minorHAnsi"/>
        </w:rPr>
        <w:fldChar w:fldCharType="end"/>
      </w:r>
      <w:r>
        <w:rPr>
          <w:rFonts w:cstheme="minorHAnsi"/>
        </w:rPr>
        <w:t xml:space="preserve"> few, if any, of these resources incorporate a perspective focusing on the needs of an aging workforce. The translational materials that are developed for this project will provide (a) educational information regarding the impact of aging on worker safety in the retail sector, and (b) evidence-based recommendations regarding the prevention of WMSDs and STFs.</w:t>
      </w:r>
    </w:p>
    <w:p w:rsidR="001411AF" w:rsidRDefault="00E04F83" w:rsidP="00E04F83">
      <w:pPr>
        <w:rPr>
          <w:rFonts w:cstheme="minorHAnsi"/>
        </w:rPr>
      </w:pPr>
      <w:r>
        <w:rPr>
          <w:rFonts w:cstheme="minorHAnsi"/>
        </w:rPr>
        <w:t>This data collection is being conducted using the Generic Information Collection OMB No. 0920-</w:t>
      </w:r>
      <w:r w:rsidR="00AF6E8C">
        <w:rPr>
          <w:rFonts w:cstheme="minorHAnsi"/>
        </w:rPr>
        <w:t xml:space="preserve">1154. </w:t>
      </w:r>
      <w:r w:rsidR="001411AF">
        <w:rPr>
          <w:rFonts w:cstheme="minorHAnsi"/>
        </w:rPr>
        <w:t>A private contractor</w:t>
      </w:r>
      <w:r w:rsidR="0009132A">
        <w:rPr>
          <w:rFonts w:cstheme="minorHAnsi"/>
        </w:rPr>
        <w:t>, working with NIOSH researchers,</w:t>
      </w:r>
      <w:r w:rsidR="001411AF">
        <w:rPr>
          <w:rFonts w:cstheme="minorHAnsi"/>
        </w:rPr>
        <w:t xml:space="preserve"> will recruit focus group participants, conduct the focus groups, and </w:t>
      </w:r>
      <w:r w:rsidR="0009132A">
        <w:rPr>
          <w:rFonts w:cstheme="minorHAnsi"/>
        </w:rPr>
        <w:t>write a report that summarizes major findings regarding the prevention of WMSDs and STFs in an aging workforce.</w:t>
      </w:r>
    </w:p>
    <w:p w:rsidR="00AF6E8C" w:rsidRDefault="00AF6E8C" w:rsidP="00E04F83"/>
    <w:p w:rsidR="00AF6E8C" w:rsidRPr="00C0455A" w:rsidRDefault="00AF6E8C" w:rsidP="00C0455A">
      <w:pPr>
        <w:pStyle w:val="Heading1"/>
        <w:numPr>
          <w:ilvl w:val="0"/>
          <w:numId w:val="7"/>
        </w:numPr>
        <w:rPr>
          <w:rFonts w:asciiTheme="minorHAnsi" w:hAnsiTheme="minorHAnsi" w:cstheme="minorHAnsi"/>
          <w:b/>
          <w:color w:val="000000" w:themeColor="text1"/>
          <w:sz w:val="22"/>
          <w:szCs w:val="24"/>
        </w:rPr>
      </w:pPr>
      <w:bookmarkStart w:id="2" w:name="_Toc9946251"/>
      <w:r w:rsidRPr="00C8057D">
        <w:rPr>
          <w:rFonts w:asciiTheme="minorHAnsi" w:hAnsiTheme="minorHAnsi" w:cstheme="minorHAnsi"/>
          <w:b/>
          <w:color w:val="000000" w:themeColor="text1"/>
          <w:sz w:val="22"/>
          <w:szCs w:val="24"/>
        </w:rPr>
        <w:t>Purpose and Use of the Information Collection</w:t>
      </w:r>
      <w:bookmarkEnd w:id="2"/>
    </w:p>
    <w:p w:rsidR="00AF6E8C" w:rsidRDefault="00AF6E8C" w:rsidP="00C0455A">
      <w:pPr>
        <w:pStyle w:val="ListParagraph"/>
        <w:tabs>
          <w:tab w:val="left" w:pos="900"/>
        </w:tabs>
        <w:ind w:left="360"/>
        <w:rPr>
          <w:rFonts w:cstheme="minorHAnsi"/>
        </w:rPr>
      </w:pPr>
      <w:r>
        <w:t xml:space="preserve">The purpose of </w:t>
      </w:r>
      <w:r w:rsidR="001411AF">
        <w:t xml:space="preserve">conducting </w:t>
      </w:r>
      <w:r>
        <w:t xml:space="preserve">these </w:t>
      </w:r>
      <w:r w:rsidR="001411AF">
        <w:t xml:space="preserve">formative research </w:t>
      </w:r>
      <w:r>
        <w:t xml:space="preserve">focus groups is to </w:t>
      </w:r>
      <w:r w:rsidR="001411AF">
        <w:t xml:space="preserve">improve the researchers’ understanding of </w:t>
      </w:r>
      <w:r w:rsidRPr="00366355">
        <w:rPr>
          <w:rFonts w:cstheme="minorHAnsi"/>
        </w:rPr>
        <w:t>workers’ and employers’ knowledge of WMSDs, STFs, activities and factors that lead to WMSDs and STFs, how workers deal with injuries, information workers have already received about WMSDs and falls</w:t>
      </w:r>
      <w:r w:rsidR="00E117D2">
        <w:rPr>
          <w:rFonts w:cstheme="minorHAnsi"/>
        </w:rPr>
        <w:t>,</w:t>
      </w:r>
      <w:r w:rsidRPr="00366355">
        <w:rPr>
          <w:rFonts w:cstheme="minorHAnsi"/>
        </w:rPr>
        <w:t xml:space="preserve"> and how experience and attitude towards WMSDs and STF injuries change with age. </w:t>
      </w:r>
      <w:r>
        <w:rPr>
          <w:rFonts w:cstheme="minorHAnsi"/>
        </w:rPr>
        <w:t xml:space="preserve"> This information </w:t>
      </w:r>
      <w:r w:rsidR="0009132A">
        <w:rPr>
          <w:rFonts w:cstheme="minorHAnsi"/>
        </w:rPr>
        <w:t xml:space="preserve">will </w:t>
      </w:r>
      <w:r w:rsidR="001411AF">
        <w:rPr>
          <w:rFonts w:cstheme="minorHAnsi"/>
        </w:rPr>
        <w:t xml:space="preserve">inform the development of </w:t>
      </w:r>
      <w:r w:rsidR="00F14F36">
        <w:rPr>
          <w:rFonts w:cstheme="minorHAnsi"/>
        </w:rPr>
        <w:t xml:space="preserve">draft </w:t>
      </w:r>
      <w:r w:rsidR="00E117D2">
        <w:rPr>
          <w:rFonts w:cstheme="minorHAnsi"/>
        </w:rPr>
        <w:t xml:space="preserve">educational materials </w:t>
      </w:r>
      <w:r w:rsidR="00F14F36">
        <w:rPr>
          <w:rFonts w:cstheme="minorHAnsi"/>
        </w:rPr>
        <w:t xml:space="preserve">and resources for </w:t>
      </w:r>
      <w:r w:rsidR="00746C0B">
        <w:rPr>
          <w:rFonts w:cstheme="minorHAnsi"/>
        </w:rPr>
        <w:t xml:space="preserve">older retail workers. </w:t>
      </w:r>
      <w:r w:rsidR="002B68FD">
        <w:rPr>
          <w:rFonts w:cstheme="minorHAnsi"/>
        </w:rPr>
        <w:t xml:space="preserve"> </w:t>
      </w:r>
    </w:p>
    <w:p w:rsidR="004D375B" w:rsidRDefault="004D375B" w:rsidP="00AF6E8C">
      <w:pPr>
        <w:pStyle w:val="ListParagraph"/>
        <w:rPr>
          <w:rFonts w:cstheme="minorHAnsi"/>
        </w:rPr>
      </w:pPr>
    </w:p>
    <w:p w:rsidR="004D375B" w:rsidRDefault="004D375B" w:rsidP="004D375B">
      <w:pPr>
        <w:rPr>
          <w:rFonts w:cstheme="minorHAnsi"/>
        </w:rPr>
      </w:pPr>
      <w:r>
        <w:rPr>
          <w:rFonts w:cstheme="minorHAnsi"/>
        </w:rPr>
        <w:t>Six focus groups with up to 9 participants each will be conducted by the contractor. The six focus groups will consist of:</w:t>
      </w:r>
    </w:p>
    <w:p w:rsidR="004D375B" w:rsidRPr="00366355" w:rsidRDefault="004D375B" w:rsidP="004D375B">
      <w:pPr>
        <w:pStyle w:val="ListParagraph"/>
        <w:numPr>
          <w:ilvl w:val="0"/>
          <w:numId w:val="4"/>
        </w:numPr>
        <w:spacing w:before="100" w:beforeAutospacing="1" w:after="100" w:afterAutospacing="1" w:line="360" w:lineRule="auto"/>
        <w:rPr>
          <w:rFonts w:cstheme="minorHAnsi"/>
        </w:rPr>
      </w:pPr>
      <w:r w:rsidRPr="00366355">
        <w:rPr>
          <w:rFonts w:cstheme="minorHAnsi"/>
        </w:rPr>
        <w:t>Older (55 years and older) workers in small businesses (&lt;50 employees)</w:t>
      </w:r>
    </w:p>
    <w:p w:rsidR="004D375B" w:rsidRPr="00366355" w:rsidRDefault="004D375B" w:rsidP="004D375B">
      <w:pPr>
        <w:pStyle w:val="ListParagraph"/>
        <w:numPr>
          <w:ilvl w:val="0"/>
          <w:numId w:val="4"/>
        </w:numPr>
        <w:spacing w:before="100" w:beforeAutospacing="1" w:after="100" w:afterAutospacing="1" w:line="360" w:lineRule="auto"/>
        <w:rPr>
          <w:rFonts w:cstheme="minorHAnsi"/>
        </w:rPr>
      </w:pPr>
      <w:r w:rsidRPr="00366355">
        <w:rPr>
          <w:rFonts w:cstheme="minorHAnsi"/>
        </w:rPr>
        <w:t>Young and middle-aged workers (less than 55 years and old) in small businesses</w:t>
      </w:r>
    </w:p>
    <w:p w:rsidR="004D375B" w:rsidRPr="00366355" w:rsidRDefault="004D375B" w:rsidP="004D375B">
      <w:pPr>
        <w:pStyle w:val="ListParagraph"/>
        <w:numPr>
          <w:ilvl w:val="0"/>
          <w:numId w:val="4"/>
        </w:numPr>
        <w:spacing w:before="100" w:beforeAutospacing="1" w:after="100" w:afterAutospacing="1" w:line="360" w:lineRule="auto"/>
        <w:rPr>
          <w:rFonts w:cstheme="minorHAnsi"/>
        </w:rPr>
      </w:pPr>
      <w:r w:rsidRPr="00366355">
        <w:rPr>
          <w:rFonts w:cstheme="minorHAnsi"/>
        </w:rPr>
        <w:t>Older workers (55 years and older)  in large businesses (≥50 employees)</w:t>
      </w:r>
    </w:p>
    <w:p w:rsidR="004D375B" w:rsidRPr="00366355" w:rsidRDefault="004D375B" w:rsidP="004D375B">
      <w:pPr>
        <w:pStyle w:val="ListParagraph"/>
        <w:numPr>
          <w:ilvl w:val="0"/>
          <w:numId w:val="4"/>
        </w:numPr>
        <w:spacing w:before="100" w:beforeAutospacing="1" w:after="100" w:afterAutospacing="1" w:line="360" w:lineRule="auto"/>
        <w:rPr>
          <w:rFonts w:cstheme="minorHAnsi"/>
        </w:rPr>
      </w:pPr>
      <w:r w:rsidRPr="00366355">
        <w:rPr>
          <w:rFonts w:cstheme="minorHAnsi"/>
        </w:rPr>
        <w:t>Young and middle-aged workers (less than 55 years and old)  in larger businesses</w:t>
      </w:r>
    </w:p>
    <w:p w:rsidR="004D375B" w:rsidRPr="00366355" w:rsidRDefault="004D375B" w:rsidP="004D375B">
      <w:pPr>
        <w:pStyle w:val="ListParagraph"/>
        <w:numPr>
          <w:ilvl w:val="0"/>
          <w:numId w:val="4"/>
        </w:numPr>
        <w:spacing w:before="100" w:beforeAutospacing="1" w:after="100" w:afterAutospacing="1" w:line="360" w:lineRule="auto"/>
        <w:rPr>
          <w:rFonts w:cstheme="minorHAnsi"/>
        </w:rPr>
      </w:pPr>
      <w:r w:rsidRPr="00366355">
        <w:rPr>
          <w:rFonts w:cstheme="minorHAnsi"/>
        </w:rPr>
        <w:t>Retail trade employers/managers in large businesses</w:t>
      </w:r>
    </w:p>
    <w:p w:rsidR="004D375B" w:rsidRPr="00366355" w:rsidRDefault="004D375B" w:rsidP="004D375B">
      <w:pPr>
        <w:pStyle w:val="ListParagraph"/>
        <w:numPr>
          <w:ilvl w:val="0"/>
          <w:numId w:val="4"/>
        </w:numPr>
        <w:spacing w:before="100" w:beforeAutospacing="1" w:after="100" w:afterAutospacing="1" w:line="360" w:lineRule="auto"/>
        <w:rPr>
          <w:rFonts w:cstheme="minorHAnsi"/>
        </w:rPr>
      </w:pPr>
      <w:r w:rsidRPr="00366355">
        <w:rPr>
          <w:rFonts w:cstheme="minorHAnsi"/>
        </w:rPr>
        <w:t>Retail trade employers/managers in small businesses</w:t>
      </w:r>
    </w:p>
    <w:p w:rsidR="00972E71" w:rsidRDefault="00972E71" w:rsidP="00AF6E8C">
      <w:pPr>
        <w:pStyle w:val="ListParagraph"/>
        <w:rPr>
          <w:rFonts w:cstheme="minorHAnsi"/>
        </w:rPr>
      </w:pPr>
    </w:p>
    <w:p w:rsidR="00972E71" w:rsidRDefault="00DF23EB" w:rsidP="00AF6E8C">
      <w:pPr>
        <w:pStyle w:val="ListParagraph"/>
        <w:rPr>
          <w:rFonts w:cstheme="minorHAnsi"/>
        </w:rPr>
      </w:pPr>
      <w:r>
        <w:rPr>
          <w:rFonts w:cstheme="minorHAnsi"/>
        </w:rPr>
        <w:t>Q</w:t>
      </w:r>
      <w:r w:rsidR="00656C03">
        <w:rPr>
          <w:rFonts w:cstheme="minorHAnsi"/>
        </w:rPr>
        <w:t>uestions</w:t>
      </w:r>
      <w:r w:rsidR="00972E71">
        <w:rPr>
          <w:rFonts w:cstheme="minorHAnsi"/>
        </w:rPr>
        <w:t xml:space="preserve"> in the focus group questionnaire </w:t>
      </w:r>
      <w:r>
        <w:rPr>
          <w:rFonts w:cstheme="minorHAnsi"/>
        </w:rPr>
        <w:t xml:space="preserve">ask respondents to </w:t>
      </w:r>
      <w:r w:rsidR="00F14F36">
        <w:rPr>
          <w:rFonts w:cstheme="minorHAnsi"/>
        </w:rPr>
        <w:t xml:space="preserve">provide feedback </w:t>
      </w:r>
      <w:r>
        <w:rPr>
          <w:rFonts w:cstheme="minorHAnsi"/>
        </w:rPr>
        <w:t>on the following topics</w:t>
      </w:r>
      <w:r w:rsidR="00656C03">
        <w:rPr>
          <w:rFonts w:cstheme="minorHAnsi"/>
        </w:rPr>
        <w:t xml:space="preserve"> </w:t>
      </w:r>
      <w:r w:rsidR="00AA73F6">
        <w:rPr>
          <w:rFonts w:cstheme="minorHAnsi"/>
        </w:rPr>
        <w:t xml:space="preserve">(also see </w:t>
      </w:r>
      <w:r w:rsidR="00972E71">
        <w:rPr>
          <w:rFonts w:cstheme="minorHAnsi"/>
        </w:rPr>
        <w:t>attachment</w:t>
      </w:r>
      <w:r w:rsidR="00AA73F6">
        <w:rPr>
          <w:rFonts w:cstheme="minorHAnsi"/>
        </w:rPr>
        <w:t xml:space="preserve"> II, III and IV</w:t>
      </w:r>
      <w:r w:rsidR="00972E71">
        <w:rPr>
          <w:rFonts w:cstheme="minorHAnsi"/>
        </w:rPr>
        <w:t>):</w:t>
      </w:r>
    </w:p>
    <w:p w:rsidR="00123B3F" w:rsidRDefault="00123B3F" w:rsidP="00123B3F">
      <w:pPr>
        <w:pStyle w:val="ListParagraph"/>
        <w:numPr>
          <w:ilvl w:val="0"/>
          <w:numId w:val="2"/>
        </w:numPr>
      </w:pPr>
      <w:r w:rsidRPr="00263CFE">
        <w:rPr>
          <w:b/>
        </w:rPr>
        <w:t>Knowledge about and experience with WMSDs</w:t>
      </w:r>
      <w:r w:rsidR="00FE7244">
        <w:t xml:space="preserve"> (experience with muscle and joint pain, cause of injury, situation where they are</w:t>
      </w:r>
      <w:r w:rsidR="006C501B">
        <w:t xml:space="preserve"> more likely to experience pain</w:t>
      </w:r>
      <w:r w:rsidR="00FE7244">
        <w:t>)</w:t>
      </w:r>
    </w:p>
    <w:p w:rsidR="00123B3F" w:rsidRDefault="00123B3F" w:rsidP="00123B3F">
      <w:pPr>
        <w:pStyle w:val="ListParagraph"/>
        <w:numPr>
          <w:ilvl w:val="0"/>
          <w:numId w:val="2"/>
        </w:numPr>
      </w:pPr>
      <w:r w:rsidRPr="00263CFE">
        <w:rPr>
          <w:b/>
        </w:rPr>
        <w:t>Safety and Prevention Perceptions</w:t>
      </w:r>
      <w:r w:rsidR="00FE7244">
        <w:t xml:space="preserve"> (</w:t>
      </w:r>
      <w:r w:rsidR="00263CFE">
        <w:t>things they do to prevent pain, barriers faced when trying to avoid pain, training and information to prevent muscle and joint pain, what guidelines around work organization are important to preventing injuries)</w:t>
      </w:r>
    </w:p>
    <w:p w:rsidR="00123B3F" w:rsidRDefault="00123B3F" w:rsidP="00123B3F">
      <w:pPr>
        <w:pStyle w:val="ListParagraph"/>
        <w:numPr>
          <w:ilvl w:val="0"/>
          <w:numId w:val="2"/>
        </w:numPr>
      </w:pPr>
      <w:r w:rsidRPr="00263CFE">
        <w:rPr>
          <w:b/>
        </w:rPr>
        <w:t>Aging in the workplace</w:t>
      </w:r>
      <w:r w:rsidR="00263CFE">
        <w:t xml:space="preserve"> (changes that affect how they do their job, perception and stereotypes associated with age)</w:t>
      </w:r>
    </w:p>
    <w:p w:rsidR="00C8057D" w:rsidRDefault="00123B3F" w:rsidP="00C8057D">
      <w:pPr>
        <w:pStyle w:val="ListParagraph"/>
        <w:numPr>
          <w:ilvl w:val="0"/>
          <w:numId w:val="2"/>
        </w:numPr>
      </w:pPr>
      <w:r w:rsidRPr="00263CFE">
        <w:rPr>
          <w:b/>
        </w:rPr>
        <w:t xml:space="preserve">Information needs </w:t>
      </w:r>
      <w:r w:rsidR="00263CFE" w:rsidRPr="00263CFE">
        <w:rPr>
          <w:b/>
        </w:rPr>
        <w:t>and recommendations</w:t>
      </w:r>
      <w:r w:rsidR="00263CFE">
        <w:t xml:space="preserve"> (where do they get information about WMSD and fall injuries and how to prevent them, what information or training would help most to avoid WMSD pain because of work)</w:t>
      </w:r>
    </w:p>
    <w:p w:rsidR="00713C3F" w:rsidRDefault="00713C3F" w:rsidP="001D35DF"/>
    <w:p w:rsidR="00C8057D" w:rsidRPr="00C8057D" w:rsidRDefault="00C8057D" w:rsidP="00C8057D">
      <w:pPr>
        <w:rPr>
          <w:rFonts w:cstheme="minorHAnsi"/>
        </w:rPr>
      </w:pPr>
    </w:p>
    <w:p w:rsidR="00123B3F" w:rsidRPr="00C0455A" w:rsidRDefault="00123B3F" w:rsidP="00C0455A">
      <w:pPr>
        <w:pStyle w:val="Heading1"/>
        <w:numPr>
          <w:ilvl w:val="0"/>
          <w:numId w:val="7"/>
        </w:numPr>
        <w:rPr>
          <w:rFonts w:asciiTheme="minorHAnsi" w:hAnsiTheme="minorHAnsi" w:cstheme="minorHAnsi"/>
          <w:b/>
          <w:color w:val="000000" w:themeColor="text1"/>
          <w:sz w:val="22"/>
          <w:szCs w:val="22"/>
        </w:rPr>
      </w:pPr>
      <w:bookmarkStart w:id="3" w:name="_Toc9946252"/>
      <w:r w:rsidRPr="00C8057D">
        <w:rPr>
          <w:rFonts w:asciiTheme="minorHAnsi" w:hAnsiTheme="minorHAnsi" w:cstheme="minorHAnsi"/>
          <w:b/>
          <w:color w:val="000000" w:themeColor="text1"/>
          <w:sz w:val="22"/>
          <w:szCs w:val="22"/>
        </w:rPr>
        <w:t>Use of Improved Information Technology and Burden Reduction</w:t>
      </w:r>
      <w:bookmarkEnd w:id="3"/>
    </w:p>
    <w:p w:rsidR="00123B3F" w:rsidRDefault="00123B3F" w:rsidP="00C0455A">
      <w:pPr>
        <w:ind w:left="360"/>
      </w:pPr>
      <w:r>
        <w:t xml:space="preserve">The focus groups will include workers and employers from the retail industry. </w:t>
      </w:r>
      <w:r w:rsidR="00713C3F">
        <w:t xml:space="preserve">A </w:t>
      </w:r>
      <w:r>
        <w:t>contractor will re</w:t>
      </w:r>
      <w:r w:rsidR="00C8057D">
        <w:t xml:space="preserve">cruit </w:t>
      </w:r>
      <w:r>
        <w:t xml:space="preserve">employers and employees for focus group participation. Individuals who would like to volunteer </w:t>
      </w:r>
      <w:r w:rsidR="00C8057D">
        <w:t xml:space="preserve">will </w:t>
      </w:r>
      <w:r>
        <w:t xml:space="preserve">be selected based on the eligibility criteria of the focus group (age group and occupation). </w:t>
      </w:r>
      <w:r w:rsidR="00B12B44" w:rsidRPr="00263CFE">
        <w:t xml:space="preserve">The focus groups will be audio recorded and transcripts will be generated by the contractor. Both audio tape and transcripts will be given to NIOSH. </w:t>
      </w:r>
      <w:r w:rsidRPr="00263CFE">
        <w:t>The focus group will have a number of female workers that represent the female proportion of the worker population in the retail sector. The contractor will</w:t>
      </w:r>
      <w:r>
        <w:t xml:space="preserve"> recruit potential participants from pre-existing lists of </w:t>
      </w:r>
      <w:r w:rsidR="008D5CEE">
        <w:t>employers and workers in the retail sector</w:t>
      </w:r>
      <w:r>
        <w:t>; therefore, no personally identifiable information (PII) will be collected</w:t>
      </w:r>
      <w:r w:rsidR="004D375B">
        <w:t xml:space="preserve"> nor will be provided to NIOSH. All the information collected will be used internally for product development and improvement purposes.</w:t>
      </w:r>
    </w:p>
    <w:p w:rsidR="00123B3F" w:rsidRDefault="00123B3F" w:rsidP="00123B3F">
      <w:pPr>
        <w:pStyle w:val="ListParagraph"/>
      </w:pPr>
    </w:p>
    <w:p w:rsidR="00123B3F" w:rsidRPr="00C8057D" w:rsidRDefault="00123B3F" w:rsidP="00C8057D">
      <w:pPr>
        <w:pStyle w:val="Heading1"/>
        <w:numPr>
          <w:ilvl w:val="0"/>
          <w:numId w:val="7"/>
        </w:numPr>
        <w:rPr>
          <w:rFonts w:asciiTheme="minorHAnsi" w:hAnsiTheme="minorHAnsi" w:cstheme="minorHAnsi"/>
          <w:b/>
          <w:color w:val="000000" w:themeColor="text1"/>
          <w:sz w:val="22"/>
          <w:szCs w:val="22"/>
        </w:rPr>
      </w:pPr>
      <w:bookmarkStart w:id="4" w:name="_Toc9946253"/>
      <w:r w:rsidRPr="00C8057D">
        <w:rPr>
          <w:rFonts w:asciiTheme="minorHAnsi" w:hAnsiTheme="minorHAnsi" w:cstheme="minorHAnsi"/>
          <w:b/>
          <w:color w:val="000000" w:themeColor="text1"/>
          <w:sz w:val="22"/>
          <w:szCs w:val="22"/>
        </w:rPr>
        <w:t>Efforts to Identify Duplication and Use of Similar Information</w:t>
      </w:r>
      <w:bookmarkEnd w:id="4"/>
    </w:p>
    <w:p w:rsidR="00123B3F" w:rsidRDefault="00A959E6" w:rsidP="00C0455A">
      <w:pPr>
        <w:pStyle w:val="ListParagraph"/>
        <w:ind w:left="360"/>
        <w:rPr>
          <w:rFonts w:cstheme="minorHAnsi"/>
        </w:rPr>
      </w:pPr>
      <w:r>
        <w:t xml:space="preserve">Information about </w:t>
      </w:r>
      <w:r w:rsidR="00180810">
        <w:t xml:space="preserve">WMSDs and STFs in aging retail workers </w:t>
      </w:r>
      <w:r>
        <w:t xml:space="preserve">in the United States is lacking. A limited number of studies have examined WMSDs and STFs in workplaces, including the retail industry, but information is needed about these hazards in aging retail workers. </w:t>
      </w:r>
      <w:r w:rsidR="00123B3F" w:rsidRPr="00EE725B">
        <w:rPr>
          <w:rFonts w:cstheme="minorHAnsi"/>
        </w:rPr>
        <w:t xml:space="preserve">In the past 10 years, there have been </w:t>
      </w:r>
      <w:r w:rsidR="00123B3F">
        <w:rPr>
          <w:rFonts w:cstheme="minorHAnsi"/>
        </w:rPr>
        <w:t>several</w:t>
      </w:r>
      <w:r w:rsidR="00123B3F" w:rsidRPr="00EE725B">
        <w:rPr>
          <w:rFonts w:cstheme="minorHAnsi"/>
        </w:rPr>
        <w:t xml:space="preserve"> research studies that have identified and summarized recommendations for engineering, administrative, and personal protective approaches for preventing and reducing WMSDs and STFs.</w:t>
      </w:r>
      <w:r w:rsidR="00123B3F">
        <w:rPr>
          <w:rFonts w:cstheme="minorHAnsi"/>
        </w:rPr>
        <w:fldChar w:fldCharType="begin">
          <w:fldData xml:space="preserve">PEVuZE5vdGU+PENpdGU+PEF1dGhvcj5Ic2lhbzwvQXV0aG9yPjxSZWNOdW0+MTQ4OTwvUmVjTnVt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</w:fldData>
        </w:fldChar>
      </w:r>
      <w:r w:rsidR="001A5121">
        <w:rPr>
          <w:rFonts w:cstheme="minorHAnsi"/>
        </w:rPr>
        <w:instrText xml:space="preserve"> ADDIN EN.CITE </w:instrText>
      </w:r>
      <w:r w:rsidR="001A5121">
        <w:rPr>
          <w:rFonts w:cstheme="minorHAnsi"/>
        </w:rPr>
        <w:fldChar w:fldCharType="begin">
          <w:fldData xml:space="preserve">PEVuZE5vdGU+PENpdGU+PEF1dGhvcj5Ic2lhbzwvQXV0aG9yPjxSZWNOdW0+MTQ4OTwvUmVjTnVt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</w:fldData>
        </w:fldChar>
      </w:r>
      <w:r w:rsidR="001A5121">
        <w:rPr>
          <w:rFonts w:cstheme="minorHAnsi"/>
        </w:rPr>
        <w:instrText xml:space="preserve"> ADDIN EN.CITE.DATA </w:instrText>
      </w:r>
      <w:r w:rsidR="001A5121">
        <w:rPr>
          <w:rFonts w:cstheme="minorHAnsi"/>
        </w:rPr>
      </w:r>
      <w:r w:rsidR="001A5121">
        <w:rPr>
          <w:rFonts w:cstheme="minorHAnsi"/>
        </w:rPr>
        <w:fldChar w:fldCharType="end"/>
      </w:r>
      <w:r w:rsidR="00123B3F">
        <w:rPr>
          <w:rFonts w:cstheme="minorHAnsi"/>
        </w:rPr>
      </w:r>
      <w:r w:rsidR="00123B3F">
        <w:rPr>
          <w:rFonts w:cstheme="minorHAnsi"/>
        </w:rPr>
        <w:fldChar w:fldCharType="separate"/>
      </w:r>
      <w:r w:rsidR="001A5121" w:rsidRPr="001A5121">
        <w:rPr>
          <w:rFonts w:cstheme="minorHAnsi"/>
          <w:noProof/>
          <w:vertAlign w:val="superscript"/>
        </w:rPr>
        <w:t>3,6,8,9</w:t>
      </w:r>
      <w:r w:rsidR="00123B3F">
        <w:rPr>
          <w:rFonts w:cstheme="minorHAnsi"/>
        </w:rPr>
        <w:fldChar w:fldCharType="end"/>
      </w:r>
      <w:r w:rsidR="00123B3F" w:rsidRPr="00EE725B">
        <w:rPr>
          <w:rFonts w:cstheme="minorHAnsi"/>
        </w:rPr>
        <w:t xml:space="preserve"> But none of these solutions </w:t>
      </w:r>
      <w:r w:rsidR="008D5CEE">
        <w:rPr>
          <w:rFonts w:cstheme="minorHAnsi"/>
        </w:rPr>
        <w:t>has focused on the specific needs and challenges that come with</w:t>
      </w:r>
      <w:r w:rsidR="00FE7244">
        <w:rPr>
          <w:rFonts w:cstheme="minorHAnsi"/>
        </w:rPr>
        <w:t xml:space="preserve"> an aging workforce. </w:t>
      </w:r>
      <w:r w:rsidR="0053580E">
        <w:rPr>
          <w:rFonts w:cstheme="minorHAnsi"/>
        </w:rPr>
        <w:t xml:space="preserve"> </w:t>
      </w:r>
      <w:r w:rsidR="008D5CEE">
        <w:rPr>
          <w:rFonts w:cstheme="minorHAnsi"/>
        </w:rPr>
        <w:t xml:space="preserve">As a result, </w:t>
      </w:r>
      <w:r>
        <w:rPr>
          <w:rFonts w:cstheme="minorHAnsi"/>
        </w:rPr>
        <w:t>T</w:t>
      </w:r>
      <w:r w:rsidR="0053580E">
        <w:rPr>
          <w:rFonts w:cstheme="minorHAnsi"/>
        </w:rPr>
        <w:t xml:space="preserve">he NIOSH </w:t>
      </w:r>
      <w:r>
        <w:rPr>
          <w:rFonts w:cstheme="minorHAnsi"/>
        </w:rPr>
        <w:t xml:space="preserve">National Occupational Research Agenda </w:t>
      </w:r>
      <w:r w:rsidR="0053580E">
        <w:rPr>
          <w:rFonts w:cstheme="minorHAnsi"/>
        </w:rPr>
        <w:t>Wholesale and Retail Trade (WRT) Sector</w:t>
      </w:r>
      <w:r>
        <w:rPr>
          <w:rFonts w:cstheme="minorHAnsi"/>
        </w:rPr>
        <w:t xml:space="preserve"> </w:t>
      </w:r>
      <w:r w:rsidR="001D35DF">
        <w:rPr>
          <w:rFonts w:cstheme="minorHAnsi"/>
        </w:rPr>
        <w:t xml:space="preserve">program </w:t>
      </w:r>
      <w:r w:rsidR="00513385">
        <w:rPr>
          <w:rFonts w:cstheme="minorHAnsi"/>
        </w:rPr>
        <w:t>established the goal of better understanding how WMSDs and STFS can be prevented in older workers, and then developing educational materials that effectively communicates that knowledge to both employers and workers.</w:t>
      </w:r>
    </w:p>
    <w:p w:rsidR="00123B3F" w:rsidRPr="00C8057D" w:rsidRDefault="00123B3F" w:rsidP="00C8057D">
      <w:pPr>
        <w:pStyle w:val="Heading1"/>
        <w:rPr>
          <w:b/>
          <w:color w:val="000000" w:themeColor="text1"/>
          <w:sz w:val="22"/>
          <w:szCs w:val="22"/>
        </w:rPr>
      </w:pPr>
    </w:p>
    <w:p w:rsidR="00123B3F" w:rsidRPr="00C8057D" w:rsidRDefault="00123B3F" w:rsidP="00C8057D">
      <w:pPr>
        <w:pStyle w:val="Heading1"/>
        <w:numPr>
          <w:ilvl w:val="0"/>
          <w:numId w:val="7"/>
        </w:numPr>
        <w:rPr>
          <w:rFonts w:asciiTheme="minorHAnsi" w:hAnsiTheme="minorHAnsi" w:cstheme="minorHAnsi"/>
          <w:b/>
          <w:color w:val="000000" w:themeColor="text1"/>
          <w:sz w:val="22"/>
          <w:szCs w:val="22"/>
        </w:rPr>
      </w:pPr>
      <w:bookmarkStart w:id="5" w:name="_Toc9946254"/>
      <w:r w:rsidRPr="00C8057D">
        <w:rPr>
          <w:rFonts w:asciiTheme="minorHAnsi" w:hAnsiTheme="minorHAnsi" w:cstheme="minorHAnsi"/>
          <w:b/>
          <w:color w:val="000000" w:themeColor="text1"/>
          <w:sz w:val="22"/>
          <w:szCs w:val="22"/>
        </w:rPr>
        <w:t>Impact on small Businesses or other small entities</w:t>
      </w:r>
      <w:bookmarkEnd w:id="5"/>
      <w:r w:rsidRPr="00C8057D">
        <w:rPr>
          <w:rFonts w:asciiTheme="minorHAnsi" w:hAnsiTheme="minorHAnsi" w:cstheme="minorHAnsi"/>
          <w:b/>
          <w:color w:val="000000" w:themeColor="text1"/>
          <w:sz w:val="22"/>
          <w:szCs w:val="22"/>
        </w:rPr>
        <w:t xml:space="preserve"> </w:t>
      </w:r>
    </w:p>
    <w:p w:rsidR="007B7C23" w:rsidRDefault="007B7C23" w:rsidP="00043B5A">
      <w:pPr>
        <w:pStyle w:val="Header"/>
        <w:ind w:left="360"/>
        <w:rPr>
          <w:rFonts w:cstheme="minorHAnsi"/>
        </w:rPr>
      </w:pPr>
    </w:p>
    <w:p w:rsidR="007B7C23" w:rsidRPr="00BB1B9D" w:rsidRDefault="007B7C23" w:rsidP="00BB1B9D">
      <w:pPr>
        <w:pStyle w:val="Header"/>
        <w:ind w:left="360"/>
        <w:rPr>
          <w:b/>
        </w:rPr>
      </w:pPr>
      <w:r>
        <w:rPr>
          <w:rFonts w:cstheme="minorHAnsi"/>
        </w:rPr>
        <w:t>Small Businesses will be directly involved in this information collection as small retail business managers and employees are the targeted participants. The questions have been held to the absolute minimum required for the intended use of the information. Workers from small businesses will be approached in the same manner as the individuals from large businesses.</w:t>
      </w:r>
    </w:p>
    <w:p w:rsidR="007B7C23" w:rsidRDefault="007B7C23" w:rsidP="00043B5A">
      <w:pPr>
        <w:pStyle w:val="Header"/>
        <w:ind w:left="360"/>
        <w:rPr>
          <w:rFonts w:cstheme="minorHAnsi"/>
        </w:rPr>
      </w:pPr>
    </w:p>
    <w:p w:rsidR="00043B5A" w:rsidRPr="00123B3F" w:rsidRDefault="00043B5A" w:rsidP="00043B5A">
      <w:pPr>
        <w:pStyle w:val="Header"/>
        <w:ind w:left="360"/>
        <w:rPr>
          <w:b/>
        </w:rPr>
      </w:pPr>
      <w:r w:rsidRPr="00EE725B">
        <w:rPr>
          <w:rFonts w:cstheme="minorHAnsi"/>
        </w:rPr>
        <w:t>Nearly, 40% of retail employees work for small businesses.</w:t>
      </w:r>
      <w:r w:rsidRPr="00EE725B">
        <w:rPr>
          <w:rFonts w:cstheme="minorHAnsi"/>
        </w:rPr>
        <w:fldChar w:fldCharType="begin"/>
      </w:r>
      <w:r>
        <w:rPr>
          <w:rFonts w:cstheme="minorHAnsi"/>
        </w:rPr>
        <w:instrText xml:space="preserve"> ADDIN EN.CITE &lt;EndNote&gt;&lt;Cite&gt;&lt;Author&gt;National Retail Federation&lt;/Author&gt;&lt;Year&gt;2014&lt;/Year&gt;&lt;RecNum&gt;1512&lt;/RecNum&gt;&lt;DisplayText&gt;&lt;style face="superscript"&gt;10&lt;/style&gt;&lt;/DisplayText&gt;&lt;record&gt;&lt;rec-number&gt;1512&lt;/rec-number&gt;&lt;foreign-keys&gt;&lt;key app="EN" db-id="erpdtx02zt9fr1eze5cp5p9nrexptdr20pet" timestamp="1517516008"&gt;1512&lt;/key&gt;&lt;/foreign-keys&gt;&lt;ref-type name="Report"&gt;27&lt;/ref-type&gt;&lt;contributors&gt;&lt;authors&gt;&lt;author&gt;National Retail Federation,&lt;/author&gt;&lt;/authors&gt;&lt;tertiary-authors&gt;&lt;author&gt;PricewaterhouseCoopers LLP&lt;/author&gt;&lt;/tertiary-authors&gt;&lt;/contributors&gt;&lt;titles&gt;&lt;title&gt;The economic impact of the U.S. retail industry&lt;/title&gt;&lt;/titles&gt;&lt;dates&gt;&lt;year&gt;2014&lt;/year&gt;&lt;/dates&gt;&lt;urls&gt;&lt;related-urls&gt;&lt;url&gt;https://nrf.com/sites/default/files/Documents/The%20Economic%20Impact%20of%20the%20US%20Retail%20Industry%20REV.pdf&lt;/url&gt;&lt;/related-urls&gt;&lt;/urls&gt;&lt;/record&gt;&lt;/Cite&gt;&lt;/EndNote&gt;</w:instrText>
      </w:r>
      <w:r w:rsidRPr="00EE725B">
        <w:rPr>
          <w:rFonts w:cstheme="minorHAnsi"/>
        </w:rPr>
        <w:fldChar w:fldCharType="separate"/>
      </w:r>
      <w:r w:rsidRPr="001A5121">
        <w:rPr>
          <w:rFonts w:cstheme="minorHAnsi"/>
          <w:noProof/>
          <w:vertAlign w:val="superscript"/>
        </w:rPr>
        <w:t>10</w:t>
      </w:r>
      <w:r w:rsidRPr="00EE725B">
        <w:rPr>
          <w:rFonts w:cstheme="minorHAnsi"/>
        </w:rPr>
        <w:fldChar w:fldCharType="end"/>
      </w:r>
      <w:r w:rsidRPr="00EE725B">
        <w:rPr>
          <w:rFonts w:cstheme="minorHAnsi"/>
        </w:rPr>
        <w:t xml:space="preserve"> This project will develop cost-effective </w:t>
      </w:r>
      <w:r w:rsidRPr="007E5494">
        <w:rPr>
          <w:rFonts w:cstheme="minorHAnsi"/>
          <w:i/>
        </w:rPr>
        <w:t>Workplace Solutions</w:t>
      </w:r>
      <w:r>
        <w:rPr>
          <w:rFonts w:cstheme="minorHAnsi"/>
        </w:rPr>
        <w:t xml:space="preserve"> (</w:t>
      </w:r>
      <w:r w:rsidRPr="00EE725B">
        <w:rPr>
          <w:rFonts w:cstheme="minorHAnsi"/>
          <w:i/>
        </w:rPr>
        <w:t>WPS</w:t>
      </w:r>
      <w:r>
        <w:rPr>
          <w:rFonts w:cstheme="minorHAnsi"/>
          <w:i/>
        </w:rPr>
        <w:t>)</w:t>
      </w:r>
      <w:r w:rsidRPr="00EE725B">
        <w:rPr>
          <w:rFonts w:cstheme="minorHAnsi"/>
          <w:i/>
        </w:rPr>
        <w:t xml:space="preserve"> </w:t>
      </w:r>
      <w:r w:rsidRPr="00FE5CDF">
        <w:rPr>
          <w:rFonts w:cstheme="minorHAnsi"/>
        </w:rPr>
        <w:t>documents</w:t>
      </w:r>
      <w:r w:rsidRPr="00EE725B">
        <w:rPr>
          <w:rFonts w:cstheme="minorHAnsi"/>
        </w:rPr>
        <w:t xml:space="preserve"> and other communication products</w:t>
      </w:r>
      <w:r>
        <w:rPr>
          <w:rFonts w:cstheme="minorHAnsi"/>
        </w:rPr>
        <w:t>,</w:t>
      </w:r>
      <w:r w:rsidRPr="00EE725B">
        <w:rPr>
          <w:rFonts w:cstheme="minorHAnsi"/>
        </w:rPr>
        <w:t xml:space="preserve"> including a webpage on “Older retail workers” that </w:t>
      </w:r>
      <w:r>
        <w:rPr>
          <w:rFonts w:cstheme="minorHAnsi"/>
        </w:rPr>
        <w:t>is intended to</w:t>
      </w:r>
      <w:r w:rsidRPr="00EE725B">
        <w:rPr>
          <w:rFonts w:cstheme="minorHAnsi"/>
        </w:rPr>
        <w:t xml:space="preserve"> benefit companies of all sizes.</w:t>
      </w:r>
      <w:r>
        <w:rPr>
          <w:rFonts w:cstheme="minorHAnsi"/>
        </w:rPr>
        <w:t xml:space="preserve"> Some of the recommendations contained in these products will </w:t>
      </w:r>
      <w:r w:rsidR="00513385">
        <w:rPr>
          <w:rFonts w:cstheme="minorHAnsi"/>
        </w:rPr>
        <w:t>describe prevention strategies</w:t>
      </w:r>
      <w:r>
        <w:rPr>
          <w:rFonts w:cstheme="minorHAnsi"/>
        </w:rPr>
        <w:t xml:space="preserve"> that are cost-effective for small businesses, many of which lack the resources to carry out interventions that require a great deal of money or staff to implement.</w:t>
      </w:r>
    </w:p>
    <w:p w:rsidR="00043B5A" w:rsidRPr="00043B5A" w:rsidRDefault="00043B5A" w:rsidP="00124C3C">
      <w:pPr>
        <w:rPr>
          <w:rFonts w:cstheme="minorHAnsi"/>
        </w:rPr>
      </w:pPr>
    </w:p>
    <w:p w:rsidR="00124C3C" w:rsidRPr="00C8057D" w:rsidRDefault="00124C3C" w:rsidP="00C8057D">
      <w:pPr>
        <w:pStyle w:val="Heading1"/>
        <w:numPr>
          <w:ilvl w:val="0"/>
          <w:numId w:val="7"/>
        </w:numPr>
        <w:rPr>
          <w:rFonts w:asciiTheme="minorHAnsi" w:hAnsiTheme="minorHAnsi" w:cstheme="minorHAnsi"/>
          <w:b/>
          <w:color w:val="000000" w:themeColor="text1"/>
          <w:sz w:val="22"/>
          <w:szCs w:val="22"/>
        </w:rPr>
      </w:pPr>
      <w:bookmarkStart w:id="6" w:name="_Toc9946255"/>
      <w:r w:rsidRPr="00C8057D">
        <w:rPr>
          <w:rFonts w:asciiTheme="minorHAnsi" w:hAnsiTheme="minorHAnsi" w:cstheme="minorHAnsi"/>
          <w:b/>
          <w:color w:val="000000" w:themeColor="text1"/>
          <w:sz w:val="22"/>
          <w:szCs w:val="22"/>
        </w:rPr>
        <w:t xml:space="preserve">Consequences of </w:t>
      </w:r>
      <w:r w:rsidR="00C8057D" w:rsidRPr="00C8057D">
        <w:rPr>
          <w:rFonts w:asciiTheme="minorHAnsi" w:hAnsiTheme="minorHAnsi" w:cstheme="minorHAnsi"/>
          <w:b/>
          <w:color w:val="000000" w:themeColor="text1"/>
          <w:sz w:val="22"/>
          <w:szCs w:val="22"/>
        </w:rPr>
        <w:t>collecting</w:t>
      </w:r>
      <w:r w:rsidRPr="00C8057D">
        <w:rPr>
          <w:rFonts w:asciiTheme="minorHAnsi" w:hAnsiTheme="minorHAnsi" w:cstheme="minorHAnsi"/>
          <w:b/>
          <w:color w:val="000000" w:themeColor="text1"/>
          <w:sz w:val="22"/>
          <w:szCs w:val="22"/>
        </w:rPr>
        <w:t xml:space="preserve"> the information less frequently</w:t>
      </w:r>
      <w:bookmarkEnd w:id="6"/>
    </w:p>
    <w:p w:rsidR="00D16687" w:rsidRDefault="00472EF1" w:rsidP="00BB1B9D">
      <w:pPr>
        <w:ind w:left="360"/>
        <w:rPr>
          <w:rFonts w:cstheme="minorHAnsi"/>
        </w:rPr>
      </w:pPr>
      <w:r>
        <w:t>This request is for a one</w:t>
      </w:r>
      <w:r w:rsidR="0053580E">
        <w:t>-</w:t>
      </w:r>
      <w:r>
        <w:t>time data collection</w:t>
      </w:r>
      <w:r w:rsidR="00EF677F">
        <w:t xml:space="preserve">. </w:t>
      </w:r>
      <w:r>
        <w:t xml:space="preserve">There are no legal obstacles to reducing the burden. </w:t>
      </w:r>
      <w:r w:rsidR="0037541A">
        <w:t xml:space="preserve">This </w:t>
      </w:r>
      <w:r w:rsidR="007B7C23">
        <w:t xml:space="preserve">  </w:t>
      </w:r>
      <w:r w:rsidR="0037541A">
        <w:t>formative research will aid in the understanding of the information needs to prevent WMSDs and STFs in aging retail workers. Data will be used to inform the development of draft educational products to aid in awareness and prevention. Without this focus group data, knowledge gaps will not be identified and researchers will not have adequate information to develop effective educational materials for aging retail workers.</w:t>
      </w:r>
    </w:p>
    <w:p w:rsidR="00472EF1" w:rsidRPr="007B7C23" w:rsidRDefault="00D16687" w:rsidP="007B7C23">
      <w:pPr>
        <w:pStyle w:val="Heading1"/>
        <w:numPr>
          <w:ilvl w:val="0"/>
          <w:numId w:val="7"/>
        </w:numPr>
        <w:rPr>
          <w:rFonts w:asciiTheme="minorHAnsi" w:hAnsiTheme="minorHAnsi" w:cstheme="minorHAnsi"/>
          <w:b/>
          <w:color w:val="000000" w:themeColor="text1"/>
          <w:sz w:val="22"/>
          <w:szCs w:val="22"/>
        </w:rPr>
      </w:pPr>
      <w:bookmarkStart w:id="7" w:name="_Toc9946256"/>
      <w:r w:rsidRPr="00C8057D">
        <w:rPr>
          <w:rFonts w:asciiTheme="minorHAnsi" w:hAnsiTheme="minorHAnsi" w:cstheme="minorHAnsi"/>
          <w:b/>
          <w:color w:val="000000" w:themeColor="text1"/>
          <w:sz w:val="22"/>
          <w:szCs w:val="22"/>
        </w:rPr>
        <w:t>Special Circumstances Relating to the Guidance of 5 CFR1320.5</w:t>
      </w:r>
      <w:bookmarkEnd w:id="7"/>
    </w:p>
    <w:p w:rsidR="00472EF1" w:rsidRDefault="0037541A" w:rsidP="00BB1B9D">
      <w:pPr>
        <w:ind w:left="360"/>
      </w:pPr>
      <w:r>
        <w:t xml:space="preserve">There are no special circumstances with this information collection package. </w:t>
      </w:r>
      <w:r w:rsidR="00472EF1">
        <w:t xml:space="preserve">This request fully complies with </w:t>
      </w:r>
      <w:r w:rsidR="007B7C23">
        <w:t xml:space="preserve">  </w:t>
      </w:r>
      <w:r w:rsidR="00472EF1">
        <w:t>the regulation 5 CFR 1320.5</w:t>
      </w:r>
      <w:r w:rsidR="002F7419">
        <w:t xml:space="preserve">. </w:t>
      </w:r>
    </w:p>
    <w:p w:rsidR="00472EF1" w:rsidRPr="00C8057D" w:rsidRDefault="00472EF1" w:rsidP="00C8057D">
      <w:pPr>
        <w:pStyle w:val="Heading1"/>
        <w:rPr>
          <w:rFonts w:asciiTheme="minorHAnsi" w:hAnsiTheme="minorHAnsi" w:cstheme="minorHAnsi"/>
          <w:b/>
          <w:color w:val="000000" w:themeColor="text1"/>
          <w:sz w:val="22"/>
          <w:szCs w:val="22"/>
        </w:rPr>
      </w:pPr>
    </w:p>
    <w:p w:rsidR="00180810" w:rsidRPr="00180810" w:rsidRDefault="00472EF1" w:rsidP="00180810">
      <w:pPr>
        <w:pStyle w:val="ListParagraph"/>
        <w:numPr>
          <w:ilvl w:val="0"/>
          <w:numId w:val="7"/>
        </w:numPr>
        <w:autoSpaceDE w:val="0"/>
        <w:autoSpaceDN w:val="0"/>
        <w:adjustRightInd w:val="0"/>
        <w:spacing w:after="200" w:line="276" w:lineRule="auto"/>
        <w:ind w:right="720"/>
        <w:rPr>
          <w:rFonts w:cstheme="minorHAnsi"/>
          <w:sz w:val="24"/>
          <w:szCs w:val="24"/>
        </w:rPr>
      </w:pPr>
      <w:bookmarkStart w:id="8" w:name="_Toc9946257"/>
      <w:r w:rsidRPr="00180810">
        <w:rPr>
          <w:rFonts w:cstheme="minorHAnsi"/>
          <w:b/>
          <w:bCs/>
          <w:color w:val="000000" w:themeColor="text1"/>
        </w:rPr>
        <w:t>Comments in Response to the Federal Register Notice and Efforts to Consult Outside the Agency</w:t>
      </w:r>
      <w:bookmarkStart w:id="9" w:name="_Toc9946258"/>
      <w:bookmarkEnd w:id="8"/>
    </w:p>
    <w:p w:rsidR="007F60D5" w:rsidRPr="00180810" w:rsidRDefault="007F60D5" w:rsidP="00180810">
      <w:pPr>
        <w:pStyle w:val="ListParagraph"/>
        <w:autoSpaceDE w:val="0"/>
        <w:autoSpaceDN w:val="0"/>
        <w:adjustRightInd w:val="0"/>
        <w:spacing w:after="200" w:line="276" w:lineRule="auto"/>
        <w:ind w:left="360" w:right="720"/>
        <w:rPr>
          <w:rFonts w:cstheme="minorHAnsi"/>
          <w:sz w:val="24"/>
          <w:szCs w:val="24"/>
        </w:rPr>
      </w:pPr>
      <w:r w:rsidRPr="00180810">
        <w:rPr>
          <w:rFonts w:cstheme="minorHAnsi"/>
          <w:sz w:val="24"/>
          <w:szCs w:val="24"/>
        </w:rPr>
        <w:t xml:space="preserve">The Federal Registry Notice was published </w:t>
      </w:r>
      <w:r w:rsidRPr="00180810">
        <w:rPr>
          <w:rFonts w:cstheme="minorHAnsi"/>
        </w:rPr>
        <w:t>for this collection on July 18, 2016, Vol. 81, No. 137, pp. 46680. No public comments were received.</w:t>
      </w:r>
    </w:p>
    <w:p w:rsidR="007F60D5" w:rsidRPr="007F60D5" w:rsidRDefault="007F60D5" w:rsidP="00180810">
      <w:pPr>
        <w:pStyle w:val="Heading1"/>
        <w:ind w:left="360"/>
        <w:rPr>
          <w:rFonts w:asciiTheme="minorHAnsi" w:hAnsiTheme="minorHAnsi" w:cstheme="minorHAnsi"/>
          <w:b/>
          <w:color w:val="000000" w:themeColor="text1"/>
          <w:sz w:val="22"/>
          <w:szCs w:val="22"/>
        </w:rPr>
      </w:pPr>
    </w:p>
    <w:p w:rsidR="001A6DB3" w:rsidRPr="007F60D5" w:rsidRDefault="001A6DB3" w:rsidP="007F60D5">
      <w:pPr>
        <w:pStyle w:val="Heading1"/>
        <w:numPr>
          <w:ilvl w:val="0"/>
          <w:numId w:val="7"/>
        </w:numPr>
        <w:rPr>
          <w:rFonts w:asciiTheme="minorHAnsi" w:hAnsiTheme="minorHAnsi" w:cstheme="minorHAnsi"/>
          <w:b/>
          <w:color w:val="000000" w:themeColor="text1"/>
          <w:sz w:val="22"/>
          <w:szCs w:val="22"/>
        </w:rPr>
      </w:pPr>
      <w:r w:rsidRPr="007F60D5">
        <w:rPr>
          <w:rFonts w:asciiTheme="minorHAnsi" w:hAnsiTheme="minorHAnsi" w:cstheme="minorHAnsi"/>
          <w:b/>
          <w:color w:val="000000" w:themeColor="text1"/>
          <w:sz w:val="22"/>
          <w:szCs w:val="22"/>
        </w:rPr>
        <w:t>Explanation of Any Payment or Gift to Respondents</w:t>
      </w:r>
      <w:bookmarkEnd w:id="9"/>
    </w:p>
    <w:p w:rsidR="00BC34D0" w:rsidRDefault="00513385" w:rsidP="007B7C23">
      <w:pPr>
        <w:ind w:left="360"/>
        <w:rPr>
          <w:bCs/>
        </w:rPr>
      </w:pPr>
      <w:r>
        <w:rPr>
          <w:bCs/>
        </w:rPr>
        <w:t xml:space="preserve">Focus group participants will be given an incentive up to $40 as a token of appreciation, and in order to </w:t>
      </w:r>
      <w:r w:rsidR="007B7C23">
        <w:rPr>
          <w:bCs/>
        </w:rPr>
        <w:t xml:space="preserve">    </w:t>
      </w:r>
      <w:r>
        <w:rPr>
          <w:bCs/>
        </w:rPr>
        <w:t xml:space="preserve">compensate participants for their time and </w:t>
      </w:r>
      <w:r w:rsidR="00475333">
        <w:rPr>
          <w:bCs/>
        </w:rPr>
        <w:t>anticipated travel costs to the site where the focus group will take place.</w:t>
      </w:r>
      <w:r w:rsidR="001A6DB3">
        <w:rPr>
          <w:bCs/>
        </w:rPr>
        <w:t xml:space="preserve"> </w:t>
      </w:r>
    </w:p>
    <w:p w:rsidR="001A6DB3" w:rsidRPr="00BC34D0" w:rsidRDefault="00BB6648" w:rsidP="00BC34D0">
      <w:pPr>
        <w:pStyle w:val="Heading1"/>
        <w:numPr>
          <w:ilvl w:val="0"/>
          <w:numId w:val="7"/>
        </w:numPr>
        <w:rPr>
          <w:rFonts w:asciiTheme="minorHAnsi" w:hAnsiTheme="minorHAnsi" w:cstheme="minorHAnsi"/>
          <w:b/>
          <w:bCs/>
          <w:color w:val="000000" w:themeColor="text1"/>
          <w:sz w:val="22"/>
          <w:szCs w:val="22"/>
        </w:rPr>
      </w:pPr>
      <w:bookmarkStart w:id="10" w:name="_Toc9946259"/>
      <w:r w:rsidRPr="00BC34D0">
        <w:rPr>
          <w:rFonts w:asciiTheme="minorHAnsi" w:hAnsiTheme="minorHAnsi" w:cstheme="minorHAnsi"/>
          <w:b/>
          <w:color w:val="000000" w:themeColor="text1"/>
          <w:sz w:val="22"/>
          <w:szCs w:val="22"/>
        </w:rPr>
        <w:t>Protection of the Privacy and Confidentiality of Information Provided by Respondents</w:t>
      </w:r>
      <w:bookmarkEnd w:id="10"/>
      <w:r w:rsidRPr="00BC34D0">
        <w:rPr>
          <w:rFonts w:asciiTheme="minorHAnsi" w:hAnsiTheme="minorHAnsi" w:cstheme="minorHAnsi"/>
          <w:b/>
          <w:color w:val="000000" w:themeColor="text1"/>
          <w:sz w:val="22"/>
          <w:szCs w:val="22"/>
        </w:rPr>
        <w:t xml:space="preserve"> </w:t>
      </w:r>
    </w:p>
    <w:p w:rsidR="00043B5A" w:rsidRDefault="00180810" w:rsidP="007B7C23">
      <w:pPr>
        <w:pStyle w:val="ListParagraph"/>
        <w:ind w:left="360"/>
      </w:pPr>
      <w:r>
        <w:t xml:space="preserve">This submission has been reviewed by the </w:t>
      </w:r>
      <w:r w:rsidR="00E24416">
        <w:t>NIOSH Privacy Officer, who has determined that the Privacy Act does not apply because no personal identifiable information will be collected.</w:t>
      </w:r>
      <w:r w:rsidR="00043B5A">
        <w:t xml:space="preserve"> This data collection is not research involving human subjects</w:t>
      </w:r>
      <w:r w:rsidR="00FE7244">
        <w:t xml:space="preserve"> by NIOSH Acting Associate Director of Science</w:t>
      </w:r>
      <w:r w:rsidR="00043B5A">
        <w:t>.</w:t>
      </w:r>
    </w:p>
    <w:p w:rsidR="00BB6648" w:rsidRDefault="00E24416" w:rsidP="007B7C23">
      <w:pPr>
        <w:pStyle w:val="ListParagraph"/>
        <w:ind w:left="360"/>
      </w:pPr>
      <w:r>
        <w:t xml:space="preserve"> </w:t>
      </w:r>
      <w:r w:rsidR="00BB6648">
        <w:t xml:space="preserve">Participation in the focus groups is voluntary. Participants will be provided with an informed consent form prior to the start of focus group and will be allowed to ask questions about the project before deciding whether to participate or not. </w:t>
      </w:r>
      <w:r w:rsidR="004B4CCD">
        <w:t xml:space="preserve">The consent form describes the purpose of the project, how the information they provide will be used and describes protections for the participant’s privacy and confidentiality. </w:t>
      </w:r>
      <w:r w:rsidR="00BB6648">
        <w:t>The contractor will recruit potential participants from pre-existing lists of personnel; therefore, no new personally identifiable information (PII) will be collected.</w:t>
      </w:r>
    </w:p>
    <w:p w:rsidR="004B4CCD" w:rsidRDefault="004B4CCD" w:rsidP="00BB6648">
      <w:pPr>
        <w:pStyle w:val="ListParagraph"/>
      </w:pPr>
    </w:p>
    <w:p w:rsidR="001A6DB3" w:rsidRPr="00BC34D0" w:rsidRDefault="004B4CCD" w:rsidP="00BC34D0">
      <w:pPr>
        <w:pStyle w:val="Heading1"/>
        <w:numPr>
          <w:ilvl w:val="0"/>
          <w:numId w:val="7"/>
        </w:numPr>
        <w:rPr>
          <w:rFonts w:asciiTheme="minorHAnsi" w:hAnsiTheme="minorHAnsi" w:cstheme="minorHAnsi"/>
          <w:b/>
          <w:color w:val="000000" w:themeColor="text1"/>
          <w:sz w:val="22"/>
          <w:szCs w:val="22"/>
        </w:rPr>
      </w:pPr>
      <w:bookmarkStart w:id="11" w:name="_Toc9946260"/>
      <w:r w:rsidRPr="00BC34D0">
        <w:rPr>
          <w:rFonts w:asciiTheme="minorHAnsi" w:hAnsiTheme="minorHAnsi" w:cstheme="minorHAnsi"/>
          <w:b/>
          <w:color w:val="000000" w:themeColor="text1"/>
          <w:sz w:val="22"/>
          <w:szCs w:val="22"/>
        </w:rPr>
        <w:t>Institutional Review Board (IRB) and Justification for Sensitive Questions</w:t>
      </w:r>
      <w:bookmarkEnd w:id="11"/>
    </w:p>
    <w:p w:rsidR="002F7419" w:rsidRDefault="002F7419">
      <w:pPr>
        <w:pStyle w:val="ListParagraph"/>
        <w:rPr>
          <w:bCs/>
        </w:rPr>
      </w:pPr>
    </w:p>
    <w:p w:rsidR="004B4CCD" w:rsidRPr="002F7419" w:rsidRDefault="002F7419" w:rsidP="007B7C23">
      <w:pPr>
        <w:pStyle w:val="ListParagraph"/>
        <w:ind w:left="270"/>
        <w:rPr>
          <w:bCs/>
        </w:rPr>
      </w:pPr>
      <w:r w:rsidRPr="00DC2A83">
        <w:rPr>
          <w:bCs/>
        </w:rPr>
        <w:t xml:space="preserve">No information will be collected that </w:t>
      </w:r>
      <w:r w:rsidR="00F9118A">
        <w:rPr>
          <w:bCs/>
        </w:rPr>
        <w:t>is</w:t>
      </w:r>
      <w:r w:rsidR="00F9118A" w:rsidRPr="00DC2A83">
        <w:rPr>
          <w:bCs/>
        </w:rPr>
        <w:t xml:space="preserve"> </w:t>
      </w:r>
      <w:r w:rsidRPr="00DC2A83">
        <w:rPr>
          <w:bCs/>
        </w:rPr>
        <w:t xml:space="preserve">of a personal or sensitive nature. </w:t>
      </w:r>
      <w:r w:rsidRPr="00DC2A83">
        <w:t>The proposed data collection was re</w:t>
      </w:r>
      <w:r w:rsidR="002735EE" w:rsidRPr="00DC2A83">
        <w:t>viewed by NI</w:t>
      </w:r>
      <w:r w:rsidR="00004A9F">
        <w:t>OSH Acting Associate Director for</w:t>
      </w:r>
      <w:r w:rsidR="002735EE" w:rsidRPr="00DC2A83">
        <w:t xml:space="preserve"> Science</w:t>
      </w:r>
      <w:r w:rsidR="00DC2A83" w:rsidRPr="00DC2A83">
        <w:t xml:space="preserve"> </w:t>
      </w:r>
      <w:r w:rsidR="002735EE" w:rsidRPr="00DC2A83">
        <w:t>that this is non-research project and does not need further IRB review.</w:t>
      </w:r>
      <w:r w:rsidR="00DC2A83">
        <w:t xml:space="preserve"> Please see </w:t>
      </w:r>
      <w:r w:rsidR="00F9118A">
        <w:t xml:space="preserve">the </w:t>
      </w:r>
      <w:r w:rsidR="00DC2A83">
        <w:t>attached NIOSH IRB determination form</w:t>
      </w:r>
      <w:r w:rsidR="00AA73F6">
        <w:t xml:space="preserve"> (Attachment I)</w:t>
      </w:r>
      <w:r w:rsidR="00DC2A83">
        <w:t>.</w:t>
      </w:r>
    </w:p>
    <w:p w:rsidR="004B4CCD" w:rsidRDefault="004B4CCD" w:rsidP="004B4CCD">
      <w:pPr>
        <w:rPr>
          <w:bCs/>
        </w:rPr>
      </w:pPr>
    </w:p>
    <w:p w:rsidR="004B4CCD" w:rsidRPr="00BC34D0" w:rsidRDefault="004B4CCD" w:rsidP="00BC34D0">
      <w:pPr>
        <w:pStyle w:val="Heading1"/>
        <w:numPr>
          <w:ilvl w:val="0"/>
          <w:numId w:val="7"/>
        </w:numPr>
        <w:rPr>
          <w:rFonts w:asciiTheme="minorHAnsi" w:hAnsiTheme="minorHAnsi" w:cstheme="minorHAnsi"/>
          <w:b/>
          <w:color w:val="000000" w:themeColor="text1"/>
          <w:sz w:val="22"/>
          <w:szCs w:val="22"/>
        </w:rPr>
      </w:pPr>
      <w:bookmarkStart w:id="12" w:name="_Toc9946261"/>
      <w:r w:rsidRPr="00BC34D0">
        <w:rPr>
          <w:rFonts w:asciiTheme="minorHAnsi" w:hAnsiTheme="minorHAnsi" w:cstheme="minorHAnsi"/>
          <w:b/>
          <w:color w:val="000000" w:themeColor="text1"/>
          <w:sz w:val="22"/>
          <w:szCs w:val="22"/>
        </w:rPr>
        <w:t>Estimated of Annualized Burden Hours and Costs</w:t>
      </w:r>
      <w:bookmarkEnd w:id="12"/>
    </w:p>
    <w:p w:rsidR="004E7F74" w:rsidRDefault="004E7F74" w:rsidP="007B7C23">
      <w:pPr>
        <w:ind w:left="360"/>
        <w:rPr>
          <w:bCs/>
        </w:rPr>
      </w:pPr>
      <w:r>
        <w:rPr>
          <w:bCs/>
        </w:rPr>
        <w:t xml:space="preserve">Each focus group will be of 90 minutes and will have up to 9 participants. The median hourly wage is estimated to be $11.70 for retail sales workers based on the most recent (May 2018) National Occupational Employment and Wage Estimates for all occupations, published on the Bureau of Labor Statistics website: </w:t>
      </w:r>
      <w:hyperlink r:id="rId9" w:history="1">
        <w:r w:rsidR="002E431E" w:rsidRPr="00EF360C">
          <w:rPr>
            <w:rStyle w:val="Hyperlink"/>
            <w:bCs/>
          </w:rPr>
          <w:t>https://www.bls.gov/ooh/sales/retail-sales-workers.htm</w:t>
        </w:r>
      </w:hyperlink>
    </w:p>
    <w:p w:rsidR="002E431E" w:rsidRDefault="002E431E" w:rsidP="004E7F74">
      <w:pPr>
        <w:rPr>
          <w:bCs/>
        </w:rPr>
      </w:pPr>
    </w:p>
    <w:p w:rsidR="00C704FD" w:rsidRDefault="00C704FD" w:rsidP="004E7F74">
      <w:pPr>
        <w:rPr>
          <w:bCs/>
        </w:rPr>
      </w:pPr>
      <w:r>
        <w:rPr>
          <w:bCs/>
        </w:rPr>
        <w:t xml:space="preserve">Table A.12.A     </w:t>
      </w:r>
    </w:p>
    <w:p w:rsidR="00C704FD" w:rsidRDefault="00C704FD" w:rsidP="004E7F74">
      <w:pPr>
        <w:rPr>
          <w:bCs/>
        </w:rPr>
      </w:pPr>
      <w:r>
        <w:rPr>
          <w:bCs/>
        </w:rPr>
        <w:t>The annualized response burden is estimated at 81 hours.</w:t>
      </w:r>
    </w:p>
    <w:p w:rsidR="00C704FD" w:rsidRDefault="00C704FD" w:rsidP="004E7F74">
      <w:pPr>
        <w:rPr>
          <w:bCs/>
        </w:rPr>
      </w:pPr>
      <w:r>
        <w:rPr>
          <w:bCs/>
        </w:rPr>
        <w:t xml:space="preserve">Annualized Burden Hours </w:t>
      </w:r>
    </w:p>
    <w:p w:rsidR="00C704FD" w:rsidRDefault="00C704FD" w:rsidP="004E7F74">
      <w:pPr>
        <w:rPr>
          <w:bCs/>
        </w:rPr>
      </w:pPr>
    </w:p>
    <w:p w:rsidR="00C704FD" w:rsidRDefault="00C704FD" w:rsidP="004E7F74">
      <w:pPr>
        <w:rPr>
          <w:bCs/>
        </w:rPr>
      </w:pPr>
    </w:p>
    <w:p w:rsidR="00C704FD" w:rsidRDefault="00C704FD" w:rsidP="004E7F74">
      <w:pPr>
        <w:rPr>
          <w:bCs/>
        </w:rPr>
      </w:pPr>
      <w:r>
        <w:rPr>
          <w:bCs/>
        </w:rPr>
        <w:t>A.12.B Annualized Cost to Focus Group Participants</w:t>
      </w:r>
    </w:p>
    <w:tbl>
      <w:tblPr>
        <w:tblStyle w:val="TableGrid"/>
        <w:tblW w:w="0" w:type="auto"/>
        <w:tblLook w:val="04A0" w:firstRow="1" w:lastRow="0" w:firstColumn="1" w:lastColumn="0" w:noHBand="0" w:noVBand="1"/>
      </w:tblPr>
      <w:tblGrid>
        <w:gridCol w:w="1652"/>
        <w:gridCol w:w="1652"/>
        <w:gridCol w:w="1652"/>
        <w:gridCol w:w="1652"/>
        <w:gridCol w:w="1653"/>
        <w:gridCol w:w="1653"/>
      </w:tblGrid>
      <w:tr w:rsidR="00720BE0" w:rsidRPr="00BA2612" w:rsidTr="00720BE0">
        <w:trPr>
          <w:trHeight w:val="980"/>
        </w:trPr>
        <w:tc>
          <w:tcPr>
            <w:tcW w:w="1652" w:type="dxa"/>
            <w:vAlign w:val="center"/>
          </w:tcPr>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Type of Respondent</w:t>
            </w:r>
          </w:p>
        </w:tc>
        <w:tc>
          <w:tcPr>
            <w:tcW w:w="1652" w:type="dxa"/>
            <w:vAlign w:val="center"/>
          </w:tcPr>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Form Name</w:t>
            </w:r>
          </w:p>
        </w:tc>
        <w:tc>
          <w:tcPr>
            <w:tcW w:w="1652" w:type="dxa"/>
            <w:vAlign w:val="center"/>
          </w:tcPr>
          <w:p w:rsidR="00720BE0" w:rsidRPr="00720BE0" w:rsidRDefault="00720BE0" w:rsidP="00720BE0">
            <w:pPr>
              <w:widowControl w:val="0"/>
              <w:autoSpaceDE w:val="0"/>
              <w:autoSpaceDN w:val="0"/>
              <w:adjustRightInd w:val="0"/>
              <w:spacing w:afterAutospacing="0"/>
              <w:jc w:val="center"/>
              <w:rPr>
                <w:rFonts w:asciiTheme="minorHAnsi" w:hAnsiTheme="minorHAnsi" w:cstheme="minorHAnsi"/>
                <w:b/>
                <w:bCs/>
                <w:color w:val="000000"/>
                <w:sz w:val="22"/>
              </w:rPr>
            </w:pPr>
          </w:p>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Number of</w:t>
            </w:r>
          </w:p>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Respondents</w:t>
            </w:r>
          </w:p>
        </w:tc>
        <w:tc>
          <w:tcPr>
            <w:tcW w:w="1652" w:type="dxa"/>
            <w:vAlign w:val="center"/>
          </w:tcPr>
          <w:p w:rsidR="00720BE0" w:rsidRPr="00720BE0" w:rsidRDefault="00720BE0" w:rsidP="00720BE0">
            <w:pPr>
              <w:widowControl w:val="0"/>
              <w:autoSpaceDE w:val="0"/>
              <w:autoSpaceDN w:val="0"/>
              <w:adjustRightInd w:val="0"/>
              <w:spacing w:afterAutospacing="0"/>
              <w:jc w:val="center"/>
              <w:rPr>
                <w:rFonts w:asciiTheme="minorHAnsi" w:hAnsiTheme="minorHAnsi" w:cstheme="minorHAnsi"/>
                <w:b/>
                <w:bCs/>
                <w:color w:val="000000"/>
                <w:sz w:val="22"/>
              </w:rPr>
            </w:pPr>
          </w:p>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Number of</w:t>
            </w:r>
          </w:p>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Responses per</w:t>
            </w:r>
          </w:p>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Respondent</w:t>
            </w:r>
          </w:p>
        </w:tc>
        <w:tc>
          <w:tcPr>
            <w:tcW w:w="1653" w:type="dxa"/>
            <w:vAlign w:val="center"/>
          </w:tcPr>
          <w:p w:rsidR="00720BE0" w:rsidRPr="00720BE0" w:rsidRDefault="00720BE0" w:rsidP="00720BE0">
            <w:pPr>
              <w:widowControl w:val="0"/>
              <w:autoSpaceDE w:val="0"/>
              <w:autoSpaceDN w:val="0"/>
              <w:adjustRightInd w:val="0"/>
              <w:spacing w:beforeAutospacing="0" w:afterAutospacing="0"/>
              <w:jc w:val="center"/>
              <w:rPr>
                <w:rFonts w:asciiTheme="minorHAnsi" w:hAnsiTheme="minorHAnsi" w:cstheme="minorHAnsi"/>
                <w:b/>
                <w:bCs/>
                <w:color w:val="000000"/>
                <w:sz w:val="22"/>
              </w:rPr>
            </w:pPr>
          </w:p>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Average Hours</w:t>
            </w:r>
          </w:p>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Per Response</w:t>
            </w:r>
          </w:p>
        </w:tc>
        <w:tc>
          <w:tcPr>
            <w:tcW w:w="1653" w:type="dxa"/>
            <w:vAlign w:val="center"/>
          </w:tcPr>
          <w:p w:rsidR="00720BE0" w:rsidRPr="00720BE0" w:rsidRDefault="00720BE0" w:rsidP="00720BE0">
            <w:pPr>
              <w:widowControl w:val="0"/>
              <w:autoSpaceDE w:val="0"/>
              <w:autoSpaceDN w:val="0"/>
              <w:adjustRightInd w:val="0"/>
              <w:spacing w:beforeAutospacing="0" w:afterAutospacing="0"/>
              <w:jc w:val="center"/>
              <w:rPr>
                <w:rFonts w:asciiTheme="minorHAnsi" w:hAnsiTheme="minorHAnsi" w:cstheme="minorHAnsi"/>
                <w:b/>
                <w:bCs/>
                <w:color w:val="000000"/>
                <w:sz w:val="22"/>
              </w:rPr>
            </w:pPr>
          </w:p>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Total Response</w:t>
            </w:r>
          </w:p>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Burden</w:t>
            </w:r>
          </w:p>
          <w:p w:rsidR="00720BE0" w:rsidRPr="00720BE0" w:rsidRDefault="00720BE0" w:rsidP="00720BE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Autospacing="0" w:afterAutospacing="0"/>
              <w:jc w:val="center"/>
              <w:rPr>
                <w:rFonts w:asciiTheme="minorHAnsi" w:hAnsiTheme="minorHAnsi" w:cstheme="minorHAnsi"/>
                <w:b/>
                <w:bCs/>
                <w:color w:val="000000"/>
                <w:sz w:val="22"/>
              </w:rPr>
            </w:pPr>
            <w:r w:rsidRPr="00720BE0">
              <w:rPr>
                <w:rFonts w:asciiTheme="minorHAnsi" w:hAnsiTheme="minorHAnsi" w:cstheme="minorHAnsi"/>
                <w:b/>
                <w:bCs/>
                <w:color w:val="000000"/>
                <w:sz w:val="22"/>
              </w:rPr>
              <w:t>(Hours)</w:t>
            </w:r>
          </w:p>
        </w:tc>
      </w:tr>
      <w:tr w:rsidR="00720BE0" w:rsidRPr="00BA2612" w:rsidTr="00720BE0">
        <w:trPr>
          <w:trHeight w:val="537"/>
        </w:trPr>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color w:val="000000"/>
                <w:sz w:val="22"/>
              </w:rPr>
              <w:t xml:space="preserve">Retail Workers </w:t>
            </w:r>
          </w:p>
        </w:tc>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 xml:space="preserve">Young Workers </w:t>
            </w:r>
          </w:p>
        </w:tc>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18</w:t>
            </w:r>
          </w:p>
        </w:tc>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1</w:t>
            </w:r>
          </w:p>
        </w:tc>
        <w:tc>
          <w:tcPr>
            <w:tcW w:w="1653"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1.5</w:t>
            </w:r>
          </w:p>
        </w:tc>
        <w:tc>
          <w:tcPr>
            <w:tcW w:w="1653"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27</w:t>
            </w:r>
          </w:p>
        </w:tc>
      </w:tr>
      <w:tr w:rsidR="00720BE0" w:rsidRPr="00BA2612" w:rsidTr="00720BE0">
        <w:trPr>
          <w:trHeight w:val="268"/>
        </w:trPr>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color w:val="000000"/>
                <w:sz w:val="22"/>
              </w:rPr>
              <w:t>Retail Workers</w:t>
            </w:r>
          </w:p>
        </w:tc>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Older workers</w:t>
            </w:r>
          </w:p>
        </w:tc>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18</w:t>
            </w:r>
          </w:p>
        </w:tc>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1</w:t>
            </w:r>
          </w:p>
        </w:tc>
        <w:tc>
          <w:tcPr>
            <w:tcW w:w="1653" w:type="dxa"/>
          </w:tcPr>
          <w:p w:rsidR="00720BE0" w:rsidRPr="00720BE0" w:rsidRDefault="00DB0516" w:rsidP="00BC7B28">
            <w:pPr>
              <w:keepNext/>
              <w:keepLines/>
              <w:rPr>
                <w:rFonts w:asciiTheme="minorHAnsi" w:hAnsiTheme="minorHAnsi" w:cstheme="minorHAnsi"/>
                <w:sz w:val="22"/>
              </w:rPr>
            </w:pPr>
            <w:r>
              <w:rPr>
                <w:rFonts w:asciiTheme="minorHAnsi" w:hAnsiTheme="minorHAnsi" w:cstheme="minorHAnsi"/>
                <w:sz w:val="22"/>
              </w:rPr>
              <w:t>1.5</w:t>
            </w:r>
          </w:p>
        </w:tc>
        <w:tc>
          <w:tcPr>
            <w:tcW w:w="1653"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27</w:t>
            </w:r>
          </w:p>
        </w:tc>
      </w:tr>
      <w:tr w:rsidR="00720BE0" w:rsidRPr="00BA2612" w:rsidTr="00720BE0">
        <w:trPr>
          <w:trHeight w:val="663"/>
        </w:trPr>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 xml:space="preserve">Retail Employers </w:t>
            </w:r>
          </w:p>
        </w:tc>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 xml:space="preserve">Employers </w:t>
            </w:r>
          </w:p>
        </w:tc>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18</w:t>
            </w:r>
          </w:p>
        </w:tc>
        <w:tc>
          <w:tcPr>
            <w:tcW w:w="1652"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1</w:t>
            </w:r>
          </w:p>
        </w:tc>
        <w:tc>
          <w:tcPr>
            <w:tcW w:w="1653" w:type="dxa"/>
          </w:tcPr>
          <w:p w:rsidR="00720BE0" w:rsidRPr="00720BE0" w:rsidRDefault="00DB0516" w:rsidP="00BC7B28">
            <w:pPr>
              <w:keepNext/>
              <w:keepLines/>
              <w:rPr>
                <w:rFonts w:asciiTheme="minorHAnsi" w:hAnsiTheme="minorHAnsi" w:cstheme="minorHAnsi"/>
                <w:sz w:val="22"/>
              </w:rPr>
            </w:pPr>
            <w:r>
              <w:rPr>
                <w:rFonts w:asciiTheme="minorHAnsi" w:hAnsiTheme="minorHAnsi" w:cstheme="minorHAnsi"/>
                <w:sz w:val="22"/>
              </w:rPr>
              <w:t>1.5</w:t>
            </w:r>
          </w:p>
        </w:tc>
        <w:tc>
          <w:tcPr>
            <w:tcW w:w="1653" w:type="dxa"/>
          </w:tcPr>
          <w:p w:rsidR="00720BE0" w:rsidRPr="00720BE0" w:rsidRDefault="00720BE0" w:rsidP="00BC7B28">
            <w:pPr>
              <w:keepNext/>
              <w:keepLines/>
              <w:rPr>
                <w:rFonts w:asciiTheme="minorHAnsi" w:hAnsiTheme="minorHAnsi" w:cstheme="minorHAnsi"/>
                <w:sz w:val="22"/>
              </w:rPr>
            </w:pPr>
            <w:r w:rsidRPr="00720BE0">
              <w:rPr>
                <w:rFonts w:asciiTheme="minorHAnsi" w:hAnsiTheme="minorHAnsi" w:cstheme="minorHAnsi"/>
                <w:sz w:val="22"/>
              </w:rPr>
              <w:t>27</w:t>
            </w:r>
          </w:p>
        </w:tc>
      </w:tr>
      <w:tr w:rsidR="00DB0516" w:rsidRPr="00BA2612" w:rsidTr="00AE02C8">
        <w:trPr>
          <w:trHeight w:val="250"/>
        </w:trPr>
        <w:tc>
          <w:tcPr>
            <w:tcW w:w="1652" w:type="dxa"/>
          </w:tcPr>
          <w:p w:rsidR="00DB0516" w:rsidRPr="00720BE0" w:rsidRDefault="00DB0516" w:rsidP="00BC7B28">
            <w:pPr>
              <w:keepNext/>
              <w:keepLines/>
              <w:rPr>
                <w:rFonts w:asciiTheme="minorHAnsi" w:hAnsiTheme="minorHAnsi" w:cstheme="minorHAnsi"/>
                <w:sz w:val="22"/>
              </w:rPr>
            </w:pPr>
            <w:r w:rsidRPr="00720BE0">
              <w:rPr>
                <w:rFonts w:asciiTheme="minorHAnsi" w:hAnsiTheme="minorHAnsi" w:cstheme="minorHAnsi"/>
                <w:sz w:val="22"/>
              </w:rPr>
              <w:t>Total</w:t>
            </w:r>
          </w:p>
        </w:tc>
        <w:tc>
          <w:tcPr>
            <w:tcW w:w="8262" w:type="dxa"/>
            <w:gridSpan w:val="5"/>
          </w:tcPr>
          <w:p w:rsidR="00DB0516" w:rsidRPr="00720BE0" w:rsidRDefault="00DB0516" w:rsidP="00BC7B28">
            <w:pPr>
              <w:keepNext/>
              <w:keepLines/>
              <w:rPr>
                <w:rFonts w:asciiTheme="minorHAnsi" w:hAnsiTheme="minorHAnsi" w:cstheme="minorHAnsi"/>
                <w:sz w:val="22"/>
              </w:rPr>
            </w:pPr>
            <w:r>
              <w:rPr>
                <w:rFonts w:asciiTheme="minorHAnsi" w:hAnsiTheme="minorHAnsi" w:cstheme="minorHAnsi"/>
                <w:sz w:val="22"/>
              </w:rPr>
              <w:t xml:space="preserve">                                                                                                                                     81</w:t>
            </w:r>
          </w:p>
        </w:tc>
      </w:tr>
    </w:tbl>
    <w:p w:rsidR="00C704FD" w:rsidRPr="004E7F74" w:rsidRDefault="00720BE0" w:rsidP="004E7F74">
      <w:pPr>
        <w:rPr>
          <w:bCs/>
        </w:rPr>
      </w:pPr>
      <w:r>
        <w:rPr>
          <w:bCs/>
        </w:rPr>
        <w:t>`</w:t>
      </w:r>
      <w:r w:rsidR="00C704FD">
        <w:rPr>
          <w:bCs/>
        </w:rPr>
        <w:t xml:space="preserve"> </w:t>
      </w:r>
    </w:p>
    <w:tbl>
      <w:tblPr>
        <w:tblW w:w="100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9"/>
        <w:gridCol w:w="2609"/>
        <w:gridCol w:w="2006"/>
        <w:gridCol w:w="2508"/>
      </w:tblGrid>
      <w:tr w:rsidR="004B4CCD" w:rsidRPr="002B49B4" w:rsidTr="00720BE0">
        <w:trPr>
          <w:trHeight w:val="841"/>
        </w:trPr>
        <w:tc>
          <w:tcPr>
            <w:tcW w:w="2909" w:type="dxa"/>
          </w:tcPr>
          <w:p w:rsidR="004B4CCD" w:rsidRPr="002B49B4" w:rsidRDefault="004B4CCD" w:rsidP="00BE275B">
            <w:pPr>
              <w:widowControl w:val="0"/>
              <w:autoSpaceDE w:val="0"/>
              <w:autoSpaceDN w:val="0"/>
              <w:adjustRightInd w:val="0"/>
              <w:spacing w:after="0"/>
              <w:rPr>
                <w:b/>
                <w:bCs/>
              </w:rPr>
            </w:pPr>
            <w:r w:rsidRPr="002B49B4">
              <w:rPr>
                <w:b/>
                <w:bCs/>
              </w:rPr>
              <w:t>Activity</w:t>
            </w:r>
          </w:p>
        </w:tc>
        <w:tc>
          <w:tcPr>
            <w:tcW w:w="2609" w:type="dxa"/>
          </w:tcPr>
          <w:p w:rsidR="004B4CCD" w:rsidRPr="002B49B4" w:rsidRDefault="004B4CCD" w:rsidP="00BE275B">
            <w:pPr>
              <w:widowControl w:val="0"/>
              <w:autoSpaceDE w:val="0"/>
              <w:autoSpaceDN w:val="0"/>
              <w:adjustRightInd w:val="0"/>
              <w:spacing w:after="0"/>
              <w:jc w:val="center"/>
              <w:rPr>
                <w:b/>
                <w:bCs/>
              </w:rPr>
            </w:pPr>
            <w:r w:rsidRPr="002B49B4">
              <w:rPr>
                <w:b/>
                <w:bCs/>
              </w:rPr>
              <w:t>Total Burden Hours</w:t>
            </w:r>
          </w:p>
        </w:tc>
        <w:tc>
          <w:tcPr>
            <w:tcW w:w="2006" w:type="dxa"/>
          </w:tcPr>
          <w:p w:rsidR="004B4CCD" w:rsidRPr="002B49B4" w:rsidRDefault="004B4CCD" w:rsidP="00BE275B">
            <w:pPr>
              <w:widowControl w:val="0"/>
              <w:autoSpaceDE w:val="0"/>
              <w:autoSpaceDN w:val="0"/>
              <w:adjustRightInd w:val="0"/>
              <w:spacing w:after="0"/>
              <w:jc w:val="center"/>
              <w:rPr>
                <w:b/>
                <w:bCs/>
              </w:rPr>
            </w:pPr>
            <w:r w:rsidRPr="002B49B4">
              <w:rPr>
                <w:b/>
                <w:bCs/>
              </w:rPr>
              <w:t>Hourly Wage Rate</w:t>
            </w:r>
          </w:p>
        </w:tc>
        <w:tc>
          <w:tcPr>
            <w:tcW w:w="2508" w:type="dxa"/>
          </w:tcPr>
          <w:p w:rsidR="004B4CCD" w:rsidRPr="002B49B4" w:rsidRDefault="004B4CCD" w:rsidP="00BE275B">
            <w:pPr>
              <w:widowControl w:val="0"/>
              <w:autoSpaceDE w:val="0"/>
              <w:autoSpaceDN w:val="0"/>
              <w:adjustRightInd w:val="0"/>
              <w:spacing w:after="0"/>
              <w:jc w:val="center"/>
              <w:rPr>
                <w:b/>
                <w:bCs/>
              </w:rPr>
            </w:pPr>
            <w:r w:rsidRPr="002B49B4">
              <w:rPr>
                <w:b/>
                <w:bCs/>
              </w:rPr>
              <w:t>Total Respondent Cost</w:t>
            </w:r>
          </w:p>
        </w:tc>
      </w:tr>
      <w:tr w:rsidR="004B4CCD" w:rsidRPr="002B49B4" w:rsidTr="00720BE0">
        <w:trPr>
          <w:trHeight w:val="462"/>
        </w:trPr>
        <w:tc>
          <w:tcPr>
            <w:tcW w:w="2909" w:type="dxa"/>
          </w:tcPr>
          <w:p w:rsidR="004B4CCD" w:rsidRPr="002B49B4" w:rsidRDefault="004E7F74" w:rsidP="00BE275B">
            <w:pPr>
              <w:autoSpaceDE w:val="0"/>
              <w:autoSpaceDN w:val="0"/>
              <w:adjustRightInd w:val="0"/>
              <w:spacing w:after="58"/>
              <w:rPr>
                <w:color w:val="000000"/>
              </w:rPr>
            </w:pPr>
            <w:r>
              <w:rPr>
                <w:color w:val="000000"/>
              </w:rPr>
              <w:t>Focus Group</w:t>
            </w:r>
            <w:r w:rsidR="004B4CCD">
              <w:rPr>
                <w:color w:val="000000"/>
              </w:rPr>
              <w:t xml:space="preserve"> </w:t>
            </w:r>
          </w:p>
        </w:tc>
        <w:tc>
          <w:tcPr>
            <w:tcW w:w="2609" w:type="dxa"/>
          </w:tcPr>
          <w:p w:rsidR="004B4CCD" w:rsidRPr="002B49B4" w:rsidRDefault="00976DA0" w:rsidP="00BE275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color w:val="000000"/>
              </w:rPr>
            </w:pPr>
            <w:r>
              <w:rPr>
                <w:color w:val="000000"/>
              </w:rPr>
              <w:t>81</w:t>
            </w:r>
          </w:p>
        </w:tc>
        <w:tc>
          <w:tcPr>
            <w:tcW w:w="2006" w:type="dxa"/>
          </w:tcPr>
          <w:p w:rsidR="004B4CCD" w:rsidRPr="002B49B4" w:rsidRDefault="004B4CCD" w:rsidP="004E7F74">
            <w:pPr>
              <w:widowControl w:val="0"/>
              <w:autoSpaceDE w:val="0"/>
              <w:autoSpaceDN w:val="0"/>
              <w:adjustRightInd w:val="0"/>
              <w:spacing w:after="0"/>
              <w:jc w:val="right"/>
            </w:pPr>
            <w:r w:rsidRPr="002B49B4">
              <w:t>$</w:t>
            </w:r>
            <w:r w:rsidR="004E7F74">
              <w:t>11.94</w:t>
            </w:r>
          </w:p>
        </w:tc>
        <w:tc>
          <w:tcPr>
            <w:tcW w:w="2508" w:type="dxa"/>
          </w:tcPr>
          <w:p w:rsidR="004B4CCD" w:rsidRPr="002B49B4" w:rsidRDefault="004B4CCD" w:rsidP="009971ED">
            <w:pPr>
              <w:widowControl w:val="0"/>
              <w:autoSpaceDE w:val="0"/>
              <w:autoSpaceDN w:val="0"/>
              <w:adjustRightInd w:val="0"/>
              <w:spacing w:after="0" w:line="480" w:lineRule="auto"/>
              <w:jc w:val="right"/>
            </w:pPr>
            <w:r>
              <w:t>$</w:t>
            </w:r>
            <w:r w:rsidR="00976DA0">
              <w:t>967.14</w:t>
            </w:r>
          </w:p>
        </w:tc>
      </w:tr>
    </w:tbl>
    <w:p w:rsidR="001A6DB3" w:rsidRDefault="001A6DB3" w:rsidP="001A6DB3">
      <w:pPr>
        <w:rPr>
          <w:bCs/>
        </w:rPr>
      </w:pPr>
    </w:p>
    <w:p w:rsidR="001A6DB3" w:rsidRPr="001A6DB3" w:rsidRDefault="001A6DB3" w:rsidP="001A6DB3">
      <w:pPr>
        <w:rPr>
          <w:bCs/>
        </w:rPr>
      </w:pPr>
    </w:p>
    <w:p w:rsidR="009971ED" w:rsidRPr="007D096E" w:rsidRDefault="009971ED" w:rsidP="007D096E">
      <w:pPr>
        <w:pStyle w:val="Heading1"/>
        <w:numPr>
          <w:ilvl w:val="0"/>
          <w:numId w:val="7"/>
        </w:numPr>
        <w:rPr>
          <w:rFonts w:asciiTheme="minorHAnsi" w:hAnsiTheme="minorHAnsi" w:cstheme="minorHAnsi"/>
          <w:b/>
          <w:color w:val="000000" w:themeColor="text1"/>
          <w:sz w:val="22"/>
          <w:szCs w:val="22"/>
        </w:rPr>
      </w:pPr>
      <w:bookmarkStart w:id="13" w:name="_Toc9946262"/>
      <w:r w:rsidRPr="007D096E">
        <w:rPr>
          <w:rFonts w:asciiTheme="minorHAnsi" w:hAnsiTheme="minorHAnsi" w:cstheme="minorHAnsi"/>
          <w:b/>
          <w:color w:val="000000" w:themeColor="text1"/>
          <w:sz w:val="22"/>
          <w:szCs w:val="22"/>
        </w:rPr>
        <w:t>Estimates of Other Total Annual Cost Burden to Respondents and Record Keeping</w:t>
      </w:r>
      <w:bookmarkEnd w:id="13"/>
    </w:p>
    <w:p w:rsidR="009971ED" w:rsidRDefault="009971ED" w:rsidP="00C0455A">
      <w:pPr>
        <w:ind w:left="360"/>
      </w:pPr>
      <w:r w:rsidRPr="009971ED">
        <w:t>There ar</w:t>
      </w:r>
      <w:r>
        <w:t xml:space="preserve">e no other costs to focus group participants </w:t>
      </w:r>
      <w:r w:rsidRPr="009971ED">
        <w:t xml:space="preserve">or record keepers. </w:t>
      </w:r>
      <w:r>
        <w:t xml:space="preserve">There will be no direct cost to the focus group participants other than their time to participate in </w:t>
      </w:r>
      <w:r w:rsidR="00BC3B1E">
        <w:t>the data collection activity.</w:t>
      </w:r>
    </w:p>
    <w:p w:rsidR="009971ED" w:rsidRPr="00542C7E" w:rsidRDefault="009971ED" w:rsidP="009971ED">
      <w:pPr>
        <w:rPr>
          <w:b/>
        </w:rPr>
      </w:pPr>
    </w:p>
    <w:p w:rsidR="009971ED" w:rsidRPr="007D096E" w:rsidRDefault="009971ED" w:rsidP="007D096E">
      <w:pPr>
        <w:pStyle w:val="Heading1"/>
        <w:numPr>
          <w:ilvl w:val="0"/>
          <w:numId w:val="7"/>
        </w:numPr>
        <w:rPr>
          <w:rFonts w:asciiTheme="minorHAnsi" w:hAnsiTheme="minorHAnsi" w:cstheme="minorHAnsi"/>
          <w:b/>
          <w:color w:val="000000" w:themeColor="text1"/>
          <w:sz w:val="22"/>
          <w:szCs w:val="22"/>
        </w:rPr>
      </w:pPr>
      <w:bookmarkStart w:id="14" w:name="_Toc9946263"/>
      <w:r w:rsidRPr="007D096E">
        <w:rPr>
          <w:rFonts w:asciiTheme="minorHAnsi" w:hAnsiTheme="minorHAnsi" w:cstheme="minorHAnsi"/>
          <w:b/>
          <w:color w:val="000000" w:themeColor="text1"/>
          <w:sz w:val="22"/>
          <w:szCs w:val="22"/>
        </w:rPr>
        <w:t>Annualized Cost to the Government</w:t>
      </w:r>
      <w:bookmarkEnd w:id="14"/>
    </w:p>
    <w:tbl>
      <w:tblPr>
        <w:tblW w:w="997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24"/>
        <w:gridCol w:w="5944"/>
        <w:gridCol w:w="1909"/>
      </w:tblGrid>
      <w:tr w:rsidR="009971ED" w:rsidRPr="00022A54" w:rsidTr="00FE7244">
        <w:trPr>
          <w:trHeight w:val="825"/>
        </w:trPr>
        <w:tc>
          <w:tcPr>
            <w:tcW w:w="2124" w:type="dxa"/>
          </w:tcPr>
          <w:p w:rsidR="009971ED" w:rsidRPr="00022A5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022A54">
              <w:rPr>
                <w:b/>
                <w:bCs/>
                <w:color w:val="000000"/>
              </w:rPr>
              <w:t>Expense Type</w:t>
            </w:r>
          </w:p>
        </w:tc>
        <w:tc>
          <w:tcPr>
            <w:tcW w:w="5944" w:type="dxa"/>
          </w:tcPr>
          <w:p w:rsidR="009971ED" w:rsidRPr="00022A5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022A54">
              <w:rPr>
                <w:b/>
                <w:bCs/>
                <w:color w:val="000000"/>
              </w:rPr>
              <w:t>Expense Explanation</w:t>
            </w:r>
          </w:p>
        </w:tc>
        <w:tc>
          <w:tcPr>
            <w:tcW w:w="1909" w:type="dxa"/>
          </w:tcPr>
          <w:p w:rsidR="009971ED" w:rsidRPr="00022A54" w:rsidRDefault="009971ED" w:rsidP="00BE275B">
            <w:pPr>
              <w:spacing w:line="50" w:lineRule="exact"/>
              <w:rPr>
                <w:b/>
                <w:color w:val="000000"/>
              </w:rPr>
            </w:pPr>
          </w:p>
          <w:p w:rsidR="009971ED" w:rsidRPr="00022A5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022A54">
              <w:rPr>
                <w:b/>
                <w:bCs/>
                <w:color w:val="000000"/>
              </w:rPr>
              <w:t>Annual Costs (dollars)</w:t>
            </w:r>
          </w:p>
        </w:tc>
      </w:tr>
      <w:tr w:rsidR="009971ED" w:rsidRPr="00022A54" w:rsidTr="009C169E">
        <w:trPr>
          <w:trHeight w:val="687"/>
        </w:trPr>
        <w:tc>
          <w:tcPr>
            <w:tcW w:w="2124" w:type="dxa"/>
          </w:tcPr>
          <w:p w:rsidR="009971ED" w:rsidRPr="00022A5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Direct Costs to the Federal Government</w:t>
            </w:r>
          </w:p>
        </w:tc>
        <w:tc>
          <w:tcPr>
            <w:tcW w:w="5944" w:type="dxa"/>
            <w:vAlign w:val="center"/>
          </w:tcPr>
          <w:p w:rsidR="009971ED" w:rsidRPr="00022A5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909" w:type="dxa"/>
            <w:vAlign w:val="center"/>
          </w:tcPr>
          <w:p w:rsidR="009971ED" w:rsidRPr="00022A5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rsidR="007B7C23" w:rsidRPr="00022A54" w:rsidTr="00FE7244">
        <w:trPr>
          <w:trHeight w:val="479"/>
        </w:trPr>
        <w:tc>
          <w:tcPr>
            <w:tcW w:w="2124" w:type="dxa"/>
          </w:tcPr>
          <w:p w:rsidR="007B7C23" w:rsidRPr="00022A54" w:rsidRDefault="007B7C23"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944" w:type="dxa"/>
            <w:vAlign w:val="center"/>
          </w:tcPr>
          <w:p w:rsidR="007B7C23" w:rsidRPr="00022A54" w:rsidRDefault="00FE7244"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CDC Project Officer (GS-12, 0.</w:t>
            </w:r>
            <w:r w:rsidR="007B7C23">
              <w:rPr>
                <w:color w:val="000000"/>
              </w:rPr>
              <w:t>0</w:t>
            </w:r>
            <w:r>
              <w:rPr>
                <w:color w:val="000000"/>
              </w:rPr>
              <w:t>5</w:t>
            </w:r>
            <w:r w:rsidR="007B7C23">
              <w:rPr>
                <w:color w:val="000000"/>
              </w:rPr>
              <w:t xml:space="preserve"> FTE)</w:t>
            </w:r>
          </w:p>
        </w:tc>
        <w:tc>
          <w:tcPr>
            <w:tcW w:w="1909" w:type="dxa"/>
            <w:vAlign w:val="center"/>
          </w:tcPr>
          <w:p w:rsidR="007B7C23" w:rsidRPr="00022A54" w:rsidRDefault="00FE7244" w:rsidP="00FE7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$4</w:t>
            </w:r>
            <w:r w:rsidR="00D06652">
              <w:rPr>
                <w:color w:val="000000"/>
              </w:rPr>
              <w:t>,</w:t>
            </w:r>
            <w:r>
              <w:rPr>
                <w:color w:val="000000"/>
              </w:rPr>
              <w:t>134</w:t>
            </w:r>
          </w:p>
        </w:tc>
      </w:tr>
      <w:tr w:rsidR="007B7C23" w:rsidRPr="00022A54" w:rsidTr="00FE7244">
        <w:trPr>
          <w:trHeight w:val="462"/>
        </w:trPr>
        <w:tc>
          <w:tcPr>
            <w:tcW w:w="2124" w:type="dxa"/>
          </w:tcPr>
          <w:p w:rsidR="007B7C23" w:rsidRPr="00022A54" w:rsidRDefault="007B7C23"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944" w:type="dxa"/>
            <w:vAlign w:val="center"/>
          </w:tcPr>
          <w:p w:rsidR="007B7C23" w:rsidRPr="00022A54" w:rsidRDefault="007B7C23"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CDC Project Officer (GS-</w:t>
            </w:r>
            <w:r w:rsidR="00FE7244">
              <w:rPr>
                <w:color w:val="000000"/>
              </w:rPr>
              <w:t>14, 0.02 FTE)</w:t>
            </w:r>
          </w:p>
        </w:tc>
        <w:tc>
          <w:tcPr>
            <w:tcW w:w="1909" w:type="dxa"/>
            <w:vAlign w:val="center"/>
          </w:tcPr>
          <w:p w:rsidR="007B7C23" w:rsidRPr="00022A54" w:rsidRDefault="00FE7244" w:rsidP="00FE7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$2</w:t>
            </w:r>
            <w:r w:rsidR="00D06652">
              <w:rPr>
                <w:color w:val="000000"/>
              </w:rPr>
              <w:t>,</w:t>
            </w:r>
            <w:r>
              <w:rPr>
                <w:color w:val="000000"/>
              </w:rPr>
              <w:t>832</w:t>
            </w:r>
          </w:p>
        </w:tc>
      </w:tr>
      <w:tr w:rsidR="009971ED" w:rsidRPr="00022A54" w:rsidTr="00FE7244">
        <w:trPr>
          <w:trHeight w:val="479"/>
        </w:trPr>
        <w:tc>
          <w:tcPr>
            <w:tcW w:w="2124" w:type="dxa"/>
          </w:tcPr>
          <w:p w:rsidR="009971ED" w:rsidRPr="00022A5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944" w:type="dxa"/>
            <w:vAlign w:val="center"/>
          </w:tcPr>
          <w:p w:rsidR="009971ED" w:rsidRPr="007B6EE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7B6EE4">
              <w:rPr>
                <w:color w:val="000000"/>
              </w:rPr>
              <w:t>Subtotal, Direct costs</w:t>
            </w:r>
          </w:p>
        </w:tc>
        <w:tc>
          <w:tcPr>
            <w:tcW w:w="1909" w:type="dxa"/>
            <w:vAlign w:val="center"/>
          </w:tcPr>
          <w:p w:rsidR="009971ED" w:rsidRPr="007B6EE4" w:rsidRDefault="00775346" w:rsidP="00D06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color w:val="000000"/>
              </w:rPr>
            </w:pPr>
            <w:r>
              <w:rPr>
                <w:color w:val="000000"/>
              </w:rPr>
              <w:t>$</w:t>
            </w:r>
            <w:r w:rsidR="00D06652">
              <w:rPr>
                <w:color w:val="000000"/>
              </w:rPr>
              <w:t>6,966</w:t>
            </w:r>
          </w:p>
        </w:tc>
      </w:tr>
      <w:tr w:rsidR="009971ED" w:rsidRPr="00022A54" w:rsidTr="00FE7244">
        <w:trPr>
          <w:trHeight w:val="1073"/>
        </w:trPr>
        <w:tc>
          <w:tcPr>
            <w:tcW w:w="2124" w:type="dxa"/>
          </w:tcPr>
          <w:p w:rsidR="009971ED" w:rsidRPr="00022A5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Cooperative Agreement or Contract</w:t>
            </w:r>
          </w:p>
        </w:tc>
        <w:tc>
          <w:tcPr>
            <w:tcW w:w="5944" w:type="dxa"/>
          </w:tcPr>
          <w:p w:rsidR="009971ED" w:rsidRPr="00022A54" w:rsidRDefault="00775346" w:rsidP="00775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 xml:space="preserve">Contracts </w:t>
            </w:r>
          </w:p>
        </w:tc>
        <w:tc>
          <w:tcPr>
            <w:tcW w:w="1909" w:type="dxa"/>
          </w:tcPr>
          <w:p w:rsidR="009971ED" w:rsidRPr="002D3EDE"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2D3EDE">
              <w:rPr>
                <w:color w:val="000000"/>
              </w:rPr>
              <w:t>$</w:t>
            </w:r>
            <w:r w:rsidR="00775346">
              <w:rPr>
                <w:color w:val="000000"/>
              </w:rPr>
              <w:t>35,805</w:t>
            </w:r>
          </w:p>
        </w:tc>
      </w:tr>
      <w:tr w:rsidR="009971ED" w:rsidRPr="00022A54" w:rsidTr="00FE7244">
        <w:trPr>
          <w:trHeight w:val="462"/>
        </w:trPr>
        <w:tc>
          <w:tcPr>
            <w:tcW w:w="2124" w:type="dxa"/>
          </w:tcPr>
          <w:p w:rsidR="009971ED" w:rsidRPr="00022A5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944" w:type="dxa"/>
          </w:tcPr>
          <w:p w:rsidR="009971ED" w:rsidRPr="007B6EE4" w:rsidRDefault="009971ED" w:rsidP="00BE2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7B6EE4">
              <w:rPr>
                <w:color w:val="000000"/>
              </w:rPr>
              <w:t>TOTAL COST TO THE GOVERNMENT</w:t>
            </w:r>
          </w:p>
        </w:tc>
        <w:tc>
          <w:tcPr>
            <w:tcW w:w="1909" w:type="dxa"/>
          </w:tcPr>
          <w:p w:rsidR="009971ED" w:rsidRPr="007B6EE4" w:rsidRDefault="009C169E" w:rsidP="00D06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w:t>
            </w:r>
            <w:r w:rsidR="00D06652">
              <w:rPr>
                <w:color w:val="000000"/>
              </w:rPr>
              <w:t>42,771</w:t>
            </w:r>
          </w:p>
        </w:tc>
      </w:tr>
    </w:tbl>
    <w:p w:rsidR="009971ED" w:rsidRDefault="009971ED" w:rsidP="009971ED"/>
    <w:p w:rsidR="00775346" w:rsidRDefault="00775346" w:rsidP="009971ED"/>
    <w:p w:rsidR="00775346" w:rsidRPr="007D096E" w:rsidRDefault="00775346" w:rsidP="007D096E">
      <w:pPr>
        <w:pStyle w:val="Heading1"/>
        <w:numPr>
          <w:ilvl w:val="0"/>
          <w:numId w:val="7"/>
        </w:numPr>
        <w:rPr>
          <w:rFonts w:asciiTheme="minorHAnsi" w:hAnsiTheme="minorHAnsi" w:cstheme="minorHAnsi"/>
          <w:b/>
          <w:color w:val="000000" w:themeColor="text1"/>
          <w:sz w:val="22"/>
          <w:szCs w:val="22"/>
        </w:rPr>
      </w:pPr>
      <w:bookmarkStart w:id="15" w:name="_Toc9946264"/>
      <w:r w:rsidRPr="007D096E">
        <w:rPr>
          <w:rFonts w:asciiTheme="minorHAnsi" w:hAnsiTheme="minorHAnsi" w:cstheme="minorHAnsi"/>
          <w:b/>
          <w:color w:val="000000" w:themeColor="text1"/>
          <w:sz w:val="22"/>
          <w:szCs w:val="22"/>
        </w:rPr>
        <w:t>Explanation for Program Changes or Adjustments</w:t>
      </w:r>
      <w:bookmarkEnd w:id="15"/>
    </w:p>
    <w:p w:rsidR="00775346" w:rsidRDefault="00775346" w:rsidP="00775346">
      <w:r w:rsidRPr="00775346">
        <w:t>This is a new information collection request, therefore program changes and adjustments do not apply.</w:t>
      </w:r>
    </w:p>
    <w:p w:rsidR="00775346" w:rsidRPr="007D096E" w:rsidRDefault="00775346" w:rsidP="007D096E">
      <w:pPr>
        <w:pStyle w:val="Heading1"/>
        <w:numPr>
          <w:ilvl w:val="0"/>
          <w:numId w:val="7"/>
        </w:numPr>
        <w:rPr>
          <w:rFonts w:asciiTheme="minorHAnsi" w:hAnsiTheme="minorHAnsi" w:cstheme="minorHAnsi"/>
          <w:b/>
          <w:color w:val="000000" w:themeColor="text1"/>
          <w:sz w:val="22"/>
          <w:szCs w:val="22"/>
        </w:rPr>
      </w:pPr>
      <w:bookmarkStart w:id="16" w:name="_Toc9946265"/>
      <w:r w:rsidRPr="007D096E">
        <w:rPr>
          <w:rFonts w:asciiTheme="minorHAnsi" w:hAnsiTheme="minorHAnsi" w:cstheme="minorHAnsi"/>
          <w:b/>
          <w:color w:val="000000" w:themeColor="text1"/>
          <w:sz w:val="22"/>
          <w:szCs w:val="22"/>
        </w:rPr>
        <w:t>Plans for Tabulation and Publication and Project Time Schedule</w:t>
      </w:r>
      <w:bookmarkEnd w:id="16"/>
    </w:p>
    <w:tbl>
      <w:tblPr>
        <w:tblStyle w:val="TableGrid"/>
        <w:tblW w:w="0" w:type="auto"/>
        <w:tblInd w:w="360" w:type="dxa"/>
        <w:tblLook w:val="04A0" w:firstRow="1" w:lastRow="0" w:firstColumn="1" w:lastColumn="0" w:noHBand="0" w:noVBand="1"/>
      </w:tblPr>
      <w:tblGrid>
        <w:gridCol w:w="4314"/>
        <w:gridCol w:w="5396"/>
      </w:tblGrid>
      <w:tr w:rsidR="00542C7E" w:rsidTr="00542C7E">
        <w:trPr>
          <w:trHeight w:val="852"/>
        </w:trPr>
        <w:tc>
          <w:tcPr>
            <w:tcW w:w="4314" w:type="dxa"/>
          </w:tcPr>
          <w:p w:rsidR="00542C7E" w:rsidRPr="00542C7E" w:rsidRDefault="00542C7E" w:rsidP="00BE275B">
            <w:pPr>
              <w:spacing w:line="360" w:lineRule="auto"/>
              <w:rPr>
                <w:rFonts w:asciiTheme="minorHAnsi" w:hAnsiTheme="minorHAnsi" w:cstheme="minorHAnsi"/>
                <w:sz w:val="22"/>
              </w:rPr>
            </w:pPr>
            <w:r>
              <w:rPr>
                <w:rFonts w:asciiTheme="minorHAnsi" w:hAnsiTheme="minorHAnsi" w:cstheme="minorHAnsi"/>
                <w:sz w:val="22"/>
              </w:rPr>
              <w:t>Date</w:t>
            </w:r>
          </w:p>
        </w:tc>
        <w:tc>
          <w:tcPr>
            <w:tcW w:w="5396" w:type="dxa"/>
          </w:tcPr>
          <w:p w:rsidR="00542C7E" w:rsidRPr="001B509A" w:rsidRDefault="00542C7E" w:rsidP="00BE275B">
            <w:pPr>
              <w:spacing w:line="360" w:lineRule="auto"/>
              <w:rPr>
                <w:rFonts w:asciiTheme="minorHAnsi" w:hAnsiTheme="minorHAnsi" w:cstheme="minorHAnsi"/>
                <w:b/>
                <w:sz w:val="22"/>
              </w:rPr>
            </w:pPr>
            <w:r w:rsidRPr="001B509A">
              <w:rPr>
                <w:rFonts w:asciiTheme="minorHAnsi" w:hAnsiTheme="minorHAnsi" w:cstheme="minorHAnsi"/>
                <w:b/>
                <w:sz w:val="22"/>
              </w:rPr>
              <w:t>Item Description</w:t>
            </w:r>
          </w:p>
        </w:tc>
      </w:tr>
      <w:tr w:rsidR="00542C7E" w:rsidTr="00542C7E">
        <w:trPr>
          <w:trHeight w:val="867"/>
        </w:trPr>
        <w:tc>
          <w:tcPr>
            <w:tcW w:w="4314" w:type="dxa"/>
          </w:tcPr>
          <w:p w:rsidR="00542C7E" w:rsidRPr="00542C7E" w:rsidRDefault="0042372B" w:rsidP="00542C7E">
            <w:pPr>
              <w:pStyle w:val="ListParagraph"/>
              <w:spacing w:line="360" w:lineRule="auto"/>
              <w:ind w:left="0"/>
              <w:rPr>
                <w:rFonts w:asciiTheme="minorHAnsi" w:hAnsiTheme="minorHAnsi" w:cstheme="minorHAnsi"/>
              </w:rPr>
            </w:pPr>
            <w:r>
              <w:rPr>
                <w:rFonts w:asciiTheme="minorHAnsi" w:hAnsiTheme="minorHAnsi" w:cstheme="minorHAnsi"/>
                <w:sz w:val="22"/>
              </w:rPr>
              <w:t>July</w:t>
            </w:r>
            <w:r w:rsidR="00542C7E" w:rsidRPr="00542C7E">
              <w:rPr>
                <w:rFonts w:asciiTheme="minorHAnsi" w:hAnsiTheme="minorHAnsi" w:cstheme="minorHAnsi"/>
                <w:sz w:val="22"/>
              </w:rPr>
              <w:t xml:space="preserve"> 2019</w:t>
            </w:r>
          </w:p>
        </w:tc>
        <w:tc>
          <w:tcPr>
            <w:tcW w:w="5396" w:type="dxa"/>
          </w:tcPr>
          <w:p w:rsidR="00BB1B9D" w:rsidRDefault="00BB1B9D" w:rsidP="00542C7E">
            <w:pPr>
              <w:pStyle w:val="ListParagraph"/>
              <w:numPr>
                <w:ilvl w:val="0"/>
                <w:numId w:val="6"/>
              </w:numPr>
              <w:spacing w:line="360" w:lineRule="auto"/>
              <w:rPr>
                <w:rFonts w:asciiTheme="minorHAnsi" w:hAnsiTheme="minorHAnsi" w:cstheme="minorHAnsi"/>
                <w:sz w:val="22"/>
              </w:rPr>
            </w:pPr>
            <w:r>
              <w:rPr>
                <w:rFonts w:asciiTheme="minorHAnsi" w:hAnsiTheme="minorHAnsi" w:cstheme="minorHAnsi"/>
                <w:sz w:val="22"/>
              </w:rPr>
              <w:t xml:space="preserve">Project determined to be non-research by NIOSH official. </w:t>
            </w:r>
          </w:p>
          <w:p w:rsidR="00542C7E" w:rsidRPr="00542C7E" w:rsidRDefault="00542C7E" w:rsidP="00542C7E">
            <w:pPr>
              <w:pStyle w:val="ListParagraph"/>
              <w:numPr>
                <w:ilvl w:val="0"/>
                <w:numId w:val="6"/>
              </w:numPr>
              <w:spacing w:line="360" w:lineRule="auto"/>
              <w:rPr>
                <w:rFonts w:asciiTheme="minorHAnsi" w:hAnsiTheme="minorHAnsi" w:cstheme="minorHAnsi"/>
                <w:sz w:val="22"/>
              </w:rPr>
            </w:pPr>
            <w:r>
              <w:rPr>
                <w:rFonts w:asciiTheme="minorHAnsi" w:hAnsiTheme="minorHAnsi" w:cstheme="minorHAnsi"/>
                <w:sz w:val="22"/>
              </w:rPr>
              <w:t>Receive OMB approval</w:t>
            </w:r>
            <w:r w:rsidRPr="00542C7E">
              <w:rPr>
                <w:rFonts w:cstheme="minorHAnsi"/>
              </w:rPr>
              <w:t xml:space="preserve"> </w:t>
            </w:r>
          </w:p>
        </w:tc>
      </w:tr>
      <w:tr w:rsidR="00542C7E" w:rsidTr="00542C7E">
        <w:trPr>
          <w:trHeight w:val="867"/>
        </w:trPr>
        <w:tc>
          <w:tcPr>
            <w:tcW w:w="4314" w:type="dxa"/>
          </w:tcPr>
          <w:p w:rsidR="00542C7E" w:rsidRDefault="0042372B" w:rsidP="00542C7E">
            <w:pPr>
              <w:pStyle w:val="ListParagraph"/>
              <w:spacing w:line="360" w:lineRule="auto"/>
              <w:ind w:left="0"/>
              <w:rPr>
                <w:rFonts w:asciiTheme="minorHAnsi" w:hAnsiTheme="minorHAnsi" w:cstheme="minorHAnsi"/>
                <w:sz w:val="22"/>
              </w:rPr>
            </w:pPr>
            <w:r>
              <w:rPr>
                <w:rFonts w:asciiTheme="minorHAnsi" w:hAnsiTheme="minorHAnsi" w:cstheme="minorHAnsi"/>
                <w:sz w:val="22"/>
              </w:rPr>
              <w:t xml:space="preserve">August </w:t>
            </w:r>
            <w:r w:rsidR="00542C7E">
              <w:rPr>
                <w:rFonts w:asciiTheme="minorHAnsi" w:hAnsiTheme="minorHAnsi" w:cstheme="minorHAnsi"/>
                <w:sz w:val="22"/>
              </w:rPr>
              <w:t>2019</w:t>
            </w:r>
          </w:p>
        </w:tc>
        <w:tc>
          <w:tcPr>
            <w:tcW w:w="5396" w:type="dxa"/>
          </w:tcPr>
          <w:p w:rsidR="00542C7E" w:rsidRPr="007B65F9" w:rsidRDefault="00542C7E" w:rsidP="00542C7E">
            <w:pPr>
              <w:pStyle w:val="ListParagraph"/>
              <w:spacing w:line="360" w:lineRule="auto"/>
              <w:ind w:left="0"/>
            </w:pPr>
            <w:r>
              <w:rPr>
                <w:rFonts w:asciiTheme="minorHAnsi" w:hAnsiTheme="minorHAnsi" w:cstheme="minorHAnsi"/>
                <w:sz w:val="22"/>
              </w:rPr>
              <w:t>Task 1:</w:t>
            </w:r>
            <w:r w:rsidRPr="001B509A">
              <w:rPr>
                <w:rFonts w:asciiTheme="minorHAnsi" w:hAnsiTheme="minorHAnsi" w:cstheme="minorHAnsi"/>
                <w:sz w:val="20"/>
              </w:rPr>
              <w:t xml:space="preserve"> </w:t>
            </w:r>
            <w:r w:rsidRPr="001B509A">
              <w:rPr>
                <w:rFonts w:asciiTheme="minorHAnsi" w:hAnsiTheme="minorHAnsi" w:cstheme="minorHAnsi"/>
                <w:sz w:val="22"/>
              </w:rPr>
              <w:t>Develop project plan and recruitment for focus groups sessions</w:t>
            </w:r>
          </w:p>
        </w:tc>
      </w:tr>
      <w:tr w:rsidR="00542C7E" w:rsidTr="00542C7E">
        <w:trPr>
          <w:trHeight w:val="2590"/>
        </w:trPr>
        <w:tc>
          <w:tcPr>
            <w:tcW w:w="4314" w:type="dxa"/>
          </w:tcPr>
          <w:p w:rsidR="00542C7E" w:rsidRDefault="00542C7E" w:rsidP="00542C7E">
            <w:pPr>
              <w:pStyle w:val="ListParagraph"/>
              <w:spacing w:line="360" w:lineRule="auto"/>
              <w:ind w:left="0"/>
              <w:rPr>
                <w:rFonts w:asciiTheme="minorHAnsi" w:hAnsiTheme="minorHAnsi" w:cstheme="minorHAnsi"/>
                <w:sz w:val="22"/>
              </w:rPr>
            </w:pPr>
            <w:r>
              <w:rPr>
                <w:rFonts w:asciiTheme="minorHAnsi" w:hAnsiTheme="minorHAnsi" w:cstheme="minorHAnsi"/>
                <w:sz w:val="22"/>
              </w:rPr>
              <w:t>December 2019</w:t>
            </w:r>
          </w:p>
        </w:tc>
        <w:tc>
          <w:tcPr>
            <w:tcW w:w="5396" w:type="dxa"/>
          </w:tcPr>
          <w:p w:rsidR="00542C7E" w:rsidRPr="007B65F9" w:rsidRDefault="00542C7E" w:rsidP="00542C7E">
            <w:pPr>
              <w:pStyle w:val="ListParagraph"/>
              <w:spacing w:line="360" w:lineRule="auto"/>
              <w:ind w:left="0"/>
              <w:rPr>
                <w:rFonts w:asciiTheme="minorHAnsi" w:hAnsiTheme="minorHAnsi" w:cstheme="minorHAnsi"/>
                <w:sz w:val="22"/>
              </w:rPr>
            </w:pPr>
            <w:r>
              <w:rPr>
                <w:rFonts w:asciiTheme="minorHAnsi" w:hAnsiTheme="minorHAnsi" w:cstheme="minorHAnsi"/>
                <w:sz w:val="22"/>
              </w:rPr>
              <w:t xml:space="preserve">Task 2: </w:t>
            </w:r>
            <w:r w:rsidRPr="007B65F9">
              <w:rPr>
                <w:rFonts w:asciiTheme="minorHAnsi" w:hAnsiTheme="minorHAnsi" w:cstheme="minorHAnsi"/>
                <w:sz w:val="22"/>
              </w:rPr>
              <w:t>Prepare interview protocols for six focus groups that address experiences with and knowledge of workplace musculoskeletal disorders (WMSDs) and STFs in retail, and conduct up to two pilot test focus group sessions.</w:t>
            </w:r>
          </w:p>
        </w:tc>
      </w:tr>
      <w:tr w:rsidR="00542C7E" w:rsidTr="00542C7E">
        <w:trPr>
          <w:trHeight w:val="1721"/>
        </w:trPr>
        <w:tc>
          <w:tcPr>
            <w:tcW w:w="4314" w:type="dxa"/>
          </w:tcPr>
          <w:p w:rsidR="00542C7E" w:rsidRDefault="0042372B" w:rsidP="00542C7E">
            <w:pPr>
              <w:pStyle w:val="ListParagraph"/>
              <w:spacing w:line="360" w:lineRule="auto"/>
              <w:ind w:left="0"/>
              <w:rPr>
                <w:rFonts w:asciiTheme="minorHAnsi" w:hAnsiTheme="minorHAnsi" w:cstheme="minorHAnsi"/>
                <w:sz w:val="22"/>
              </w:rPr>
            </w:pPr>
            <w:r>
              <w:rPr>
                <w:rFonts w:asciiTheme="minorHAnsi" w:hAnsiTheme="minorHAnsi" w:cstheme="minorHAnsi"/>
                <w:sz w:val="22"/>
              </w:rPr>
              <w:t xml:space="preserve">October </w:t>
            </w:r>
            <w:r w:rsidR="00542C7E">
              <w:rPr>
                <w:rFonts w:asciiTheme="minorHAnsi" w:hAnsiTheme="minorHAnsi" w:cstheme="minorHAnsi"/>
                <w:sz w:val="22"/>
              </w:rPr>
              <w:t>2020</w:t>
            </w:r>
          </w:p>
        </w:tc>
        <w:tc>
          <w:tcPr>
            <w:tcW w:w="5396" w:type="dxa"/>
          </w:tcPr>
          <w:p w:rsidR="00542C7E" w:rsidRPr="007B65F9" w:rsidRDefault="00542C7E" w:rsidP="00542C7E">
            <w:pPr>
              <w:pStyle w:val="ListParagraph"/>
              <w:spacing w:line="360" w:lineRule="auto"/>
              <w:ind w:left="0"/>
              <w:rPr>
                <w:rFonts w:asciiTheme="minorHAnsi" w:hAnsiTheme="minorHAnsi" w:cstheme="minorHAnsi"/>
                <w:sz w:val="22"/>
              </w:rPr>
            </w:pPr>
            <w:r>
              <w:rPr>
                <w:rFonts w:asciiTheme="minorHAnsi" w:hAnsiTheme="minorHAnsi" w:cstheme="minorHAnsi"/>
                <w:sz w:val="22"/>
              </w:rPr>
              <w:t xml:space="preserve">Task 3: </w:t>
            </w:r>
            <w:r w:rsidRPr="007B65F9">
              <w:rPr>
                <w:rFonts w:asciiTheme="minorHAnsi" w:hAnsiTheme="minorHAnsi" w:cstheme="minorHAnsi"/>
                <w:sz w:val="22"/>
              </w:rPr>
              <w:t>Conduct focus group interviews to collect employer and employee input on WMSDs and STFs associated with manual materials handling in the retail sector.</w:t>
            </w:r>
          </w:p>
        </w:tc>
      </w:tr>
      <w:tr w:rsidR="00542C7E" w:rsidTr="00542C7E">
        <w:trPr>
          <w:trHeight w:val="1286"/>
        </w:trPr>
        <w:tc>
          <w:tcPr>
            <w:tcW w:w="4314" w:type="dxa"/>
          </w:tcPr>
          <w:p w:rsidR="00542C7E" w:rsidRDefault="00542C7E" w:rsidP="00542C7E">
            <w:pPr>
              <w:pStyle w:val="ListParagraph"/>
              <w:spacing w:line="360" w:lineRule="auto"/>
              <w:ind w:left="0"/>
              <w:rPr>
                <w:rFonts w:asciiTheme="minorHAnsi" w:hAnsiTheme="minorHAnsi" w:cstheme="minorHAnsi"/>
                <w:sz w:val="22"/>
              </w:rPr>
            </w:pPr>
            <w:r>
              <w:rPr>
                <w:rFonts w:asciiTheme="minorHAnsi" w:hAnsiTheme="minorHAnsi" w:cstheme="minorHAnsi"/>
                <w:sz w:val="22"/>
              </w:rPr>
              <w:t>April 2021</w:t>
            </w:r>
          </w:p>
        </w:tc>
        <w:tc>
          <w:tcPr>
            <w:tcW w:w="5396" w:type="dxa"/>
          </w:tcPr>
          <w:p w:rsidR="00542C7E" w:rsidRPr="007B65F9" w:rsidRDefault="00542C7E" w:rsidP="00BC3B1E">
            <w:pPr>
              <w:pStyle w:val="ListParagraph"/>
              <w:spacing w:line="360" w:lineRule="auto"/>
              <w:ind w:left="0"/>
              <w:rPr>
                <w:rFonts w:asciiTheme="minorHAnsi" w:hAnsiTheme="minorHAnsi" w:cstheme="minorHAnsi"/>
                <w:sz w:val="22"/>
              </w:rPr>
            </w:pPr>
            <w:r>
              <w:rPr>
                <w:rFonts w:asciiTheme="minorHAnsi" w:hAnsiTheme="minorHAnsi" w:cstheme="minorHAnsi"/>
                <w:sz w:val="22"/>
              </w:rPr>
              <w:t xml:space="preserve">Task 4: </w:t>
            </w:r>
            <w:r w:rsidRPr="007B65F9">
              <w:rPr>
                <w:rFonts w:asciiTheme="minorHAnsi" w:hAnsiTheme="minorHAnsi" w:cstheme="minorHAnsi"/>
                <w:sz w:val="22"/>
              </w:rPr>
              <w:t xml:space="preserve">Conduct qualitative analysis of </w:t>
            </w:r>
            <w:r w:rsidR="00BC3B1E">
              <w:rPr>
                <w:rFonts w:asciiTheme="minorHAnsi" w:hAnsiTheme="minorHAnsi" w:cstheme="minorHAnsi"/>
                <w:sz w:val="22"/>
              </w:rPr>
              <w:t>information collected during the focus groups and write a report summarizing major findings.</w:t>
            </w:r>
          </w:p>
        </w:tc>
      </w:tr>
    </w:tbl>
    <w:p w:rsidR="00775346" w:rsidRDefault="00775346" w:rsidP="00775346"/>
    <w:p w:rsidR="00542C7E" w:rsidRPr="007D096E" w:rsidRDefault="00542C7E" w:rsidP="007D096E">
      <w:pPr>
        <w:pStyle w:val="Heading1"/>
        <w:rPr>
          <w:b/>
        </w:rPr>
      </w:pPr>
    </w:p>
    <w:p w:rsidR="00542C7E" w:rsidRPr="007D096E" w:rsidRDefault="00542C7E" w:rsidP="007D096E">
      <w:pPr>
        <w:pStyle w:val="Heading1"/>
        <w:numPr>
          <w:ilvl w:val="0"/>
          <w:numId w:val="7"/>
        </w:numPr>
        <w:rPr>
          <w:rFonts w:asciiTheme="minorHAnsi" w:hAnsiTheme="minorHAnsi" w:cstheme="minorHAnsi"/>
          <w:b/>
          <w:color w:val="000000" w:themeColor="text1"/>
          <w:sz w:val="22"/>
          <w:szCs w:val="22"/>
        </w:rPr>
      </w:pPr>
      <w:bookmarkStart w:id="17" w:name="_Toc9946266"/>
      <w:r w:rsidRPr="007D096E">
        <w:rPr>
          <w:rStyle w:val="Heading1Char"/>
          <w:rFonts w:asciiTheme="minorHAnsi" w:hAnsiTheme="minorHAnsi" w:cstheme="minorHAnsi"/>
          <w:b/>
          <w:color w:val="000000" w:themeColor="text1"/>
          <w:sz w:val="22"/>
          <w:szCs w:val="22"/>
        </w:rPr>
        <w:t>Reason(s) Display of OMB Expiration Date is Inappropriate</w:t>
      </w:r>
      <w:bookmarkEnd w:id="17"/>
    </w:p>
    <w:p w:rsidR="00542C7E" w:rsidRPr="00542C7E" w:rsidRDefault="00542C7E" w:rsidP="00542C7E">
      <w:pPr>
        <w:rPr>
          <w:bCs/>
        </w:rPr>
      </w:pPr>
      <w:r>
        <w:rPr>
          <w:bCs/>
        </w:rPr>
        <w:t xml:space="preserve">        </w:t>
      </w:r>
      <w:r w:rsidRPr="00542C7E">
        <w:rPr>
          <w:bCs/>
        </w:rPr>
        <w:t>The OMB Expiration Date will be displayed.</w:t>
      </w:r>
      <w:r w:rsidR="00C879B5">
        <w:rPr>
          <w:bCs/>
        </w:rPr>
        <w:t xml:space="preserve"> </w:t>
      </w:r>
    </w:p>
    <w:p w:rsidR="00542C7E" w:rsidRPr="007D096E" w:rsidRDefault="00542C7E" w:rsidP="007D096E">
      <w:pPr>
        <w:pStyle w:val="Heading1"/>
        <w:numPr>
          <w:ilvl w:val="0"/>
          <w:numId w:val="7"/>
        </w:numPr>
        <w:rPr>
          <w:rFonts w:asciiTheme="minorHAnsi" w:hAnsiTheme="minorHAnsi" w:cstheme="minorHAnsi"/>
          <w:b/>
          <w:color w:val="000000" w:themeColor="text1"/>
          <w:sz w:val="22"/>
          <w:szCs w:val="22"/>
        </w:rPr>
      </w:pPr>
      <w:bookmarkStart w:id="18" w:name="_Toc9946267"/>
      <w:r w:rsidRPr="007D096E">
        <w:rPr>
          <w:rFonts w:asciiTheme="minorHAnsi" w:hAnsiTheme="minorHAnsi" w:cstheme="minorHAnsi"/>
          <w:b/>
          <w:color w:val="000000" w:themeColor="text1"/>
          <w:sz w:val="22"/>
          <w:szCs w:val="22"/>
        </w:rPr>
        <w:t>Exceptions to Certification for Paperwork Reduction Act Submissions</w:t>
      </w:r>
      <w:bookmarkEnd w:id="18"/>
    </w:p>
    <w:p w:rsidR="00542C7E" w:rsidRPr="00542C7E" w:rsidRDefault="00542C7E" w:rsidP="00C0455A">
      <w:pPr>
        <w:ind w:left="360"/>
        <w:rPr>
          <w:bCs/>
        </w:rPr>
      </w:pPr>
      <w:r w:rsidRPr="00542C7E">
        <w:rPr>
          <w:bCs/>
        </w:rPr>
        <w:t>There are no exceptions to the certification.  These activities comply with the requirements in 5 CFR 1320.9.</w:t>
      </w:r>
    </w:p>
    <w:p w:rsidR="00542C7E" w:rsidRPr="00542C7E" w:rsidRDefault="00542C7E" w:rsidP="00542C7E">
      <w:pPr>
        <w:rPr>
          <w:b/>
          <w:bCs/>
        </w:rPr>
      </w:pPr>
    </w:p>
    <w:p w:rsidR="001A5121" w:rsidRDefault="001A5121" w:rsidP="00775346"/>
    <w:p w:rsidR="001A5121" w:rsidRDefault="001A5121" w:rsidP="00775346"/>
    <w:p w:rsidR="001A5121" w:rsidRPr="001A5121" w:rsidRDefault="001A5121" w:rsidP="001A5121">
      <w:pPr>
        <w:pStyle w:val="EndNoteBibliography"/>
        <w:spacing w:after="0"/>
        <w:ind w:left="720" w:hanging="720"/>
      </w:pPr>
      <w:r>
        <w:fldChar w:fldCharType="begin"/>
      </w:r>
      <w:r>
        <w:instrText xml:space="preserve"> ADDIN EN.REFLIST </w:instrText>
      </w:r>
      <w:r>
        <w:fldChar w:fldCharType="separate"/>
      </w:r>
      <w:r w:rsidRPr="001A5121">
        <w:t>1.</w:t>
      </w:r>
      <w:r w:rsidRPr="001A5121">
        <w:tab/>
        <w:t xml:space="preserve">CPS. Labor Force Statistics from the Current Population Survey. 2018; </w:t>
      </w:r>
      <w:hyperlink r:id="rId10" w:history="1">
        <w:r w:rsidRPr="001A5121">
          <w:rPr>
            <w:rStyle w:val="Hyperlink"/>
          </w:rPr>
          <w:t>https://www.bls.gov/cps/cpsaat18b.htm</w:t>
        </w:r>
      </w:hyperlink>
      <w:r w:rsidRPr="001A5121">
        <w:t>. Accessed 2/6/2018, 2018.</w:t>
      </w:r>
    </w:p>
    <w:p w:rsidR="001A5121" w:rsidRPr="001A5121" w:rsidRDefault="001A5121" w:rsidP="001A5121">
      <w:pPr>
        <w:pStyle w:val="EndNoteBibliography"/>
        <w:spacing w:after="0"/>
        <w:ind w:left="720" w:hanging="720"/>
      </w:pPr>
      <w:r w:rsidRPr="001A5121">
        <w:t>2.</w:t>
      </w:r>
      <w:r w:rsidRPr="001A5121">
        <w:tab/>
        <w:t xml:space="preserve">Anderson VP, Schulte PA, Sestito J, Linn H, Nguyen LS. Occupational fatalities, injuries, illnesses, and related economic loss in the wholesale and retail trade sector. </w:t>
      </w:r>
      <w:r w:rsidRPr="001A5121">
        <w:rPr>
          <w:i/>
        </w:rPr>
        <w:t xml:space="preserve">American journal of industrial medicine. </w:t>
      </w:r>
      <w:r w:rsidRPr="001A5121">
        <w:t>2010;53(7):673-685.</w:t>
      </w:r>
    </w:p>
    <w:p w:rsidR="001A5121" w:rsidRPr="001A5121" w:rsidRDefault="001A5121" w:rsidP="001A5121">
      <w:pPr>
        <w:pStyle w:val="EndNoteBibliography"/>
        <w:spacing w:after="0"/>
        <w:ind w:left="720" w:hanging="720"/>
      </w:pPr>
      <w:r w:rsidRPr="001A5121">
        <w:t>3.</w:t>
      </w:r>
      <w:r w:rsidRPr="001A5121">
        <w:tab/>
        <w:t xml:space="preserve">NIOSH. </w:t>
      </w:r>
      <w:r w:rsidRPr="001A5121">
        <w:rPr>
          <w:i/>
        </w:rPr>
        <w:t xml:space="preserve">Injuries, Illnesses and Fatalities in Wholesale and Retail Trade in 2005: Chartbook. </w:t>
      </w:r>
      <w:r w:rsidRPr="001A5121">
        <w:t>2005.</w:t>
      </w:r>
    </w:p>
    <w:p w:rsidR="001A5121" w:rsidRPr="001A5121" w:rsidRDefault="001A5121" w:rsidP="001A5121">
      <w:pPr>
        <w:pStyle w:val="EndNoteBibliography"/>
        <w:spacing w:after="0"/>
        <w:ind w:left="720" w:hanging="720"/>
      </w:pPr>
      <w:r w:rsidRPr="001A5121">
        <w:t>4.</w:t>
      </w:r>
      <w:r w:rsidRPr="001A5121">
        <w:tab/>
        <w:t xml:space="preserve">Scott KA, Fisher GG, Barón AE, Tompa E, Stallones L, DiGuiseppi C. Same-level fall injuries in US workplaces by age group, gender, and industry. </w:t>
      </w:r>
      <w:r w:rsidRPr="001A5121">
        <w:rPr>
          <w:i/>
        </w:rPr>
        <w:t>American Journal of Industrial Medicine.</w:t>
      </w:r>
      <w:r w:rsidRPr="001A5121">
        <w:t>n/a-n/a.</w:t>
      </w:r>
    </w:p>
    <w:p w:rsidR="001A5121" w:rsidRPr="001A5121" w:rsidRDefault="001A5121" w:rsidP="001A5121">
      <w:pPr>
        <w:pStyle w:val="EndNoteBibliography"/>
        <w:spacing w:after="0"/>
        <w:ind w:left="720" w:hanging="720"/>
      </w:pPr>
      <w:r w:rsidRPr="001A5121">
        <w:t>5.</w:t>
      </w:r>
      <w:r w:rsidRPr="001A5121">
        <w:tab/>
        <w:t>De Guzman AB, Amrad HN, Araullo RCG, Cheung HBOJEg. A structural equation modeling of the factors affecting an age-friendly workplace. 2014;40(6):387-400.</w:t>
      </w:r>
    </w:p>
    <w:p w:rsidR="001A5121" w:rsidRPr="001A5121" w:rsidRDefault="001A5121" w:rsidP="001A5121">
      <w:pPr>
        <w:pStyle w:val="EndNoteBibliography"/>
        <w:spacing w:after="0"/>
        <w:ind w:left="720" w:hanging="720"/>
      </w:pPr>
      <w:r w:rsidRPr="001A5121">
        <w:t>6.</w:t>
      </w:r>
      <w:r w:rsidRPr="001A5121">
        <w:tab/>
        <w:t>Afanuh S, Anderson VP, Bell J. Preventing slips, trips, and falls in wholesale and retail trade establishments.</w:t>
      </w:r>
    </w:p>
    <w:p w:rsidR="001A5121" w:rsidRPr="001A5121" w:rsidRDefault="001A5121" w:rsidP="001A5121">
      <w:pPr>
        <w:pStyle w:val="EndNoteBibliography"/>
        <w:spacing w:after="0"/>
        <w:ind w:left="720" w:hanging="720"/>
      </w:pPr>
      <w:r w:rsidRPr="001A5121">
        <w:t>7.</w:t>
      </w:r>
      <w:r w:rsidRPr="001A5121">
        <w:tab/>
        <w:t xml:space="preserve">WorkSafeBC. </w:t>
      </w:r>
      <w:r w:rsidRPr="001A5121">
        <w:rPr>
          <w:i/>
        </w:rPr>
        <w:t xml:space="preserve">Health and Safety Guide for New Retail Workers. </w:t>
      </w:r>
      <w:r w:rsidRPr="001A5121">
        <w:t>2012.</w:t>
      </w:r>
    </w:p>
    <w:p w:rsidR="001A5121" w:rsidRPr="001A5121" w:rsidRDefault="001A5121" w:rsidP="001A5121">
      <w:pPr>
        <w:pStyle w:val="EndNoteBibliography"/>
        <w:spacing w:after="0"/>
        <w:ind w:left="720" w:hanging="720"/>
      </w:pPr>
      <w:r w:rsidRPr="001A5121">
        <w:t>8.</w:t>
      </w:r>
      <w:r w:rsidRPr="001A5121">
        <w:tab/>
        <w:t>Hsiao H. A TOTAL WORKER SAFETY APPROACH FOR PREVENTING SLIPS, TRIPS, AND FALLS.</w:t>
      </w:r>
    </w:p>
    <w:p w:rsidR="001A5121" w:rsidRPr="001A5121" w:rsidRDefault="001A5121" w:rsidP="001A5121">
      <w:pPr>
        <w:pStyle w:val="EndNoteBibliography"/>
        <w:spacing w:after="0"/>
        <w:ind w:left="720" w:hanging="720"/>
      </w:pPr>
      <w:r w:rsidRPr="001A5121">
        <w:t>9.</w:t>
      </w:r>
      <w:r w:rsidRPr="001A5121">
        <w:tab/>
        <w:t>Anderson VP. Ergonomic solutions for retailers: prevention of material handling injuries in the grocery sector. 2014.</w:t>
      </w:r>
    </w:p>
    <w:p w:rsidR="001A5121" w:rsidRPr="001A5121" w:rsidRDefault="001A5121" w:rsidP="001A5121">
      <w:pPr>
        <w:pStyle w:val="EndNoteBibliography"/>
        <w:ind w:left="720" w:hanging="720"/>
      </w:pPr>
      <w:r w:rsidRPr="001A5121">
        <w:t>10.</w:t>
      </w:r>
      <w:r w:rsidRPr="001A5121">
        <w:tab/>
        <w:t xml:space="preserve">National Retail Federation. </w:t>
      </w:r>
      <w:r w:rsidRPr="001A5121">
        <w:rPr>
          <w:i/>
        </w:rPr>
        <w:t xml:space="preserve">The economic impact of the U.S. retail industry. </w:t>
      </w:r>
      <w:r w:rsidRPr="001A5121">
        <w:t>2014.</w:t>
      </w:r>
    </w:p>
    <w:p w:rsidR="00542C7E" w:rsidRPr="009971ED" w:rsidRDefault="001A5121" w:rsidP="00775346">
      <w:r>
        <w:fldChar w:fldCharType="end"/>
      </w:r>
    </w:p>
    <w:sectPr w:rsidR="00542C7E" w:rsidRPr="009971ED" w:rsidSect="0085620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C2F" w:rsidRDefault="00893C2F" w:rsidP="00513385">
      <w:pPr>
        <w:spacing w:after="0" w:line="240" w:lineRule="auto"/>
      </w:pPr>
      <w:r>
        <w:separator/>
      </w:r>
    </w:p>
  </w:endnote>
  <w:endnote w:type="continuationSeparator" w:id="0">
    <w:p w:rsidR="00893C2F" w:rsidRDefault="00893C2F" w:rsidP="0051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C2F" w:rsidRDefault="00893C2F" w:rsidP="00513385">
      <w:pPr>
        <w:spacing w:after="0" w:line="240" w:lineRule="auto"/>
      </w:pPr>
      <w:r>
        <w:separator/>
      </w:r>
    </w:p>
  </w:footnote>
  <w:footnote w:type="continuationSeparator" w:id="0">
    <w:p w:rsidR="00893C2F" w:rsidRDefault="00893C2F" w:rsidP="005133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BA0"/>
    <w:multiLevelType w:val="hybridMultilevel"/>
    <w:tmpl w:val="1AB29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A6502"/>
    <w:multiLevelType w:val="hybridMultilevel"/>
    <w:tmpl w:val="04FEC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6D03E6"/>
    <w:multiLevelType w:val="hybridMultilevel"/>
    <w:tmpl w:val="77DA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C06B9"/>
    <w:multiLevelType w:val="hybridMultilevel"/>
    <w:tmpl w:val="C37CF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1451B4"/>
    <w:multiLevelType w:val="hybridMultilevel"/>
    <w:tmpl w:val="E50821C6"/>
    <w:lvl w:ilvl="0" w:tplc="3E98D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C032E7"/>
    <w:multiLevelType w:val="hybridMultilevel"/>
    <w:tmpl w:val="3C2E3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B027C"/>
    <w:multiLevelType w:val="hybridMultilevel"/>
    <w:tmpl w:val="055C1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F0FA1"/>
    <w:multiLevelType w:val="hybridMultilevel"/>
    <w:tmpl w:val="EB6298B8"/>
    <w:lvl w:ilvl="0" w:tplc="7C18286A">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E6EDD"/>
    <w:multiLevelType w:val="hybridMultilevel"/>
    <w:tmpl w:val="74149342"/>
    <w:lvl w:ilvl="0" w:tplc="3E98D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B4451D"/>
    <w:multiLevelType w:val="hybridMultilevel"/>
    <w:tmpl w:val="3F503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8468E"/>
    <w:multiLevelType w:val="hybridMultilevel"/>
    <w:tmpl w:val="3440F204"/>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829BC"/>
    <w:multiLevelType w:val="hybridMultilevel"/>
    <w:tmpl w:val="8394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40B67"/>
    <w:multiLevelType w:val="hybridMultilevel"/>
    <w:tmpl w:val="3CD04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EC384B"/>
    <w:multiLevelType w:val="hybridMultilevel"/>
    <w:tmpl w:val="00226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50C461A"/>
    <w:multiLevelType w:val="hybridMultilevel"/>
    <w:tmpl w:val="36BC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7329CE"/>
    <w:multiLevelType w:val="hybridMultilevel"/>
    <w:tmpl w:val="55B8FACC"/>
    <w:lvl w:ilvl="0" w:tplc="E764A93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2"/>
  </w:num>
  <w:num w:numId="4">
    <w:abstractNumId w:val="15"/>
  </w:num>
  <w:num w:numId="5">
    <w:abstractNumId w:val="7"/>
  </w:num>
  <w:num w:numId="6">
    <w:abstractNumId w:val="11"/>
  </w:num>
  <w:num w:numId="7">
    <w:abstractNumId w:val="3"/>
  </w:num>
  <w:num w:numId="8">
    <w:abstractNumId w:val="4"/>
  </w:num>
  <w:num w:numId="9">
    <w:abstractNumId w:val="12"/>
  </w:num>
  <w:num w:numId="10">
    <w:abstractNumId w:val="0"/>
  </w:num>
  <w:num w:numId="11">
    <w:abstractNumId w:val="9"/>
  </w:num>
  <w:num w:numId="12">
    <w:abstractNumId w:val="16"/>
  </w:num>
  <w:num w:numId="13">
    <w:abstractNumId w:val="13"/>
  </w:num>
  <w:num w:numId="14">
    <w:abstractNumId w:val="5"/>
  </w:num>
  <w:num w:numId="15">
    <w:abstractNumId w:val="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pdtx02zt9fr1eze5cp5p9nrexptdr20pet&quot;&gt;My EndNote Library&lt;record-ids&gt;&lt;item&gt;1485&lt;/item&gt;&lt;item&gt;1489&lt;/item&gt;&lt;item&gt;1512&lt;/item&gt;&lt;item&gt;1520&lt;/item&gt;&lt;item&gt;1522&lt;/item&gt;&lt;item&gt;1523&lt;/item&gt;&lt;item&gt;1524&lt;/item&gt;&lt;item&gt;1525&lt;/item&gt;&lt;item&gt;1526&lt;/item&gt;&lt;item&gt;1635&lt;/item&gt;&lt;/record-ids&gt;&lt;/item&gt;&lt;/Libraries&gt;"/>
  </w:docVars>
  <w:rsids>
    <w:rsidRoot w:val="00856203"/>
    <w:rsid w:val="00004A9F"/>
    <w:rsid w:val="00043B5A"/>
    <w:rsid w:val="000559A6"/>
    <w:rsid w:val="0009132A"/>
    <w:rsid w:val="000F69D5"/>
    <w:rsid w:val="001059F9"/>
    <w:rsid w:val="00114AF4"/>
    <w:rsid w:val="00123B3F"/>
    <w:rsid w:val="00124C3C"/>
    <w:rsid w:val="001411AF"/>
    <w:rsid w:val="00180810"/>
    <w:rsid w:val="001A5121"/>
    <w:rsid w:val="001A6DB3"/>
    <w:rsid w:val="001D35DF"/>
    <w:rsid w:val="00224879"/>
    <w:rsid w:val="00263CFE"/>
    <w:rsid w:val="002735EE"/>
    <w:rsid w:val="002B68FD"/>
    <w:rsid w:val="002B6D42"/>
    <w:rsid w:val="002E431E"/>
    <w:rsid w:val="002E7AB8"/>
    <w:rsid w:val="002F7419"/>
    <w:rsid w:val="002F7B37"/>
    <w:rsid w:val="003717F7"/>
    <w:rsid w:val="0037541A"/>
    <w:rsid w:val="003B28BC"/>
    <w:rsid w:val="0042372B"/>
    <w:rsid w:val="0042680C"/>
    <w:rsid w:val="00451EB1"/>
    <w:rsid w:val="00462C9B"/>
    <w:rsid w:val="00472EF1"/>
    <w:rsid w:val="00475333"/>
    <w:rsid w:val="004B4CCD"/>
    <w:rsid w:val="004D375B"/>
    <w:rsid w:val="004E7F74"/>
    <w:rsid w:val="004F122D"/>
    <w:rsid w:val="00503220"/>
    <w:rsid w:val="00513385"/>
    <w:rsid w:val="005347F3"/>
    <w:rsid w:val="0053580E"/>
    <w:rsid w:val="0054270B"/>
    <w:rsid w:val="00542C7E"/>
    <w:rsid w:val="00584092"/>
    <w:rsid w:val="005D6B63"/>
    <w:rsid w:val="005E1E70"/>
    <w:rsid w:val="00656C03"/>
    <w:rsid w:val="006C501B"/>
    <w:rsid w:val="00713C3F"/>
    <w:rsid w:val="00720BE0"/>
    <w:rsid w:val="00746C0B"/>
    <w:rsid w:val="00767944"/>
    <w:rsid w:val="00775346"/>
    <w:rsid w:val="007B7C23"/>
    <w:rsid w:val="007D096E"/>
    <w:rsid w:val="007E5494"/>
    <w:rsid w:val="007F60D5"/>
    <w:rsid w:val="00823756"/>
    <w:rsid w:val="00832957"/>
    <w:rsid w:val="00856203"/>
    <w:rsid w:val="00893C2F"/>
    <w:rsid w:val="008C0F03"/>
    <w:rsid w:val="008D5CEE"/>
    <w:rsid w:val="009033E1"/>
    <w:rsid w:val="00904233"/>
    <w:rsid w:val="00961EA7"/>
    <w:rsid w:val="00972E71"/>
    <w:rsid w:val="00976DA0"/>
    <w:rsid w:val="00987C49"/>
    <w:rsid w:val="009971ED"/>
    <w:rsid w:val="009C169E"/>
    <w:rsid w:val="009C3E48"/>
    <w:rsid w:val="00A60CA0"/>
    <w:rsid w:val="00A959E6"/>
    <w:rsid w:val="00AA73F6"/>
    <w:rsid w:val="00AB019A"/>
    <w:rsid w:val="00AC4236"/>
    <w:rsid w:val="00AC5E89"/>
    <w:rsid w:val="00AD5B09"/>
    <w:rsid w:val="00AF6E8C"/>
    <w:rsid w:val="00B12B44"/>
    <w:rsid w:val="00B33AA2"/>
    <w:rsid w:val="00B4217E"/>
    <w:rsid w:val="00B64A15"/>
    <w:rsid w:val="00B67968"/>
    <w:rsid w:val="00BB1B9D"/>
    <w:rsid w:val="00BB6648"/>
    <w:rsid w:val="00BC34D0"/>
    <w:rsid w:val="00BC3B1E"/>
    <w:rsid w:val="00C0455A"/>
    <w:rsid w:val="00C17693"/>
    <w:rsid w:val="00C35E15"/>
    <w:rsid w:val="00C704FD"/>
    <w:rsid w:val="00C8057D"/>
    <w:rsid w:val="00C879B5"/>
    <w:rsid w:val="00CA0ED8"/>
    <w:rsid w:val="00D06652"/>
    <w:rsid w:val="00D16687"/>
    <w:rsid w:val="00D26908"/>
    <w:rsid w:val="00D4612A"/>
    <w:rsid w:val="00D510E0"/>
    <w:rsid w:val="00D57A32"/>
    <w:rsid w:val="00DB0516"/>
    <w:rsid w:val="00DC2A83"/>
    <w:rsid w:val="00DF23EB"/>
    <w:rsid w:val="00E04F83"/>
    <w:rsid w:val="00E117D2"/>
    <w:rsid w:val="00E24416"/>
    <w:rsid w:val="00EB04EB"/>
    <w:rsid w:val="00EB1DC5"/>
    <w:rsid w:val="00EE4102"/>
    <w:rsid w:val="00EF677F"/>
    <w:rsid w:val="00F14F36"/>
    <w:rsid w:val="00F9118A"/>
    <w:rsid w:val="00FC70C6"/>
    <w:rsid w:val="00FE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05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203"/>
    <w:pPr>
      <w:ind w:left="720"/>
      <w:contextualSpacing/>
    </w:pPr>
  </w:style>
  <w:style w:type="paragraph" w:styleId="Header">
    <w:name w:val="header"/>
    <w:basedOn w:val="Normal"/>
    <w:link w:val="HeaderChar"/>
    <w:uiPriority w:val="99"/>
    <w:unhideWhenUsed/>
    <w:rsid w:val="0012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3C"/>
  </w:style>
  <w:style w:type="character" w:styleId="CommentReference">
    <w:name w:val="annotation reference"/>
    <w:basedOn w:val="DefaultParagraphFont"/>
    <w:uiPriority w:val="99"/>
    <w:semiHidden/>
    <w:unhideWhenUsed/>
    <w:rsid w:val="00D16687"/>
    <w:rPr>
      <w:sz w:val="16"/>
      <w:szCs w:val="16"/>
    </w:rPr>
  </w:style>
  <w:style w:type="paragraph" w:styleId="CommentText">
    <w:name w:val="annotation text"/>
    <w:basedOn w:val="Normal"/>
    <w:link w:val="CommentTextChar"/>
    <w:uiPriority w:val="99"/>
    <w:semiHidden/>
    <w:unhideWhenUsed/>
    <w:rsid w:val="00D16687"/>
    <w:pPr>
      <w:spacing w:line="240" w:lineRule="auto"/>
    </w:pPr>
    <w:rPr>
      <w:sz w:val="20"/>
      <w:szCs w:val="20"/>
    </w:rPr>
  </w:style>
  <w:style w:type="character" w:customStyle="1" w:styleId="CommentTextChar">
    <w:name w:val="Comment Text Char"/>
    <w:basedOn w:val="DefaultParagraphFont"/>
    <w:link w:val="CommentText"/>
    <w:uiPriority w:val="99"/>
    <w:semiHidden/>
    <w:rsid w:val="00D16687"/>
    <w:rPr>
      <w:sz w:val="20"/>
      <w:szCs w:val="20"/>
    </w:rPr>
  </w:style>
  <w:style w:type="paragraph" w:styleId="CommentSubject">
    <w:name w:val="annotation subject"/>
    <w:basedOn w:val="CommentText"/>
    <w:next w:val="CommentText"/>
    <w:link w:val="CommentSubjectChar"/>
    <w:uiPriority w:val="99"/>
    <w:semiHidden/>
    <w:unhideWhenUsed/>
    <w:rsid w:val="00D16687"/>
    <w:rPr>
      <w:b/>
      <w:bCs/>
    </w:rPr>
  </w:style>
  <w:style w:type="character" w:customStyle="1" w:styleId="CommentSubjectChar">
    <w:name w:val="Comment Subject Char"/>
    <w:basedOn w:val="CommentTextChar"/>
    <w:link w:val="CommentSubject"/>
    <w:uiPriority w:val="99"/>
    <w:semiHidden/>
    <w:rsid w:val="00D16687"/>
    <w:rPr>
      <w:b/>
      <w:bCs/>
      <w:sz w:val="20"/>
      <w:szCs w:val="20"/>
    </w:rPr>
  </w:style>
  <w:style w:type="paragraph" w:styleId="BalloonText">
    <w:name w:val="Balloon Text"/>
    <w:basedOn w:val="Normal"/>
    <w:link w:val="BalloonTextChar"/>
    <w:uiPriority w:val="99"/>
    <w:semiHidden/>
    <w:unhideWhenUsed/>
    <w:rsid w:val="00D16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687"/>
    <w:rPr>
      <w:rFonts w:ascii="Segoe UI" w:hAnsi="Segoe UI" w:cs="Segoe UI"/>
      <w:sz w:val="18"/>
      <w:szCs w:val="18"/>
    </w:rPr>
  </w:style>
  <w:style w:type="character" w:styleId="Hyperlink">
    <w:name w:val="Hyperlink"/>
    <w:basedOn w:val="DefaultParagraphFont"/>
    <w:uiPriority w:val="99"/>
    <w:unhideWhenUsed/>
    <w:rsid w:val="002E431E"/>
    <w:rPr>
      <w:color w:val="0563C1" w:themeColor="hyperlink"/>
      <w:u w:val="single"/>
    </w:rPr>
  </w:style>
  <w:style w:type="table" w:styleId="TableGrid">
    <w:name w:val="Table Grid"/>
    <w:basedOn w:val="TableNormal"/>
    <w:uiPriority w:val="99"/>
    <w:rsid w:val="00542C7E"/>
    <w:pPr>
      <w:spacing w:beforeAutospacing="1" w:after="0" w:afterAutospacing="1"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A512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A5121"/>
    <w:rPr>
      <w:rFonts w:ascii="Calibri" w:hAnsi="Calibri" w:cs="Calibri"/>
      <w:noProof/>
    </w:rPr>
  </w:style>
  <w:style w:type="paragraph" w:customStyle="1" w:styleId="EndNoteBibliography">
    <w:name w:val="EndNote Bibliography"/>
    <w:basedOn w:val="Normal"/>
    <w:link w:val="EndNoteBibliographyChar"/>
    <w:rsid w:val="001A512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A5121"/>
    <w:rPr>
      <w:rFonts w:ascii="Calibri" w:hAnsi="Calibri" w:cs="Calibri"/>
      <w:noProof/>
    </w:rPr>
  </w:style>
  <w:style w:type="character" w:customStyle="1" w:styleId="Heading1Char">
    <w:name w:val="Heading 1 Char"/>
    <w:basedOn w:val="DefaultParagraphFont"/>
    <w:link w:val="Heading1"/>
    <w:uiPriority w:val="9"/>
    <w:rsid w:val="00C8057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8057D"/>
    <w:pPr>
      <w:outlineLvl w:val="9"/>
    </w:pPr>
  </w:style>
  <w:style w:type="paragraph" w:styleId="TOC1">
    <w:name w:val="toc 1"/>
    <w:basedOn w:val="Normal"/>
    <w:next w:val="Normal"/>
    <w:autoRedefine/>
    <w:uiPriority w:val="39"/>
    <w:unhideWhenUsed/>
    <w:rsid w:val="007D096E"/>
    <w:pPr>
      <w:spacing w:after="100"/>
    </w:pPr>
  </w:style>
  <w:style w:type="paragraph" w:styleId="Revision">
    <w:name w:val="Revision"/>
    <w:hidden/>
    <w:uiPriority w:val="99"/>
    <w:semiHidden/>
    <w:rsid w:val="0037541A"/>
    <w:pPr>
      <w:spacing w:after="0" w:line="240" w:lineRule="auto"/>
    </w:pPr>
  </w:style>
  <w:style w:type="paragraph" w:styleId="Footer">
    <w:name w:val="footer"/>
    <w:basedOn w:val="Normal"/>
    <w:link w:val="FooterChar"/>
    <w:uiPriority w:val="99"/>
    <w:unhideWhenUsed/>
    <w:rsid w:val="00513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85"/>
  </w:style>
  <w:style w:type="table" w:customStyle="1" w:styleId="TableGrid1">
    <w:name w:val="Table Grid1"/>
    <w:basedOn w:val="TableNormal"/>
    <w:next w:val="TableGrid"/>
    <w:uiPriority w:val="59"/>
    <w:rsid w:val="00C35E1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79B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05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203"/>
    <w:pPr>
      <w:ind w:left="720"/>
      <w:contextualSpacing/>
    </w:pPr>
  </w:style>
  <w:style w:type="paragraph" w:styleId="Header">
    <w:name w:val="header"/>
    <w:basedOn w:val="Normal"/>
    <w:link w:val="HeaderChar"/>
    <w:uiPriority w:val="99"/>
    <w:unhideWhenUsed/>
    <w:rsid w:val="0012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3C"/>
  </w:style>
  <w:style w:type="character" w:styleId="CommentReference">
    <w:name w:val="annotation reference"/>
    <w:basedOn w:val="DefaultParagraphFont"/>
    <w:uiPriority w:val="99"/>
    <w:semiHidden/>
    <w:unhideWhenUsed/>
    <w:rsid w:val="00D16687"/>
    <w:rPr>
      <w:sz w:val="16"/>
      <w:szCs w:val="16"/>
    </w:rPr>
  </w:style>
  <w:style w:type="paragraph" w:styleId="CommentText">
    <w:name w:val="annotation text"/>
    <w:basedOn w:val="Normal"/>
    <w:link w:val="CommentTextChar"/>
    <w:uiPriority w:val="99"/>
    <w:semiHidden/>
    <w:unhideWhenUsed/>
    <w:rsid w:val="00D16687"/>
    <w:pPr>
      <w:spacing w:line="240" w:lineRule="auto"/>
    </w:pPr>
    <w:rPr>
      <w:sz w:val="20"/>
      <w:szCs w:val="20"/>
    </w:rPr>
  </w:style>
  <w:style w:type="character" w:customStyle="1" w:styleId="CommentTextChar">
    <w:name w:val="Comment Text Char"/>
    <w:basedOn w:val="DefaultParagraphFont"/>
    <w:link w:val="CommentText"/>
    <w:uiPriority w:val="99"/>
    <w:semiHidden/>
    <w:rsid w:val="00D16687"/>
    <w:rPr>
      <w:sz w:val="20"/>
      <w:szCs w:val="20"/>
    </w:rPr>
  </w:style>
  <w:style w:type="paragraph" w:styleId="CommentSubject">
    <w:name w:val="annotation subject"/>
    <w:basedOn w:val="CommentText"/>
    <w:next w:val="CommentText"/>
    <w:link w:val="CommentSubjectChar"/>
    <w:uiPriority w:val="99"/>
    <w:semiHidden/>
    <w:unhideWhenUsed/>
    <w:rsid w:val="00D16687"/>
    <w:rPr>
      <w:b/>
      <w:bCs/>
    </w:rPr>
  </w:style>
  <w:style w:type="character" w:customStyle="1" w:styleId="CommentSubjectChar">
    <w:name w:val="Comment Subject Char"/>
    <w:basedOn w:val="CommentTextChar"/>
    <w:link w:val="CommentSubject"/>
    <w:uiPriority w:val="99"/>
    <w:semiHidden/>
    <w:rsid w:val="00D16687"/>
    <w:rPr>
      <w:b/>
      <w:bCs/>
      <w:sz w:val="20"/>
      <w:szCs w:val="20"/>
    </w:rPr>
  </w:style>
  <w:style w:type="paragraph" w:styleId="BalloonText">
    <w:name w:val="Balloon Text"/>
    <w:basedOn w:val="Normal"/>
    <w:link w:val="BalloonTextChar"/>
    <w:uiPriority w:val="99"/>
    <w:semiHidden/>
    <w:unhideWhenUsed/>
    <w:rsid w:val="00D16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687"/>
    <w:rPr>
      <w:rFonts w:ascii="Segoe UI" w:hAnsi="Segoe UI" w:cs="Segoe UI"/>
      <w:sz w:val="18"/>
      <w:szCs w:val="18"/>
    </w:rPr>
  </w:style>
  <w:style w:type="character" w:styleId="Hyperlink">
    <w:name w:val="Hyperlink"/>
    <w:basedOn w:val="DefaultParagraphFont"/>
    <w:uiPriority w:val="99"/>
    <w:unhideWhenUsed/>
    <w:rsid w:val="002E431E"/>
    <w:rPr>
      <w:color w:val="0563C1" w:themeColor="hyperlink"/>
      <w:u w:val="single"/>
    </w:rPr>
  </w:style>
  <w:style w:type="table" w:styleId="TableGrid">
    <w:name w:val="Table Grid"/>
    <w:basedOn w:val="TableNormal"/>
    <w:uiPriority w:val="99"/>
    <w:rsid w:val="00542C7E"/>
    <w:pPr>
      <w:spacing w:beforeAutospacing="1" w:after="0" w:afterAutospacing="1"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A512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A5121"/>
    <w:rPr>
      <w:rFonts w:ascii="Calibri" w:hAnsi="Calibri" w:cs="Calibri"/>
      <w:noProof/>
    </w:rPr>
  </w:style>
  <w:style w:type="paragraph" w:customStyle="1" w:styleId="EndNoteBibliography">
    <w:name w:val="EndNote Bibliography"/>
    <w:basedOn w:val="Normal"/>
    <w:link w:val="EndNoteBibliographyChar"/>
    <w:rsid w:val="001A512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A5121"/>
    <w:rPr>
      <w:rFonts w:ascii="Calibri" w:hAnsi="Calibri" w:cs="Calibri"/>
      <w:noProof/>
    </w:rPr>
  </w:style>
  <w:style w:type="character" w:customStyle="1" w:styleId="Heading1Char">
    <w:name w:val="Heading 1 Char"/>
    <w:basedOn w:val="DefaultParagraphFont"/>
    <w:link w:val="Heading1"/>
    <w:uiPriority w:val="9"/>
    <w:rsid w:val="00C8057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8057D"/>
    <w:pPr>
      <w:outlineLvl w:val="9"/>
    </w:pPr>
  </w:style>
  <w:style w:type="paragraph" w:styleId="TOC1">
    <w:name w:val="toc 1"/>
    <w:basedOn w:val="Normal"/>
    <w:next w:val="Normal"/>
    <w:autoRedefine/>
    <w:uiPriority w:val="39"/>
    <w:unhideWhenUsed/>
    <w:rsid w:val="007D096E"/>
    <w:pPr>
      <w:spacing w:after="100"/>
    </w:pPr>
  </w:style>
  <w:style w:type="paragraph" w:styleId="Revision">
    <w:name w:val="Revision"/>
    <w:hidden/>
    <w:uiPriority w:val="99"/>
    <w:semiHidden/>
    <w:rsid w:val="0037541A"/>
    <w:pPr>
      <w:spacing w:after="0" w:line="240" w:lineRule="auto"/>
    </w:pPr>
  </w:style>
  <w:style w:type="paragraph" w:styleId="Footer">
    <w:name w:val="footer"/>
    <w:basedOn w:val="Normal"/>
    <w:link w:val="FooterChar"/>
    <w:uiPriority w:val="99"/>
    <w:unhideWhenUsed/>
    <w:rsid w:val="00513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85"/>
  </w:style>
  <w:style w:type="table" w:customStyle="1" w:styleId="TableGrid1">
    <w:name w:val="Table Grid1"/>
    <w:basedOn w:val="TableNormal"/>
    <w:next w:val="TableGrid"/>
    <w:uiPriority w:val="59"/>
    <w:rsid w:val="00C35E1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7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ls.gov/cps/cpsaat18b.htm" TargetMode="External"/><Relationship Id="rId4" Type="http://schemas.microsoft.com/office/2007/relationships/stylesWithEffects" Target="stylesWithEffects.xml"/><Relationship Id="rId9" Type="http://schemas.openxmlformats.org/officeDocument/2006/relationships/hyperlink" Target="https://www.bls.gov/ooh/sales/retail-sales-work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B6591-3DA6-4867-BB98-04503B53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Harpriya (CDC/NIOSH/DART/OSHFB)</dc:creator>
  <cp:keywords/>
  <dc:description/>
  <cp:lastModifiedBy>SYSTEM</cp:lastModifiedBy>
  <cp:revision>2</cp:revision>
  <dcterms:created xsi:type="dcterms:W3CDTF">2019-06-20T13:03:00Z</dcterms:created>
  <dcterms:modified xsi:type="dcterms:W3CDTF">2019-06-20T13:03:00Z</dcterms:modified>
</cp:coreProperties>
</file>