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34275" w14:textId="77777777" w:rsidR="00DA0E7A" w:rsidRDefault="00DA0E7A">
      <w:pPr>
        <w:rPr>
          <w:rFonts w:ascii="Arial" w:eastAsia="Arial" w:hAnsi="Arial" w:cs="Arial"/>
        </w:rPr>
      </w:pPr>
      <w:bookmarkStart w:id="0" w:name="_gjdgxs" w:colFirst="0" w:colLast="0"/>
      <w:bookmarkStart w:id="1" w:name="_GoBack"/>
      <w:bookmarkEnd w:id="0"/>
      <w:bookmarkEnd w:id="1"/>
    </w:p>
    <w:p w14:paraId="08D93E4D" w14:textId="77777777" w:rsidR="00DA0E7A" w:rsidRDefault="00DA0E7A">
      <w:pPr>
        <w:rPr>
          <w:rFonts w:ascii="Arial" w:eastAsia="Arial" w:hAnsi="Arial" w:cs="Arial"/>
        </w:rPr>
      </w:pPr>
    </w:p>
    <w:p w14:paraId="1137C181" w14:textId="77777777" w:rsidR="00DA0E7A" w:rsidRDefault="00DA0E7A">
      <w:pPr>
        <w:rPr>
          <w:rFonts w:ascii="Arial" w:eastAsia="Arial" w:hAnsi="Arial" w:cs="Arial"/>
        </w:rPr>
      </w:pPr>
    </w:p>
    <w:p w14:paraId="230727D0" w14:textId="77777777" w:rsidR="00DA0E7A" w:rsidRDefault="00DA0E7A">
      <w:pPr>
        <w:rPr>
          <w:rFonts w:ascii="Arial" w:eastAsia="Arial" w:hAnsi="Arial" w:cs="Arial"/>
        </w:rPr>
      </w:pPr>
    </w:p>
    <w:p w14:paraId="648F2802" w14:textId="77777777" w:rsidR="00DA0E7A" w:rsidRDefault="00DA0E7A">
      <w:pPr>
        <w:rPr>
          <w:rFonts w:ascii="Arial" w:eastAsia="Arial" w:hAnsi="Arial" w:cs="Arial"/>
        </w:rPr>
      </w:pPr>
    </w:p>
    <w:p w14:paraId="62FEBF93" w14:textId="77777777" w:rsidR="00DA0E7A" w:rsidRDefault="00995E69">
      <w:pPr>
        <w:pStyle w:val="Title"/>
        <w:rPr>
          <w:rFonts w:ascii="Cambria" w:eastAsia="Cambria" w:hAnsi="Cambria" w:cs="Cambria"/>
          <w:color w:val="000000"/>
          <w:sz w:val="44"/>
          <w:szCs w:val="44"/>
        </w:rPr>
      </w:pPr>
      <w:r>
        <w:rPr>
          <w:rFonts w:ascii="Cambria" w:eastAsia="Cambria" w:hAnsi="Cambria" w:cs="Cambria"/>
          <w:color w:val="000000"/>
          <w:sz w:val="44"/>
          <w:szCs w:val="44"/>
        </w:rPr>
        <w:t>Formative Research to Develop an Open Data Platform for Reporting Environmental Health Data</w:t>
      </w:r>
    </w:p>
    <w:p w14:paraId="2718A3D1" w14:textId="77777777" w:rsidR="00142D67" w:rsidRDefault="00142D67">
      <w:pPr>
        <w:pStyle w:val="Subtitle"/>
        <w:rPr>
          <w:rFonts w:ascii="Cambria" w:eastAsia="Cambria" w:hAnsi="Cambria" w:cs="Cambria"/>
          <w:color w:val="000000"/>
        </w:rPr>
      </w:pPr>
    </w:p>
    <w:p w14:paraId="620844FD" w14:textId="7CE2E283" w:rsidR="00DA0E7A" w:rsidRDefault="00995E69">
      <w:pPr>
        <w:pStyle w:val="Subtitle"/>
        <w:rPr>
          <w:rFonts w:ascii="Cambria" w:eastAsia="Cambria" w:hAnsi="Cambria" w:cs="Cambria"/>
          <w:color w:val="000000"/>
        </w:rPr>
      </w:pPr>
      <w:r>
        <w:rPr>
          <w:rFonts w:ascii="Cambria" w:eastAsia="Cambria" w:hAnsi="Cambria" w:cs="Cambria"/>
          <w:color w:val="000000"/>
        </w:rPr>
        <w:t xml:space="preserve">OMB Control No. 0920-1154 </w:t>
      </w:r>
    </w:p>
    <w:p w14:paraId="724B8EE6" w14:textId="77777777" w:rsidR="00DA0E7A" w:rsidRDefault="00DA0E7A">
      <w:pPr>
        <w:pStyle w:val="Subtitle"/>
        <w:rPr>
          <w:rFonts w:ascii="Cambria" w:eastAsia="Cambria" w:hAnsi="Cambria" w:cs="Cambria"/>
          <w:color w:val="000000"/>
        </w:rPr>
      </w:pPr>
    </w:p>
    <w:p w14:paraId="57B60A76" w14:textId="77777777" w:rsidR="00DA0E7A" w:rsidRDefault="00995E69">
      <w:pPr>
        <w:pStyle w:val="Subtitle"/>
        <w:rPr>
          <w:rFonts w:ascii="Cambria" w:eastAsia="Cambria" w:hAnsi="Cambria" w:cs="Cambria"/>
          <w:color w:val="000000"/>
        </w:rPr>
      </w:pPr>
      <w:r>
        <w:rPr>
          <w:rFonts w:ascii="Cambria" w:eastAsia="Cambria" w:hAnsi="Cambria" w:cs="Cambria"/>
          <w:color w:val="000000"/>
        </w:rPr>
        <w:t xml:space="preserve">Supporting Statement Part B – </w:t>
      </w:r>
    </w:p>
    <w:p w14:paraId="7DBC22E9" w14:textId="77777777" w:rsidR="00DA0E7A" w:rsidRDefault="00995E69">
      <w:pPr>
        <w:pStyle w:val="Subtitle"/>
        <w:rPr>
          <w:rFonts w:ascii="Cambria" w:eastAsia="Cambria" w:hAnsi="Cambria" w:cs="Cambria"/>
          <w:color w:val="000000"/>
        </w:rPr>
      </w:pPr>
      <w:r>
        <w:rPr>
          <w:rFonts w:ascii="Cambria" w:eastAsia="Cambria" w:hAnsi="Cambria" w:cs="Cambria"/>
          <w:color w:val="000000"/>
        </w:rPr>
        <w:t>Collections of Information Employing Statistical Methods</w:t>
      </w:r>
    </w:p>
    <w:p w14:paraId="359440E0" w14:textId="77777777" w:rsidR="00DA0E7A" w:rsidRDefault="00DA0E7A">
      <w:pPr>
        <w:rPr>
          <w:rFonts w:ascii="Cambria" w:eastAsia="Cambria" w:hAnsi="Cambria" w:cs="Cambria"/>
        </w:rPr>
      </w:pPr>
    </w:p>
    <w:p w14:paraId="1389B183" w14:textId="77777777" w:rsidR="00DA0E7A" w:rsidRDefault="00DA0E7A">
      <w:pPr>
        <w:spacing w:after="200" w:line="276" w:lineRule="auto"/>
        <w:rPr>
          <w:rFonts w:ascii="Cambria" w:eastAsia="Cambria" w:hAnsi="Cambria" w:cs="Cambria"/>
          <w:sz w:val="36"/>
          <w:szCs w:val="36"/>
        </w:rPr>
      </w:pPr>
    </w:p>
    <w:p w14:paraId="246BA3CA" w14:textId="77777777" w:rsidR="00DA0E7A" w:rsidRDefault="00DA0E7A">
      <w:pPr>
        <w:spacing w:after="200" w:line="276" w:lineRule="auto"/>
        <w:rPr>
          <w:rFonts w:ascii="Cambria" w:eastAsia="Cambria" w:hAnsi="Cambria" w:cs="Cambria"/>
          <w:sz w:val="36"/>
          <w:szCs w:val="36"/>
        </w:rPr>
      </w:pPr>
    </w:p>
    <w:p w14:paraId="507754DF" w14:textId="77777777" w:rsidR="00DA0E7A" w:rsidRDefault="00DA0E7A">
      <w:pPr>
        <w:spacing w:after="200" w:line="276" w:lineRule="auto"/>
        <w:rPr>
          <w:rFonts w:ascii="Cambria" w:eastAsia="Cambria" w:hAnsi="Cambria" w:cs="Cambria"/>
          <w:sz w:val="36"/>
          <w:szCs w:val="36"/>
        </w:rPr>
      </w:pPr>
    </w:p>
    <w:p w14:paraId="009A3CB3"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Brian Hubbard, MPH</w:t>
      </w:r>
    </w:p>
    <w:p w14:paraId="38175DF8"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Health Scientist</w:t>
      </w:r>
    </w:p>
    <w:p w14:paraId="737CBCBF"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 xml:space="preserve">National Center for Environmental Health </w:t>
      </w:r>
    </w:p>
    <w:p w14:paraId="1361E5E6"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 xml:space="preserve">Division of Environmental Health Science and Practice </w:t>
      </w:r>
    </w:p>
    <w:p w14:paraId="2DBD5B6F"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 xml:space="preserve">Water, Food, and Environmental Health Services Branch </w:t>
      </w:r>
    </w:p>
    <w:p w14:paraId="5469719D"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Phone: (770) 488-7098</w:t>
      </w:r>
    </w:p>
    <w:p w14:paraId="6C386807"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Email: bnh5@cdc.gov</w:t>
      </w:r>
    </w:p>
    <w:p w14:paraId="4AFBC622" w14:textId="77777777" w:rsidR="00142D67" w:rsidRPr="00E6469D" w:rsidRDefault="00142D67" w:rsidP="00142D67">
      <w:pPr>
        <w:pStyle w:val="Subtitle"/>
        <w:spacing w:after="0"/>
        <w:rPr>
          <w:rFonts w:ascii="Cambria" w:hAnsi="Cambria"/>
          <w:color w:val="000000"/>
        </w:rPr>
      </w:pPr>
      <w:r w:rsidRPr="00E6469D">
        <w:rPr>
          <w:rFonts w:ascii="Cambria" w:hAnsi="Cambria"/>
          <w:color w:val="000000"/>
        </w:rPr>
        <w:t>Fax: (770) 488-7310</w:t>
      </w:r>
    </w:p>
    <w:p w14:paraId="37ECEE47" w14:textId="77777777" w:rsidR="00142D67" w:rsidRPr="00E6469D" w:rsidRDefault="00142D67" w:rsidP="00142D67">
      <w:pPr>
        <w:pStyle w:val="Subtitle"/>
        <w:spacing w:after="0"/>
        <w:rPr>
          <w:rFonts w:ascii="Cambria" w:hAnsi="Cambria"/>
          <w:color w:val="000000"/>
        </w:rPr>
      </w:pPr>
    </w:p>
    <w:p w14:paraId="6423CDC8" w14:textId="7EA12166" w:rsidR="00DA0E7A" w:rsidRDefault="00142D67">
      <w:pPr>
        <w:pStyle w:val="Subtitle"/>
        <w:spacing w:after="0"/>
        <w:rPr>
          <w:rFonts w:ascii="Arial" w:eastAsia="Arial" w:hAnsi="Arial" w:cs="Arial"/>
        </w:rPr>
      </w:pPr>
      <w:r w:rsidRPr="00E6469D">
        <w:rPr>
          <w:rFonts w:ascii="Cambria" w:hAnsi="Cambria"/>
          <w:color w:val="000000"/>
        </w:rPr>
        <w:t>Date: May 23, 2019</w:t>
      </w:r>
      <w:r w:rsidR="00995E69">
        <w:br w:type="page"/>
      </w:r>
    </w:p>
    <w:p w14:paraId="4C9A4FD7" w14:textId="77777777" w:rsidR="00DA0E7A" w:rsidRDefault="00995E69">
      <w:pPr>
        <w:keepNext/>
        <w:keepLines/>
        <w:pBdr>
          <w:top w:val="nil"/>
          <w:left w:val="nil"/>
          <w:bottom w:val="single" w:sz="4" w:space="1" w:color="000000"/>
          <w:right w:val="nil"/>
          <w:between w:val="nil"/>
        </w:pBdr>
        <w:spacing w:before="400" w:after="480" w:line="240" w:lineRule="auto"/>
        <w:jc w:val="center"/>
        <w:rPr>
          <w:rFonts w:ascii="Cambria" w:eastAsia="Cambria" w:hAnsi="Cambria" w:cs="Cambria"/>
          <w:color w:val="000000"/>
          <w:sz w:val="36"/>
          <w:szCs w:val="36"/>
        </w:rPr>
      </w:pPr>
      <w:r>
        <w:rPr>
          <w:rFonts w:ascii="Cambria" w:eastAsia="Cambria" w:hAnsi="Cambria" w:cs="Cambria"/>
          <w:color w:val="000000"/>
          <w:sz w:val="36"/>
          <w:szCs w:val="36"/>
        </w:rPr>
        <w:lastRenderedPageBreak/>
        <w:t>Table of Contents</w:t>
      </w:r>
    </w:p>
    <w:sdt>
      <w:sdtPr>
        <w:id w:val="-1013373232"/>
        <w:docPartObj>
          <w:docPartGallery w:val="Table of Contents"/>
          <w:docPartUnique/>
        </w:docPartObj>
      </w:sdtPr>
      <w:sdtEndPr/>
      <w:sdtContent>
        <w:p w14:paraId="7EEEDB06" w14:textId="437C779F" w:rsidR="00C60F36" w:rsidRDefault="00995E69">
          <w:pPr>
            <w:pStyle w:val="TOC1"/>
            <w:tabs>
              <w:tab w:val="left" w:pos="660"/>
              <w:tab w:val="right" w:pos="93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8910027" w:history="1">
            <w:r w:rsidR="00C60F36" w:rsidRPr="004A5908">
              <w:rPr>
                <w:rStyle w:val="Hyperlink"/>
                <w:rFonts w:ascii="Cambria" w:eastAsia="Cambria" w:hAnsi="Cambria" w:cs="Cambria"/>
                <w:noProof/>
              </w:rPr>
              <w:t>B.1.</w:t>
            </w:r>
            <w:r w:rsidR="00C60F36">
              <w:rPr>
                <w:rFonts w:asciiTheme="minorHAnsi" w:eastAsiaTheme="minorEastAsia" w:hAnsiTheme="minorHAnsi" w:cstheme="minorBidi"/>
                <w:noProof/>
                <w:sz w:val="22"/>
                <w:szCs w:val="22"/>
              </w:rPr>
              <w:tab/>
            </w:r>
            <w:r w:rsidR="00C60F36" w:rsidRPr="004A5908">
              <w:rPr>
                <w:rStyle w:val="Hyperlink"/>
                <w:rFonts w:ascii="Cambria" w:eastAsia="Cambria" w:hAnsi="Cambria" w:cs="Cambria"/>
                <w:noProof/>
              </w:rPr>
              <w:t>Respondent Universe and Sampling Methods</w:t>
            </w:r>
            <w:r w:rsidR="00C60F36">
              <w:rPr>
                <w:noProof/>
                <w:webHidden/>
              </w:rPr>
              <w:tab/>
            </w:r>
            <w:r w:rsidR="00C60F36">
              <w:rPr>
                <w:noProof/>
                <w:webHidden/>
              </w:rPr>
              <w:fldChar w:fldCharType="begin"/>
            </w:r>
            <w:r w:rsidR="00C60F36">
              <w:rPr>
                <w:noProof/>
                <w:webHidden/>
              </w:rPr>
              <w:instrText xml:space="preserve"> PAGEREF _Toc8910027 \h </w:instrText>
            </w:r>
            <w:r w:rsidR="00C60F36">
              <w:rPr>
                <w:noProof/>
                <w:webHidden/>
              </w:rPr>
            </w:r>
            <w:r w:rsidR="00C60F36">
              <w:rPr>
                <w:noProof/>
                <w:webHidden/>
              </w:rPr>
              <w:fldChar w:fldCharType="separate"/>
            </w:r>
            <w:r w:rsidR="00C60F36">
              <w:rPr>
                <w:noProof/>
                <w:webHidden/>
              </w:rPr>
              <w:t>3</w:t>
            </w:r>
            <w:r w:rsidR="00C60F36">
              <w:rPr>
                <w:noProof/>
                <w:webHidden/>
              </w:rPr>
              <w:fldChar w:fldCharType="end"/>
            </w:r>
          </w:hyperlink>
        </w:p>
        <w:p w14:paraId="2C557515" w14:textId="4E9BB388" w:rsidR="00C60F36" w:rsidRDefault="00A67D8A">
          <w:pPr>
            <w:pStyle w:val="TOC1"/>
            <w:tabs>
              <w:tab w:val="left" w:pos="660"/>
              <w:tab w:val="right" w:pos="9350"/>
            </w:tabs>
            <w:rPr>
              <w:rFonts w:asciiTheme="minorHAnsi" w:eastAsiaTheme="minorEastAsia" w:hAnsiTheme="minorHAnsi" w:cstheme="minorBidi"/>
              <w:noProof/>
              <w:sz w:val="22"/>
              <w:szCs w:val="22"/>
            </w:rPr>
          </w:pPr>
          <w:hyperlink w:anchor="_Toc8910028" w:history="1">
            <w:r w:rsidR="00C60F36" w:rsidRPr="004A5908">
              <w:rPr>
                <w:rStyle w:val="Hyperlink"/>
                <w:rFonts w:ascii="Cambria" w:eastAsia="Cambria" w:hAnsi="Cambria" w:cs="Cambria"/>
                <w:noProof/>
              </w:rPr>
              <w:t>B.2.</w:t>
            </w:r>
            <w:r w:rsidR="00C60F36">
              <w:rPr>
                <w:rFonts w:asciiTheme="minorHAnsi" w:eastAsiaTheme="minorEastAsia" w:hAnsiTheme="minorHAnsi" w:cstheme="minorBidi"/>
                <w:noProof/>
                <w:sz w:val="22"/>
                <w:szCs w:val="22"/>
              </w:rPr>
              <w:tab/>
            </w:r>
            <w:r w:rsidR="00C60F36" w:rsidRPr="004A5908">
              <w:rPr>
                <w:rStyle w:val="Hyperlink"/>
                <w:rFonts w:ascii="Cambria" w:eastAsia="Cambria" w:hAnsi="Cambria" w:cs="Cambria"/>
                <w:noProof/>
              </w:rPr>
              <w:t>Procedures for the Collection of Information</w:t>
            </w:r>
            <w:r w:rsidR="00C60F36">
              <w:rPr>
                <w:noProof/>
                <w:webHidden/>
              </w:rPr>
              <w:tab/>
            </w:r>
            <w:r w:rsidR="00C60F36">
              <w:rPr>
                <w:noProof/>
                <w:webHidden/>
              </w:rPr>
              <w:fldChar w:fldCharType="begin"/>
            </w:r>
            <w:r w:rsidR="00C60F36">
              <w:rPr>
                <w:noProof/>
                <w:webHidden/>
              </w:rPr>
              <w:instrText xml:space="preserve"> PAGEREF _Toc8910028 \h </w:instrText>
            </w:r>
            <w:r w:rsidR="00C60F36">
              <w:rPr>
                <w:noProof/>
                <w:webHidden/>
              </w:rPr>
            </w:r>
            <w:r w:rsidR="00C60F36">
              <w:rPr>
                <w:noProof/>
                <w:webHidden/>
              </w:rPr>
              <w:fldChar w:fldCharType="separate"/>
            </w:r>
            <w:r w:rsidR="00C60F36">
              <w:rPr>
                <w:noProof/>
                <w:webHidden/>
              </w:rPr>
              <w:t>3</w:t>
            </w:r>
            <w:r w:rsidR="00C60F36">
              <w:rPr>
                <w:noProof/>
                <w:webHidden/>
              </w:rPr>
              <w:fldChar w:fldCharType="end"/>
            </w:r>
          </w:hyperlink>
        </w:p>
        <w:p w14:paraId="657982DD" w14:textId="20C11FD5" w:rsidR="00C60F36" w:rsidRDefault="00A67D8A">
          <w:pPr>
            <w:pStyle w:val="TOC1"/>
            <w:tabs>
              <w:tab w:val="left" w:pos="660"/>
              <w:tab w:val="right" w:pos="9350"/>
            </w:tabs>
            <w:rPr>
              <w:rFonts w:asciiTheme="minorHAnsi" w:eastAsiaTheme="minorEastAsia" w:hAnsiTheme="minorHAnsi" w:cstheme="minorBidi"/>
              <w:noProof/>
              <w:sz w:val="22"/>
              <w:szCs w:val="22"/>
            </w:rPr>
          </w:pPr>
          <w:hyperlink w:anchor="_Toc8910029" w:history="1">
            <w:r w:rsidR="00C60F36" w:rsidRPr="004A5908">
              <w:rPr>
                <w:rStyle w:val="Hyperlink"/>
                <w:rFonts w:ascii="Cambria" w:eastAsia="Cambria" w:hAnsi="Cambria" w:cs="Cambria"/>
                <w:noProof/>
              </w:rPr>
              <w:t>B.3.</w:t>
            </w:r>
            <w:r w:rsidR="00C60F36">
              <w:rPr>
                <w:rFonts w:asciiTheme="minorHAnsi" w:eastAsiaTheme="minorEastAsia" w:hAnsiTheme="minorHAnsi" w:cstheme="minorBidi"/>
                <w:noProof/>
                <w:sz w:val="22"/>
                <w:szCs w:val="22"/>
              </w:rPr>
              <w:tab/>
            </w:r>
            <w:r w:rsidR="00C60F36" w:rsidRPr="004A5908">
              <w:rPr>
                <w:rStyle w:val="Hyperlink"/>
                <w:rFonts w:ascii="Cambria" w:eastAsia="Cambria" w:hAnsi="Cambria" w:cs="Cambria"/>
                <w:noProof/>
              </w:rPr>
              <w:t>Methods to Maximize Response Rates and Deal with No Response</w:t>
            </w:r>
            <w:r w:rsidR="00C60F36">
              <w:rPr>
                <w:noProof/>
                <w:webHidden/>
              </w:rPr>
              <w:tab/>
            </w:r>
            <w:r w:rsidR="00C60F36">
              <w:rPr>
                <w:noProof/>
                <w:webHidden/>
              </w:rPr>
              <w:fldChar w:fldCharType="begin"/>
            </w:r>
            <w:r w:rsidR="00C60F36">
              <w:rPr>
                <w:noProof/>
                <w:webHidden/>
              </w:rPr>
              <w:instrText xml:space="preserve"> PAGEREF _Toc8910029 \h </w:instrText>
            </w:r>
            <w:r w:rsidR="00C60F36">
              <w:rPr>
                <w:noProof/>
                <w:webHidden/>
              </w:rPr>
            </w:r>
            <w:r w:rsidR="00C60F36">
              <w:rPr>
                <w:noProof/>
                <w:webHidden/>
              </w:rPr>
              <w:fldChar w:fldCharType="separate"/>
            </w:r>
            <w:r w:rsidR="00C60F36">
              <w:rPr>
                <w:noProof/>
                <w:webHidden/>
              </w:rPr>
              <w:t>4</w:t>
            </w:r>
            <w:r w:rsidR="00C60F36">
              <w:rPr>
                <w:noProof/>
                <w:webHidden/>
              </w:rPr>
              <w:fldChar w:fldCharType="end"/>
            </w:r>
          </w:hyperlink>
        </w:p>
        <w:p w14:paraId="019E4922" w14:textId="00D3B411" w:rsidR="00C60F36" w:rsidRDefault="00A67D8A">
          <w:pPr>
            <w:pStyle w:val="TOC1"/>
            <w:tabs>
              <w:tab w:val="left" w:pos="660"/>
              <w:tab w:val="right" w:pos="9350"/>
            </w:tabs>
            <w:rPr>
              <w:rFonts w:asciiTheme="minorHAnsi" w:eastAsiaTheme="minorEastAsia" w:hAnsiTheme="minorHAnsi" w:cstheme="minorBidi"/>
              <w:noProof/>
              <w:sz w:val="22"/>
              <w:szCs w:val="22"/>
            </w:rPr>
          </w:pPr>
          <w:hyperlink w:anchor="_Toc8910030" w:history="1">
            <w:r w:rsidR="00C60F36" w:rsidRPr="004A5908">
              <w:rPr>
                <w:rStyle w:val="Hyperlink"/>
                <w:rFonts w:ascii="Cambria" w:eastAsia="Cambria" w:hAnsi="Cambria" w:cs="Cambria"/>
                <w:noProof/>
              </w:rPr>
              <w:t>B.4.</w:t>
            </w:r>
            <w:r w:rsidR="00C60F36">
              <w:rPr>
                <w:rFonts w:asciiTheme="minorHAnsi" w:eastAsiaTheme="minorEastAsia" w:hAnsiTheme="minorHAnsi" w:cstheme="minorBidi"/>
                <w:noProof/>
                <w:sz w:val="22"/>
                <w:szCs w:val="22"/>
              </w:rPr>
              <w:tab/>
            </w:r>
            <w:r w:rsidR="00C60F36" w:rsidRPr="004A5908">
              <w:rPr>
                <w:rStyle w:val="Hyperlink"/>
                <w:rFonts w:ascii="Cambria" w:eastAsia="Cambria" w:hAnsi="Cambria" w:cs="Cambria"/>
                <w:noProof/>
              </w:rPr>
              <w:t>Test of Procedures or Methods to be Undertaken</w:t>
            </w:r>
            <w:r w:rsidR="00C60F36">
              <w:rPr>
                <w:noProof/>
                <w:webHidden/>
              </w:rPr>
              <w:tab/>
            </w:r>
            <w:r w:rsidR="00C60F36">
              <w:rPr>
                <w:noProof/>
                <w:webHidden/>
              </w:rPr>
              <w:fldChar w:fldCharType="begin"/>
            </w:r>
            <w:r w:rsidR="00C60F36">
              <w:rPr>
                <w:noProof/>
                <w:webHidden/>
              </w:rPr>
              <w:instrText xml:space="preserve"> PAGEREF _Toc8910030 \h </w:instrText>
            </w:r>
            <w:r w:rsidR="00C60F36">
              <w:rPr>
                <w:noProof/>
                <w:webHidden/>
              </w:rPr>
            </w:r>
            <w:r w:rsidR="00C60F36">
              <w:rPr>
                <w:noProof/>
                <w:webHidden/>
              </w:rPr>
              <w:fldChar w:fldCharType="separate"/>
            </w:r>
            <w:r w:rsidR="00C60F36">
              <w:rPr>
                <w:noProof/>
                <w:webHidden/>
              </w:rPr>
              <w:t>4</w:t>
            </w:r>
            <w:r w:rsidR="00C60F36">
              <w:rPr>
                <w:noProof/>
                <w:webHidden/>
              </w:rPr>
              <w:fldChar w:fldCharType="end"/>
            </w:r>
          </w:hyperlink>
        </w:p>
        <w:p w14:paraId="30683F98" w14:textId="02FACD04" w:rsidR="00C60F36" w:rsidRDefault="00A67D8A">
          <w:pPr>
            <w:pStyle w:val="TOC1"/>
            <w:tabs>
              <w:tab w:val="left" w:pos="660"/>
              <w:tab w:val="right" w:pos="9350"/>
            </w:tabs>
            <w:rPr>
              <w:rFonts w:asciiTheme="minorHAnsi" w:eastAsiaTheme="minorEastAsia" w:hAnsiTheme="minorHAnsi" w:cstheme="minorBidi"/>
              <w:noProof/>
              <w:sz w:val="22"/>
              <w:szCs w:val="22"/>
            </w:rPr>
          </w:pPr>
          <w:hyperlink w:anchor="_Toc8910031" w:history="1">
            <w:r w:rsidR="00C60F36" w:rsidRPr="004A5908">
              <w:rPr>
                <w:rStyle w:val="Hyperlink"/>
                <w:rFonts w:ascii="Cambria" w:eastAsia="Cambria" w:hAnsi="Cambria" w:cs="Cambria"/>
                <w:noProof/>
              </w:rPr>
              <w:t>B.5.</w:t>
            </w:r>
            <w:r w:rsidR="00C60F36">
              <w:rPr>
                <w:rFonts w:asciiTheme="minorHAnsi" w:eastAsiaTheme="minorEastAsia" w:hAnsiTheme="minorHAnsi" w:cstheme="minorBidi"/>
                <w:noProof/>
                <w:sz w:val="22"/>
                <w:szCs w:val="22"/>
              </w:rPr>
              <w:tab/>
            </w:r>
            <w:r w:rsidR="00C60F36" w:rsidRPr="004A5908">
              <w:rPr>
                <w:rStyle w:val="Hyperlink"/>
                <w:rFonts w:ascii="Cambria" w:eastAsia="Cambria" w:hAnsi="Cambria" w:cs="Cambria"/>
                <w:noProof/>
              </w:rPr>
              <w:t>Individuals Consulted on Statistical Aspects and Individuals Collecting and/or Analyzing Data</w:t>
            </w:r>
            <w:r w:rsidR="00C60F36">
              <w:rPr>
                <w:noProof/>
                <w:webHidden/>
              </w:rPr>
              <w:tab/>
            </w:r>
            <w:r w:rsidR="00C60F36">
              <w:rPr>
                <w:noProof/>
                <w:webHidden/>
              </w:rPr>
              <w:fldChar w:fldCharType="begin"/>
            </w:r>
            <w:r w:rsidR="00C60F36">
              <w:rPr>
                <w:noProof/>
                <w:webHidden/>
              </w:rPr>
              <w:instrText xml:space="preserve"> PAGEREF _Toc8910031 \h </w:instrText>
            </w:r>
            <w:r w:rsidR="00C60F36">
              <w:rPr>
                <w:noProof/>
                <w:webHidden/>
              </w:rPr>
            </w:r>
            <w:r w:rsidR="00C60F36">
              <w:rPr>
                <w:noProof/>
                <w:webHidden/>
              </w:rPr>
              <w:fldChar w:fldCharType="separate"/>
            </w:r>
            <w:r w:rsidR="00C60F36">
              <w:rPr>
                <w:noProof/>
                <w:webHidden/>
              </w:rPr>
              <w:t>4</w:t>
            </w:r>
            <w:r w:rsidR="00C60F36">
              <w:rPr>
                <w:noProof/>
                <w:webHidden/>
              </w:rPr>
              <w:fldChar w:fldCharType="end"/>
            </w:r>
          </w:hyperlink>
        </w:p>
        <w:p w14:paraId="2A5C846F" w14:textId="7A816FD6" w:rsidR="00C60F36" w:rsidRDefault="00A67D8A">
          <w:pPr>
            <w:pStyle w:val="TOC1"/>
            <w:tabs>
              <w:tab w:val="right" w:pos="9350"/>
            </w:tabs>
            <w:rPr>
              <w:rFonts w:asciiTheme="minorHAnsi" w:eastAsiaTheme="minorEastAsia" w:hAnsiTheme="minorHAnsi" w:cstheme="minorBidi"/>
              <w:noProof/>
              <w:sz w:val="22"/>
              <w:szCs w:val="22"/>
            </w:rPr>
          </w:pPr>
          <w:hyperlink w:anchor="_Toc8910032" w:history="1">
            <w:r w:rsidR="00C60F36" w:rsidRPr="004A5908">
              <w:rPr>
                <w:rStyle w:val="Hyperlink"/>
                <w:rFonts w:ascii="Cambria" w:eastAsia="Cambria" w:hAnsi="Cambria" w:cs="Cambria"/>
                <w:noProof/>
              </w:rPr>
              <w:t>List of Attachments</w:t>
            </w:r>
            <w:r w:rsidR="00C60F36">
              <w:rPr>
                <w:noProof/>
                <w:webHidden/>
              </w:rPr>
              <w:tab/>
            </w:r>
            <w:r w:rsidR="00C60F36">
              <w:rPr>
                <w:noProof/>
                <w:webHidden/>
              </w:rPr>
              <w:fldChar w:fldCharType="begin"/>
            </w:r>
            <w:r w:rsidR="00C60F36">
              <w:rPr>
                <w:noProof/>
                <w:webHidden/>
              </w:rPr>
              <w:instrText xml:space="preserve"> PAGEREF _Toc8910032 \h </w:instrText>
            </w:r>
            <w:r w:rsidR="00C60F36">
              <w:rPr>
                <w:noProof/>
                <w:webHidden/>
              </w:rPr>
            </w:r>
            <w:r w:rsidR="00C60F36">
              <w:rPr>
                <w:noProof/>
                <w:webHidden/>
              </w:rPr>
              <w:fldChar w:fldCharType="separate"/>
            </w:r>
            <w:r w:rsidR="00C60F36">
              <w:rPr>
                <w:noProof/>
                <w:webHidden/>
              </w:rPr>
              <w:t>5</w:t>
            </w:r>
            <w:r w:rsidR="00C60F36">
              <w:rPr>
                <w:noProof/>
                <w:webHidden/>
              </w:rPr>
              <w:fldChar w:fldCharType="end"/>
            </w:r>
          </w:hyperlink>
        </w:p>
        <w:p w14:paraId="6FFA7791" w14:textId="77777777" w:rsidR="00DA0E7A" w:rsidRDefault="00995E69">
          <w:r>
            <w:fldChar w:fldCharType="end"/>
          </w:r>
        </w:p>
      </w:sdtContent>
    </w:sdt>
    <w:p w14:paraId="76C9ED42" w14:textId="77777777" w:rsidR="00DA0E7A" w:rsidRDefault="00DA0E7A">
      <w:pPr>
        <w:spacing w:after="200" w:line="276" w:lineRule="auto"/>
        <w:rPr>
          <w:b/>
          <w:sz w:val="26"/>
          <w:szCs w:val="26"/>
        </w:rPr>
      </w:pPr>
    </w:p>
    <w:p w14:paraId="3B9FF948" w14:textId="77777777" w:rsidR="00DA0E7A" w:rsidRDefault="00995E69">
      <w:pPr>
        <w:rPr>
          <w:sz w:val="36"/>
          <w:szCs w:val="36"/>
        </w:rPr>
      </w:pPr>
      <w:bookmarkStart w:id="2" w:name="_30j0zll" w:colFirst="0" w:colLast="0"/>
      <w:bookmarkEnd w:id="2"/>
      <w:r>
        <w:br w:type="page"/>
      </w:r>
    </w:p>
    <w:p w14:paraId="032B2630" w14:textId="77777777" w:rsidR="00DA0E7A" w:rsidRDefault="00995E69">
      <w:pPr>
        <w:pBdr>
          <w:bottom w:val="single" w:sz="4" w:space="1" w:color="000000"/>
        </w:pBdr>
        <w:rPr>
          <w:rFonts w:ascii="Cambria" w:eastAsia="Cambria" w:hAnsi="Cambria" w:cs="Cambria"/>
          <w:sz w:val="36"/>
          <w:szCs w:val="36"/>
        </w:rPr>
      </w:pPr>
      <w:r>
        <w:rPr>
          <w:rFonts w:ascii="Cambria" w:eastAsia="Cambria" w:hAnsi="Cambria" w:cs="Cambria"/>
          <w:sz w:val="36"/>
          <w:szCs w:val="36"/>
        </w:rPr>
        <w:lastRenderedPageBreak/>
        <w:t>Part B. Collections of Information Employing Statistical Methods</w:t>
      </w:r>
    </w:p>
    <w:p w14:paraId="2964A98D" w14:textId="2C35B1C1" w:rsidR="00DA0E7A" w:rsidRDefault="00995E69">
      <w:pPr>
        <w:rPr>
          <w:sz w:val="24"/>
          <w:szCs w:val="24"/>
        </w:rPr>
      </w:pPr>
      <w:r>
        <w:rPr>
          <w:sz w:val="24"/>
          <w:szCs w:val="24"/>
        </w:rPr>
        <w:t xml:space="preserve">The requested data collection does not involve statistical methods. The information requested will be used to inform the development of an open </w:t>
      </w:r>
      <w:r w:rsidRPr="00EF3721">
        <w:rPr>
          <w:sz w:val="24"/>
          <w:szCs w:val="24"/>
        </w:rPr>
        <w:t>data</w:t>
      </w:r>
      <w:r w:rsidRPr="002C1640">
        <w:rPr>
          <w:sz w:val="24"/>
          <w:szCs w:val="24"/>
        </w:rPr>
        <w:t xml:space="preserve"> standard and </w:t>
      </w:r>
      <w:r w:rsidR="00EF3721" w:rsidRPr="002C1640">
        <w:rPr>
          <w:sz w:val="24"/>
          <w:szCs w:val="24"/>
        </w:rPr>
        <w:t xml:space="preserve">to identify </w:t>
      </w:r>
      <w:r w:rsidRPr="002C1640">
        <w:rPr>
          <w:sz w:val="24"/>
          <w:szCs w:val="24"/>
        </w:rPr>
        <w:t xml:space="preserve">which tools to use in conjunction with the open data standard </w:t>
      </w:r>
      <w:r>
        <w:rPr>
          <w:sz w:val="24"/>
          <w:szCs w:val="24"/>
        </w:rPr>
        <w:t>for reporting environmental health data.</w:t>
      </w:r>
    </w:p>
    <w:p w14:paraId="15C93CDA" w14:textId="77777777" w:rsidR="00DA0E7A" w:rsidRDefault="00995E69">
      <w:pPr>
        <w:pStyle w:val="Heading1"/>
        <w:pBdr>
          <w:bottom w:val="none" w:sz="0" w:space="0" w:color="000000"/>
        </w:pBdr>
        <w:rPr>
          <w:rFonts w:ascii="Cambria" w:eastAsia="Cambria" w:hAnsi="Cambria" w:cs="Cambria"/>
          <w:color w:val="000000"/>
        </w:rPr>
      </w:pPr>
      <w:bookmarkStart w:id="3" w:name="_Toc8910027"/>
      <w:r>
        <w:rPr>
          <w:rFonts w:ascii="Cambria" w:eastAsia="Cambria" w:hAnsi="Cambria" w:cs="Cambria"/>
          <w:color w:val="000000"/>
        </w:rPr>
        <w:t>B.1.</w:t>
      </w:r>
      <w:r>
        <w:rPr>
          <w:rFonts w:ascii="Cambria" w:eastAsia="Cambria" w:hAnsi="Cambria" w:cs="Cambria"/>
          <w:color w:val="000000"/>
        </w:rPr>
        <w:tab/>
        <w:t>Respondent Universe and Sampling Methods</w:t>
      </w:r>
      <w:bookmarkEnd w:id="3"/>
    </w:p>
    <w:p w14:paraId="64302B45" w14:textId="77777777" w:rsidR="00DA0E7A" w:rsidRDefault="00DA0E7A">
      <w:pPr>
        <w:spacing w:line="240" w:lineRule="auto"/>
        <w:rPr>
          <w:sz w:val="24"/>
          <w:szCs w:val="24"/>
        </w:rPr>
      </w:pPr>
    </w:p>
    <w:p w14:paraId="26F8D920" w14:textId="1B0C6144" w:rsidR="00DA0E7A" w:rsidRDefault="00995E69">
      <w:pPr>
        <w:spacing w:line="240" w:lineRule="auto"/>
        <w:rPr>
          <w:color w:val="FF0000"/>
          <w:sz w:val="24"/>
          <w:szCs w:val="24"/>
        </w:rPr>
      </w:pPr>
      <w:r>
        <w:rPr>
          <w:sz w:val="24"/>
          <w:szCs w:val="24"/>
        </w:rPr>
        <w:t>The respondent universe includes all people who fall into the following categories in the U.S., unless otherwise noted</w:t>
      </w:r>
      <w:r w:rsidR="00EF3721">
        <w:rPr>
          <w:sz w:val="24"/>
          <w:szCs w:val="24"/>
        </w:rPr>
        <w:t>:</w:t>
      </w:r>
      <w:r>
        <w:rPr>
          <w:sz w:val="24"/>
          <w:szCs w:val="24"/>
        </w:rPr>
        <w:t xml:space="preserve"> open data standards experts (U.S., </w:t>
      </w:r>
      <w:r w:rsidRPr="002C1640">
        <w:rPr>
          <w:sz w:val="24"/>
          <w:szCs w:val="24"/>
        </w:rPr>
        <w:t>Canada, and</w:t>
      </w:r>
      <w:r>
        <w:rPr>
          <w:sz w:val="24"/>
          <w:szCs w:val="24"/>
        </w:rPr>
        <w:t xml:space="preserve"> Europe), municipal government information technology administrators,</w:t>
      </w:r>
      <w:r w:rsidR="00EF3721">
        <w:rPr>
          <w:sz w:val="24"/>
          <w:szCs w:val="24"/>
        </w:rPr>
        <w:t xml:space="preserve"> and</w:t>
      </w:r>
      <w:r>
        <w:rPr>
          <w:sz w:val="24"/>
          <w:szCs w:val="24"/>
        </w:rPr>
        <w:t xml:space="preserve"> environmental health personnel. An open data subject matter expert</w:t>
      </w:r>
      <w:r w:rsidR="00EF3721">
        <w:rPr>
          <w:sz w:val="24"/>
          <w:szCs w:val="24"/>
        </w:rPr>
        <w:t xml:space="preserve"> (SME)</w:t>
      </w:r>
      <w:r>
        <w:rPr>
          <w:sz w:val="24"/>
          <w:szCs w:val="24"/>
        </w:rPr>
        <w:t>, contracted by the National Environmental Health Association (NEHA)</w:t>
      </w:r>
      <w:r w:rsidR="00142D67">
        <w:rPr>
          <w:sz w:val="24"/>
          <w:szCs w:val="24"/>
        </w:rPr>
        <w:t>,</w:t>
      </w:r>
      <w:r>
        <w:rPr>
          <w:sz w:val="24"/>
          <w:szCs w:val="24"/>
        </w:rPr>
        <w:t xml:space="preserve"> completed an ecosystem scan that included the identification of online resources for aquatic facility inspection data. The SME developed a list of jurisdictions (state and local) with open environmental health information and data (including aquatic facility inspection data); and, they developed a list of the most commonly used inspection database providers used by U.S. environmental health departments. These database providers provide services to large numbers of environmental health departments to help them maintain inspection data. Additionally the SME identified points of contact for open data standard experts from the UK’s head of data standards, the European Union’s lead agency on data standards, and experts from the United States that create standard terminology for data standards used by U.S. governmental agencies. The SME will conduct up to </w:t>
      </w:r>
      <w:r w:rsidR="00142D67">
        <w:rPr>
          <w:sz w:val="24"/>
          <w:szCs w:val="24"/>
        </w:rPr>
        <w:t>43</w:t>
      </w:r>
      <w:r>
        <w:rPr>
          <w:sz w:val="24"/>
          <w:szCs w:val="24"/>
        </w:rPr>
        <w:t xml:space="preserve"> key informant interviews with a specific number of identified points of contact from each respondent category. As needed, the SME will use a snowball sampling technique (technique to find unknown entities) to recruit future interviewees that may hold valuable information related to open data portals and open data standards used by U.S jurisdictions. </w:t>
      </w:r>
    </w:p>
    <w:p w14:paraId="33AE590C" w14:textId="77777777" w:rsidR="00DA0E7A" w:rsidRDefault="00995E69">
      <w:pPr>
        <w:pStyle w:val="Heading1"/>
        <w:pBdr>
          <w:bottom w:val="none" w:sz="0" w:space="0" w:color="000000"/>
        </w:pBdr>
        <w:rPr>
          <w:rFonts w:ascii="Cambria" w:eastAsia="Cambria" w:hAnsi="Cambria" w:cs="Cambria"/>
          <w:color w:val="000000"/>
        </w:rPr>
      </w:pPr>
      <w:bookmarkStart w:id="4" w:name="_Toc8910028"/>
      <w:r>
        <w:rPr>
          <w:rFonts w:ascii="Cambria" w:eastAsia="Cambria" w:hAnsi="Cambria" w:cs="Cambria"/>
          <w:color w:val="000000"/>
        </w:rPr>
        <w:t>B.2.</w:t>
      </w:r>
      <w:r>
        <w:rPr>
          <w:rFonts w:ascii="Cambria" w:eastAsia="Cambria" w:hAnsi="Cambria" w:cs="Cambria"/>
          <w:color w:val="000000"/>
        </w:rPr>
        <w:tab/>
        <w:t>Procedures for the Collection of Information</w:t>
      </w:r>
      <w:bookmarkEnd w:id="4"/>
    </w:p>
    <w:p w14:paraId="429AF295" w14:textId="77777777" w:rsidR="00DA0E7A" w:rsidRDefault="00DA0E7A"/>
    <w:p w14:paraId="4D591412" w14:textId="47323654" w:rsidR="00DA0E7A" w:rsidRDefault="00995E69">
      <w:pPr>
        <w:rPr>
          <w:sz w:val="24"/>
          <w:szCs w:val="24"/>
          <w:highlight w:val="cyan"/>
        </w:rPr>
      </w:pPr>
      <w:r w:rsidRPr="002C1640">
        <w:rPr>
          <w:sz w:val="24"/>
          <w:szCs w:val="24"/>
        </w:rPr>
        <w:t xml:space="preserve">An open data expert, contracted by the National Environmental Health Association through CDC cooperative agreement (CDC-RFA-OT18-1802), will identify candidates for interviews, initially through their familiarity with the open data landscape, and then relying on snowball sampling. This approach is necessary to identify </w:t>
      </w:r>
      <w:r w:rsidR="00142D67">
        <w:rPr>
          <w:sz w:val="24"/>
          <w:szCs w:val="24"/>
        </w:rPr>
        <w:t>43</w:t>
      </w:r>
      <w:r w:rsidRPr="002C1640">
        <w:rPr>
          <w:sz w:val="24"/>
          <w:szCs w:val="24"/>
        </w:rPr>
        <w:t xml:space="preserve"> individuals with information that will be helpful in developing an open data </w:t>
      </w:r>
      <w:r w:rsidR="00EF3721" w:rsidRPr="002C1640">
        <w:rPr>
          <w:sz w:val="24"/>
          <w:szCs w:val="24"/>
        </w:rPr>
        <w:t>standard</w:t>
      </w:r>
      <w:r w:rsidRPr="002C1640">
        <w:rPr>
          <w:sz w:val="24"/>
          <w:szCs w:val="24"/>
        </w:rPr>
        <w:t>. All interviews will be conducted by the contractor either in-person or over the phone. Interviews will be initiated through direct contact to an individual key informant via email, phone, or Twitter direct message (similar to email), depending on how the key informant is publicly (or through existing contacts) known to be reachable</w:t>
      </w:r>
      <w:r w:rsidR="00142D67">
        <w:rPr>
          <w:sz w:val="24"/>
          <w:szCs w:val="24"/>
        </w:rPr>
        <w:t xml:space="preserve"> (Attachment 2)</w:t>
      </w:r>
      <w:r w:rsidRPr="002C1640">
        <w:rPr>
          <w:sz w:val="24"/>
          <w:szCs w:val="24"/>
        </w:rPr>
        <w:t>.</w:t>
      </w:r>
      <w:r w:rsidR="00142D67">
        <w:rPr>
          <w:sz w:val="24"/>
          <w:szCs w:val="24"/>
        </w:rPr>
        <w:t xml:space="preserve">  One to two days before the scheduled interview, a reminder email will be sent to the respondent (Attachment 3).</w:t>
      </w:r>
    </w:p>
    <w:p w14:paraId="253973BC" w14:textId="2819B9CE" w:rsidR="002C1640" w:rsidRDefault="002C1640">
      <w:pPr>
        <w:rPr>
          <w:sz w:val="24"/>
          <w:szCs w:val="24"/>
          <w:highlight w:val="cyan"/>
        </w:rPr>
      </w:pPr>
      <w:r w:rsidRPr="00912B12">
        <w:rPr>
          <w:sz w:val="24"/>
          <w:szCs w:val="24"/>
        </w:rPr>
        <w:t xml:space="preserve">The SME will collect the key informant information by taking hard copy notes on their discussions. Afterward, the information will be logged into a spreadsheet, de-identified, organized, and will be provided to the CDC in a summary of results. At no time will CDC have access to any key informant </w:t>
      </w:r>
      <w:r>
        <w:rPr>
          <w:sz w:val="24"/>
          <w:szCs w:val="24"/>
        </w:rPr>
        <w:t xml:space="preserve">interview </w:t>
      </w:r>
      <w:r w:rsidRPr="00912B12">
        <w:rPr>
          <w:sz w:val="24"/>
          <w:szCs w:val="24"/>
        </w:rPr>
        <w:t>transcripts.</w:t>
      </w:r>
    </w:p>
    <w:p w14:paraId="6D63DD7D" w14:textId="77777777" w:rsidR="00DA0E7A" w:rsidRDefault="00995E69">
      <w:pPr>
        <w:pStyle w:val="Heading1"/>
        <w:pBdr>
          <w:bottom w:val="none" w:sz="0" w:space="0" w:color="000000"/>
        </w:pBdr>
        <w:rPr>
          <w:rFonts w:ascii="Cambria" w:eastAsia="Cambria" w:hAnsi="Cambria" w:cs="Cambria"/>
          <w:color w:val="000000"/>
        </w:rPr>
      </w:pPr>
      <w:bookmarkStart w:id="5" w:name="_Toc8910029"/>
      <w:r>
        <w:rPr>
          <w:rFonts w:ascii="Cambria" w:eastAsia="Cambria" w:hAnsi="Cambria" w:cs="Cambria"/>
          <w:color w:val="000000"/>
        </w:rPr>
        <w:t>B.3.</w:t>
      </w:r>
      <w:r>
        <w:rPr>
          <w:rFonts w:ascii="Cambria" w:eastAsia="Cambria" w:hAnsi="Cambria" w:cs="Cambria"/>
          <w:color w:val="000000"/>
        </w:rPr>
        <w:tab/>
        <w:t>Methods to Maximize Response Rates and Deal with No Response</w:t>
      </w:r>
      <w:bookmarkEnd w:id="5"/>
    </w:p>
    <w:p w14:paraId="2B34F448" w14:textId="77777777" w:rsidR="00DA0E7A" w:rsidRDefault="00DA0E7A">
      <w:pPr>
        <w:spacing w:line="240" w:lineRule="auto"/>
        <w:rPr>
          <w:sz w:val="24"/>
          <w:szCs w:val="24"/>
        </w:rPr>
      </w:pPr>
    </w:p>
    <w:p w14:paraId="298C28FA" w14:textId="16B3285A" w:rsidR="00DA0E7A" w:rsidRPr="002C1640" w:rsidRDefault="00995E69">
      <w:pPr>
        <w:spacing w:line="240" w:lineRule="auto"/>
        <w:rPr>
          <w:sz w:val="24"/>
          <w:szCs w:val="24"/>
        </w:rPr>
      </w:pPr>
      <w:r w:rsidRPr="002C1640">
        <w:rPr>
          <w:sz w:val="24"/>
          <w:szCs w:val="24"/>
        </w:rPr>
        <w:t xml:space="preserve">The </w:t>
      </w:r>
      <w:r w:rsidR="000F62FE">
        <w:rPr>
          <w:sz w:val="24"/>
          <w:szCs w:val="24"/>
        </w:rPr>
        <w:t xml:space="preserve">NEHA SME will use the </w:t>
      </w:r>
      <w:r w:rsidRPr="002C1640">
        <w:rPr>
          <w:sz w:val="24"/>
          <w:szCs w:val="24"/>
        </w:rPr>
        <w:t xml:space="preserve">following procedures for the </w:t>
      </w:r>
      <w:r w:rsidR="000F62FE">
        <w:rPr>
          <w:sz w:val="24"/>
          <w:szCs w:val="24"/>
        </w:rPr>
        <w:t>key informant</w:t>
      </w:r>
      <w:r w:rsidRPr="002C1640">
        <w:rPr>
          <w:sz w:val="24"/>
          <w:szCs w:val="24"/>
        </w:rPr>
        <w:t xml:space="preserve"> interviews to maximize cooperation and achieve the desired participation rates:</w:t>
      </w:r>
    </w:p>
    <w:p w14:paraId="6282185A" w14:textId="7E164968" w:rsidR="00EF3721" w:rsidRPr="002C1640" w:rsidRDefault="00995E69" w:rsidP="002C1640">
      <w:pPr>
        <w:pStyle w:val="ListParagraph"/>
        <w:numPr>
          <w:ilvl w:val="0"/>
          <w:numId w:val="3"/>
        </w:numPr>
        <w:pBdr>
          <w:top w:val="nil"/>
          <w:left w:val="nil"/>
          <w:bottom w:val="nil"/>
          <w:right w:val="nil"/>
          <w:between w:val="nil"/>
        </w:pBdr>
        <w:spacing w:after="0" w:line="240" w:lineRule="auto"/>
        <w:ind w:left="720"/>
        <w:rPr>
          <w:color w:val="000000"/>
          <w:sz w:val="24"/>
          <w:szCs w:val="24"/>
        </w:rPr>
      </w:pPr>
      <w:r w:rsidRPr="002C1640">
        <w:rPr>
          <w:color w:val="000000"/>
          <w:sz w:val="24"/>
          <w:szCs w:val="24"/>
        </w:rPr>
        <w:t xml:space="preserve">The </w:t>
      </w:r>
      <w:r w:rsidR="00EF3721" w:rsidRPr="002C1640">
        <w:rPr>
          <w:color w:val="000000"/>
          <w:sz w:val="24"/>
          <w:szCs w:val="24"/>
        </w:rPr>
        <w:t xml:space="preserve">SME </w:t>
      </w:r>
      <w:r w:rsidRPr="002C1640">
        <w:rPr>
          <w:color w:val="000000"/>
          <w:sz w:val="24"/>
          <w:szCs w:val="24"/>
        </w:rPr>
        <w:t>contractor will recruit participants</w:t>
      </w:r>
      <w:r w:rsidR="00EF3721" w:rsidRPr="002C1640">
        <w:rPr>
          <w:color w:val="000000"/>
          <w:sz w:val="24"/>
          <w:szCs w:val="24"/>
        </w:rPr>
        <w:t xml:space="preserve"> </w:t>
      </w:r>
      <w:r w:rsidR="00EF3721" w:rsidRPr="00EF3721">
        <w:rPr>
          <w:sz w:val="24"/>
          <w:szCs w:val="24"/>
        </w:rPr>
        <w:t>via email, phone, or Twitter direct message</w:t>
      </w:r>
      <w:r w:rsidRPr="002C1640">
        <w:rPr>
          <w:color w:val="000000"/>
          <w:sz w:val="24"/>
          <w:szCs w:val="24"/>
        </w:rPr>
        <w:t>.</w:t>
      </w:r>
    </w:p>
    <w:p w14:paraId="33ED27A3" w14:textId="4742DBB9" w:rsidR="00D9637C" w:rsidRDefault="00D9637C" w:rsidP="002C1640">
      <w:pPr>
        <w:pStyle w:val="ListParagraph"/>
        <w:numPr>
          <w:ilvl w:val="0"/>
          <w:numId w:val="3"/>
        </w:numPr>
        <w:pBdr>
          <w:top w:val="nil"/>
          <w:left w:val="nil"/>
          <w:bottom w:val="nil"/>
          <w:right w:val="nil"/>
          <w:between w:val="nil"/>
        </w:pBdr>
        <w:spacing w:after="0" w:line="240" w:lineRule="auto"/>
        <w:ind w:left="720"/>
        <w:rPr>
          <w:color w:val="000000"/>
          <w:sz w:val="24"/>
          <w:szCs w:val="24"/>
        </w:rPr>
      </w:pPr>
      <w:r>
        <w:rPr>
          <w:color w:val="000000"/>
          <w:sz w:val="24"/>
          <w:szCs w:val="24"/>
        </w:rPr>
        <w:t>After a participant has agreed to an interview, a r</w:t>
      </w:r>
      <w:r w:rsidR="00995E69" w:rsidRPr="002C1640">
        <w:rPr>
          <w:color w:val="000000"/>
          <w:sz w:val="24"/>
          <w:szCs w:val="24"/>
        </w:rPr>
        <w:t>eminder letter/e-mail</w:t>
      </w:r>
      <w:r>
        <w:rPr>
          <w:color w:val="000000"/>
          <w:sz w:val="24"/>
          <w:szCs w:val="24"/>
        </w:rPr>
        <w:t xml:space="preserve"> </w:t>
      </w:r>
      <w:r w:rsidR="00995E69" w:rsidRPr="002C1640">
        <w:rPr>
          <w:color w:val="000000"/>
          <w:sz w:val="24"/>
          <w:szCs w:val="24"/>
        </w:rPr>
        <w:t xml:space="preserve">will be sent 1 to 2 days prior to the scheduled data collection. </w:t>
      </w:r>
    </w:p>
    <w:p w14:paraId="2C166F95" w14:textId="49643261" w:rsidR="00D9637C" w:rsidRDefault="00D9637C" w:rsidP="002C1640">
      <w:pPr>
        <w:pStyle w:val="ListParagraph"/>
        <w:numPr>
          <w:ilvl w:val="0"/>
          <w:numId w:val="3"/>
        </w:numPr>
        <w:pBdr>
          <w:top w:val="nil"/>
          <w:left w:val="nil"/>
          <w:bottom w:val="nil"/>
          <w:right w:val="nil"/>
          <w:between w:val="nil"/>
        </w:pBdr>
        <w:spacing w:after="0" w:line="240" w:lineRule="auto"/>
        <w:ind w:left="720"/>
        <w:rPr>
          <w:color w:val="000000"/>
          <w:sz w:val="24"/>
          <w:szCs w:val="24"/>
        </w:rPr>
      </w:pPr>
      <w:r>
        <w:rPr>
          <w:color w:val="000000"/>
          <w:sz w:val="24"/>
          <w:szCs w:val="24"/>
        </w:rPr>
        <w:t xml:space="preserve">If </w:t>
      </w:r>
      <w:r w:rsidR="000F62FE">
        <w:rPr>
          <w:color w:val="000000"/>
          <w:sz w:val="24"/>
          <w:szCs w:val="24"/>
        </w:rPr>
        <w:t xml:space="preserve">the SME </w:t>
      </w:r>
      <w:r w:rsidR="000F62FE" w:rsidRPr="006C4C7C">
        <w:rPr>
          <w:color w:val="000000"/>
          <w:sz w:val="24"/>
          <w:szCs w:val="24"/>
        </w:rPr>
        <w:t xml:space="preserve">identifies </w:t>
      </w:r>
      <w:r w:rsidRPr="006C4C7C">
        <w:rPr>
          <w:color w:val="000000"/>
          <w:sz w:val="24"/>
          <w:szCs w:val="24"/>
        </w:rPr>
        <w:t xml:space="preserve">additional </w:t>
      </w:r>
      <w:r w:rsidR="000F62FE" w:rsidRPr="006C4C7C">
        <w:rPr>
          <w:color w:val="000000"/>
          <w:sz w:val="24"/>
          <w:szCs w:val="24"/>
        </w:rPr>
        <w:t>key informants as referrals</w:t>
      </w:r>
      <w:r w:rsidRPr="006C4C7C">
        <w:rPr>
          <w:color w:val="000000"/>
          <w:sz w:val="24"/>
          <w:szCs w:val="24"/>
        </w:rPr>
        <w:t>,</w:t>
      </w:r>
      <w:r>
        <w:rPr>
          <w:color w:val="000000"/>
          <w:sz w:val="24"/>
          <w:szCs w:val="24"/>
        </w:rPr>
        <w:t xml:space="preserve"> the SME will reach out to </w:t>
      </w:r>
      <w:r w:rsidR="000F62FE">
        <w:rPr>
          <w:color w:val="000000"/>
          <w:sz w:val="24"/>
          <w:szCs w:val="24"/>
        </w:rPr>
        <w:t xml:space="preserve">the referrals using the abovementioned process </w:t>
      </w:r>
      <w:r>
        <w:rPr>
          <w:color w:val="000000"/>
          <w:sz w:val="24"/>
          <w:szCs w:val="24"/>
        </w:rPr>
        <w:t>to request an interview.</w:t>
      </w:r>
    </w:p>
    <w:p w14:paraId="73C37906" w14:textId="6AF41B73" w:rsidR="00DA0E7A" w:rsidRPr="002C1640" w:rsidRDefault="00995E69" w:rsidP="002C1640">
      <w:pPr>
        <w:pStyle w:val="ListParagraph"/>
        <w:numPr>
          <w:ilvl w:val="0"/>
          <w:numId w:val="3"/>
        </w:numPr>
        <w:pBdr>
          <w:top w:val="nil"/>
          <w:left w:val="nil"/>
          <w:bottom w:val="nil"/>
          <w:right w:val="nil"/>
          <w:between w:val="nil"/>
        </w:pBdr>
        <w:spacing w:after="0" w:line="240" w:lineRule="auto"/>
        <w:ind w:left="720"/>
        <w:rPr>
          <w:color w:val="000000"/>
          <w:sz w:val="24"/>
          <w:szCs w:val="24"/>
        </w:rPr>
      </w:pPr>
      <w:r w:rsidRPr="002C1640">
        <w:rPr>
          <w:color w:val="000000"/>
          <w:sz w:val="24"/>
          <w:szCs w:val="24"/>
        </w:rPr>
        <w:t>Participants will not be contacted again after the individual key informa</w:t>
      </w:r>
      <w:r>
        <w:rPr>
          <w:color w:val="000000"/>
          <w:sz w:val="24"/>
          <w:szCs w:val="24"/>
        </w:rPr>
        <w:t>n</w:t>
      </w:r>
      <w:r w:rsidRPr="002C1640">
        <w:rPr>
          <w:color w:val="000000"/>
          <w:sz w:val="24"/>
          <w:szCs w:val="24"/>
        </w:rPr>
        <w:t>t interview has concluded.</w:t>
      </w:r>
    </w:p>
    <w:p w14:paraId="2D06C97A" w14:textId="77777777" w:rsidR="00DA0E7A" w:rsidRDefault="00995E69">
      <w:pPr>
        <w:pStyle w:val="Heading1"/>
        <w:pBdr>
          <w:bottom w:val="none" w:sz="0" w:space="0" w:color="000000"/>
        </w:pBdr>
        <w:rPr>
          <w:rFonts w:ascii="Cambria" w:eastAsia="Cambria" w:hAnsi="Cambria" w:cs="Cambria"/>
          <w:color w:val="000000"/>
        </w:rPr>
      </w:pPr>
      <w:bookmarkStart w:id="6" w:name="_Toc8910030"/>
      <w:r>
        <w:rPr>
          <w:rFonts w:ascii="Cambria" w:eastAsia="Cambria" w:hAnsi="Cambria" w:cs="Cambria"/>
          <w:color w:val="000000"/>
        </w:rPr>
        <w:t>B.4.</w:t>
      </w:r>
      <w:r>
        <w:rPr>
          <w:rFonts w:ascii="Cambria" w:eastAsia="Cambria" w:hAnsi="Cambria" w:cs="Cambria"/>
          <w:color w:val="000000"/>
        </w:rPr>
        <w:tab/>
        <w:t>Test of Procedures or Methods to be Undertaken</w:t>
      </w:r>
      <w:bookmarkEnd w:id="6"/>
    </w:p>
    <w:p w14:paraId="786C0F2E" w14:textId="77777777" w:rsidR="00DA0E7A" w:rsidRDefault="00DA0E7A">
      <w:pPr>
        <w:spacing w:line="240" w:lineRule="auto"/>
      </w:pPr>
    </w:p>
    <w:p w14:paraId="648F4AF3" w14:textId="31CE036A" w:rsidR="00DA0E7A" w:rsidRDefault="00995E69">
      <w:pPr>
        <w:spacing w:line="240" w:lineRule="auto"/>
        <w:rPr>
          <w:sz w:val="24"/>
          <w:szCs w:val="24"/>
        </w:rPr>
      </w:pPr>
      <w:r>
        <w:rPr>
          <w:sz w:val="24"/>
          <w:szCs w:val="24"/>
        </w:rPr>
        <w:t xml:space="preserve">Given the purpose of conducting the interviews is to discover information that will be helpful in developing an open data </w:t>
      </w:r>
      <w:r w:rsidR="00D9637C">
        <w:rPr>
          <w:sz w:val="24"/>
          <w:szCs w:val="24"/>
        </w:rPr>
        <w:t xml:space="preserve">standard </w:t>
      </w:r>
      <w:r>
        <w:rPr>
          <w:sz w:val="24"/>
          <w:szCs w:val="24"/>
        </w:rPr>
        <w:t>for environmental health data, the interviews are intended to be semi-structured. We expect to learn and gather useful information by allowing the interviews to proceed organically. The interview instrument was not pilot tested with members of the public, but extensively reviewed by researchers experienced in conducting qualitative data collection tasks.</w:t>
      </w:r>
    </w:p>
    <w:p w14:paraId="683B3433" w14:textId="77777777" w:rsidR="00DA0E7A" w:rsidRDefault="00995E69">
      <w:pPr>
        <w:pStyle w:val="Heading1"/>
        <w:pBdr>
          <w:bottom w:val="none" w:sz="0" w:space="0" w:color="000000"/>
        </w:pBdr>
        <w:rPr>
          <w:rFonts w:ascii="Cambria" w:eastAsia="Cambria" w:hAnsi="Cambria" w:cs="Cambria"/>
          <w:color w:val="000000"/>
        </w:rPr>
      </w:pPr>
      <w:bookmarkStart w:id="7" w:name="_Toc8910031"/>
      <w:r>
        <w:rPr>
          <w:rFonts w:ascii="Cambria" w:eastAsia="Cambria" w:hAnsi="Cambria" w:cs="Cambria"/>
          <w:color w:val="000000"/>
        </w:rPr>
        <w:t>B.5.</w:t>
      </w:r>
      <w:r>
        <w:rPr>
          <w:rFonts w:ascii="Cambria" w:eastAsia="Cambria" w:hAnsi="Cambria" w:cs="Cambria"/>
          <w:color w:val="000000"/>
        </w:rPr>
        <w:tab/>
        <w:t>Individuals Consulted on Statistical Aspects and Individuals Collecting and/or Analyzing Data</w:t>
      </w:r>
      <w:bookmarkEnd w:id="7"/>
    </w:p>
    <w:p w14:paraId="424E8642" w14:textId="77777777" w:rsidR="00DA0E7A" w:rsidRDefault="00DA0E7A"/>
    <w:p w14:paraId="598163DF" w14:textId="77777777" w:rsidR="00DA0E7A" w:rsidRDefault="00995E69">
      <w:pPr>
        <w:spacing w:line="240" w:lineRule="auto"/>
        <w:rPr>
          <w:sz w:val="24"/>
          <w:szCs w:val="24"/>
        </w:rPr>
      </w:pPr>
      <w:r>
        <w:rPr>
          <w:sz w:val="24"/>
          <w:szCs w:val="24"/>
        </w:rPr>
        <w:t>The individuals consulted on technical and statistical issues related to data collection are listed below. The data will be collected and analyzed by the project contactor, Smarter Civic.</w:t>
      </w:r>
    </w:p>
    <w:p w14:paraId="53E1504E" w14:textId="77777777" w:rsidR="00DA0E7A" w:rsidRDefault="00DA0E7A">
      <w:pPr>
        <w:spacing w:line="240" w:lineRule="auto"/>
        <w:rPr>
          <w:sz w:val="24"/>
          <w:szCs w:val="24"/>
        </w:rPr>
      </w:pPr>
    </w:p>
    <w:tbl>
      <w:tblPr>
        <w:tblStyle w:val="a"/>
        <w:tblW w:w="95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1170"/>
        <w:gridCol w:w="2070"/>
        <w:gridCol w:w="1530"/>
        <w:gridCol w:w="2430"/>
      </w:tblGrid>
      <w:tr w:rsidR="00DA0E7A" w14:paraId="5D1C6018" w14:textId="77777777">
        <w:tc>
          <w:tcPr>
            <w:tcW w:w="2340" w:type="dxa"/>
            <w:tcBorders>
              <w:top w:val="single" w:sz="8" w:space="0" w:color="000000"/>
              <w:left w:val="nil"/>
              <w:bottom w:val="single" w:sz="8" w:space="0" w:color="000000"/>
              <w:right w:val="nil"/>
            </w:tcBorders>
            <w:shd w:val="clear" w:color="auto" w:fill="auto"/>
          </w:tcPr>
          <w:p w14:paraId="05D2A891" w14:textId="77777777" w:rsidR="00DA0E7A" w:rsidRDefault="00995E69">
            <w:pPr>
              <w:spacing w:after="0" w:line="240" w:lineRule="auto"/>
              <w:jc w:val="both"/>
              <w:rPr>
                <w:b/>
              </w:rPr>
            </w:pPr>
            <w:r>
              <w:rPr>
                <w:b/>
              </w:rPr>
              <w:t>Name</w:t>
            </w:r>
          </w:p>
        </w:tc>
        <w:tc>
          <w:tcPr>
            <w:tcW w:w="1170" w:type="dxa"/>
            <w:tcBorders>
              <w:top w:val="single" w:sz="8" w:space="0" w:color="000000"/>
              <w:left w:val="nil"/>
              <w:bottom w:val="single" w:sz="8" w:space="0" w:color="000000"/>
              <w:right w:val="nil"/>
            </w:tcBorders>
            <w:shd w:val="clear" w:color="auto" w:fill="auto"/>
          </w:tcPr>
          <w:p w14:paraId="7D99692F" w14:textId="77777777" w:rsidR="00DA0E7A" w:rsidRDefault="00995E69">
            <w:pPr>
              <w:spacing w:after="0" w:line="240" w:lineRule="auto"/>
              <w:jc w:val="both"/>
              <w:rPr>
                <w:b/>
              </w:rPr>
            </w:pPr>
            <w:r>
              <w:rPr>
                <w:b/>
              </w:rPr>
              <w:t>Title</w:t>
            </w:r>
          </w:p>
        </w:tc>
        <w:tc>
          <w:tcPr>
            <w:tcW w:w="2070" w:type="dxa"/>
            <w:tcBorders>
              <w:top w:val="single" w:sz="8" w:space="0" w:color="000000"/>
              <w:left w:val="nil"/>
              <w:bottom w:val="single" w:sz="8" w:space="0" w:color="000000"/>
              <w:right w:val="nil"/>
            </w:tcBorders>
            <w:shd w:val="clear" w:color="auto" w:fill="auto"/>
          </w:tcPr>
          <w:p w14:paraId="01653E38" w14:textId="77777777" w:rsidR="00DA0E7A" w:rsidRDefault="00995E69">
            <w:pPr>
              <w:spacing w:after="0" w:line="240" w:lineRule="auto"/>
              <w:jc w:val="both"/>
              <w:rPr>
                <w:b/>
              </w:rPr>
            </w:pPr>
            <w:r>
              <w:rPr>
                <w:b/>
              </w:rPr>
              <w:t>Affiliation</w:t>
            </w:r>
          </w:p>
        </w:tc>
        <w:tc>
          <w:tcPr>
            <w:tcW w:w="1530" w:type="dxa"/>
            <w:tcBorders>
              <w:top w:val="single" w:sz="8" w:space="0" w:color="000000"/>
              <w:left w:val="nil"/>
              <w:bottom w:val="single" w:sz="8" w:space="0" w:color="000000"/>
              <w:right w:val="nil"/>
            </w:tcBorders>
            <w:shd w:val="clear" w:color="auto" w:fill="auto"/>
          </w:tcPr>
          <w:p w14:paraId="24108D7D" w14:textId="77777777" w:rsidR="00DA0E7A" w:rsidRDefault="00995E69">
            <w:pPr>
              <w:spacing w:after="0" w:line="240" w:lineRule="auto"/>
              <w:jc w:val="both"/>
              <w:rPr>
                <w:b/>
              </w:rPr>
            </w:pPr>
            <w:r>
              <w:rPr>
                <w:b/>
              </w:rPr>
              <w:t>Phone</w:t>
            </w:r>
          </w:p>
        </w:tc>
        <w:tc>
          <w:tcPr>
            <w:tcW w:w="2430" w:type="dxa"/>
            <w:tcBorders>
              <w:top w:val="single" w:sz="8" w:space="0" w:color="000000"/>
              <w:left w:val="nil"/>
              <w:bottom w:val="single" w:sz="8" w:space="0" w:color="000000"/>
              <w:right w:val="nil"/>
            </w:tcBorders>
            <w:shd w:val="clear" w:color="auto" w:fill="auto"/>
          </w:tcPr>
          <w:p w14:paraId="2A10AF28" w14:textId="77777777" w:rsidR="00DA0E7A" w:rsidRDefault="00995E69">
            <w:pPr>
              <w:spacing w:after="0" w:line="240" w:lineRule="auto"/>
              <w:jc w:val="both"/>
              <w:rPr>
                <w:b/>
              </w:rPr>
            </w:pPr>
            <w:r>
              <w:rPr>
                <w:b/>
              </w:rPr>
              <w:t>Email</w:t>
            </w:r>
          </w:p>
        </w:tc>
      </w:tr>
      <w:tr w:rsidR="00DA0E7A" w14:paraId="0EE5BCE2" w14:textId="77777777">
        <w:tc>
          <w:tcPr>
            <w:tcW w:w="9540" w:type="dxa"/>
            <w:gridSpan w:val="5"/>
            <w:tcBorders>
              <w:top w:val="single" w:sz="8" w:space="0" w:color="000000"/>
              <w:left w:val="nil"/>
              <w:bottom w:val="single" w:sz="8" w:space="0" w:color="000000"/>
              <w:right w:val="nil"/>
            </w:tcBorders>
            <w:shd w:val="clear" w:color="auto" w:fill="auto"/>
          </w:tcPr>
          <w:p w14:paraId="249F50A6" w14:textId="77777777" w:rsidR="00DA0E7A" w:rsidRDefault="00995E69">
            <w:pPr>
              <w:spacing w:after="0" w:line="240" w:lineRule="auto"/>
              <w:jc w:val="both"/>
              <w:rPr>
                <w:b/>
              </w:rPr>
            </w:pPr>
            <w:r>
              <w:rPr>
                <w:i/>
                <w:sz w:val="20"/>
                <w:szCs w:val="20"/>
              </w:rPr>
              <w:t>COOPERATIVE AGREEMENT PARTNER</w:t>
            </w:r>
          </w:p>
        </w:tc>
      </w:tr>
      <w:tr w:rsidR="00DA0E7A" w14:paraId="2AA86490" w14:textId="77777777">
        <w:tc>
          <w:tcPr>
            <w:tcW w:w="2340" w:type="dxa"/>
            <w:tcBorders>
              <w:top w:val="single" w:sz="8" w:space="0" w:color="000000"/>
              <w:left w:val="nil"/>
              <w:bottom w:val="single" w:sz="8" w:space="0" w:color="000000"/>
              <w:right w:val="nil"/>
            </w:tcBorders>
            <w:shd w:val="clear" w:color="auto" w:fill="auto"/>
          </w:tcPr>
          <w:p w14:paraId="1E8BF602" w14:textId="77777777" w:rsidR="00DA0E7A" w:rsidRDefault="00995E69">
            <w:pPr>
              <w:spacing w:after="0" w:line="240" w:lineRule="auto"/>
              <w:jc w:val="both"/>
              <w:rPr>
                <w:sz w:val="20"/>
                <w:szCs w:val="20"/>
              </w:rPr>
            </w:pPr>
            <w:r>
              <w:rPr>
                <w:sz w:val="20"/>
                <w:szCs w:val="20"/>
              </w:rPr>
              <w:t>Sandra Whitehead, PhD</w:t>
            </w:r>
          </w:p>
        </w:tc>
        <w:tc>
          <w:tcPr>
            <w:tcW w:w="1170" w:type="dxa"/>
            <w:tcBorders>
              <w:top w:val="single" w:sz="8" w:space="0" w:color="000000"/>
              <w:left w:val="nil"/>
              <w:bottom w:val="single" w:sz="8" w:space="0" w:color="000000"/>
              <w:right w:val="nil"/>
            </w:tcBorders>
            <w:shd w:val="clear" w:color="auto" w:fill="auto"/>
          </w:tcPr>
          <w:p w14:paraId="7A695E46" w14:textId="77777777" w:rsidR="00DA0E7A" w:rsidRDefault="00995E69">
            <w:pPr>
              <w:spacing w:after="0" w:line="240" w:lineRule="auto"/>
              <w:jc w:val="both"/>
              <w:rPr>
                <w:sz w:val="20"/>
                <w:szCs w:val="20"/>
              </w:rPr>
            </w:pPr>
            <w:r>
              <w:rPr>
                <w:sz w:val="20"/>
                <w:szCs w:val="20"/>
              </w:rPr>
              <w:t>Director</w:t>
            </w:r>
          </w:p>
        </w:tc>
        <w:tc>
          <w:tcPr>
            <w:tcW w:w="2070" w:type="dxa"/>
            <w:tcBorders>
              <w:top w:val="single" w:sz="8" w:space="0" w:color="000000"/>
              <w:left w:val="nil"/>
              <w:bottom w:val="single" w:sz="8" w:space="0" w:color="000000"/>
              <w:right w:val="nil"/>
            </w:tcBorders>
            <w:shd w:val="clear" w:color="auto" w:fill="auto"/>
          </w:tcPr>
          <w:p w14:paraId="3752A26F" w14:textId="77777777" w:rsidR="00DA0E7A" w:rsidRDefault="00995E69">
            <w:pPr>
              <w:spacing w:after="0" w:line="240" w:lineRule="auto"/>
              <w:jc w:val="both"/>
              <w:rPr>
                <w:b/>
              </w:rPr>
            </w:pPr>
            <w:r>
              <w:rPr>
                <w:sz w:val="20"/>
                <w:szCs w:val="20"/>
              </w:rPr>
              <w:t>Nat’l Env Health Assn</w:t>
            </w:r>
          </w:p>
        </w:tc>
        <w:tc>
          <w:tcPr>
            <w:tcW w:w="1530" w:type="dxa"/>
            <w:tcBorders>
              <w:top w:val="single" w:sz="8" w:space="0" w:color="000000"/>
              <w:left w:val="nil"/>
              <w:bottom w:val="single" w:sz="8" w:space="0" w:color="000000"/>
              <w:right w:val="nil"/>
            </w:tcBorders>
            <w:shd w:val="clear" w:color="auto" w:fill="auto"/>
          </w:tcPr>
          <w:p w14:paraId="782E51AA" w14:textId="77777777" w:rsidR="00DA0E7A" w:rsidRDefault="00995E69">
            <w:pPr>
              <w:spacing w:after="0" w:line="240" w:lineRule="auto"/>
              <w:jc w:val="both"/>
              <w:rPr>
                <w:i/>
                <w:sz w:val="20"/>
                <w:szCs w:val="20"/>
              </w:rPr>
            </w:pPr>
            <w:r>
              <w:rPr>
                <w:i/>
                <w:sz w:val="20"/>
                <w:szCs w:val="20"/>
              </w:rPr>
              <w:t>(303) 756-9090</w:t>
            </w:r>
          </w:p>
        </w:tc>
        <w:tc>
          <w:tcPr>
            <w:tcW w:w="2430" w:type="dxa"/>
            <w:tcBorders>
              <w:top w:val="single" w:sz="8" w:space="0" w:color="000000"/>
              <w:left w:val="nil"/>
              <w:bottom w:val="single" w:sz="8" w:space="0" w:color="000000"/>
              <w:right w:val="nil"/>
            </w:tcBorders>
            <w:shd w:val="clear" w:color="auto" w:fill="auto"/>
          </w:tcPr>
          <w:p w14:paraId="23FFE2B1" w14:textId="77777777" w:rsidR="00DA0E7A" w:rsidRDefault="00A67D8A">
            <w:pPr>
              <w:spacing w:after="0" w:line="240" w:lineRule="auto"/>
              <w:jc w:val="both"/>
              <w:rPr>
                <w:sz w:val="20"/>
                <w:szCs w:val="20"/>
              </w:rPr>
            </w:pPr>
            <w:hyperlink r:id="rId8">
              <w:r w:rsidR="00995E69">
                <w:rPr>
                  <w:color w:val="0563C1"/>
                  <w:sz w:val="20"/>
                  <w:szCs w:val="20"/>
                  <w:u w:val="single"/>
                </w:rPr>
                <w:t>swhitehead@neha.org</w:t>
              </w:r>
            </w:hyperlink>
            <w:r w:rsidR="00995E69">
              <w:rPr>
                <w:sz w:val="20"/>
                <w:szCs w:val="20"/>
              </w:rPr>
              <w:t xml:space="preserve"> </w:t>
            </w:r>
          </w:p>
        </w:tc>
      </w:tr>
      <w:tr w:rsidR="00DA0E7A" w14:paraId="7BEDE6A0" w14:textId="77777777">
        <w:tc>
          <w:tcPr>
            <w:tcW w:w="9540" w:type="dxa"/>
            <w:gridSpan w:val="5"/>
            <w:tcBorders>
              <w:top w:val="single" w:sz="8" w:space="0" w:color="000000"/>
              <w:left w:val="nil"/>
              <w:bottom w:val="single" w:sz="8" w:space="0" w:color="000000"/>
              <w:right w:val="nil"/>
            </w:tcBorders>
            <w:shd w:val="clear" w:color="auto" w:fill="auto"/>
            <w:vAlign w:val="center"/>
          </w:tcPr>
          <w:p w14:paraId="1926AE00" w14:textId="77777777" w:rsidR="00DA0E7A" w:rsidRDefault="00995E69">
            <w:pPr>
              <w:spacing w:after="0" w:line="240" w:lineRule="auto"/>
              <w:jc w:val="both"/>
              <w:rPr>
                <w:i/>
                <w:sz w:val="20"/>
                <w:szCs w:val="20"/>
              </w:rPr>
            </w:pPr>
            <w:r>
              <w:rPr>
                <w:i/>
                <w:sz w:val="20"/>
                <w:szCs w:val="20"/>
              </w:rPr>
              <w:t>OUTSIDE CONSULTANT</w:t>
            </w:r>
          </w:p>
        </w:tc>
      </w:tr>
      <w:tr w:rsidR="00DA0E7A" w14:paraId="44A22962" w14:textId="77777777">
        <w:tc>
          <w:tcPr>
            <w:tcW w:w="2340" w:type="dxa"/>
            <w:tcBorders>
              <w:top w:val="single" w:sz="8" w:space="0" w:color="000000"/>
              <w:left w:val="nil"/>
              <w:bottom w:val="single" w:sz="8" w:space="0" w:color="000000"/>
              <w:right w:val="nil"/>
            </w:tcBorders>
            <w:shd w:val="clear" w:color="auto" w:fill="auto"/>
            <w:vAlign w:val="center"/>
          </w:tcPr>
          <w:p w14:paraId="70B583E7" w14:textId="77777777" w:rsidR="00DA0E7A" w:rsidRDefault="00995E69">
            <w:pPr>
              <w:spacing w:after="0" w:line="240" w:lineRule="auto"/>
              <w:jc w:val="both"/>
              <w:rPr>
                <w:sz w:val="20"/>
                <w:szCs w:val="20"/>
              </w:rPr>
            </w:pPr>
            <w:r>
              <w:rPr>
                <w:sz w:val="20"/>
                <w:szCs w:val="20"/>
              </w:rPr>
              <w:t>Sarah P. Schac</w:t>
            </w:r>
            <w:r w:rsidRPr="002C1640">
              <w:rPr>
                <w:sz w:val="20"/>
                <w:szCs w:val="20"/>
              </w:rPr>
              <w:t>h</w:t>
            </w:r>
            <w:r>
              <w:rPr>
                <w:sz w:val="20"/>
                <w:szCs w:val="20"/>
              </w:rPr>
              <w:t>t</w:t>
            </w:r>
          </w:p>
        </w:tc>
        <w:tc>
          <w:tcPr>
            <w:tcW w:w="1170" w:type="dxa"/>
            <w:tcBorders>
              <w:top w:val="single" w:sz="8" w:space="0" w:color="000000"/>
              <w:left w:val="nil"/>
              <w:bottom w:val="single" w:sz="8" w:space="0" w:color="000000"/>
              <w:right w:val="nil"/>
            </w:tcBorders>
            <w:shd w:val="clear" w:color="auto" w:fill="auto"/>
            <w:vAlign w:val="center"/>
          </w:tcPr>
          <w:p w14:paraId="7E9237D0" w14:textId="77777777" w:rsidR="00DA0E7A" w:rsidRDefault="00995E69">
            <w:pPr>
              <w:spacing w:after="0" w:line="240" w:lineRule="auto"/>
              <w:jc w:val="both"/>
              <w:rPr>
                <w:sz w:val="20"/>
                <w:szCs w:val="20"/>
              </w:rPr>
            </w:pPr>
            <w:r>
              <w:rPr>
                <w:sz w:val="20"/>
                <w:szCs w:val="20"/>
              </w:rPr>
              <w:t>Principal Consultant</w:t>
            </w:r>
          </w:p>
        </w:tc>
        <w:tc>
          <w:tcPr>
            <w:tcW w:w="2070" w:type="dxa"/>
            <w:tcBorders>
              <w:top w:val="single" w:sz="8" w:space="0" w:color="000000"/>
              <w:left w:val="nil"/>
              <w:bottom w:val="single" w:sz="8" w:space="0" w:color="000000"/>
              <w:right w:val="nil"/>
            </w:tcBorders>
            <w:shd w:val="clear" w:color="auto" w:fill="auto"/>
            <w:vAlign w:val="center"/>
          </w:tcPr>
          <w:p w14:paraId="4A74335A" w14:textId="77777777" w:rsidR="00DA0E7A" w:rsidRDefault="00995E69">
            <w:pPr>
              <w:spacing w:after="0" w:line="240" w:lineRule="auto"/>
              <w:jc w:val="both"/>
              <w:rPr>
                <w:sz w:val="20"/>
                <w:szCs w:val="20"/>
              </w:rPr>
            </w:pPr>
            <w:r>
              <w:rPr>
                <w:sz w:val="20"/>
                <w:szCs w:val="20"/>
              </w:rPr>
              <w:t>Smarter Civic</w:t>
            </w:r>
          </w:p>
        </w:tc>
        <w:tc>
          <w:tcPr>
            <w:tcW w:w="1530" w:type="dxa"/>
            <w:tcBorders>
              <w:top w:val="single" w:sz="8" w:space="0" w:color="000000"/>
              <w:left w:val="nil"/>
              <w:bottom w:val="single" w:sz="8" w:space="0" w:color="000000"/>
              <w:right w:val="nil"/>
            </w:tcBorders>
            <w:shd w:val="clear" w:color="auto" w:fill="auto"/>
            <w:vAlign w:val="center"/>
          </w:tcPr>
          <w:p w14:paraId="66E2E939" w14:textId="77777777" w:rsidR="00DA0E7A" w:rsidRDefault="00995E69">
            <w:pPr>
              <w:spacing w:after="0" w:line="240" w:lineRule="auto"/>
              <w:jc w:val="both"/>
              <w:rPr>
                <w:i/>
                <w:sz w:val="20"/>
                <w:szCs w:val="20"/>
              </w:rPr>
            </w:pPr>
            <w:r>
              <w:rPr>
                <w:i/>
                <w:sz w:val="20"/>
                <w:szCs w:val="20"/>
              </w:rPr>
              <w:t>(206) 909-2684</w:t>
            </w:r>
          </w:p>
        </w:tc>
        <w:tc>
          <w:tcPr>
            <w:tcW w:w="2430" w:type="dxa"/>
            <w:tcBorders>
              <w:top w:val="single" w:sz="8" w:space="0" w:color="000000"/>
              <w:left w:val="nil"/>
              <w:bottom w:val="single" w:sz="8" w:space="0" w:color="000000"/>
              <w:right w:val="nil"/>
            </w:tcBorders>
            <w:shd w:val="clear" w:color="auto" w:fill="auto"/>
            <w:vAlign w:val="center"/>
          </w:tcPr>
          <w:p w14:paraId="2A1A0E45" w14:textId="77777777" w:rsidR="00DA0E7A" w:rsidRDefault="00A67D8A">
            <w:pPr>
              <w:spacing w:after="0" w:line="240" w:lineRule="auto"/>
              <w:jc w:val="both"/>
              <w:rPr>
                <w:sz w:val="20"/>
                <w:szCs w:val="20"/>
              </w:rPr>
            </w:pPr>
            <w:hyperlink r:id="rId9">
              <w:r w:rsidR="00995E69">
                <w:rPr>
                  <w:color w:val="0563C1"/>
                  <w:sz w:val="20"/>
                  <w:szCs w:val="20"/>
                  <w:u w:val="single"/>
                </w:rPr>
                <w:t>sarahpschacht@gmail.com</w:t>
              </w:r>
            </w:hyperlink>
            <w:r w:rsidR="00995E69">
              <w:rPr>
                <w:sz w:val="20"/>
                <w:szCs w:val="20"/>
              </w:rPr>
              <w:t xml:space="preserve"> </w:t>
            </w:r>
          </w:p>
        </w:tc>
      </w:tr>
    </w:tbl>
    <w:p w14:paraId="1C1A76E9" w14:textId="77777777" w:rsidR="00DA0E7A" w:rsidRDefault="00DA0E7A">
      <w:pPr>
        <w:spacing w:line="240" w:lineRule="auto"/>
        <w:rPr>
          <w:sz w:val="24"/>
          <w:szCs w:val="24"/>
        </w:rPr>
      </w:pPr>
    </w:p>
    <w:p w14:paraId="2CAC13DF" w14:textId="77777777" w:rsidR="00DA0E7A" w:rsidRDefault="00995E69">
      <w:pPr>
        <w:pStyle w:val="Heading1"/>
        <w:pBdr>
          <w:bottom w:val="none" w:sz="0" w:space="0" w:color="000000"/>
        </w:pBdr>
        <w:rPr>
          <w:rFonts w:ascii="Cambria" w:eastAsia="Cambria" w:hAnsi="Cambria" w:cs="Cambria"/>
          <w:color w:val="000000"/>
        </w:rPr>
      </w:pPr>
      <w:bookmarkStart w:id="8" w:name="_1t3h5sf" w:colFirst="0" w:colLast="0"/>
      <w:bookmarkStart w:id="9" w:name="_4d34og8" w:colFirst="0" w:colLast="0"/>
      <w:bookmarkStart w:id="10" w:name="_Toc8910032"/>
      <w:bookmarkEnd w:id="8"/>
      <w:bookmarkEnd w:id="9"/>
      <w:r>
        <w:rPr>
          <w:rFonts w:ascii="Cambria" w:eastAsia="Cambria" w:hAnsi="Cambria" w:cs="Cambria"/>
          <w:color w:val="000000"/>
        </w:rPr>
        <w:t>List of Attachments</w:t>
      </w:r>
      <w:bookmarkEnd w:id="10"/>
    </w:p>
    <w:p w14:paraId="6083204F" w14:textId="77777777" w:rsidR="00DA0E7A" w:rsidRDefault="00DA0E7A"/>
    <w:p w14:paraId="3E8A3D09" w14:textId="77777777" w:rsidR="008B485E" w:rsidRPr="00075F74" w:rsidRDefault="008B485E" w:rsidP="008B485E">
      <w:pPr>
        <w:rPr>
          <w:rFonts w:eastAsia="Cambria"/>
          <w:sz w:val="24"/>
          <w:szCs w:val="32"/>
        </w:rPr>
      </w:pPr>
      <w:r w:rsidRPr="00075F74">
        <w:rPr>
          <w:rFonts w:eastAsia="Cambria"/>
          <w:sz w:val="24"/>
          <w:szCs w:val="32"/>
        </w:rPr>
        <w:t>Attachment 1. Key Informant Interview Plan</w:t>
      </w:r>
    </w:p>
    <w:p w14:paraId="5854628D" w14:textId="77777777" w:rsidR="008B485E" w:rsidRPr="00075F74" w:rsidRDefault="008B485E" w:rsidP="008B485E">
      <w:pPr>
        <w:rPr>
          <w:rFonts w:eastAsia="Cambria"/>
          <w:sz w:val="24"/>
          <w:szCs w:val="32"/>
        </w:rPr>
      </w:pPr>
      <w:r w:rsidRPr="00075F74">
        <w:rPr>
          <w:rFonts w:eastAsia="Cambria"/>
          <w:sz w:val="24"/>
          <w:szCs w:val="32"/>
        </w:rPr>
        <w:t>Attachment 2. Key Informant Interview Request Letter</w:t>
      </w:r>
    </w:p>
    <w:p w14:paraId="3855A4B9" w14:textId="77777777" w:rsidR="008B485E" w:rsidRPr="00075F74" w:rsidRDefault="008B485E" w:rsidP="008B485E">
      <w:pPr>
        <w:rPr>
          <w:rFonts w:eastAsia="Cambria"/>
          <w:sz w:val="24"/>
          <w:szCs w:val="32"/>
        </w:rPr>
      </w:pPr>
      <w:r w:rsidRPr="00075F74">
        <w:rPr>
          <w:rFonts w:eastAsia="Cambria"/>
          <w:sz w:val="24"/>
          <w:szCs w:val="32"/>
        </w:rPr>
        <w:t>Attachment 3. Key Informant Interview Reminder Letter</w:t>
      </w:r>
    </w:p>
    <w:p w14:paraId="00FEAE2F" w14:textId="6C5B14CC" w:rsidR="00581FE7" w:rsidRDefault="008B485E">
      <w:pPr>
        <w:rPr>
          <w:rFonts w:eastAsia="Cambria"/>
          <w:sz w:val="24"/>
          <w:szCs w:val="32"/>
        </w:rPr>
      </w:pPr>
      <w:r w:rsidRPr="00075F74">
        <w:rPr>
          <w:rFonts w:eastAsia="Cambria"/>
          <w:sz w:val="24"/>
          <w:szCs w:val="32"/>
        </w:rPr>
        <w:t xml:space="preserve">Attachment 4. </w:t>
      </w:r>
      <w:r w:rsidR="00142D67">
        <w:rPr>
          <w:rFonts w:eastAsia="Cambria"/>
          <w:sz w:val="24"/>
          <w:szCs w:val="32"/>
        </w:rPr>
        <w:t>NCEH/ATSDR Research Determination Form</w:t>
      </w:r>
    </w:p>
    <w:p w14:paraId="3735F95F" w14:textId="77777777" w:rsidR="00DA0E7A" w:rsidRDefault="00DA0E7A">
      <w:pPr>
        <w:rPr>
          <w:rFonts w:ascii="Cambria" w:eastAsia="Cambria" w:hAnsi="Cambria" w:cs="Cambria"/>
          <w:sz w:val="36"/>
          <w:szCs w:val="36"/>
        </w:rPr>
      </w:pPr>
    </w:p>
    <w:p w14:paraId="2CAC959E" w14:textId="77777777" w:rsidR="00DA0E7A" w:rsidRDefault="00DA0E7A"/>
    <w:sectPr w:rsidR="00DA0E7A">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77B5A" w14:textId="77777777" w:rsidR="00FA5470" w:rsidRDefault="00FA5470">
      <w:pPr>
        <w:spacing w:after="0" w:line="240" w:lineRule="auto"/>
      </w:pPr>
      <w:r>
        <w:separator/>
      </w:r>
    </w:p>
  </w:endnote>
  <w:endnote w:type="continuationSeparator" w:id="0">
    <w:p w14:paraId="3C6A720E" w14:textId="77777777" w:rsidR="00FA5470" w:rsidRDefault="00FA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61FD" w14:textId="77777777" w:rsidR="00DA0E7A" w:rsidRDefault="00DA0E7A">
    <w:pPr>
      <w:pBdr>
        <w:top w:val="nil"/>
        <w:left w:val="nil"/>
        <w:bottom w:val="nil"/>
        <w:right w:val="nil"/>
        <w:between w:val="nil"/>
      </w:pBdr>
      <w:tabs>
        <w:tab w:val="center" w:pos="4680"/>
        <w:tab w:val="right" w:pos="9360"/>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BE8F2" w14:textId="77777777" w:rsidR="00FA5470" w:rsidRDefault="00FA5470">
      <w:pPr>
        <w:spacing w:after="0" w:line="240" w:lineRule="auto"/>
      </w:pPr>
      <w:r>
        <w:separator/>
      </w:r>
    </w:p>
  </w:footnote>
  <w:footnote w:type="continuationSeparator" w:id="0">
    <w:p w14:paraId="1E82C3A0" w14:textId="77777777" w:rsidR="00FA5470" w:rsidRDefault="00FA5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B4BF" w14:textId="77777777" w:rsidR="00DA0E7A" w:rsidRDefault="00DA0E7A">
    <w:pPr>
      <w:pBdr>
        <w:top w:val="nil"/>
        <w:left w:val="nil"/>
        <w:bottom w:val="nil"/>
        <w:right w:val="nil"/>
        <w:between w:val="nil"/>
      </w:pBdr>
      <w:tabs>
        <w:tab w:val="center" w:pos="4680"/>
        <w:tab w:val="right" w:pos="9360"/>
      </w:tabs>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296"/>
    <w:multiLevelType w:val="multilevel"/>
    <w:tmpl w:val="DB62E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CC50E8"/>
    <w:multiLevelType w:val="hybridMultilevel"/>
    <w:tmpl w:val="1AEC2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3B0150"/>
    <w:multiLevelType w:val="multilevel"/>
    <w:tmpl w:val="25F45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7A"/>
    <w:rsid w:val="00021C65"/>
    <w:rsid w:val="00075F74"/>
    <w:rsid w:val="000F0ED1"/>
    <w:rsid w:val="000F62FE"/>
    <w:rsid w:val="00142D67"/>
    <w:rsid w:val="002038B7"/>
    <w:rsid w:val="002C1640"/>
    <w:rsid w:val="003F7FFA"/>
    <w:rsid w:val="00581FE7"/>
    <w:rsid w:val="006527C6"/>
    <w:rsid w:val="006C4C7C"/>
    <w:rsid w:val="008B485E"/>
    <w:rsid w:val="008F5944"/>
    <w:rsid w:val="009237FA"/>
    <w:rsid w:val="00995E69"/>
    <w:rsid w:val="00A67D8A"/>
    <w:rsid w:val="00A90AF7"/>
    <w:rsid w:val="00C60F36"/>
    <w:rsid w:val="00D11E9F"/>
    <w:rsid w:val="00D9637C"/>
    <w:rsid w:val="00D96776"/>
    <w:rsid w:val="00DA0E7A"/>
    <w:rsid w:val="00E10EB7"/>
    <w:rsid w:val="00E236FB"/>
    <w:rsid w:val="00E4410B"/>
    <w:rsid w:val="00E6469D"/>
    <w:rsid w:val="00EF3721"/>
    <w:rsid w:val="00F6721A"/>
    <w:rsid w:val="00FA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bottom w:val="single" w:sz="4" w:space="1" w:color="5B9BD5"/>
      </w:pBdr>
      <w:spacing w:before="400" w:after="40" w:line="240" w:lineRule="auto"/>
      <w:outlineLvl w:val="0"/>
    </w:pPr>
    <w:rPr>
      <w:color w:val="2E75B5"/>
      <w:sz w:val="36"/>
      <w:szCs w:val="36"/>
    </w:rPr>
  </w:style>
  <w:style w:type="paragraph" w:styleId="Heading2">
    <w:name w:val="heading 2"/>
    <w:basedOn w:val="Normal"/>
    <w:next w:val="Normal"/>
    <w:pPr>
      <w:keepNext/>
      <w:keepLines/>
      <w:spacing w:before="160" w:after="0" w:line="240" w:lineRule="auto"/>
      <w:outlineLvl w:val="1"/>
    </w:pPr>
    <w:rPr>
      <w:color w:val="2E75B5"/>
      <w:sz w:val="28"/>
      <w:szCs w:val="28"/>
    </w:rPr>
  </w:style>
  <w:style w:type="paragraph" w:styleId="Heading3">
    <w:name w:val="heading 3"/>
    <w:basedOn w:val="Normal"/>
    <w:next w:val="Normal"/>
    <w:pPr>
      <w:keepNext/>
      <w:keepLines/>
      <w:spacing w:before="80" w:after="0" w:line="240" w:lineRule="auto"/>
      <w:outlineLvl w:val="2"/>
    </w:pPr>
    <w:rPr>
      <w:color w:val="404040"/>
      <w:sz w:val="26"/>
      <w:szCs w:val="26"/>
    </w:rPr>
  </w:style>
  <w:style w:type="paragraph" w:styleId="Heading4">
    <w:name w:val="heading 4"/>
    <w:basedOn w:val="Normal"/>
    <w:next w:val="Normal"/>
    <w:pPr>
      <w:keepNext/>
      <w:keepLines/>
      <w:spacing w:before="80" w:after="0"/>
      <w:outlineLvl w:val="3"/>
    </w:pPr>
    <w:rPr>
      <w:sz w:val="24"/>
      <w:szCs w:val="24"/>
    </w:rPr>
  </w:style>
  <w:style w:type="paragraph" w:styleId="Heading5">
    <w:name w:val="heading 5"/>
    <w:basedOn w:val="Normal"/>
    <w:next w:val="Normal"/>
    <w:pPr>
      <w:keepNext/>
      <w:keepLines/>
      <w:spacing w:before="80" w:after="0"/>
      <w:outlineLvl w:val="4"/>
    </w:pPr>
    <w:rPr>
      <w:i/>
      <w:sz w:val="22"/>
      <w:szCs w:val="22"/>
    </w:rPr>
  </w:style>
  <w:style w:type="paragraph" w:styleId="Heading6">
    <w:name w:val="heading 6"/>
    <w:basedOn w:val="Normal"/>
    <w:next w:val="Normal"/>
    <w:pPr>
      <w:keepNext/>
      <w:keepLines/>
      <w:spacing w:before="80" w:after="0"/>
      <w:outlineLvl w:val="5"/>
    </w:pPr>
    <w:rPr>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color w:val="2E75B5"/>
      <w:sz w:val="80"/>
      <w:szCs w:val="80"/>
    </w:rPr>
  </w:style>
  <w:style w:type="paragraph" w:styleId="Subtitle">
    <w:name w:val="Subtitle"/>
    <w:basedOn w:val="Normal"/>
    <w:next w:val="Normal"/>
    <w:pPr>
      <w:spacing w:after="240" w:line="240" w:lineRule="auto"/>
    </w:pPr>
    <w:rPr>
      <w:color w:val="404040"/>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3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721"/>
    <w:rPr>
      <w:rFonts w:ascii="Segoe UI" w:hAnsi="Segoe UI" w:cs="Segoe UI"/>
      <w:sz w:val="18"/>
      <w:szCs w:val="18"/>
    </w:rPr>
  </w:style>
  <w:style w:type="paragraph" w:styleId="ListParagraph">
    <w:name w:val="List Paragraph"/>
    <w:basedOn w:val="Normal"/>
    <w:uiPriority w:val="34"/>
    <w:qFormat/>
    <w:rsid w:val="00EF3721"/>
    <w:pPr>
      <w:ind w:left="720"/>
      <w:contextualSpacing/>
    </w:pPr>
  </w:style>
  <w:style w:type="paragraph" w:styleId="CommentSubject">
    <w:name w:val="annotation subject"/>
    <w:basedOn w:val="CommentText"/>
    <w:next w:val="CommentText"/>
    <w:link w:val="CommentSubjectChar"/>
    <w:uiPriority w:val="99"/>
    <w:semiHidden/>
    <w:unhideWhenUsed/>
    <w:rsid w:val="00D9637C"/>
    <w:rPr>
      <w:b/>
      <w:bCs/>
    </w:rPr>
  </w:style>
  <w:style w:type="character" w:customStyle="1" w:styleId="CommentSubjectChar">
    <w:name w:val="Comment Subject Char"/>
    <w:basedOn w:val="CommentTextChar"/>
    <w:link w:val="CommentSubject"/>
    <w:uiPriority w:val="99"/>
    <w:semiHidden/>
    <w:rsid w:val="00D9637C"/>
    <w:rPr>
      <w:b/>
      <w:bCs/>
      <w:sz w:val="20"/>
      <w:szCs w:val="20"/>
    </w:rPr>
  </w:style>
  <w:style w:type="paragraph" w:styleId="TOC1">
    <w:name w:val="toc 1"/>
    <w:basedOn w:val="Normal"/>
    <w:next w:val="Normal"/>
    <w:autoRedefine/>
    <w:uiPriority w:val="39"/>
    <w:unhideWhenUsed/>
    <w:rsid w:val="00075F74"/>
    <w:pPr>
      <w:spacing w:after="100"/>
    </w:pPr>
  </w:style>
  <w:style w:type="character" w:styleId="Hyperlink">
    <w:name w:val="Hyperlink"/>
    <w:basedOn w:val="DefaultParagraphFont"/>
    <w:uiPriority w:val="99"/>
    <w:unhideWhenUsed/>
    <w:rsid w:val="00075F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bottom w:val="single" w:sz="4" w:space="1" w:color="5B9BD5"/>
      </w:pBdr>
      <w:spacing w:before="400" w:after="40" w:line="240" w:lineRule="auto"/>
      <w:outlineLvl w:val="0"/>
    </w:pPr>
    <w:rPr>
      <w:color w:val="2E75B5"/>
      <w:sz w:val="36"/>
      <w:szCs w:val="36"/>
    </w:rPr>
  </w:style>
  <w:style w:type="paragraph" w:styleId="Heading2">
    <w:name w:val="heading 2"/>
    <w:basedOn w:val="Normal"/>
    <w:next w:val="Normal"/>
    <w:pPr>
      <w:keepNext/>
      <w:keepLines/>
      <w:spacing w:before="160" w:after="0" w:line="240" w:lineRule="auto"/>
      <w:outlineLvl w:val="1"/>
    </w:pPr>
    <w:rPr>
      <w:color w:val="2E75B5"/>
      <w:sz w:val="28"/>
      <w:szCs w:val="28"/>
    </w:rPr>
  </w:style>
  <w:style w:type="paragraph" w:styleId="Heading3">
    <w:name w:val="heading 3"/>
    <w:basedOn w:val="Normal"/>
    <w:next w:val="Normal"/>
    <w:pPr>
      <w:keepNext/>
      <w:keepLines/>
      <w:spacing w:before="80" w:after="0" w:line="240" w:lineRule="auto"/>
      <w:outlineLvl w:val="2"/>
    </w:pPr>
    <w:rPr>
      <w:color w:val="404040"/>
      <w:sz w:val="26"/>
      <w:szCs w:val="26"/>
    </w:rPr>
  </w:style>
  <w:style w:type="paragraph" w:styleId="Heading4">
    <w:name w:val="heading 4"/>
    <w:basedOn w:val="Normal"/>
    <w:next w:val="Normal"/>
    <w:pPr>
      <w:keepNext/>
      <w:keepLines/>
      <w:spacing w:before="80" w:after="0"/>
      <w:outlineLvl w:val="3"/>
    </w:pPr>
    <w:rPr>
      <w:sz w:val="24"/>
      <w:szCs w:val="24"/>
    </w:rPr>
  </w:style>
  <w:style w:type="paragraph" w:styleId="Heading5">
    <w:name w:val="heading 5"/>
    <w:basedOn w:val="Normal"/>
    <w:next w:val="Normal"/>
    <w:pPr>
      <w:keepNext/>
      <w:keepLines/>
      <w:spacing w:before="80" w:after="0"/>
      <w:outlineLvl w:val="4"/>
    </w:pPr>
    <w:rPr>
      <w:i/>
      <w:sz w:val="22"/>
      <w:szCs w:val="22"/>
    </w:rPr>
  </w:style>
  <w:style w:type="paragraph" w:styleId="Heading6">
    <w:name w:val="heading 6"/>
    <w:basedOn w:val="Normal"/>
    <w:next w:val="Normal"/>
    <w:pPr>
      <w:keepNext/>
      <w:keepLines/>
      <w:spacing w:before="80" w:after="0"/>
      <w:outlineLvl w:val="5"/>
    </w:pPr>
    <w:rPr>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color w:val="2E75B5"/>
      <w:sz w:val="80"/>
      <w:szCs w:val="80"/>
    </w:rPr>
  </w:style>
  <w:style w:type="paragraph" w:styleId="Subtitle">
    <w:name w:val="Subtitle"/>
    <w:basedOn w:val="Normal"/>
    <w:next w:val="Normal"/>
    <w:pPr>
      <w:spacing w:after="240" w:line="240" w:lineRule="auto"/>
    </w:pPr>
    <w:rPr>
      <w:color w:val="404040"/>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3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721"/>
    <w:rPr>
      <w:rFonts w:ascii="Segoe UI" w:hAnsi="Segoe UI" w:cs="Segoe UI"/>
      <w:sz w:val="18"/>
      <w:szCs w:val="18"/>
    </w:rPr>
  </w:style>
  <w:style w:type="paragraph" w:styleId="ListParagraph">
    <w:name w:val="List Paragraph"/>
    <w:basedOn w:val="Normal"/>
    <w:uiPriority w:val="34"/>
    <w:qFormat/>
    <w:rsid w:val="00EF3721"/>
    <w:pPr>
      <w:ind w:left="720"/>
      <w:contextualSpacing/>
    </w:pPr>
  </w:style>
  <w:style w:type="paragraph" w:styleId="CommentSubject">
    <w:name w:val="annotation subject"/>
    <w:basedOn w:val="CommentText"/>
    <w:next w:val="CommentText"/>
    <w:link w:val="CommentSubjectChar"/>
    <w:uiPriority w:val="99"/>
    <w:semiHidden/>
    <w:unhideWhenUsed/>
    <w:rsid w:val="00D9637C"/>
    <w:rPr>
      <w:b/>
      <w:bCs/>
    </w:rPr>
  </w:style>
  <w:style w:type="character" w:customStyle="1" w:styleId="CommentSubjectChar">
    <w:name w:val="Comment Subject Char"/>
    <w:basedOn w:val="CommentTextChar"/>
    <w:link w:val="CommentSubject"/>
    <w:uiPriority w:val="99"/>
    <w:semiHidden/>
    <w:rsid w:val="00D9637C"/>
    <w:rPr>
      <w:b/>
      <w:bCs/>
      <w:sz w:val="20"/>
      <w:szCs w:val="20"/>
    </w:rPr>
  </w:style>
  <w:style w:type="paragraph" w:styleId="TOC1">
    <w:name w:val="toc 1"/>
    <w:basedOn w:val="Normal"/>
    <w:next w:val="Normal"/>
    <w:autoRedefine/>
    <w:uiPriority w:val="39"/>
    <w:unhideWhenUsed/>
    <w:rsid w:val="00075F74"/>
    <w:pPr>
      <w:spacing w:after="100"/>
    </w:pPr>
  </w:style>
  <w:style w:type="character" w:styleId="Hyperlink">
    <w:name w:val="Hyperlink"/>
    <w:basedOn w:val="DefaultParagraphFont"/>
    <w:uiPriority w:val="99"/>
    <w:unhideWhenUsed/>
    <w:rsid w:val="00075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whitehead@neha.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pschac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Clopper, Benjamin (CDC/DDNID/NCEH/DEHSP)</dc:creator>
  <cp:lastModifiedBy>SYSTEM</cp:lastModifiedBy>
  <cp:revision>2</cp:revision>
  <dcterms:created xsi:type="dcterms:W3CDTF">2019-05-30T12:36:00Z</dcterms:created>
  <dcterms:modified xsi:type="dcterms:W3CDTF">2019-05-30T12:36:00Z</dcterms:modified>
</cp:coreProperties>
</file>