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E9CD1" w14:textId="77777777" w:rsidR="00B46F2C" w:rsidRPr="00B372FB" w:rsidRDefault="00B46F2C" w:rsidP="00F06866">
      <w:pPr>
        <w:pStyle w:val="Heading2"/>
        <w:tabs>
          <w:tab w:val="left" w:pos="900"/>
        </w:tabs>
        <w:ind w:right="-180"/>
        <w:rPr>
          <w:rFonts w:ascii="Arial" w:hAnsi="Arial" w:cs="Arial"/>
          <w:b/>
          <w:sz w:val="24"/>
          <w:szCs w:val="24"/>
        </w:rPr>
      </w:pPr>
      <w:bookmarkStart w:id="0" w:name="_GoBack"/>
      <w:bookmarkEnd w:id="0"/>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14:paraId="2242A604" w14:textId="77777777"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14:paraId="71E7A1BF" w14:textId="68D1A639" w:rsidR="00EA2C4C" w:rsidRPr="00B372FB" w:rsidRDefault="0E824157" w:rsidP="0E824157">
      <w:pPr>
        <w:jc w:val="center"/>
        <w:rPr>
          <w:rFonts w:ascii="Arial" w:hAnsi="Arial" w:cs="Arial"/>
          <w:b/>
          <w:bCs/>
          <w:sz w:val="24"/>
          <w:szCs w:val="24"/>
          <w:highlight w:val="yellow"/>
        </w:rPr>
      </w:pPr>
      <w:r w:rsidRPr="0E824157">
        <w:rPr>
          <w:rFonts w:ascii="Arial" w:hAnsi="Arial" w:cs="Arial"/>
          <w:b/>
          <w:bCs/>
          <w:sz w:val="24"/>
          <w:szCs w:val="24"/>
        </w:rPr>
        <w:t>0920-1154</w:t>
      </w:r>
    </w:p>
    <w:p w14:paraId="5E35025D" w14:textId="1A6CF385" w:rsidR="00B372FB" w:rsidRPr="001406B5" w:rsidRDefault="00E2594A" w:rsidP="00434E33">
      <w:pPr>
        <w:rPr>
          <w:rFonts w:ascii="Arial" w:hAnsi="Arial"/>
        </w:rPr>
      </w:pPr>
      <w:r w:rsidRPr="00867D7A">
        <w:rPr>
          <w:rFonts w:ascii="Arial" w:hAnsi="Arial"/>
          <w:noProof/>
          <w:highlight w:val="yellow"/>
        </w:rPr>
        <mc:AlternateContent>
          <mc:Choice Requires="wps">
            <w:drawing>
              <wp:anchor distT="0" distB="0" distL="114300" distR="114300" simplePos="0" relativeHeight="251658240" behindDoc="0" locked="0" layoutInCell="0" allowOverlap="1" wp14:anchorId="4793D1A3" wp14:editId="0CDE27B2">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603D0DED">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18F61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r w:rsidR="00B372FB" w:rsidRPr="00356084">
        <w:rPr>
          <w:rFonts w:ascii="Arial" w:hAnsi="Arial"/>
          <w:b/>
          <w:bCs/>
        </w:rPr>
        <w:t>CIO:</w:t>
      </w:r>
      <w:r w:rsidR="001406B5" w:rsidRPr="00356084">
        <w:rPr>
          <w:rFonts w:ascii="Arial" w:hAnsi="Arial"/>
          <w:b/>
          <w:bCs/>
        </w:rPr>
        <w:t xml:space="preserve"> </w:t>
      </w:r>
      <w:r w:rsidR="001406B5">
        <w:rPr>
          <w:rFonts w:ascii="Arial" w:hAnsi="Arial"/>
        </w:rPr>
        <w:t>National Center for Emerging and Zoonotic Infectious Diseases, Division of Foodborne, Waterborne and Environmental Diseases</w:t>
      </w:r>
    </w:p>
    <w:p w14:paraId="32A88BDE" w14:textId="77777777" w:rsidR="00B46F2C" w:rsidRPr="000B7126" w:rsidRDefault="00B372FB" w:rsidP="00434E33">
      <w:pPr>
        <w:rPr>
          <w:rFonts w:ascii="Arial" w:hAnsi="Arial"/>
        </w:rPr>
      </w:pPr>
      <w:r>
        <w:rPr>
          <w:rFonts w:ascii="Arial" w:hAnsi="Arial"/>
          <w:b/>
        </w:rPr>
        <w:t>PROJECT TITLE:</w:t>
      </w:r>
      <w:r w:rsidR="00B46F2C" w:rsidRPr="00B372FB">
        <w:rPr>
          <w:rFonts w:ascii="Arial" w:hAnsi="Arial"/>
        </w:rPr>
        <w:t xml:space="preserve"> </w:t>
      </w:r>
      <w:r w:rsidR="00867D7A" w:rsidRPr="000B7126">
        <w:rPr>
          <w:rFonts w:ascii="Arial" w:hAnsi="Arial"/>
        </w:rPr>
        <w:t>Focus Group Study of U.S. Adults’ Knowledge, Attitudes, and Practices of Foodborne Disease Outbreaks and Illness Prevention</w:t>
      </w:r>
    </w:p>
    <w:p w14:paraId="070A9493" w14:textId="77777777" w:rsidR="00B46F2C" w:rsidRPr="00867D7A" w:rsidRDefault="00B46F2C" w:rsidP="00840FCA">
      <w:pPr>
        <w:rPr>
          <w:rFonts w:ascii="Arial" w:hAnsi="Arial"/>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867D7A" w:rsidRPr="00867D7A">
        <w:t xml:space="preserve"> </w:t>
      </w:r>
    </w:p>
    <w:p w14:paraId="3BF28579" w14:textId="77777777" w:rsidR="00867D7A" w:rsidRPr="00867D7A" w:rsidRDefault="00867D7A" w:rsidP="00867D7A">
      <w:pPr>
        <w:pStyle w:val="Header"/>
        <w:rPr>
          <w:rFonts w:ascii="Arial" w:hAnsi="Arial"/>
        </w:rPr>
      </w:pPr>
      <w:r w:rsidRPr="00867D7A">
        <w:rPr>
          <w:rFonts w:ascii="Arial" w:hAnsi="Arial"/>
        </w:rPr>
        <w:t>Each year, fourteen foodborne pathogens cost the American public 61,000 quality-adjusted life years and $14 billion dollars in economic loss (Hoffmann, Batz, and Morris, 2012). Once a foodborne outbreak of enteric bacteria has occurred, consumers need the ability to find and understand reliable information to avoid joining one of the 48 million Americans that become sick from a foodborne illness each year (CDC, 2018).</w:t>
      </w:r>
    </w:p>
    <w:p w14:paraId="61F74407" w14:textId="77777777" w:rsidR="00867D7A" w:rsidRPr="00867D7A" w:rsidRDefault="00867D7A" w:rsidP="00867D7A">
      <w:pPr>
        <w:pStyle w:val="Header"/>
        <w:rPr>
          <w:rFonts w:ascii="Arial" w:hAnsi="Arial"/>
        </w:rPr>
      </w:pPr>
      <w:r w:rsidRPr="00867D7A">
        <w:rPr>
          <w:rFonts w:ascii="Arial" w:hAnsi="Arial"/>
        </w:rPr>
        <w:t>The Outbreak Response and Prevention Branch (ORPB) reduces additional incidences of foodborne illnesses by educating the public via web announcements with current and accurate information on the outbreak so that consumers, retailers, media, and medical professionals can act accordingly. Though the webpage metrics indicate high viewership of these messages since their inception in 2006, the format and content of these webpages has not undergone rigorous message testing to determine the level of understanding and behavioral responses from the general public.</w:t>
      </w:r>
    </w:p>
    <w:p w14:paraId="65F9AEE9" w14:textId="02D616F3" w:rsidR="00B46F2C" w:rsidRDefault="001406B5" w:rsidP="00867D7A">
      <w:pPr>
        <w:pStyle w:val="Header"/>
        <w:tabs>
          <w:tab w:val="clear" w:pos="4320"/>
          <w:tab w:val="clear" w:pos="8640"/>
        </w:tabs>
        <w:rPr>
          <w:rFonts w:ascii="Arial" w:hAnsi="Arial"/>
        </w:rPr>
      </w:pPr>
      <w:r>
        <w:rPr>
          <w:rFonts w:ascii="Arial" w:hAnsi="Arial"/>
        </w:rPr>
        <w:t xml:space="preserve">A contracting company, </w:t>
      </w:r>
      <w:r w:rsidR="00867D7A" w:rsidRPr="00867D7A">
        <w:rPr>
          <w:rFonts w:ascii="Arial" w:hAnsi="Arial"/>
        </w:rPr>
        <w:t>EurekaFacts</w:t>
      </w:r>
      <w:r>
        <w:rPr>
          <w:rFonts w:ascii="Arial" w:hAnsi="Arial"/>
        </w:rPr>
        <w:t>,</w:t>
      </w:r>
      <w:r w:rsidR="00867D7A" w:rsidRPr="00867D7A">
        <w:rPr>
          <w:rFonts w:ascii="Arial" w:hAnsi="Arial"/>
        </w:rPr>
        <w:t xml:space="preserve"> will employ a mixed-mode approach that combines one-on-one cognitive interviewing with focus groups to derive qualitative data at the individual and group level that will help direct ORPB’s communication efforts.</w:t>
      </w:r>
    </w:p>
    <w:p w14:paraId="727D3436" w14:textId="142397B1" w:rsidR="00A4273F" w:rsidRPr="00867D7A" w:rsidRDefault="00A4273F" w:rsidP="00867D7A">
      <w:pPr>
        <w:pStyle w:val="Header"/>
        <w:tabs>
          <w:tab w:val="clear" w:pos="4320"/>
          <w:tab w:val="clear" w:pos="8640"/>
        </w:tabs>
        <w:rPr>
          <w:rFonts w:ascii="Arial" w:hAnsi="Arial"/>
        </w:rPr>
      </w:pPr>
      <w:r w:rsidRPr="00A4273F">
        <w:rPr>
          <w:rFonts w:ascii="Arial" w:hAnsi="Arial"/>
        </w:rPr>
        <w:t xml:space="preserve">Information collection activities are limited to formative work that will result in the development of improved communication materials and efforts to inform the public about emerging foodborne illness outbreaks and recalls.  </w:t>
      </w:r>
    </w:p>
    <w:p w14:paraId="4E4473DC" w14:textId="77777777" w:rsidR="00840FCA" w:rsidRPr="00B372FB" w:rsidRDefault="00B46F2C"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14:paraId="19E0E277" w14:textId="0572C11B" w:rsidR="000B7126" w:rsidRDefault="000B7126" w:rsidP="008101A5">
      <w:pPr>
        <w:rPr>
          <w:rFonts w:ascii="Arial" w:hAnsi="Arial"/>
        </w:rPr>
      </w:pPr>
      <w:r>
        <w:rPr>
          <w:rFonts w:ascii="Arial" w:hAnsi="Arial"/>
        </w:rPr>
        <w:t xml:space="preserve">General </w:t>
      </w:r>
      <w:r w:rsidR="001406B5">
        <w:rPr>
          <w:rFonts w:ascii="Arial" w:hAnsi="Arial"/>
        </w:rPr>
        <w:t xml:space="preserve">U.S. </w:t>
      </w:r>
      <w:r>
        <w:rPr>
          <w:rFonts w:ascii="Arial" w:hAnsi="Arial"/>
        </w:rPr>
        <w:t>adult population reflecting a mix of age, race, ethnicity, gender, and other demographics</w:t>
      </w:r>
      <w:r w:rsidR="00BF5370">
        <w:rPr>
          <w:rFonts w:ascii="Arial" w:hAnsi="Arial"/>
        </w:rPr>
        <w:t xml:space="preserve">. </w:t>
      </w:r>
    </w:p>
    <w:p w14:paraId="5B4CD12C" w14:textId="2C336EB6"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14:paraId="2D015F59" w14:textId="77777777" w:rsidR="00B46F2C" w:rsidRPr="00B372FB" w:rsidRDefault="00B46F2C" w:rsidP="008101A5">
      <w:pPr>
        <w:rPr>
          <w:rFonts w:ascii="Arial" w:hAnsi="Arial"/>
        </w:rPr>
      </w:pPr>
      <w:r w:rsidRPr="00B372FB">
        <w:rPr>
          <w:rFonts w:ascii="Arial" w:hAnsi="Arial"/>
        </w:rPr>
        <w:t xml:space="preserve">I certify the following to be true: </w:t>
      </w:r>
    </w:p>
    <w:p w14:paraId="28B3B56C"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14:paraId="1143ACC8" w14:textId="77777777"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14:paraId="6C481F23" w14:textId="77777777" w:rsidR="00B46F2C" w:rsidRPr="00846B36" w:rsidRDefault="00B46F2C" w:rsidP="00631AC4">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14:paraId="25DF818B"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14:paraId="0A7986D8" w14:textId="77777777" w:rsidR="00B46F2C" w:rsidRPr="00460DA6" w:rsidRDefault="00B372FB" w:rsidP="008101A5">
      <w:pPr>
        <w:pStyle w:val="ListParagraph"/>
        <w:numPr>
          <w:ilvl w:val="0"/>
          <w:numId w:val="14"/>
        </w:numPr>
        <w:rPr>
          <w:rFonts w:ascii="Arial" w:hAnsi="Arial"/>
        </w:rPr>
      </w:pPr>
      <w:r>
        <w:rPr>
          <w:rFonts w:ascii="Arial" w:hAnsi="Arial"/>
        </w:rPr>
        <w:t xml:space="preserve">The study is not intended to produce results </w:t>
      </w:r>
      <w:r w:rsidRPr="00460DA6">
        <w:rPr>
          <w:rFonts w:ascii="Arial" w:hAnsi="Arial"/>
        </w:rPr>
        <w:t xml:space="preserve">that can be generalized beyond </w:t>
      </w:r>
      <w:r w:rsidR="002F2EF9" w:rsidRPr="00460DA6">
        <w:rPr>
          <w:rFonts w:ascii="Arial" w:hAnsi="Arial"/>
        </w:rPr>
        <w:t xml:space="preserve">its </w:t>
      </w:r>
      <w:r w:rsidRPr="00460DA6">
        <w:rPr>
          <w:rFonts w:ascii="Arial" w:hAnsi="Arial"/>
        </w:rPr>
        <w:t>scope</w:t>
      </w:r>
      <w:r w:rsidR="002F2EF9" w:rsidRPr="00460DA6">
        <w:rPr>
          <w:rFonts w:ascii="Arial" w:hAnsi="Arial"/>
        </w:rPr>
        <w:t>.</w:t>
      </w:r>
    </w:p>
    <w:p w14:paraId="7336BBAC" w14:textId="405F0453" w:rsidR="00B46F2C" w:rsidRPr="00460DA6" w:rsidRDefault="00B46F2C" w:rsidP="009C13B9">
      <w:pPr>
        <w:rPr>
          <w:rFonts w:ascii="Arial" w:hAnsi="Arial"/>
        </w:rPr>
      </w:pPr>
      <w:r w:rsidRPr="00460DA6">
        <w:rPr>
          <w:rFonts w:ascii="Arial" w:hAnsi="Arial"/>
        </w:rPr>
        <w:lastRenderedPageBreak/>
        <w:t>Name:</w:t>
      </w:r>
      <w:r w:rsidR="00B32078" w:rsidRPr="00460DA6">
        <w:rPr>
          <w:rFonts w:ascii="Arial" w:hAnsi="Arial"/>
        </w:rPr>
        <w:t xml:space="preserve"> </w:t>
      </w:r>
      <w:r w:rsidRPr="00356084">
        <w:rPr>
          <w:rFonts w:ascii="Arial" w:hAnsi="Arial"/>
        </w:rPr>
        <w:t>_</w:t>
      </w:r>
      <w:r w:rsidR="00460DA6" w:rsidRPr="00356084">
        <w:rPr>
          <w:rFonts w:ascii="Arial" w:hAnsi="Arial"/>
        </w:rPr>
        <w:t>Michael Jhung</w:t>
      </w:r>
      <w:r w:rsidRPr="00356084">
        <w:rPr>
          <w:rFonts w:ascii="Arial" w:hAnsi="Arial"/>
        </w:rPr>
        <w:t>_______________________________________________</w:t>
      </w:r>
    </w:p>
    <w:p w14:paraId="15CA9FF6" w14:textId="77777777" w:rsidR="00B46F2C" w:rsidRPr="00B372FB" w:rsidRDefault="00B46F2C" w:rsidP="009C13B9">
      <w:pPr>
        <w:rPr>
          <w:rFonts w:ascii="Arial" w:hAnsi="Arial"/>
        </w:rPr>
      </w:pPr>
      <w:r w:rsidRPr="00460DA6">
        <w:rPr>
          <w:rFonts w:ascii="Arial" w:hAnsi="Arial"/>
        </w:rPr>
        <w:t>To assist review, please answer the following question</w:t>
      </w:r>
      <w:r w:rsidR="00E55CAE" w:rsidRPr="00460DA6">
        <w:rPr>
          <w:rFonts w:ascii="Arial" w:hAnsi="Arial"/>
        </w:rPr>
        <w:t>s</w:t>
      </w:r>
      <w:r w:rsidRPr="00B372FB">
        <w:rPr>
          <w:rFonts w:ascii="Arial" w:hAnsi="Arial"/>
        </w:rPr>
        <w:t>:</w:t>
      </w:r>
    </w:p>
    <w:p w14:paraId="19675831" w14:textId="77777777" w:rsidR="00B46F2C" w:rsidRPr="00B372FB" w:rsidRDefault="0E824157" w:rsidP="0E824157">
      <w:pPr>
        <w:rPr>
          <w:rFonts w:ascii="Arial" w:hAnsi="Arial"/>
          <w:b/>
          <w:bCs/>
        </w:rPr>
      </w:pPr>
      <w:r w:rsidRPr="0E824157">
        <w:rPr>
          <w:rFonts w:ascii="Arial" w:hAnsi="Arial"/>
          <w:b/>
          <w:bCs/>
        </w:rPr>
        <w:t>Personally Identifiable Information:</w:t>
      </w:r>
    </w:p>
    <w:p w14:paraId="2CAF0FA4" w14:textId="77777777" w:rsidR="00B46F2C" w:rsidRPr="00B372FB" w:rsidRDefault="0E824157" w:rsidP="0E824157">
      <w:pPr>
        <w:pStyle w:val="ListParagraph"/>
        <w:numPr>
          <w:ilvl w:val="0"/>
          <w:numId w:val="18"/>
        </w:numPr>
        <w:rPr>
          <w:rFonts w:ascii="Arial" w:hAnsi="Arial"/>
        </w:rPr>
      </w:pPr>
      <w:r w:rsidRPr="0E824157">
        <w:rPr>
          <w:rFonts w:ascii="Arial" w:hAnsi="Arial"/>
        </w:rPr>
        <w:t xml:space="preserve">Is personally identifiable information (PII) collected?  [ X ] Yes  [  ]  No </w:t>
      </w:r>
    </w:p>
    <w:p w14:paraId="52F7D720" w14:textId="3A8AF124" w:rsidR="00B46F2C" w:rsidRPr="00B372FB" w:rsidRDefault="0E824157" w:rsidP="0E824157">
      <w:pPr>
        <w:pStyle w:val="ListParagraph"/>
        <w:numPr>
          <w:ilvl w:val="0"/>
          <w:numId w:val="18"/>
        </w:numPr>
        <w:rPr>
          <w:rFonts w:ascii="Arial" w:hAnsi="Arial"/>
        </w:rPr>
      </w:pPr>
      <w:r w:rsidRPr="0E824157">
        <w:rPr>
          <w:rFonts w:ascii="Arial" w:hAnsi="Arial"/>
        </w:rPr>
        <w:t xml:space="preserve">If Yes, is the information that will be collected included in records that are subject to the Privacy Act of 1974?   [  ] Yes [ </w:t>
      </w:r>
      <w:r w:rsidR="002C4A99">
        <w:rPr>
          <w:rFonts w:ascii="Arial" w:hAnsi="Arial"/>
        </w:rPr>
        <w:t>X</w:t>
      </w:r>
      <w:r w:rsidRPr="0E824157">
        <w:rPr>
          <w:rFonts w:ascii="Arial" w:hAnsi="Arial"/>
        </w:rPr>
        <w:t xml:space="preserve">] No  </w:t>
      </w:r>
    </w:p>
    <w:p w14:paraId="0904CA95" w14:textId="77777777" w:rsidR="00B46F2C" w:rsidRPr="00B372FB" w:rsidRDefault="00B46F2C" w:rsidP="00C86E91">
      <w:pPr>
        <w:pStyle w:val="ListParagraph"/>
        <w:numPr>
          <w:ilvl w:val="0"/>
          <w:numId w:val="18"/>
        </w:numPr>
        <w:rPr>
          <w:rFonts w:ascii="Arial" w:hAnsi="Arial"/>
        </w:rPr>
      </w:pPr>
      <w:r w:rsidRPr="00B372FB">
        <w:rPr>
          <w:rFonts w:ascii="Arial" w:hAnsi="Arial"/>
        </w:rPr>
        <w:t xml:space="preserve">If Applicable, has a System or Records Notice been published?  [  ] Yes  [ </w:t>
      </w:r>
      <w:r w:rsidR="00867D7A">
        <w:rPr>
          <w:rFonts w:ascii="Arial" w:hAnsi="Arial"/>
        </w:rPr>
        <w:t>X</w:t>
      </w:r>
      <w:r w:rsidRPr="00B372FB">
        <w:rPr>
          <w:rFonts w:ascii="Arial" w:hAnsi="Arial"/>
        </w:rPr>
        <w:t xml:space="preserve"> ] No</w:t>
      </w:r>
    </w:p>
    <w:p w14:paraId="17DC7572" w14:textId="77777777" w:rsidR="00E55CAE" w:rsidRDefault="00E55CAE" w:rsidP="00C86E91">
      <w:pPr>
        <w:pStyle w:val="ListParagraph"/>
        <w:ind w:left="0"/>
        <w:rPr>
          <w:rFonts w:ascii="Arial" w:hAnsi="Arial"/>
          <w:b/>
        </w:rPr>
      </w:pPr>
    </w:p>
    <w:p w14:paraId="7F925C8B" w14:textId="77777777" w:rsidR="00B46F2C" w:rsidRPr="00B372FB" w:rsidRDefault="00B46F2C" w:rsidP="00C86E91">
      <w:pPr>
        <w:pStyle w:val="ListParagraph"/>
        <w:ind w:left="0"/>
        <w:rPr>
          <w:rFonts w:ascii="Arial" w:hAnsi="Arial"/>
          <w:b/>
        </w:rPr>
      </w:pPr>
      <w:r w:rsidRPr="00B372FB">
        <w:rPr>
          <w:rFonts w:ascii="Arial" w:hAnsi="Arial"/>
          <w:b/>
        </w:rPr>
        <w:t>Gifts or Payments:</w:t>
      </w:r>
    </w:p>
    <w:p w14:paraId="04B1DC32" w14:textId="77777777" w:rsidR="001D0776" w:rsidRDefault="00B46F2C">
      <w:pPr>
        <w:rPr>
          <w:rFonts w:ascii="Arial" w:hAnsi="Arial"/>
        </w:rPr>
      </w:pPr>
      <w:r w:rsidRPr="00B372FB">
        <w:rPr>
          <w:rFonts w:ascii="Arial" w:hAnsi="Arial"/>
        </w:rPr>
        <w:t xml:space="preserve">Is an incentive (e.g., money or reimbursement of expenses, token of appreciation) provided to participants?  [ </w:t>
      </w:r>
      <w:r w:rsidR="00867D7A">
        <w:rPr>
          <w:rFonts w:ascii="Arial" w:hAnsi="Arial"/>
        </w:rPr>
        <w:t>X</w:t>
      </w:r>
      <w:r w:rsidRPr="00B372FB">
        <w:rPr>
          <w:rFonts w:ascii="Arial" w:hAnsi="Arial"/>
        </w:rPr>
        <w:t xml:space="preserve"> ] Yes [  ] No</w:t>
      </w:r>
    </w:p>
    <w:p w14:paraId="147456E9" w14:textId="43B58C25" w:rsidR="000B7126" w:rsidRDefault="0E824157" w:rsidP="0E824157">
      <w:pPr>
        <w:rPr>
          <w:rFonts w:ascii="Arial" w:hAnsi="Arial"/>
        </w:rPr>
      </w:pPr>
      <w:r w:rsidRPr="0E824157">
        <w:rPr>
          <w:rFonts w:ascii="Arial" w:hAnsi="Arial"/>
        </w:rPr>
        <w:t xml:space="preserve">This study involves four 100-minute focus groups as well as four groups using a </w:t>
      </w:r>
      <w:r w:rsidR="006C7255">
        <w:rPr>
          <w:rFonts w:ascii="Arial" w:hAnsi="Arial"/>
        </w:rPr>
        <w:t xml:space="preserve">100-minute </w:t>
      </w:r>
      <w:r w:rsidRPr="0E824157">
        <w:rPr>
          <w:rFonts w:ascii="Arial" w:hAnsi="Arial"/>
        </w:rPr>
        <w:t>hybrid of cognitive interviewing and focus groups. Participants will receive a $75 incentive at the end of the groups. Numerous empirical studies have shown that incentives can significantly increase response rates (e.g., Abreu &amp; Winters, 1999; Shettle &amp; Mooney, 1999). The token of appreciation amount was determined through discussions with contract staff with expertise in conducting interviews with the study population. Removing the incentive could negatively affect recruitment, which could threaten the development of a messaging strategy resulting from this testing.</w:t>
      </w:r>
    </w:p>
    <w:p w14:paraId="57D6E3BD" w14:textId="77777777" w:rsidR="00B46F2C" w:rsidRPr="00B372FB" w:rsidRDefault="00B46F2C" w:rsidP="00C86E91">
      <w:pPr>
        <w:rPr>
          <w:rFonts w:ascii="Arial" w:hAnsi="Arial"/>
          <w:i/>
        </w:rPr>
      </w:pPr>
      <w:r w:rsidRPr="00B372FB">
        <w:rPr>
          <w:rFonts w:ascii="Arial" w:hAnsi="Arial"/>
          <w:b/>
        </w:rPr>
        <w:t>BURDEN HOURS</w:t>
      </w:r>
      <w:r w:rsidRPr="00B372FB">
        <w:rPr>
          <w:rFonts w:ascii="Arial" w:hAnsi="Arial"/>
        </w:rPr>
        <w:t xml:space="preserve"> </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710"/>
        <w:gridCol w:w="1710"/>
        <w:gridCol w:w="1980"/>
      </w:tblGrid>
      <w:tr w:rsidR="001F714E" w:rsidRPr="00B372FB" w14:paraId="1DA9F1F0" w14:textId="77777777" w:rsidTr="0019298D">
        <w:trPr>
          <w:trHeight w:val="253"/>
        </w:trPr>
        <w:tc>
          <w:tcPr>
            <w:tcW w:w="2970" w:type="dxa"/>
          </w:tcPr>
          <w:p w14:paraId="269677F7" w14:textId="77777777" w:rsidR="001F714E" w:rsidRPr="00B372FB" w:rsidRDefault="001F714E" w:rsidP="0019298D">
            <w:pPr>
              <w:rPr>
                <w:rFonts w:ascii="Arial" w:hAnsi="Arial"/>
                <w:b/>
              </w:rPr>
            </w:pPr>
            <w:r w:rsidRPr="00B372FB">
              <w:rPr>
                <w:rFonts w:ascii="Arial" w:hAnsi="Arial"/>
                <w:b/>
              </w:rPr>
              <w:t xml:space="preserve">Category of Respondent </w:t>
            </w:r>
          </w:p>
        </w:tc>
        <w:tc>
          <w:tcPr>
            <w:tcW w:w="2250" w:type="dxa"/>
          </w:tcPr>
          <w:p w14:paraId="7584F619" w14:textId="77777777" w:rsidR="001F714E" w:rsidRPr="00B372FB" w:rsidRDefault="001F714E" w:rsidP="0019298D">
            <w:pPr>
              <w:rPr>
                <w:rFonts w:ascii="Arial" w:hAnsi="Arial"/>
                <w:b/>
              </w:rPr>
            </w:pPr>
            <w:r>
              <w:rPr>
                <w:rFonts w:ascii="Arial" w:hAnsi="Arial"/>
                <w:b/>
              </w:rPr>
              <w:t>Form Name</w:t>
            </w:r>
          </w:p>
        </w:tc>
        <w:tc>
          <w:tcPr>
            <w:tcW w:w="1710" w:type="dxa"/>
          </w:tcPr>
          <w:p w14:paraId="08E22634" w14:textId="77777777" w:rsidR="001F714E" w:rsidRPr="00B372FB" w:rsidRDefault="001F714E" w:rsidP="0019298D">
            <w:pPr>
              <w:rPr>
                <w:rFonts w:ascii="Arial" w:hAnsi="Arial"/>
                <w:b/>
              </w:rPr>
            </w:pPr>
            <w:r w:rsidRPr="00B372FB">
              <w:rPr>
                <w:rFonts w:ascii="Arial" w:hAnsi="Arial"/>
                <w:b/>
              </w:rPr>
              <w:t>No. of Respondents</w:t>
            </w:r>
          </w:p>
        </w:tc>
        <w:tc>
          <w:tcPr>
            <w:tcW w:w="1710" w:type="dxa"/>
          </w:tcPr>
          <w:p w14:paraId="66E05BF3" w14:textId="77777777" w:rsidR="001F714E" w:rsidRPr="00B372FB" w:rsidRDefault="001F714E" w:rsidP="0019298D">
            <w:pPr>
              <w:rPr>
                <w:rFonts w:ascii="Arial" w:hAnsi="Arial"/>
                <w:b/>
              </w:rPr>
            </w:pPr>
            <w:r w:rsidRPr="00B372FB">
              <w:rPr>
                <w:rFonts w:ascii="Arial" w:hAnsi="Arial"/>
                <w:b/>
              </w:rPr>
              <w:t>Participation Time</w:t>
            </w:r>
            <w:r>
              <w:rPr>
                <w:rFonts w:ascii="Arial" w:hAnsi="Arial"/>
                <w:b/>
              </w:rPr>
              <w:t xml:space="preserve"> (minutes)</w:t>
            </w:r>
          </w:p>
        </w:tc>
        <w:tc>
          <w:tcPr>
            <w:tcW w:w="1980" w:type="dxa"/>
          </w:tcPr>
          <w:p w14:paraId="483468EC" w14:textId="77777777" w:rsidR="001F714E" w:rsidRPr="00B372FB" w:rsidRDefault="001F714E" w:rsidP="0019298D">
            <w:pPr>
              <w:rPr>
                <w:rFonts w:ascii="Arial" w:hAnsi="Arial"/>
                <w:b/>
              </w:rPr>
            </w:pPr>
            <w:r w:rsidRPr="00B372FB">
              <w:rPr>
                <w:rFonts w:ascii="Arial" w:hAnsi="Arial"/>
                <w:b/>
              </w:rPr>
              <w:t>Burden</w:t>
            </w:r>
            <w:r>
              <w:rPr>
                <w:rFonts w:ascii="Arial" w:hAnsi="Arial"/>
                <w:b/>
              </w:rPr>
              <w:t xml:space="preserve"> in Hours</w:t>
            </w:r>
          </w:p>
        </w:tc>
      </w:tr>
      <w:tr w:rsidR="001F714E" w:rsidRPr="00B372FB" w14:paraId="1BB5B15D" w14:textId="77777777" w:rsidTr="0019298D">
        <w:trPr>
          <w:trHeight w:val="253"/>
        </w:trPr>
        <w:tc>
          <w:tcPr>
            <w:tcW w:w="2970" w:type="dxa"/>
            <w:vMerge w:val="restart"/>
          </w:tcPr>
          <w:p w14:paraId="1BB3539D" w14:textId="6D766167" w:rsidR="001F714E" w:rsidRPr="001F714E" w:rsidRDefault="001F714E" w:rsidP="001F714E">
            <w:pPr>
              <w:rPr>
                <w:rFonts w:ascii="Arial" w:hAnsi="Arial" w:cs="Arial"/>
              </w:rPr>
            </w:pPr>
            <w:r w:rsidRPr="001F714E">
              <w:rPr>
                <w:rFonts w:ascii="Arial" w:hAnsi="Arial" w:cs="Arial"/>
              </w:rPr>
              <w:t>General population</w:t>
            </w:r>
          </w:p>
        </w:tc>
        <w:tc>
          <w:tcPr>
            <w:tcW w:w="2250" w:type="dxa"/>
          </w:tcPr>
          <w:p w14:paraId="499B7631" w14:textId="71839D7B" w:rsidR="001F714E" w:rsidRPr="001F714E" w:rsidRDefault="001F714E" w:rsidP="001F714E">
            <w:pPr>
              <w:rPr>
                <w:rFonts w:ascii="Arial" w:hAnsi="Arial" w:cs="Arial"/>
              </w:rPr>
            </w:pPr>
            <w:r w:rsidRPr="001F714E">
              <w:rPr>
                <w:rFonts w:ascii="Arial" w:hAnsi="Arial" w:cs="Arial"/>
              </w:rPr>
              <w:t>Screener</w:t>
            </w:r>
          </w:p>
        </w:tc>
        <w:tc>
          <w:tcPr>
            <w:tcW w:w="1710" w:type="dxa"/>
          </w:tcPr>
          <w:p w14:paraId="6C120C91" w14:textId="613D7BA1" w:rsidR="001F714E" w:rsidRPr="001F714E" w:rsidRDefault="001F714E" w:rsidP="001F714E">
            <w:pPr>
              <w:rPr>
                <w:rFonts w:ascii="Arial" w:hAnsi="Arial" w:cs="Arial"/>
              </w:rPr>
            </w:pPr>
            <w:r w:rsidRPr="001F714E">
              <w:rPr>
                <w:rFonts w:ascii="Arial" w:hAnsi="Arial" w:cs="Arial"/>
              </w:rPr>
              <w:t>500</w:t>
            </w:r>
          </w:p>
        </w:tc>
        <w:tc>
          <w:tcPr>
            <w:tcW w:w="1710" w:type="dxa"/>
          </w:tcPr>
          <w:p w14:paraId="0B78FD8E" w14:textId="2A420012" w:rsidR="001F714E" w:rsidRPr="001F714E" w:rsidRDefault="001F714E" w:rsidP="001F714E">
            <w:pPr>
              <w:rPr>
                <w:rFonts w:ascii="Arial" w:hAnsi="Arial" w:cs="Arial"/>
              </w:rPr>
            </w:pPr>
            <w:r w:rsidRPr="001F714E">
              <w:rPr>
                <w:rFonts w:ascii="Arial" w:hAnsi="Arial" w:cs="Arial"/>
              </w:rPr>
              <w:t>3/60</w:t>
            </w:r>
          </w:p>
        </w:tc>
        <w:tc>
          <w:tcPr>
            <w:tcW w:w="1980" w:type="dxa"/>
          </w:tcPr>
          <w:p w14:paraId="3BA3F333" w14:textId="723F76AA" w:rsidR="001F714E" w:rsidRPr="001F714E" w:rsidRDefault="001F714E" w:rsidP="001F714E">
            <w:pPr>
              <w:rPr>
                <w:rFonts w:ascii="Arial" w:hAnsi="Arial" w:cs="Arial"/>
              </w:rPr>
            </w:pPr>
            <w:r>
              <w:rPr>
                <w:rFonts w:ascii="Arial" w:hAnsi="Arial" w:cs="Arial"/>
              </w:rPr>
              <w:t>25</w:t>
            </w:r>
          </w:p>
        </w:tc>
      </w:tr>
      <w:tr w:rsidR="001F714E" w:rsidRPr="00B372FB" w14:paraId="24214530" w14:textId="77777777" w:rsidTr="0019298D">
        <w:trPr>
          <w:trHeight w:val="253"/>
        </w:trPr>
        <w:tc>
          <w:tcPr>
            <w:tcW w:w="2970" w:type="dxa"/>
            <w:vMerge/>
          </w:tcPr>
          <w:p w14:paraId="2461FB5A" w14:textId="77777777" w:rsidR="001F714E" w:rsidRPr="001F714E" w:rsidRDefault="001F714E" w:rsidP="001F714E">
            <w:pPr>
              <w:rPr>
                <w:rFonts w:ascii="Arial" w:hAnsi="Arial" w:cs="Arial"/>
              </w:rPr>
            </w:pPr>
          </w:p>
        </w:tc>
        <w:tc>
          <w:tcPr>
            <w:tcW w:w="2250" w:type="dxa"/>
          </w:tcPr>
          <w:p w14:paraId="5DF478DF" w14:textId="4950FF10" w:rsidR="001F714E" w:rsidRPr="001F714E" w:rsidRDefault="001F714E" w:rsidP="001F714E">
            <w:pPr>
              <w:rPr>
                <w:rFonts w:ascii="Arial" w:hAnsi="Arial" w:cs="Arial"/>
              </w:rPr>
            </w:pPr>
            <w:r w:rsidRPr="001F714E">
              <w:rPr>
                <w:rFonts w:ascii="Arial" w:hAnsi="Arial" w:cs="Arial"/>
              </w:rPr>
              <w:t>Follow-up contact</w:t>
            </w:r>
          </w:p>
        </w:tc>
        <w:tc>
          <w:tcPr>
            <w:tcW w:w="1710" w:type="dxa"/>
          </w:tcPr>
          <w:p w14:paraId="4355E4C0" w14:textId="77777777" w:rsidR="001F714E" w:rsidRPr="001F714E" w:rsidRDefault="001F714E" w:rsidP="001F714E">
            <w:pPr>
              <w:rPr>
                <w:rFonts w:ascii="Arial" w:hAnsi="Arial" w:cs="Arial"/>
              </w:rPr>
            </w:pPr>
            <w:r w:rsidRPr="001F714E">
              <w:rPr>
                <w:rFonts w:ascii="Arial" w:hAnsi="Arial" w:cs="Arial"/>
              </w:rPr>
              <w:t>250*</w:t>
            </w:r>
          </w:p>
          <w:p w14:paraId="06CDE04D" w14:textId="77777777" w:rsidR="001F714E" w:rsidRPr="001F714E" w:rsidRDefault="001F714E" w:rsidP="001F714E">
            <w:pPr>
              <w:rPr>
                <w:rFonts w:ascii="Arial" w:hAnsi="Arial" w:cs="Arial"/>
              </w:rPr>
            </w:pPr>
          </w:p>
        </w:tc>
        <w:tc>
          <w:tcPr>
            <w:tcW w:w="1710" w:type="dxa"/>
          </w:tcPr>
          <w:p w14:paraId="41098A94" w14:textId="77777777" w:rsidR="001F714E" w:rsidRPr="001F714E" w:rsidRDefault="001F714E" w:rsidP="001F714E">
            <w:pPr>
              <w:rPr>
                <w:rFonts w:ascii="Arial" w:hAnsi="Arial" w:cs="Arial"/>
              </w:rPr>
            </w:pPr>
            <w:r w:rsidRPr="001F714E">
              <w:rPr>
                <w:rFonts w:ascii="Arial" w:hAnsi="Arial" w:cs="Arial"/>
              </w:rPr>
              <w:t>10/60</w:t>
            </w:r>
          </w:p>
          <w:p w14:paraId="2322A2EC" w14:textId="77777777" w:rsidR="001F714E" w:rsidRPr="001F714E" w:rsidRDefault="001F714E" w:rsidP="001F714E">
            <w:pPr>
              <w:rPr>
                <w:rFonts w:ascii="Arial" w:hAnsi="Arial" w:cs="Arial"/>
              </w:rPr>
            </w:pPr>
          </w:p>
        </w:tc>
        <w:tc>
          <w:tcPr>
            <w:tcW w:w="1980" w:type="dxa"/>
          </w:tcPr>
          <w:p w14:paraId="02D0ED03" w14:textId="2EC9ABD3" w:rsidR="001F714E" w:rsidRPr="001F714E" w:rsidRDefault="001F714E" w:rsidP="001F714E">
            <w:pPr>
              <w:rPr>
                <w:rFonts w:ascii="Arial" w:hAnsi="Arial" w:cs="Arial"/>
              </w:rPr>
            </w:pPr>
            <w:r>
              <w:rPr>
                <w:rFonts w:ascii="Arial" w:hAnsi="Arial" w:cs="Arial"/>
              </w:rPr>
              <w:t>42</w:t>
            </w:r>
          </w:p>
        </w:tc>
      </w:tr>
      <w:tr w:rsidR="001F714E" w:rsidRPr="00B372FB" w14:paraId="68EEF910" w14:textId="77777777" w:rsidTr="0019298D">
        <w:trPr>
          <w:trHeight w:val="253"/>
        </w:trPr>
        <w:tc>
          <w:tcPr>
            <w:tcW w:w="2970" w:type="dxa"/>
          </w:tcPr>
          <w:p w14:paraId="4B36EA80" w14:textId="3FEAE68A" w:rsidR="001F714E" w:rsidRPr="001F714E" w:rsidRDefault="001F714E" w:rsidP="001F714E">
            <w:pPr>
              <w:rPr>
                <w:rFonts w:ascii="Arial" w:hAnsi="Arial" w:cs="Arial"/>
              </w:rPr>
            </w:pPr>
            <w:r w:rsidRPr="001F714E">
              <w:rPr>
                <w:rFonts w:ascii="Arial" w:hAnsi="Arial" w:cs="Arial"/>
              </w:rPr>
              <w:t>General population focus group</w:t>
            </w:r>
          </w:p>
        </w:tc>
        <w:tc>
          <w:tcPr>
            <w:tcW w:w="2250" w:type="dxa"/>
          </w:tcPr>
          <w:p w14:paraId="14CEFFDA" w14:textId="319B185F" w:rsidR="001F714E" w:rsidRPr="001F714E" w:rsidRDefault="001F714E" w:rsidP="001F714E">
            <w:pPr>
              <w:rPr>
                <w:rFonts w:ascii="Arial" w:hAnsi="Arial" w:cs="Arial"/>
              </w:rPr>
            </w:pPr>
            <w:r w:rsidRPr="001F714E">
              <w:rPr>
                <w:rFonts w:ascii="Arial" w:hAnsi="Arial" w:cs="Arial"/>
              </w:rPr>
              <w:t>Moderator guide for focus group</w:t>
            </w:r>
          </w:p>
        </w:tc>
        <w:tc>
          <w:tcPr>
            <w:tcW w:w="1710" w:type="dxa"/>
          </w:tcPr>
          <w:p w14:paraId="643A0F62" w14:textId="2602BEFE" w:rsidR="001F714E" w:rsidRPr="001F714E" w:rsidRDefault="001F714E" w:rsidP="001F714E">
            <w:pPr>
              <w:rPr>
                <w:rFonts w:ascii="Arial" w:hAnsi="Arial" w:cs="Arial"/>
              </w:rPr>
            </w:pPr>
            <w:r w:rsidRPr="001F714E">
              <w:rPr>
                <w:rFonts w:ascii="Arial" w:hAnsi="Arial" w:cs="Arial"/>
              </w:rPr>
              <w:t>36</w:t>
            </w:r>
          </w:p>
        </w:tc>
        <w:tc>
          <w:tcPr>
            <w:tcW w:w="1710" w:type="dxa"/>
          </w:tcPr>
          <w:p w14:paraId="226CFD7E" w14:textId="3DBC74A9" w:rsidR="001F714E" w:rsidRPr="001F714E" w:rsidRDefault="001F714E" w:rsidP="001F714E">
            <w:pPr>
              <w:rPr>
                <w:rFonts w:ascii="Arial" w:hAnsi="Arial" w:cs="Arial"/>
              </w:rPr>
            </w:pPr>
            <w:r w:rsidRPr="001F714E">
              <w:rPr>
                <w:rFonts w:ascii="Arial" w:hAnsi="Arial" w:cs="Arial"/>
              </w:rPr>
              <w:t>100/60</w:t>
            </w:r>
          </w:p>
        </w:tc>
        <w:tc>
          <w:tcPr>
            <w:tcW w:w="1980" w:type="dxa"/>
          </w:tcPr>
          <w:p w14:paraId="4A458AE9" w14:textId="686EF6BA" w:rsidR="001F714E" w:rsidRPr="001F714E" w:rsidRDefault="001F714E" w:rsidP="001F714E">
            <w:pPr>
              <w:rPr>
                <w:rFonts w:ascii="Arial" w:hAnsi="Arial" w:cs="Arial"/>
              </w:rPr>
            </w:pPr>
            <w:r>
              <w:rPr>
                <w:rFonts w:ascii="Arial" w:hAnsi="Arial" w:cs="Arial"/>
              </w:rPr>
              <w:t>60</w:t>
            </w:r>
          </w:p>
        </w:tc>
      </w:tr>
      <w:tr w:rsidR="001F714E" w:rsidRPr="00B372FB" w14:paraId="0873CC72" w14:textId="77777777" w:rsidTr="0019298D">
        <w:trPr>
          <w:trHeight w:val="253"/>
        </w:trPr>
        <w:tc>
          <w:tcPr>
            <w:tcW w:w="2970" w:type="dxa"/>
          </w:tcPr>
          <w:p w14:paraId="020AB06E" w14:textId="4F422779" w:rsidR="001F714E" w:rsidRPr="001F714E" w:rsidRDefault="001F714E" w:rsidP="001F714E">
            <w:pPr>
              <w:rPr>
                <w:rFonts w:ascii="Arial" w:hAnsi="Arial" w:cs="Arial"/>
              </w:rPr>
            </w:pPr>
            <w:r w:rsidRPr="001F714E">
              <w:rPr>
                <w:rFonts w:ascii="Arial" w:hAnsi="Arial" w:cs="Arial"/>
              </w:rPr>
              <w:t>General population -</w:t>
            </w:r>
            <w:r>
              <w:rPr>
                <w:rFonts w:ascii="Arial" w:hAnsi="Arial" w:cs="Arial"/>
              </w:rPr>
              <w:t xml:space="preserve"> </w:t>
            </w:r>
            <w:r w:rsidRPr="001F714E">
              <w:rPr>
                <w:rFonts w:ascii="Arial" w:hAnsi="Arial" w:cs="Arial"/>
              </w:rPr>
              <w:t>Hybrid group</w:t>
            </w:r>
          </w:p>
        </w:tc>
        <w:tc>
          <w:tcPr>
            <w:tcW w:w="2250" w:type="dxa"/>
          </w:tcPr>
          <w:p w14:paraId="6F1F164B" w14:textId="63188587" w:rsidR="001F714E" w:rsidRPr="001F714E" w:rsidRDefault="001F714E" w:rsidP="001F714E">
            <w:pPr>
              <w:rPr>
                <w:rFonts w:ascii="Arial" w:hAnsi="Arial" w:cs="Arial"/>
              </w:rPr>
            </w:pPr>
            <w:r w:rsidRPr="001F714E">
              <w:rPr>
                <w:rFonts w:ascii="Arial" w:hAnsi="Arial" w:cs="Arial"/>
              </w:rPr>
              <w:t>Moderator guide for focus group and cognitive interview</w:t>
            </w:r>
          </w:p>
        </w:tc>
        <w:tc>
          <w:tcPr>
            <w:tcW w:w="1710" w:type="dxa"/>
          </w:tcPr>
          <w:p w14:paraId="16A72D24" w14:textId="3EC782A8" w:rsidR="001F714E" w:rsidRPr="001F714E" w:rsidRDefault="001F714E" w:rsidP="001F714E">
            <w:pPr>
              <w:rPr>
                <w:rFonts w:ascii="Arial" w:hAnsi="Arial" w:cs="Arial"/>
              </w:rPr>
            </w:pPr>
            <w:r w:rsidRPr="001F714E">
              <w:rPr>
                <w:rFonts w:ascii="Arial" w:hAnsi="Arial" w:cs="Arial"/>
              </w:rPr>
              <w:t>18</w:t>
            </w:r>
          </w:p>
        </w:tc>
        <w:tc>
          <w:tcPr>
            <w:tcW w:w="1710" w:type="dxa"/>
          </w:tcPr>
          <w:p w14:paraId="267B8C3B" w14:textId="4626C009" w:rsidR="001F714E" w:rsidRPr="001F714E" w:rsidRDefault="001F714E" w:rsidP="001F714E">
            <w:pPr>
              <w:rPr>
                <w:rFonts w:ascii="Arial" w:hAnsi="Arial" w:cs="Arial"/>
              </w:rPr>
            </w:pPr>
            <w:r w:rsidRPr="001F714E">
              <w:rPr>
                <w:rFonts w:ascii="Arial" w:hAnsi="Arial" w:cs="Arial"/>
              </w:rPr>
              <w:t>100/60</w:t>
            </w:r>
          </w:p>
        </w:tc>
        <w:tc>
          <w:tcPr>
            <w:tcW w:w="1980" w:type="dxa"/>
          </w:tcPr>
          <w:p w14:paraId="6CBF7837" w14:textId="5A363663" w:rsidR="001F714E" w:rsidRPr="001F714E" w:rsidRDefault="001F714E" w:rsidP="001F714E">
            <w:pPr>
              <w:rPr>
                <w:rFonts w:ascii="Arial" w:hAnsi="Arial" w:cs="Arial"/>
              </w:rPr>
            </w:pPr>
            <w:r>
              <w:rPr>
                <w:rFonts w:ascii="Arial" w:hAnsi="Arial" w:cs="Arial"/>
              </w:rPr>
              <w:t>30</w:t>
            </w:r>
          </w:p>
        </w:tc>
      </w:tr>
      <w:tr w:rsidR="001F714E" w:rsidRPr="00B372FB" w14:paraId="4B039F46" w14:textId="77777777" w:rsidTr="0019298D">
        <w:trPr>
          <w:trHeight w:val="267"/>
        </w:trPr>
        <w:tc>
          <w:tcPr>
            <w:tcW w:w="2970" w:type="dxa"/>
          </w:tcPr>
          <w:p w14:paraId="2B6805A7" w14:textId="77777777" w:rsidR="001F714E" w:rsidRPr="00B372FB" w:rsidRDefault="001F714E" w:rsidP="0019298D">
            <w:pPr>
              <w:rPr>
                <w:rFonts w:ascii="Arial" w:hAnsi="Arial"/>
                <w:b/>
              </w:rPr>
            </w:pPr>
            <w:r w:rsidRPr="00B372FB">
              <w:rPr>
                <w:rFonts w:ascii="Arial" w:hAnsi="Arial"/>
                <w:b/>
              </w:rPr>
              <w:t>Totals</w:t>
            </w:r>
          </w:p>
        </w:tc>
        <w:tc>
          <w:tcPr>
            <w:tcW w:w="2250" w:type="dxa"/>
          </w:tcPr>
          <w:p w14:paraId="50AD9F86" w14:textId="77777777" w:rsidR="001F714E" w:rsidRPr="00B372FB" w:rsidRDefault="001F714E" w:rsidP="0019298D">
            <w:pPr>
              <w:rPr>
                <w:rFonts w:ascii="Arial" w:hAnsi="Arial"/>
                <w:b/>
              </w:rPr>
            </w:pPr>
          </w:p>
        </w:tc>
        <w:tc>
          <w:tcPr>
            <w:tcW w:w="1710" w:type="dxa"/>
          </w:tcPr>
          <w:p w14:paraId="2FCDB8F0" w14:textId="77777777" w:rsidR="001F714E" w:rsidRPr="00B372FB" w:rsidRDefault="001F714E" w:rsidP="0019298D">
            <w:pPr>
              <w:rPr>
                <w:rFonts w:ascii="Arial" w:hAnsi="Arial"/>
                <w:b/>
              </w:rPr>
            </w:pPr>
          </w:p>
        </w:tc>
        <w:tc>
          <w:tcPr>
            <w:tcW w:w="1710" w:type="dxa"/>
          </w:tcPr>
          <w:p w14:paraId="023CA030" w14:textId="77777777" w:rsidR="001F714E" w:rsidRPr="00B372FB" w:rsidRDefault="001F714E" w:rsidP="0019298D">
            <w:pPr>
              <w:rPr>
                <w:rFonts w:ascii="Arial" w:hAnsi="Arial"/>
              </w:rPr>
            </w:pPr>
          </w:p>
        </w:tc>
        <w:tc>
          <w:tcPr>
            <w:tcW w:w="1980" w:type="dxa"/>
          </w:tcPr>
          <w:p w14:paraId="6ADA1279" w14:textId="6C67F34F" w:rsidR="001F714E" w:rsidRPr="00B372FB" w:rsidRDefault="001F714E" w:rsidP="0019298D">
            <w:pPr>
              <w:rPr>
                <w:rFonts w:ascii="Arial" w:hAnsi="Arial"/>
                <w:b/>
              </w:rPr>
            </w:pPr>
            <w:r>
              <w:rPr>
                <w:rFonts w:ascii="Arial" w:hAnsi="Arial"/>
                <w:b/>
              </w:rPr>
              <w:t>157</w:t>
            </w:r>
          </w:p>
        </w:tc>
      </w:tr>
    </w:tbl>
    <w:p w14:paraId="76866541" w14:textId="77777777" w:rsidR="00DB58B7" w:rsidRPr="00BF5370" w:rsidRDefault="00DB58B7" w:rsidP="00DB58B7">
      <w:pPr>
        <w:spacing w:after="0"/>
        <w:rPr>
          <w:rFonts w:ascii="Arial" w:hAnsi="Arial" w:cs="Arial"/>
          <w:sz w:val="22"/>
          <w:szCs w:val="22"/>
        </w:rPr>
      </w:pPr>
      <w:r w:rsidRPr="00BF5370">
        <w:rPr>
          <w:rFonts w:ascii="Arial" w:hAnsi="Arial" w:cs="Arial"/>
        </w:rPr>
        <w:t>* Subset of initial contact group, not double counted in the total number of respondents.</w:t>
      </w:r>
    </w:p>
    <w:p w14:paraId="0ED29843" w14:textId="77777777" w:rsidR="00B46F2C" w:rsidRPr="00B372FB" w:rsidRDefault="00B46F2C" w:rsidP="00F3170F">
      <w:pPr>
        <w:rPr>
          <w:rFonts w:ascii="Arial" w:hAnsi="Arial"/>
        </w:rPr>
      </w:pPr>
    </w:p>
    <w:p w14:paraId="4027EF39" w14:textId="498F0D74" w:rsidR="00B46F2C" w:rsidRPr="00356084" w:rsidRDefault="00B46F2C">
      <w:pPr>
        <w:rPr>
          <w:rFonts w:ascii="Arial" w:hAnsi="Arial"/>
          <w:b/>
          <w:bCs/>
        </w:rPr>
      </w:pPr>
      <w:r w:rsidRPr="00356084">
        <w:rPr>
          <w:rFonts w:ascii="Arial" w:hAnsi="Arial"/>
          <w:b/>
          <w:bCs/>
        </w:rPr>
        <w:t xml:space="preserve">FEDERAL COST:  </w:t>
      </w:r>
      <w:r w:rsidRPr="00B372FB">
        <w:rPr>
          <w:rFonts w:ascii="Arial" w:hAnsi="Arial"/>
        </w:rPr>
        <w:t xml:space="preserve">The estimated annual cost to the Federal government is </w:t>
      </w:r>
      <w:r w:rsidR="00D159EA">
        <w:rPr>
          <w:rFonts w:ascii="Arial" w:hAnsi="Arial"/>
        </w:rPr>
        <w:t>$40,197.48</w:t>
      </w:r>
    </w:p>
    <w:p w14:paraId="496A7498" w14:textId="77777777"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14:paraId="1407BED7" w14:textId="77777777" w:rsidR="00B46F2C" w:rsidRPr="00B372FB" w:rsidRDefault="00B46F2C" w:rsidP="00F06866">
      <w:pPr>
        <w:rPr>
          <w:rFonts w:ascii="Arial" w:hAnsi="Arial"/>
          <w:b/>
        </w:rPr>
      </w:pPr>
      <w:r w:rsidRPr="00B372FB">
        <w:rPr>
          <w:rFonts w:ascii="Arial" w:hAnsi="Arial"/>
          <w:b/>
        </w:rPr>
        <w:lastRenderedPageBreak/>
        <w:t>The selection of your targeted respondents</w:t>
      </w:r>
    </w:p>
    <w:p w14:paraId="08310CDC" w14:textId="77777777" w:rsidR="00B46F2C" w:rsidRPr="00B372FB" w:rsidRDefault="00B46F2C"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00867D7A">
        <w:rPr>
          <w:rFonts w:ascii="Arial" w:hAnsi="Arial"/>
        </w:rPr>
        <w:t xml:space="preserve"> X</w:t>
      </w:r>
      <w:r w:rsidRPr="00B372FB">
        <w:rPr>
          <w:rFonts w:ascii="Arial" w:hAnsi="Arial"/>
        </w:rPr>
        <w:t xml:space="preserve"> ] Yes</w:t>
      </w:r>
      <w:r w:rsidRPr="00B372FB">
        <w:rPr>
          <w:rFonts w:ascii="Arial" w:hAnsi="Arial"/>
        </w:rPr>
        <w:tab/>
        <w:t>[ ] No</w:t>
      </w:r>
    </w:p>
    <w:p w14:paraId="59E6CC10" w14:textId="4DE65316" w:rsidR="00B46F2C" w:rsidRPr="00B372FB" w:rsidRDefault="00B46F2C" w:rsidP="00A403BB">
      <w:pPr>
        <w:rPr>
          <w:rFonts w:ascii="Arial" w:hAnsi="Arial"/>
        </w:rPr>
      </w:pPr>
      <w:r w:rsidRPr="00B372FB">
        <w:rPr>
          <w:rFonts w:ascii="Arial" w:hAnsi="Arial"/>
        </w:rPr>
        <w:t xml:space="preserve">If the answer is yes, please provide a description of both below </w:t>
      </w:r>
      <w:r w:rsidR="00BF5370">
        <w:rPr>
          <w:rFonts w:ascii="Arial" w:hAnsi="Arial"/>
        </w:rPr>
        <w:t>(or attach the sampling plan)?</w:t>
      </w:r>
      <w:r w:rsidRPr="00B372FB">
        <w:rPr>
          <w:rFonts w:ascii="Arial" w:hAnsi="Arial"/>
        </w:rPr>
        <w:t xml:space="preserve"> If the answer is no, please provide a description of how you plan to identify your potential group of respondents and how you will select them?</w:t>
      </w:r>
    </w:p>
    <w:p w14:paraId="75531E5A" w14:textId="2079AFCB" w:rsidR="00984C2D" w:rsidRPr="004A1DF0" w:rsidRDefault="004A1DF0" w:rsidP="00984C2D">
      <w:pPr>
        <w:rPr>
          <w:rFonts w:ascii="Arial" w:hAnsi="Arial"/>
        </w:rPr>
      </w:pPr>
      <w:r w:rsidRPr="004A1DF0">
        <w:rPr>
          <w:rFonts w:ascii="Arial" w:hAnsi="Arial"/>
        </w:rPr>
        <w:t xml:space="preserve">The EurekaFacts participant database includes tens of thousands of individuals in the DC Metro area. </w:t>
      </w:r>
      <w:r w:rsidR="00984C2D" w:rsidRPr="004A1DF0">
        <w:rPr>
          <w:rFonts w:ascii="Arial" w:hAnsi="Arial"/>
        </w:rPr>
        <w:t>EurekaFacts will employ a recruitment strategy that integrates multiple outreach/contact methods and resources such as Internet ads, individual emails, telephone recruiting, and on-site location-based recruiting. Furthermore, EurekaFacts will implement snowball referrals from personal and community networks during general recruitment efforts and after completing focus groups.</w:t>
      </w:r>
    </w:p>
    <w:p w14:paraId="5DC229E4" w14:textId="77777777" w:rsidR="004A1DF0" w:rsidRPr="004A1DF0" w:rsidRDefault="004A1DF0" w:rsidP="004A1DF0">
      <w:pPr>
        <w:rPr>
          <w:rFonts w:ascii="Arial" w:hAnsi="Arial"/>
        </w:rPr>
      </w:pPr>
      <w:r w:rsidRPr="004A1DF0">
        <w:rPr>
          <w:rFonts w:ascii="Arial" w:hAnsi="Arial"/>
        </w:rPr>
        <w:t>For this effort, EurekaFacts will recruit an array of diverse adults of all ages, including a mix of:</w:t>
      </w:r>
    </w:p>
    <w:p w14:paraId="7CCDE804" w14:textId="44B396AB" w:rsidR="004A1DF0" w:rsidRPr="006C2E92" w:rsidRDefault="004A1DF0" w:rsidP="006C2E92">
      <w:pPr>
        <w:pStyle w:val="ListParagraph"/>
        <w:numPr>
          <w:ilvl w:val="0"/>
          <w:numId w:val="20"/>
        </w:numPr>
        <w:rPr>
          <w:rFonts w:ascii="Arial" w:hAnsi="Arial"/>
        </w:rPr>
      </w:pPr>
      <w:r w:rsidRPr="006C2E92">
        <w:rPr>
          <w:rFonts w:ascii="Arial" w:hAnsi="Arial"/>
        </w:rPr>
        <w:t>Socioeconomic status (Low, Medium, High SES)</w:t>
      </w:r>
    </w:p>
    <w:p w14:paraId="024AD9A4" w14:textId="37E5C5E0" w:rsidR="004A1DF0" w:rsidRPr="006C2E92" w:rsidRDefault="004A1DF0" w:rsidP="006C2E92">
      <w:pPr>
        <w:pStyle w:val="ListParagraph"/>
        <w:numPr>
          <w:ilvl w:val="0"/>
          <w:numId w:val="20"/>
        </w:numPr>
        <w:rPr>
          <w:rFonts w:ascii="Arial" w:hAnsi="Arial"/>
        </w:rPr>
      </w:pPr>
      <w:r w:rsidRPr="006C2E92">
        <w:rPr>
          <w:rFonts w:ascii="Arial" w:hAnsi="Arial"/>
        </w:rPr>
        <w:t>Educational attainment levels</w:t>
      </w:r>
    </w:p>
    <w:p w14:paraId="0C8C298B" w14:textId="7CC3C983" w:rsidR="004A1DF0" w:rsidRPr="006C2E92" w:rsidRDefault="004A1DF0" w:rsidP="006C2E92">
      <w:pPr>
        <w:pStyle w:val="ListParagraph"/>
        <w:numPr>
          <w:ilvl w:val="0"/>
          <w:numId w:val="20"/>
        </w:numPr>
        <w:rPr>
          <w:rFonts w:ascii="Arial" w:hAnsi="Arial"/>
        </w:rPr>
      </w:pPr>
      <w:r w:rsidRPr="006C2E92">
        <w:rPr>
          <w:rFonts w:ascii="Arial" w:hAnsi="Arial"/>
        </w:rPr>
        <w:t>Gender</w:t>
      </w:r>
    </w:p>
    <w:p w14:paraId="78227F7A" w14:textId="7C818BE4" w:rsidR="004A1DF0" w:rsidRPr="006C2E92" w:rsidRDefault="004A1DF0" w:rsidP="006C2E92">
      <w:pPr>
        <w:pStyle w:val="ListParagraph"/>
        <w:numPr>
          <w:ilvl w:val="0"/>
          <w:numId w:val="20"/>
        </w:numPr>
        <w:rPr>
          <w:rFonts w:ascii="Arial" w:hAnsi="Arial"/>
        </w:rPr>
      </w:pPr>
      <w:r w:rsidRPr="006C2E92">
        <w:rPr>
          <w:rFonts w:ascii="Arial" w:hAnsi="Arial"/>
        </w:rPr>
        <w:t>Ages (18-75 years old)</w:t>
      </w:r>
    </w:p>
    <w:p w14:paraId="5E81752D" w14:textId="58A8B38E" w:rsidR="004A1DF0" w:rsidRPr="006C2E92" w:rsidRDefault="004A1DF0" w:rsidP="006C2E92">
      <w:pPr>
        <w:pStyle w:val="ListParagraph"/>
        <w:numPr>
          <w:ilvl w:val="0"/>
          <w:numId w:val="20"/>
        </w:numPr>
        <w:rPr>
          <w:rFonts w:ascii="Arial" w:hAnsi="Arial"/>
        </w:rPr>
      </w:pPr>
      <w:r w:rsidRPr="006C2E92">
        <w:rPr>
          <w:rFonts w:ascii="Arial" w:hAnsi="Arial"/>
        </w:rPr>
        <w:t>Urbanicity (urban, rural, suburban residency)</w:t>
      </w:r>
    </w:p>
    <w:p w14:paraId="277938CF" w14:textId="17A73A32" w:rsidR="004A1DF0" w:rsidRPr="006C2E92" w:rsidRDefault="004A1DF0" w:rsidP="006C2E92">
      <w:pPr>
        <w:pStyle w:val="ListParagraph"/>
        <w:numPr>
          <w:ilvl w:val="0"/>
          <w:numId w:val="20"/>
        </w:numPr>
        <w:rPr>
          <w:rFonts w:ascii="Arial" w:hAnsi="Arial"/>
        </w:rPr>
      </w:pPr>
      <w:r w:rsidRPr="006C2E92">
        <w:rPr>
          <w:rFonts w:ascii="Arial" w:hAnsi="Arial"/>
        </w:rPr>
        <w:t>Adults with and without children</w:t>
      </w:r>
    </w:p>
    <w:p w14:paraId="3E64516C" w14:textId="77777777" w:rsidR="004A1DF0" w:rsidRPr="004A1DF0" w:rsidRDefault="004A1DF0" w:rsidP="004A1DF0">
      <w:pPr>
        <w:rPr>
          <w:rFonts w:ascii="Arial" w:hAnsi="Arial"/>
        </w:rPr>
      </w:pPr>
      <w:r w:rsidRPr="004A1DF0">
        <w:rPr>
          <w:rFonts w:ascii="Arial" w:hAnsi="Arial"/>
        </w:rPr>
        <w:t xml:space="preserve">EurekaFacts will inform CDC when recruitment commences and will provide updates on screening and recruitment numbers on a weekly basis throughout the recruitment period. </w:t>
      </w:r>
    </w:p>
    <w:p w14:paraId="29946F2F" w14:textId="77777777" w:rsidR="004A1DF0" w:rsidRPr="009D6FCC" w:rsidRDefault="004A1DF0" w:rsidP="004A1DF0">
      <w:pPr>
        <w:rPr>
          <w:rFonts w:ascii="Arial" w:hAnsi="Arial"/>
          <w:i/>
        </w:rPr>
      </w:pPr>
      <w:r w:rsidRPr="009D6FCC">
        <w:rPr>
          <w:rFonts w:ascii="Arial" w:hAnsi="Arial"/>
          <w:i/>
        </w:rPr>
        <w:t>Screen Participants for Eligibility to Participate in Focus Groups</w:t>
      </w:r>
    </w:p>
    <w:p w14:paraId="6C703AD9" w14:textId="694A1264" w:rsidR="004A1DF0" w:rsidRPr="004A1DF0" w:rsidRDefault="004A1DF0" w:rsidP="004A1DF0">
      <w:pPr>
        <w:rPr>
          <w:rFonts w:ascii="Arial" w:hAnsi="Arial"/>
        </w:rPr>
      </w:pPr>
      <w:r w:rsidRPr="004A1DF0">
        <w:rPr>
          <w:rFonts w:ascii="Arial" w:hAnsi="Arial"/>
        </w:rPr>
        <w:t xml:space="preserve">Respondents will be screened using the approved screener script to be programmed into </w:t>
      </w:r>
      <w:r w:rsidR="00B46178">
        <w:rPr>
          <w:rFonts w:ascii="Arial" w:hAnsi="Arial"/>
        </w:rPr>
        <w:t>a computer-assisted telephone interview (</w:t>
      </w:r>
      <w:r w:rsidRPr="004A1DF0">
        <w:rPr>
          <w:rFonts w:ascii="Arial" w:hAnsi="Arial"/>
        </w:rPr>
        <w:t>CATI</w:t>
      </w:r>
      <w:r w:rsidR="00B46178">
        <w:rPr>
          <w:rFonts w:ascii="Arial" w:hAnsi="Arial"/>
        </w:rPr>
        <w:t>)</w:t>
      </w:r>
      <w:r w:rsidRPr="004A1DF0">
        <w:rPr>
          <w:rFonts w:ascii="Arial" w:hAnsi="Arial"/>
        </w:rPr>
        <w:t xml:space="preserve"> to ensure that the screening procedure is uniformly conducted, instantly quantifiable, and may be checked and monitored throughout the recruitment effort. If the respondents meet the recruitment criteria, potential participants will be provided with a study description. </w:t>
      </w:r>
      <w:r w:rsidR="00AF2047">
        <w:rPr>
          <w:rFonts w:ascii="Arial" w:hAnsi="Arial"/>
        </w:rPr>
        <w:t>The</w:t>
      </w:r>
      <w:r w:rsidRPr="004A1DF0">
        <w:rPr>
          <w:rFonts w:ascii="Arial" w:hAnsi="Arial"/>
        </w:rPr>
        <w:t xml:space="preserve"> screening interviewers will inform respondents about the study objectives, purpose, and participation requirements of the data collection effort, the activities that it entails, and, if applicable, any potential risks associated with participation. If respondents agree to participate in the study, EurekaFacts will collect all contact information, including telephone numbers, email, and postal contact information.</w:t>
      </w:r>
    </w:p>
    <w:p w14:paraId="288E8F52" w14:textId="77777777" w:rsidR="004A1DF0" w:rsidRPr="004A1DF0" w:rsidRDefault="004A1DF0" w:rsidP="004A1DF0">
      <w:pPr>
        <w:rPr>
          <w:rFonts w:ascii="Arial" w:hAnsi="Arial"/>
        </w:rPr>
      </w:pPr>
      <w:r w:rsidRPr="004A1DF0">
        <w:rPr>
          <w:rFonts w:ascii="Arial" w:hAnsi="Arial"/>
        </w:rPr>
        <w:t xml:space="preserve">During the recruitment process, the project manager will oversee both quality control and timeline management. Disposition reports will be created and provided to CDC on a weekly basis, to describe recruitment activity and outcomes so that any potential recruitment issues/barriers can be identified early in the screening process and allow for any needed adjustments to ensure the quality of the recruitment effort. Recruiters will also be monitored for uniform administration of the screener. </w:t>
      </w:r>
    </w:p>
    <w:p w14:paraId="001CF344" w14:textId="77A6EF5C" w:rsidR="004A1DF0" w:rsidRPr="004A1DF0" w:rsidRDefault="004A1DF0" w:rsidP="004A1DF0">
      <w:pPr>
        <w:rPr>
          <w:rFonts w:ascii="Arial" w:hAnsi="Arial"/>
        </w:rPr>
      </w:pPr>
      <w:r w:rsidRPr="004A1DF0">
        <w:rPr>
          <w:rFonts w:ascii="Arial" w:hAnsi="Arial"/>
        </w:rPr>
        <w:t xml:space="preserve">A maximum of 500 individuals will be screened for eligibility. Within two days of screening completion, EurekaFacts will send de-identified screening data to CDC. The method of data transmittal will be password protected and encrypted. </w:t>
      </w:r>
    </w:p>
    <w:p w14:paraId="1BABF1E5" w14:textId="77777777" w:rsidR="004A1DF0" w:rsidRPr="00AA7668" w:rsidRDefault="004A1DF0" w:rsidP="004A1DF0">
      <w:pPr>
        <w:rPr>
          <w:rFonts w:ascii="Arial" w:hAnsi="Arial"/>
          <w:i/>
        </w:rPr>
      </w:pPr>
      <w:r w:rsidRPr="00AA7668">
        <w:rPr>
          <w:rFonts w:ascii="Arial" w:hAnsi="Arial"/>
          <w:i/>
        </w:rPr>
        <w:t>Select Participants for Focus Groups</w:t>
      </w:r>
    </w:p>
    <w:p w14:paraId="2E6BA380" w14:textId="18F5FD59" w:rsidR="004A1DF0" w:rsidRDefault="004A1DF0" w:rsidP="004A1DF0">
      <w:pPr>
        <w:rPr>
          <w:rFonts w:ascii="Arial" w:hAnsi="Arial"/>
        </w:rPr>
      </w:pPr>
      <w:r w:rsidRPr="004A1DF0">
        <w:rPr>
          <w:rFonts w:ascii="Arial" w:hAnsi="Arial"/>
        </w:rPr>
        <w:t xml:space="preserve">After providing the participant screening data to CDC, EurekaFacts will collaborate with CDC to select a sample of a maximum of 54 eligible participants representing a range of demographic profiles. Once the sample has been approved by CDC, EurekaFacts will begin inviting participants to participate in the focus groups and providing them with a date, time, location, and directions. Confirmation e-mails will be sent the same day the participant is scheduled for a focus group and the confirmation information will also be sent via postal mail. In addition, reminder phone calls will </w:t>
      </w:r>
      <w:r w:rsidR="00B2481B">
        <w:rPr>
          <w:rFonts w:ascii="Arial" w:hAnsi="Arial"/>
        </w:rPr>
        <w:t xml:space="preserve">be </w:t>
      </w:r>
      <w:r w:rsidRPr="004A1DF0">
        <w:rPr>
          <w:rFonts w:ascii="Arial" w:hAnsi="Arial"/>
        </w:rPr>
        <w:t>made at least 24 hours prior to the scheduled appointment. If a participant declines to participate, EurekaFacts will collaborate with CDC to select a replacement from the pool of eligible participants.</w:t>
      </w:r>
    </w:p>
    <w:p w14:paraId="468B382D" w14:textId="1D4CE196" w:rsidR="00A132F2" w:rsidRPr="00B372FB" w:rsidRDefault="705614A5" w:rsidP="705614A5">
      <w:pPr>
        <w:rPr>
          <w:rFonts w:ascii="Arial" w:hAnsi="Arial"/>
        </w:rPr>
      </w:pPr>
      <w:r w:rsidRPr="705614A5">
        <w:rPr>
          <w:rFonts w:ascii="Arial" w:hAnsi="Arial"/>
        </w:rPr>
        <w:t>For more information, please refer to Attachment A for the Sampling Plan.</w:t>
      </w:r>
    </w:p>
    <w:p w14:paraId="3DE09D1D" w14:textId="77777777" w:rsidR="00B46F2C" w:rsidRPr="00B372FB" w:rsidRDefault="00B46F2C" w:rsidP="00A403BB">
      <w:pPr>
        <w:rPr>
          <w:rFonts w:ascii="Arial" w:hAnsi="Arial"/>
          <w:b/>
        </w:rPr>
      </w:pPr>
      <w:r w:rsidRPr="00B372FB">
        <w:rPr>
          <w:rFonts w:ascii="Arial" w:hAnsi="Arial"/>
          <w:b/>
        </w:rPr>
        <w:t>Administration of the Instrument</w:t>
      </w:r>
    </w:p>
    <w:p w14:paraId="6CF83C45" w14:textId="77777777"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14:paraId="0A2D2200" w14:textId="2356B336" w:rsidR="00B46F2C" w:rsidRPr="00B372FB" w:rsidRDefault="00B46F2C" w:rsidP="001B0AAA">
      <w:pPr>
        <w:ind w:left="720"/>
        <w:rPr>
          <w:rFonts w:ascii="Arial" w:hAnsi="Arial"/>
        </w:rPr>
      </w:pPr>
      <w:r w:rsidRPr="00B372FB">
        <w:rPr>
          <w:rFonts w:ascii="Arial" w:hAnsi="Arial"/>
        </w:rPr>
        <w:t xml:space="preserve">[ </w:t>
      </w:r>
      <w:r w:rsidR="00F6402D">
        <w:rPr>
          <w:rFonts w:ascii="Arial" w:hAnsi="Arial"/>
        </w:rPr>
        <w:t>X</w:t>
      </w:r>
      <w:r w:rsidRPr="00B372FB">
        <w:rPr>
          <w:rFonts w:ascii="Arial" w:hAnsi="Arial"/>
        </w:rPr>
        <w:t xml:space="preserve"> ] Web-based or other forms of Social Media </w:t>
      </w:r>
    </w:p>
    <w:p w14:paraId="007E0217" w14:textId="5025F10A" w:rsidR="00B46F2C" w:rsidRPr="00B372FB" w:rsidRDefault="00B46F2C" w:rsidP="001B0AAA">
      <w:pPr>
        <w:ind w:left="720"/>
        <w:rPr>
          <w:rFonts w:ascii="Arial" w:hAnsi="Arial"/>
        </w:rPr>
      </w:pPr>
      <w:r w:rsidRPr="00B372FB">
        <w:rPr>
          <w:rFonts w:ascii="Arial" w:hAnsi="Arial"/>
        </w:rPr>
        <w:t xml:space="preserve">[ </w:t>
      </w:r>
      <w:r w:rsidR="00F6402D">
        <w:rPr>
          <w:rFonts w:ascii="Arial" w:hAnsi="Arial"/>
        </w:rPr>
        <w:t>X</w:t>
      </w:r>
      <w:r w:rsidRPr="00B372FB">
        <w:rPr>
          <w:rFonts w:ascii="Arial" w:hAnsi="Arial"/>
        </w:rPr>
        <w:t xml:space="preserve"> ] Telephone</w:t>
      </w:r>
      <w:r w:rsidRPr="00B372FB">
        <w:rPr>
          <w:rFonts w:ascii="Arial" w:hAnsi="Arial"/>
        </w:rPr>
        <w:tab/>
      </w:r>
    </w:p>
    <w:p w14:paraId="7D22E6A5" w14:textId="325E5883" w:rsidR="00B46F2C" w:rsidRPr="00B372FB" w:rsidRDefault="00B46F2C" w:rsidP="001B0AAA">
      <w:pPr>
        <w:ind w:left="720"/>
        <w:rPr>
          <w:rFonts w:ascii="Arial" w:hAnsi="Arial"/>
        </w:rPr>
      </w:pPr>
      <w:r w:rsidRPr="00B372FB">
        <w:rPr>
          <w:rFonts w:ascii="Arial" w:hAnsi="Arial"/>
        </w:rPr>
        <w:t xml:space="preserve">[ </w:t>
      </w:r>
      <w:r w:rsidR="00F6402D">
        <w:rPr>
          <w:rFonts w:ascii="Arial" w:hAnsi="Arial"/>
        </w:rPr>
        <w:t>X</w:t>
      </w:r>
      <w:r w:rsidRPr="00B372FB">
        <w:rPr>
          <w:rFonts w:ascii="Arial" w:hAnsi="Arial"/>
        </w:rPr>
        <w:t xml:space="preserve"> ] In-person</w:t>
      </w:r>
      <w:r w:rsidRPr="00B372FB">
        <w:rPr>
          <w:rFonts w:ascii="Arial" w:hAnsi="Arial"/>
        </w:rPr>
        <w:tab/>
      </w:r>
    </w:p>
    <w:p w14:paraId="3EF75449" w14:textId="77777777" w:rsidR="00B46F2C" w:rsidRPr="00B372FB" w:rsidRDefault="00B46F2C" w:rsidP="001B0AAA">
      <w:pPr>
        <w:ind w:left="720"/>
        <w:rPr>
          <w:rFonts w:ascii="Arial" w:hAnsi="Arial"/>
        </w:rPr>
      </w:pPr>
      <w:r w:rsidRPr="00B372FB">
        <w:rPr>
          <w:rFonts w:ascii="Arial" w:hAnsi="Arial"/>
        </w:rPr>
        <w:t xml:space="preserve">[  ] Mail </w:t>
      </w:r>
    </w:p>
    <w:p w14:paraId="31693BC7" w14:textId="77777777" w:rsidR="00B46F2C" w:rsidRPr="00B372FB" w:rsidRDefault="00B46F2C" w:rsidP="001B0AAA">
      <w:pPr>
        <w:ind w:left="720"/>
        <w:rPr>
          <w:rFonts w:ascii="Arial" w:hAnsi="Arial"/>
        </w:rPr>
      </w:pPr>
      <w:r w:rsidRPr="00B372FB">
        <w:rPr>
          <w:rFonts w:ascii="Arial" w:hAnsi="Arial"/>
        </w:rPr>
        <w:t>[  ] Other, Explain</w:t>
      </w:r>
    </w:p>
    <w:p w14:paraId="2D27112B" w14:textId="0EF279D1" w:rsidR="00B46F2C" w:rsidRPr="00B372FB" w:rsidRDefault="00B46F2C" w:rsidP="00F24CFC">
      <w:pPr>
        <w:pStyle w:val="ListParagraph"/>
        <w:numPr>
          <w:ilvl w:val="0"/>
          <w:numId w:val="17"/>
        </w:numPr>
        <w:rPr>
          <w:rFonts w:ascii="Arial" w:hAnsi="Arial"/>
        </w:rPr>
      </w:pPr>
      <w:r w:rsidRPr="00B372FB">
        <w:rPr>
          <w:rFonts w:ascii="Arial" w:hAnsi="Arial"/>
        </w:rPr>
        <w:t>Will interviewers or facilitators be used?  [</w:t>
      </w:r>
      <w:r w:rsidR="00F6402D">
        <w:rPr>
          <w:rFonts w:ascii="Arial" w:hAnsi="Arial"/>
        </w:rPr>
        <w:t xml:space="preserve"> X</w:t>
      </w:r>
      <w:r w:rsidRPr="00B372FB">
        <w:rPr>
          <w:rFonts w:ascii="Arial" w:hAnsi="Arial"/>
        </w:rPr>
        <w:t xml:space="preserve"> ] Yes [  ] No</w:t>
      </w:r>
    </w:p>
    <w:p w14:paraId="4659F11C" w14:textId="2C80CAB6" w:rsidR="00B46F2C" w:rsidRPr="00BF5370" w:rsidRDefault="705614A5" w:rsidP="00BF5370">
      <w:pPr>
        <w:rPr>
          <w:rFonts w:ascii="Arial" w:hAnsi="Arial"/>
          <w:b/>
          <w:bCs/>
        </w:rPr>
      </w:pPr>
      <w:r w:rsidRPr="00BF5370">
        <w:rPr>
          <w:rFonts w:ascii="Arial" w:hAnsi="Arial"/>
          <w:b/>
          <w:bCs/>
        </w:rPr>
        <w:t>Please make sure all instruments, instructions, and scripts are submitted with the request.</w:t>
      </w:r>
    </w:p>
    <w:p w14:paraId="2FA1F202" w14:textId="69AC39FD" w:rsidR="705614A5" w:rsidRDefault="705614A5" w:rsidP="705614A5">
      <w:r w:rsidRPr="705614A5">
        <w:rPr>
          <w:rFonts w:ascii="Arial" w:eastAsia="Arial" w:hAnsi="Arial" w:cs="Arial"/>
          <w:b/>
          <w:bCs/>
        </w:rPr>
        <w:t>Documentation (Supporting Statements A and B) and Attachments:</w:t>
      </w:r>
    </w:p>
    <w:p w14:paraId="659A91F9" w14:textId="77777777" w:rsidR="00DB5C72" w:rsidRPr="00DB5C72" w:rsidRDefault="00DB5C72" w:rsidP="00BF5370">
      <w:pPr>
        <w:numPr>
          <w:ilvl w:val="0"/>
          <w:numId w:val="21"/>
        </w:numPr>
        <w:spacing w:after="0"/>
        <w:rPr>
          <w:rFonts w:ascii="Arial" w:eastAsia="Arial" w:hAnsi="Arial" w:cs="Arial"/>
          <w:bCs/>
        </w:rPr>
      </w:pPr>
      <w:r w:rsidRPr="00DB5C72">
        <w:rPr>
          <w:rFonts w:ascii="Arial" w:eastAsia="Arial" w:hAnsi="Arial" w:cs="Arial"/>
          <w:bCs/>
        </w:rPr>
        <w:t>Sampling Plan</w:t>
      </w:r>
    </w:p>
    <w:p w14:paraId="75DEDB26" w14:textId="77777777" w:rsidR="00DB5C72" w:rsidRPr="00DB5C72" w:rsidRDefault="00DB5C72" w:rsidP="00BF5370">
      <w:pPr>
        <w:numPr>
          <w:ilvl w:val="0"/>
          <w:numId w:val="21"/>
        </w:numPr>
        <w:spacing w:after="0"/>
        <w:rPr>
          <w:rFonts w:ascii="Arial" w:eastAsia="Arial" w:hAnsi="Arial" w:cs="Arial"/>
          <w:bCs/>
        </w:rPr>
      </w:pPr>
      <w:r w:rsidRPr="00DB5C72">
        <w:rPr>
          <w:rFonts w:ascii="Arial" w:eastAsia="Arial" w:hAnsi="Arial" w:cs="Arial"/>
          <w:bCs/>
        </w:rPr>
        <w:t>Recruitment Materials</w:t>
      </w:r>
    </w:p>
    <w:p w14:paraId="018A2BA8" w14:textId="77777777" w:rsidR="00DB5C72" w:rsidRPr="00DB5C72" w:rsidRDefault="00DB5C72" w:rsidP="00BF5370">
      <w:pPr>
        <w:numPr>
          <w:ilvl w:val="0"/>
          <w:numId w:val="21"/>
        </w:numPr>
        <w:spacing w:after="0"/>
        <w:rPr>
          <w:rFonts w:ascii="Arial" w:eastAsia="Arial" w:hAnsi="Arial" w:cs="Arial"/>
          <w:bCs/>
        </w:rPr>
      </w:pPr>
      <w:r w:rsidRPr="00DB5C72">
        <w:rPr>
          <w:rFonts w:ascii="Arial" w:eastAsia="Arial" w:hAnsi="Arial" w:cs="Arial"/>
          <w:bCs/>
        </w:rPr>
        <w:t>Screener</w:t>
      </w:r>
    </w:p>
    <w:p w14:paraId="2CB98068" w14:textId="77777777" w:rsidR="00DB5C72" w:rsidRPr="00DB5C72" w:rsidRDefault="00DB5C72" w:rsidP="00BF5370">
      <w:pPr>
        <w:numPr>
          <w:ilvl w:val="0"/>
          <w:numId w:val="21"/>
        </w:numPr>
        <w:spacing w:after="0"/>
        <w:rPr>
          <w:rFonts w:ascii="Arial" w:eastAsia="Arial" w:hAnsi="Arial" w:cs="Arial"/>
          <w:bCs/>
        </w:rPr>
      </w:pPr>
      <w:r w:rsidRPr="00DB5C72">
        <w:rPr>
          <w:rFonts w:ascii="Arial" w:eastAsia="Arial" w:hAnsi="Arial" w:cs="Arial"/>
          <w:bCs/>
        </w:rPr>
        <w:t>Consent forms</w:t>
      </w:r>
    </w:p>
    <w:p w14:paraId="637FEE59" w14:textId="77777777" w:rsidR="00DB5C72" w:rsidRPr="00DB5C72" w:rsidRDefault="00DB5C72" w:rsidP="00BF5370">
      <w:pPr>
        <w:numPr>
          <w:ilvl w:val="0"/>
          <w:numId w:val="21"/>
        </w:numPr>
        <w:spacing w:after="0"/>
        <w:rPr>
          <w:rFonts w:ascii="Arial" w:eastAsia="Arial" w:hAnsi="Arial" w:cs="Arial"/>
          <w:bCs/>
        </w:rPr>
      </w:pPr>
      <w:r w:rsidRPr="00DB5C72">
        <w:rPr>
          <w:rFonts w:ascii="Arial" w:eastAsia="Arial" w:hAnsi="Arial" w:cs="Arial"/>
          <w:bCs/>
        </w:rPr>
        <w:t>CDC Foodborne Outbreak Knowledge and Practices FG Moderator Guide</w:t>
      </w:r>
    </w:p>
    <w:p w14:paraId="3DE7A622" w14:textId="77777777" w:rsidR="00DB5C72" w:rsidRPr="00DB5C72" w:rsidRDefault="00DB5C72" w:rsidP="00BF5370">
      <w:pPr>
        <w:numPr>
          <w:ilvl w:val="0"/>
          <w:numId w:val="21"/>
        </w:numPr>
        <w:spacing w:after="0"/>
        <w:rPr>
          <w:rFonts w:ascii="Arial" w:eastAsia="Arial" w:hAnsi="Arial" w:cs="Arial"/>
          <w:bCs/>
        </w:rPr>
      </w:pPr>
      <w:r w:rsidRPr="00DB5C72">
        <w:rPr>
          <w:rFonts w:ascii="Arial" w:eastAsia="Arial" w:hAnsi="Arial" w:cs="Arial"/>
          <w:bCs/>
        </w:rPr>
        <w:t>CDC Foodborne Message Test FG Guide &amp; Cognitive Interview</w:t>
      </w:r>
    </w:p>
    <w:p w14:paraId="7ADD47C1" w14:textId="77777777" w:rsidR="00DB5C72" w:rsidRPr="00DB5C72" w:rsidRDefault="00DB5C72" w:rsidP="00BF5370">
      <w:pPr>
        <w:numPr>
          <w:ilvl w:val="0"/>
          <w:numId w:val="21"/>
        </w:numPr>
        <w:spacing w:after="0"/>
        <w:rPr>
          <w:rFonts w:ascii="Arial" w:eastAsia="Arial" w:hAnsi="Arial" w:cs="Arial"/>
          <w:bCs/>
        </w:rPr>
      </w:pPr>
      <w:r w:rsidRPr="00DB5C72">
        <w:rPr>
          <w:rFonts w:ascii="Arial" w:eastAsia="Arial" w:hAnsi="Arial" w:cs="Arial"/>
          <w:bCs/>
        </w:rPr>
        <w:t>Messages to Test</w:t>
      </w:r>
    </w:p>
    <w:p w14:paraId="1616BC6A" w14:textId="652E28AB" w:rsidR="00DB5C72" w:rsidRDefault="00DB5C72" w:rsidP="00BF5370">
      <w:pPr>
        <w:numPr>
          <w:ilvl w:val="0"/>
          <w:numId w:val="21"/>
        </w:numPr>
        <w:spacing w:after="0"/>
        <w:rPr>
          <w:rFonts w:ascii="Arial" w:eastAsia="Arial" w:hAnsi="Arial" w:cs="Arial"/>
          <w:bCs/>
        </w:rPr>
      </w:pPr>
      <w:r w:rsidRPr="00DB5C72">
        <w:rPr>
          <w:rFonts w:ascii="Arial" w:eastAsia="Arial" w:hAnsi="Arial" w:cs="Arial"/>
          <w:bCs/>
        </w:rPr>
        <w:t>CDC non-research determination</w:t>
      </w:r>
    </w:p>
    <w:p w14:paraId="36DB07BB" w14:textId="77777777" w:rsidR="00BF5370" w:rsidRPr="00DB5C72" w:rsidRDefault="00BF5370" w:rsidP="00BF5370">
      <w:pPr>
        <w:spacing w:after="0"/>
        <w:rPr>
          <w:rFonts w:ascii="Arial" w:eastAsia="Arial" w:hAnsi="Arial" w:cs="Arial"/>
          <w:bCs/>
        </w:rPr>
      </w:pPr>
    </w:p>
    <w:p w14:paraId="62189393" w14:textId="3C036640" w:rsidR="705614A5" w:rsidRPr="009C1714" w:rsidRDefault="009C1714" w:rsidP="705614A5">
      <w:pPr>
        <w:rPr>
          <w:rFonts w:ascii="Arial" w:eastAsia="Arial" w:hAnsi="Arial" w:cs="Arial"/>
          <w:b/>
          <w:bCs/>
        </w:rPr>
      </w:pPr>
      <w:r w:rsidRPr="009C1714">
        <w:rPr>
          <w:rFonts w:ascii="Arial" w:eastAsia="Arial" w:hAnsi="Arial" w:cs="Arial"/>
          <w:b/>
          <w:bCs/>
        </w:rPr>
        <w:t>References</w:t>
      </w:r>
    </w:p>
    <w:p w14:paraId="1EE97BAE" w14:textId="77777777" w:rsidR="009C1714" w:rsidRPr="009C1714" w:rsidRDefault="009C1714" w:rsidP="009C1714">
      <w:pPr>
        <w:ind w:left="720" w:hanging="720"/>
        <w:rPr>
          <w:rFonts w:ascii="Arial" w:eastAsia="Arial" w:hAnsi="Arial" w:cs="Arial"/>
          <w:bCs/>
        </w:rPr>
      </w:pPr>
      <w:r w:rsidRPr="009C1714">
        <w:rPr>
          <w:rFonts w:ascii="Arial" w:eastAsia="Arial" w:hAnsi="Arial" w:cs="Arial"/>
          <w:bCs/>
        </w:rPr>
        <w:t xml:space="preserve">Abreu, D. A., &amp; Winters, F. (1999). Using monetary incentives to reduce attrition in the survey of income and program participation. Proceedings of the Survey Research Methods Section of the American Statistical Association. </w:t>
      </w:r>
    </w:p>
    <w:p w14:paraId="26CF8F6F" w14:textId="77777777" w:rsidR="009C1714" w:rsidRPr="009C1714" w:rsidRDefault="009C1714" w:rsidP="009C1714">
      <w:pPr>
        <w:ind w:left="720" w:hanging="720"/>
        <w:rPr>
          <w:rFonts w:ascii="Arial" w:eastAsia="Arial" w:hAnsi="Arial" w:cs="Arial"/>
          <w:bCs/>
        </w:rPr>
      </w:pPr>
      <w:r w:rsidRPr="009C1714">
        <w:rPr>
          <w:rFonts w:ascii="Arial" w:eastAsia="Arial" w:hAnsi="Arial" w:cs="Arial"/>
          <w:bCs/>
        </w:rPr>
        <w:t xml:space="preserve">Centers for Disease Control and Prevention (2018, February 16). Foodborne Illnesses and Germs. Retrieved from https://www.cdc.gov/foodsafety/foodborne-germs.html </w:t>
      </w:r>
    </w:p>
    <w:p w14:paraId="3A6DFEEF" w14:textId="77777777" w:rsidR="009C1714" w:rsidRPr="009C1714" w:rsidRDefault="009C1714" w:rsidP="009C1714">
      <w:pPr>
        <w:ind w:left="720" w:hanging="720"/>
        <w:rPr>
          <w:rFonts w:ascii="Arial" w:eastAsia="Arial" w:hAnsi="Arial" w:cs="Arial"/>
          <w:bCs/>
        </w:rPr>
      </w:pPr>
      <w:r w:rsidRPr="009C1714">
        <w:rPr>
          <w:rFonts w:ascii="Arial" w:eastAsia="Arial" w:hAnsi="Arial" w:cs="Arial"/>
          <w:bCs/>
        </w:rPr>
        <w:t xml:space="preserve">Hoffmann, Sandra, Michael B. Batz, and J. G. Morris. (2012). Annual cost of illness and quality-adjusted life year losses in the united states due to 14 foodborne pathogens. Journal of food protection 75(7) (07), 1292-302. Retrieved from http://proxygw.wrlc.org/login?url=https://search-proquest-com.proxygw.wrlc.org/docview/1024158105?accountid=11243 (accessed August 14, 2018). </w:t>
      </w:r>
    </w:p>
    <w:p w14:paraId="1655F7C5" w14:textId="36E55F2F" w:rsidR="705614A5" w:rsidRDefault="009C1714" w:rsidP="009C1714">
      <w:pPr>
        <w:ind w:left="720" w:hanging="720"/>
        <w:rPr>
          <w:rFonts w:ascii="Arial" w:eastAsia="Arial" w:hAnsi="Arial" w:cs="Arial"/>
          <w:bCs/>
        </w:rPr>
      </w:pPr>
      <w:r w:rsidRPr="009C1714">
        <w:rPr>
          <w:rFonts w:ascii="Arial" w:eastAsia="Arial" w:hAnsi="Arial" w:cs="Arial"/>
          <w:bCs/>
        </w:rPr>
        <w:t>Shettle, C., &amp; Mooney, G. (1999). Monetary incentives in U.S. government surveys. Journal of Official Statistics, 15, 231–250.</w:t>
      </w:r>
    </w:p>
    <w:p w14:paraId="188165BE" w14:textId="77777777" w:rsidR="009C1714" w:rsidRPr="009C1714" w:rsidRDefault="009C1714" w:rsidP="009C1714">
      <w:pPr>
        <w:rPr>
          <w:rFonts w:ascii="Arial" w:eastAsia="Arial" w:hAnsi="Arial" w:cs="Arial"/>
          <w:bCs/>
        </w:rPr>
      </w:pPr>
    </w:p>
    <w:p w14:paraId="3798C522" w14:textId="77777777" w:rsidR="00BF5370" w:rsidRDefault="00BF5370">
      <w:pPr>
        <w:rPr>
          <w:rFonts w:ascii="Arial" w:eastAsiaTheme="majorEastAsia" w:hAnsi="Arial" w:cstheme="majorBidi"/>
          <w:sz w:val="28"/>
          <w:szCs w:val="32"/>
        </w:rPr>
      </w:pPr>
      <w:r>
        <w:rPr>
          <w:rFonts w:ascii="Arial" w:hAnsi="Arial"/>
          <w:sz w:val="28"/>
        </w:rPr>
        <w:br w:type="page"/>
      </w:r>
    </w:p>
    <w:p w14:paraId="0383A84D" w14:textId="19C50D37" w:rsidR="00A13253" w:rsidRDefault="00B46F2C" w:rsidP="00F24CFC">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14:paraId="6CDC3F60" w14:textId="77777777"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14:paraId="587848EC" w14:textId="77777777" w:rsidR="00B85006" w:rsidRDefault="00B85006" w:rsidP="00F24CFC">
      <w:pPr>
        <w:rPr>
          <w:rFonts w:ascii="Arial" w:hAnsi="Arial"/>
          <w:b/>
        </w:rPr>
      </w:pPr>
    </w:p>
    <w:p w14:paraId="19927A1A" w14:textId="77777777" w:rsidR="00B46F2C" w:rsidRPr="00B372FB" w:rsidRDefault="00E2594A" w:rsidP="00F24CFC">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anchorId="41A58419" wp14:editId="05C981E9">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57C5E59C">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e of Tilte - Page 3" o:spid="_x0000_s1026" o:allowincell="f" strokeweight="1.5pt" from="0,0" to="468pt,0" w14:anchorId="0F0BB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w:pict>
          </mc:Fallback>
        </mc:AlternateContent>
      </w:r>
      <w:r w:rsidR="00B46F2C" w:rsidRPr="00B372FB">
        <w:rPr>
          <w:rFonts w:ascii="Arial" w:hAnsi="Arial"/>
          <w:b/>
        </w:rPr>
        <w:t>TITLE OF INFORMATION COLLECTION:</w:t>
      </w:r>
      <w:r w:rsidR="00B46F2C" w:rsidRPr="00B372FB">
        <w:rPr>
          <w:rFonts w:ascii="Arial" w:hAnsi="Arial"/>
        </w:rPr>
        <w:t xml:space="preserve">  Provide the name of the collection that is request</w:t>
      </w:r>
      <w:r w:rsidR="00C1435C">
        <w:rPr>
          <w:rFonts w:ascii="Arial" w:hAnsi="Arial"/>
        </w:rPr>
        <w:t>ed</w:t>
      </w:r>
      <w:r w:rsidR="00B46F2C" w:rsidRPr="00B372FB">
        <w:rPr>
          <w:rFonts w:ascii="Arial" w:hAnsi="Arial"/>
        </w:rPr>
        <w:t xml:space="preserve">. </w:t>
      </w:r>
    </w:p>
    <w:p w14:paraId="2362EE4B" w14:textId="77777777" w:rsidR="00B46F2C" w:rsidRPr="00B372FB" w:rsidRDefault="00B46F2C"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14:paraId="255C8B97" w14:textId="77777777" w:rsidR="00B46F2C" w:rsidRPr="00B372FB" w:rsidRDefault="00B46F2C"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14:paraId="6A63D940" w14:textId="77777777"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14:paraId="13924B56" w14:textId="77777777" w:rsidR="00B46F2C" w:rsidRPr="00B372FB"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14:paraId="6E60E8F9" w14:textId="77777777"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14:paraId="16D68448" w14:textId="77777777" w:rsidR="00B46F2C" w:rsidRPr="00B372FB" w:rsidRDefault="00B46F2C" w:rsidP="00F24CFC">
      <w:pPr>
        <w:rPr>
          <w:rFonts w:ascii="Arial" w:hAnsi="Arial"/>
          <w:b/>
        </w:rPr>
      </w:pPr>
    </w:p>
    <w:p w14:paraId="3E9D8051" w14:textId="77777777" w:rsidR="00B46F2C" w:rsidRPr="00B372FB" w:rsidRDefault="00B46F2C" w:rsidP="00F24CFC">
      <w:pPr>
        <w:rPr>
          <w:rFonts w:ascii="Arial" w:hAnsi="Arial"/>
          <w:b/>
        </w:rPr>
      </w:pPr>
      <w:r w:rsidRPr="00B372FB">
        <w:rPr>
          <w:rFonts w:ascii="Arial" w:hAnsi="Arial"/>
          <w:b/>
        </w:rPr>
        <w:t>BURDEN HOURS:</w:t>
      </w:r>
    </w:p>
    <w:p w14:paraId="3B508C2D" w14:textId="77777777"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14:paraId="1C1E71A4" w14:textId="77777777"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14:paraId="56FA6B81" w14:textId="77777777"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14:paraId="5FFB2647" w14:textId="77777777" w:rsidR="00B46F2C" w:rsidRPr="00B372FB" w:rsidRDefault="00B46F2C"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14:paraId="40F859A5" w14:textId="77777777" w:rsidR="00B46F2C" w:rsidRPr="00B372FB"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14:paraId="1293DF58" w14:textId="77777777" w:rsidR="00B46F2C" w:rsidRPr="00B372FB" w:rsidRDefault="00B46F2C" w:rsidP="00F24CFC">
      <w:pPr>
        <w:rPr>
          <w:rFonts w:ascii="Arial" w:hAnsi="Arial"/>
          <w:b/>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14:paraId="4DEBE29F" w14:textId="77777777"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14:paraId="6D61DBAE" w14:textId="77777777" w:rsidR="00B46F2C" w:rsidRPr="00B372FB"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14:paraId="5E358DF5" w14:textId="77777777" w:rsidR="00B46F2C" w:rsidRPr="00B372FB"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356084">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A2ADE" w14:textId="77777777" w:rsidR="00B87053" w:rsidRDefault="00B87053">
      <w:r>
        <w:separator/>
      </w:r>
    </w:p>
  </w:endnote>
  <w:endnote w:type="continuationSeparator" w:id="0">
    <w:p w14:paraId="45FCC735" w14:textId="77777777" w:rsidR="00B87053" w:rsidRDefault="00B8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8DC61" w14:textId="66657E20"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0590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3A4A3" w14:textId="77777777" w:rsidR="00B87053" w:rsidRDefault="00B87053">
      <w:r>
        <w:separator/>
      </w:r>
    </w:p>
  </w:footnote>
  <w:footnote w:type="continuationSeparator" w:id="0">
    <w:p w14:paraId="0772DC5A" w14:textId="77777777" w:rsidR="00B87053" w:rsidRDefault="00B87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DF5CA" w14:textId="77777777" w:rsidR="001E5F40" w:rsidRDefault="001E5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2C76AF4"/>
    <w:multiLevelType w:val="hybridMultilevel"/>
    <w:tmpl w:val="B6CA1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23366B"/>
    <w:multiLevelType w:val="hybridMultilevel"/>
    <w:tmpl w:val="B9B0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8"/>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813E7"/>
    <w:rsid w:val="000B2838"/>
    <w:rsid w:val="000B7126"/>
    <w:rsid w:val="000D44CA"/>
    <w:rsid w:val="000E200B"/>
    <w:rsid w:val="000F2E80"/>
    <w:rsid w:val="000F68BE"/>
    <w:rsid w:val="00114CB0"/>
    <w:rsid w:val="001406B5"/>
    <w:rsid w:val="001927A4"/>
    <w:rsid w:val="00194AC6"/>
    <w:rsid w:val="001A23B0"/>
    <w:rsid w:val="001A25CC"/>
    <w:rsid w:val="001B0AAA"/>
    <w:rsid w:val="001B3E3F"/>
    <w:rsid w:val="001C39F7"/>
    <w:rsid w:val="001D0776"/>
    <w:rsid w:val="001E5F40"/>
    <w:rsid w:val="001F135F"/>
    <w:rsid w:val="001F714E"/>
    <w:rsid w:val="00237B48"/>
    <w:rsid w:val="0024521E"/>
    <w:rsid w:val="00263C3D"/>
    <w:rsid w:val="00274D0B"/>
    <w:rsid w:val="00275BD5"/>
    <w:rsid w:val="002821FF"/>
    <w:rsid w:val="002B3C95"/>
    <w:rsid w:val="002C4A99"/>
    <w:rsid w:val="002D0B92"/>
    <w:rsid w:val="002F2EF9"/>
    <w:rsid w:val="00303F23"/>
    <w:rsid w:val="00356084"/>
    <w:rsid w:val="003675DB"/>
    <w:rsid w:val="003C0B83"/>
    <w:rsid w:val="003D5BBE"/>
    <w:rsid w:val="003E3C61"/>
    <w:rsid w:val="003F1C5B"/>
    <w:rsid w:val="00403CC4"/>
    <w:rsid w:val="0041337D"/>
    <w:rsid w:val="00434E33"/>
    <w:rsid w:val="004353A1"/>
    <w:rsid w:val="00441434"/>
    <w:rsid w:val="0045264C"/>
    <w:rsid w:val="00460DA6"/>
    <w:rsid w:val="004876EC"/>
    <w:rsid w:val="004A1DF0"/>
    <w:rsid w:val="004B7460"/>
    <w:rsid w:val="004C699B"/>
    <w:rsid w:val="004D6E14"/>
    <w:rsid w:val="005009B0"/>
    <w:rsid w:val="00512CA7"/>
    <w:rsid w:val="00534726"/>
    <w:rsid w:val="005A1006"/>
    <w:rsid w:val="005D46C6"/>
    <w:rsid w:val="005E714A"/>
    <w:rsid w:val="0060080C"/>
    <w:rsid w:val="006140A0"/>
    <w:rsid w:val="00631AC4"/>
    <w:rsid w:val="00636621"/>
    <w:rsid w:val="00642B49"/>
    <w:rsid w:val="006832D9"/>
    <w:rsid w:val="0069403B"/>
    <w:rsid w:val="006B51B1"/>
    <w:rsid w:val="006C2E92"/>
    <w:rsid w:val="006C7255"/>
    <w:rsid w:val="006E12B5"/>
    <w:rsid w:val="006F3DDE"/>
    <w:rsid w:val="00704678"/>
    <w:rsid w:val="007425E7"/>
    <w:rsid w:val="00752F84"/>
    <w:rsid w:val="007B590B"/>
    <w:rsid w:val="007F0DBD"/>
    <w:rsid w:val="00802607"/>
    <w:rsid w:val="008101A5"/>
    <w:rsid w:val="00822664"/>
    <w:rsid w:val="00840FCA"/>
    <w:rsid w:val="00843796"/>
    <w:rsid w:val="00846B36"/>
    <w:rsid w:val="00860619"/>
    <w:rsid w:val="00867D7A"/>
    <w:rsid w:val="00885E36"/>
    <w:rsid w:val="00895229"/>
    <w:rsid w:val="008B5E18"/>
    <w:rsid w:val="008F0203"/>
    <w:rsid w:val="008F50D4"/>
    <w:rsid w:val="009239AA"/>
    <w:rsid w:val="00935ADA"/>
    <w:rsid w:val="00946B6C"/>
    <w:rsid w:val="00955A71"/>
    <w:rsid w:val="0096108F"/>
    <w:rsid w:val="00984C2D"/>
    <w:rsid w:val="009C13B9"/>
    <w:rsid w:val="009C1714"/>
    <w:rsid w:val="009D01A2"/>
    <w:rsid w:val="009D6FCC"/>
    <w:rsid w:val="009E780D"/>
    <w:rsid w:val="009F5923"/>
    <w:rsid w:val="00A13253"/>
    <w:rsid w:val="00A132F2"/>
    <w:rsid w:val="00A403BB"/>
    <w:rsid w:val="00A4273F"/>
    <w:rsid w:val="00A674DF"/>
    <w:rsid w:val="00A83AA6"/>
    <w:rsid w:val="00AA7668"/>
    <w:rsid w:val="00AD2806"/>
    <w:rsid w:val="00AE1809"/>
    <w:rsid w:val="00AF2047"/>
    <w:rsid w:val="00B0590E"/>
    <w:rsid w:val="00B05CC3"/>
    <w:rsid w:val="00B2481B"/>
    <w:rsid w:val="00B32007"/>
    <w:rsid w:val="00B32078"/>
    <w:rsid w:val="00B372FB"/>
    <w:rsid w:val="00B46178"/>
    <w:rsid w:val="00B46985"/>
    <w:rsid w:val="00B46F2C"/>
    <w:rsid w:val="00B54D83"/>
    <w:rsid w:val="00B80D76"/>
    <w:rsid w:val="00B85006"/>
    <w:rsid w:val="00B87053"/>
    <w:rsid w:val="00BA2105"/>
    <w:rsid w:val="00BA7E06"/>
    <w:rsid w:val="00BB43B5"/>
    <w:rsid w:val="00BB6219"/>
    <w:rsid w:val="00BD290F"/>
    <w:rsid w:val="00BF5370"/>
    <w:rsid w:val="00C1435C"/>
    <w:rsid w:val="00C14CC4"/>
    <w:rsid w:val="00C248D9"/>
    <w:rsid w:val="00C33C52"/>
    <w:rsid w:val="00C40D8B"/>
    <w:rsid w:val="00C766A6"/>
    <w:rsid w:val="00C8407A"/>
    <w:rsid w:val="00C8488C"/>
    <w:rsid w:val="00C86E91"/>
    <w:rsid w:val="00CA2650"/>
    <w:rsid w:val="00CB1078"/>
    <w:rsid w:val="00CC6FAF"/>
    <w:rsid w:val="00D159EA"/>
    <w:rsid w:val="00D24698"/>
    <w:rsid w:val="00D36F05"/>
    <w:rsid w:val="00D6188E"/>
    <w:rsid w:val="00D6383F"/>
    <w:rsid w:val="00D71221"/>
    <w:rsid w:val="00D97DB9"/>
    <w:rsid w:val="00DA6C4F"/>
    <w:rsid w:val="00DB344C"/>
    <w:rsid w:val="00DB58B7"/>
    <w:rsid w:val="00DB59D0"/>
    <w:rsid w:val="00DB5C72"/>
    <w:rsid w:val="00DC33D3"/>
    <w:rsid w:val="00E2594A"/>
    <w:rsid w:val="00E26329"/>
    <w:rsid w:val="00E40B50"/>
    <w:rsid w:val="00E5015B"/>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4E61"/>
    <w:rsid w:val="00F45E35"/>
    <w:rsid w:val="00F6402D"/>
    <w:rsid w:val="00F976B0"/>
    <w:rsid w:val="00FA315E"/>
    <w:rsid w:val="00FA6DE7"/>
    <w:rsid w:val="00FC0A8E"/>
    <w:rsid w:val="00FE2FA6"/>
    <w:rsid w:val="00FE3DF2"/>
    <w:rsid w:val="0B8189B7"/>
    <w:rsid w:val="0E824157"/>
    <w:rsid w:val="5E38AB34"/>
    <w:rsid w:val="7056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FF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
        <AccountId xsi:nil="true"/>
        <AccountType/>
      </UserInfo>
    </Author>
    <ProjectStatus xmlns="46a72db5-e3f1-4035-b125-519a4329281d">Active</ProjectStatus>
    <BusinessType xmlns="46a72db5-e3f1-4035-b125-519a4329281d">-</BusinessType>
    <EurekaFactsDepartment xmlns="46a72db5-e3f1-4035-b125-519a4329281d" xsi:nil="true"/>
    <Clients xmlns="46a72db5-e3f1-4035-b125-519a4329281d" xsi:nil="true"/>
    <SharedWithUsers xmlns="46a72db5-e3f1-4035-b125-519a4329281d">
      <UserInfo>
        <DisplayName>Mila Sugovic</DisplayName>
        <AccountId>40</AccountId>
        <AccountType/>
      </UserInfo>
      <UserInfo>
        <DisplayName>Cecilia Teal</DisplayName>
        <AccountId>53</AccountId>
        <AccountType/>
      </UserInfo>
      <UserInfo>
        <DisplayName>Paul Schroeder</DisplayName>
        <AccountId>363</AccountId>
        <AccountType/>
      </UserInfo>
      <UserInfo>
        <DisplayName>Aysha Keisler</DisplayName>
        <AccountId>652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Project" ma:contentTypeID="0x0101004F5B36D944A006478242D60C7B7D27AE005D336A5E49A01C459F8D5B49E8706415" ma:contentTypeVersion="22" ma:contentTypeDescription="" ma:contentTypeScope="" ma:versionID="e8f07b561e4a639594cd7b093b0b1e92">
  <xsd:schema xmlns:xsd="http://www.w3.org/2001/XMLSchema" xmlns:xs="http://www.w3.org/2001/XMLSchema" xmlns:p="http://schemas.microsoft.com/office/2006/metadata/properties" xmlns:ns1="http://schemas.microsoft.com/sharepoint/v3" xmlns:ns2="46a72db5-e3f1-4035-b125-519a4329281d" xmlns:ns3="9210772e-d512-4d22-8fc0-f3b7c13dd852" targetNamespace="http://schemas.microsoft.com/office/2006/metadata/properties" ma:root="true" ma:fieldsID="c115cfd1f5f9fa4a3187d5931c21b40a" ns1:_="" ns2:_="" ns3:_="">
    <xsd:import namespace="http://schemas.microsoft.com/sharepoint/v3"/>
    <xsd:import namespace="46a72db5-e3f1-4035-b125-519a4329281d"/>
    <xsd:import namespace="9210772e-d512-4d22-8fc0-f3b7c13dd852"/>
    <xsd:element name="properties">
      <xsd:complexType>
        <xsd:sequence>
          <xsd:element name="documentManagement">
            <xsd:complexType>
              <xsd:all>
                <xsd:element ref="ns2:EurekaFactsDepartment" minOccurs="0"/>
                <xsd:element ref="ns2:Clients" minOccurs="0"/>
                <xsd:element ref="ns2:BusinessType" minOccurs="0"/>
                <xsd:element ref="ns2:ProjectStatus" minOccurs="0"/>
                <xsd:element ref="ns2:SharedWithUsers" minOccurs="0"/>
                <xsd:element ref="ns2:SharedWithDetails" minOccurs="0"/>
                <xsd:element ref="ns3:MediaServiceMetadata" minOccurs="0"/>
                <xsd:element ref="ns3:MediaServiceFastMetadata" minOccurs="0"/>
                <xsd:element ref="ns1:Author"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6"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a72db5-e3f1-4035-b125-519a4329281d" elementFormDefault="qualified">
    <xsd:import namespace="http://schemas.microsoft.com/office/2006/documentManagement/types"/>
    <xsd:import namespace="http://schemas.microsoft.com/office/infopath/2007/PartnerControls"/>
    <xsd:element name="EurekaFactsDepartment" ma:index="8" nillable="true" ma:displayName="EurekaFacts Department" ma:format="Dropdown" ma:internalName="EurekaFactsDepartment">
      <xsd:simpleType>
        <xsd:restriction base="dms:Choice">
          <xsd:enumeration value="Administration"/>
          <xsd:enumeration value="Analytics"/>
          <xsd:enumeration value="Business Development"/>
          <xsd:enumeration value="Customer Insights"/>
          <xsd:enumeration value="Public Affairs"/>
          <xsd:enumeration value="Marketing"/>
          <xsd:enumeration value="Transportation"/>
          <xsd:enumeration value="-"/>
        </xsd:restriction>
      </xsd:simpleType>
    </xsd:element>
    <xsd:element name="Clients" ma:index="9" nillable="true" ma:displayName="Client" ma:list="{0fcaa9ae-ae61-43ca-864f-29003a1b338a}" ma:internalName="Clients" ma:showField="Title" ma:web="46a72db5-e3f1-4035-b125-519a4329281d">
      <xsd:simpleType>
        <xsd:restriction base="dms:Lookup"/>
      </xsd:simpleType>
    </xsd:element>
    <xsd:element name="BusinessType" ma:index="10" nillable="true" ma:displayName="Project Type" ma:default="-" ma:format="Dropdown" ma:internalName="BusinessType">
      <xsd:simpleType>
        <xsd:restriction base="dms:Choice">
          <xsd:enumeration value="State"/>
          <xsd:enumeration value="8a"/>
          <xsd:enumeration value="Non- profit"/>
          <xsd:enumeration value="Commercial"/>
          <xsd:enumeration value="Federal Sub Contractor"/>
          <xsd:enumeration value="Federal Prime"/>
          <xsd:enumeration value="Pro bono"/>
          <xsd:enumeration value="GSA"/>
          <xsd:enumeration value="-"/>
        </xsd:restriction>
      </xsd:simpleType>
    </xsd:element>
    <xsd:element name="ProjectStatus" ma:index="11" nillable="true" ma:displayName="Project Status" ma:default="Active" ma:format="Dropdown" ma:internalName="ProjectStatus">
      <xsd:simpleType>
        <xsd:restriction base="dms:Choice">
          <xsd:enumeration value="Active"/>
          <xsd:enumeration value="Completed"/>
          <xsd:enumeration value="On Hold"/>
          <xsd:enumeration value="-"/>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10772e-d512-4d22-8fc0-f3b7c13dd85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30FCF-D1A3-41A2-BE71-F5BC65C017A6}">
  <ds:schemaRefs>
    <ds:schemaRef ds:uri="http://schemas.microsoft.com/sharepoint/v3/contenttype/forms"/>
  </ds:schemaRefs>
</ds:datastoreItem>
</file>

<file path=customXml/itemProps2.xml><?xml version="1.0" encoding="utf-8"?>
<ds:datastoreItem xmlns:ds="http://schemas.openxmlformats.org/officeDocument/2006/customXml" ds:itemID="{D41C368F-51FA-40DA-B985-DBC8280104F6}">
  <ds:schemaRefs>
    <ds:schemaRef ds:uri="http://schemas.microsoft.com/office/2006/metadata/properties"/>
    <ds:schemaRef ds:uri="http://schemas.microsoft.com/office/infopath/2007/PartnerControls"/>
    <ds:schemaRef ds:uri="http://schemas.microsoft.com/sharepoint/v3"/>
    <ds:schemaRef ds:uri="46a72db5-e3f1-4035-b125-519a4329281d"/>
  </ds:schemaRefs>
</ds:datastoreItem>
</file>

<file path=customXml/itemProps3.xml><?xml version="1.0" encoding="utf-8"?>
<ds:datastoreItem xmlns:ds="http://schemas.openxmlformats.org/officeDocument/2006/customXml" ds:itemID="{45589672-7F08-4A97-AAB0-886EF6800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a72db5-e3f1-4035-b125-519a4329281d"/>
    <ds:schemaRef ds:uri="9210772e-d512-4d22-8fc0-f3b7c13dd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2018-12-06T17:28:00Z</cp:lastPrinted>
  <dcterms:created xsi:type="dcterms:W3CDTF">2019-03-14T15:09:00Z</dcterms:created>
  <dcterms:modified xsi:type="dcterms:W3CDTF">2019-03-14T15:09:00Z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0x0101004F5B36D944A006478242D60C7B7D27AE005D336A5E49A01C459F8D5B49E8706415</vt:lpwstr>
  </property>
</Properties>
</file>