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7E245" w14:textId="77777777" w:rsidR="0024247A" w:rsidRPr="00EF4F67" w:rsidRDefault="0024247A" w:rsidP="00EF4F67">
      <w:pPr>
        <w:pStyle w:val="coverdate"/>
        <w:jc w:val="center"/>
        <w:rPr>
          <w:rFonts w:eastAsiaTheme="minorHAnsi" w:cs="Arial"/>
          <w:b/>
          <w:sz w:val="22"/>
          <w:szCs w:val="22"/>
        </w:rPr>
      </w:pPr>
      <w:bookmarkStart w:id="0" w:name="_GoBack"/>
      <w:bookmarkEnd w:id="0"/>
      <w:r w:rsidRPr="00EF4F67">
        <w:rPr>
          <w:rFonts w:eastAsiaTheme="minorHAnsi" w:cs="Arial"/>
          <w:b/>
          <w:sz w:val="22"/>
          <w:szCs w:val="22"/>
        </w:rPr>
        <w:t xml:space="preserve">CDC/ATSDR Formative Research and Tool Development </w:t>
      </w:r>
    </w:p>
    <w:p w14:paraId="21103B66" w14:textId="7B7D8F89" w:rsidR="0024247A" w:rsidRPr="00EF4F67" w:rsidRDefault="00FF548E" w:rsidP="00EF4F67">
      <w:pPr>
        <w:pStyle w:val="coverdate"/>
        <w:jc w:val="center"/>
        <w:rPr>
          <w:rFonts w:eastAsiaTheme="minorHAnsi" w:cs="Arial"/>
          <w:b/>
          <w:sz w:val="22"/>
          <w:szCs w:val="22"/>
        </w:rPr>
      </w:pPr>
      <w:r w:rsidRPr="00EF4F67">
        <w:rPr>
          <w:rFonts w:eastAsiaTheme="minorHAnsi" w:cs="Arial"/>
          <w:b/>
          <w:sz w:val="22"/>
          <w:szCs w:val="22"/>
        </w:rPr>
        <w:t xml:space="preserve">OMB# </w:t>
      </w:r>
      <w:r w:rsidR="0024247A" w:rsidRPr="00EF4F67">
        <w:rPr>
          <w:rFonts w:eastAsiaTheme="minorHAnsi" w:cs="Arial"/>
          <w:b/>
          <w:sz w:val="22"/>
          <w:szCs w:val="22"/>
        </w:rPr>
        <w:t>0920-1154</w:t>
      </w:r>
    </w:p>
    <w:p w14:paraId="60C8C2B5" w14:textId="2C879DC5" w:rsidR="00A57A11" w:rsidRPr="00EF4F67" w:rsidRDefault="00A57A11" w:rsidP="00EF4F67">
      <w:pPr>
        <w:pStyle w:val="coverdate"/>
        <w:jc w:val="center"/>
        <w:rPr>
          <w:rFonts w:eastAsiaTheme="minorHAnsi" w:cs="Arial"/>
          <w:b/>
          <w:sz w:val="22"/>
          <w:szCs w:val="22"/>
        </w:rPr>
      </w:pPr>
      <w:r w:rsidRPr="00EF4F67">
        <w:rPr>
          <w:rFonts w:eastAsiaTheme="minorHAnsi" w:cs="Arial"/>
          <w:b/>
          <w:sz w:val="22"/>
          <w:szCs w:val="22"/>
        </w:rPr>
        <w:t>Expiration Date 01/31/2020</w:t>
      </w:r>
    </w:p>
    <w:p w14:paraId="3A94CAC2" w14:textId="77777777" w:rsidR="00DE77EA" w:rsidRPr="002F172B" w:rsidRDefault="00DE77EA" w:rsidP="0024247A">
      <w:pPr>
        <w:jc w:val="center"/>
        <w:rPr>
          <w:rFonts w:ascii="Arial" w:hAnsi="Arial" w:cs="Arial"/>
          <w:b/>
        </w:rPr>
      </w:pPr>
    </w:p>
    <w:p w14:paraId="0D393E6A" w14:textId="77777777" w:rsidR="00211558" w:rsidRDefault="00211558" w:rsidP="00395775">
      <w:pPr>
        <w:pStyle w:val="coverdate"/>
        <w:jc w:val="center"/>
        <w:rPr>
          <w:rFonts w:cs="Arial"/>
          <w:b/>
          <w:noProof/>
          <w:sz w:val="24"/>
          <w:szCs w:val="24"/>
        </w:rPr>
      </w:pPr>
    </w:p>
    <w:p w14:paraId="63C3931A" w14:textId="77777777" w:rsidR="00EF4F67" w:rsidRPr="00395775" w:rsidRDefault="00EF4F67" w:rsidP="00395775">
      <w:pPr>
        <w:pStyle w:val="coverdate"/>
        <w:jc w:val="center"/>
        <w:rPr>
          <w:rFonts w:cs="Arial"/>
          <w:b/>
          <w:noProof/>
          <w:sz w:val="24"/>
          <w:szCs w:val="24"/>
        </w:rPr>
      </w:pPr>
    </w:p>
    <w:p w14:paraId="0D393E6D" w14:textId="6E7581B0" w:rsidR="00972DEF" w:rsidRPr="00395775" w:rsidRDefault="00384074" w:rsidP="00395775">
      <w:pPr>
        <w:pStyle w:val="coverdate"/>
        <w:jc w:val="center"/>
        <w:rPr>
          <w:rFonts w:cs="Arial"/>
          <w:b/>
          <w:noProof/>
          <w:sz w:val="24"/>
          <w:szCs w:val="24"/>
        </w:rPr>
      </w:pPr>
      <w:r w:rsidRPr="00395775">
        <w:rPr>
          <w:rFonts w:cs="Arial"/>
          <w:b/>
          <w:noProof/>
          <w:sz w:val="24"/>
          <w:szCs w:val="24"/>
        </w:rPr>
        <w:t>SUPPORTING STATEMENT:</w:t>
      </w:r>
      <w:r w:rsidR="00395775">
        <w:rPr>
          <w:rFonts w:cs="Arial"/>
          <w:b/>
          <w:noProof/>
          <w:sz w:val="24"/>
          <w:szCs w:val="24"/>
        </w:rPr>
        <w:t xml:space="preserve"> </w:t>
      </w:r>
      <w:r w:rsidRPr="00395775">
        <w:rPr>
          <w:rFonts w:cs="Arial"/>
          <w:b/>
          <w:noProof/>
          <w:sz w:val="24"/>
          <w:szCs w:val="24"/>
        </w:rPr>
        <w:t>PART A</w:t>
      </w:r>
    </w:p>
    <w:p w14:paraId="0D393E6F" w14:textId="77777777" w:rsidR="00972DEF" w:rsidRPr="00395775" w:rsidRDefault="00972DEF" w:rsidP="00395775">
      <w:pPr>
        <w:pStyle w:val="coverdate"/>
        <w:jc w:val="center"/>
        <w:rPr>
          <w:rFonts w:cs="Arial"/>
          <w:b/>
          <w:noProof/>
          <w:sz w:val="24"/>
          <w:szCs w:val="24"/>
        </w:rPr>
      </w:pPr>
    </w:p>
    <w:p w14:paraId="0D393E71" w14:textId="28F85298" w:rsidR="0092047B" w:rsidRPr="00395775" w:rsidRDefault="0092047B" w:rsidP="00395775">
      <w:pPr>
        <w:pStyle w:val="coverdate"/>
        <w:jc w:val="center"/>
        <w:rPr>
          <w:rFonts w:cs="Arial"/>
          <w:b/>
          <w:noProof/>
          <w:sz w:val="24"/>
          <w:szCs w:val="24"/>
        </w:rPr>
      </w:pPr>
    </w:p>
    <w:p w14:paraId="3DC1F32A" w14:textId="680735D7" w:rsidR="00A57A11" w:rsidRPr="00DD17B0" w:rsidRDefault="00A57A11" w:rsidP="00A57A11">
      <w:pPr>
        <w:jc w:val="center"/>
        <w:rPr>
          <w:rFonts w:ascii="Arial" w:hAnsi="Arial" w:cs="Arial"/>
          <w:noProof/>
        </w:rPr>
      </w:pPr>
      <w:r w:rsidRPr="00DD17B0">
        <w:rPr>
          <w:rFonts w:ascii="Arial" w:hAnsi="Arial" w:cs="Arial"/>
          <w:noProof/>
        </w:rPr>
        <w:t>Older Adult Mobility Ride Share (OAMRS)</w:t>
      </w:r>
    </w:p>
    <w:p w14:paraId="0D393E72" w14:textId="59855B19" w:rsidR="00972DEF" w:rsidRPr="00395775" w:rsidRDefault="00972DEF" w:rsidP="00395775">
      <w:pPr>
        <w:pStyle w:val="coverdate"/>
        <w:jc w:val="center"/>
        <w:rPr>
          <w:rFonts w:cs="Arial"/>
          <w:b/>
          <w:noProof/>
          <w:sz w:val="24"/>
          <w:szCs w:val="24"/>
        </w:rPr>
      </w:pPr>
    </w:p>
    <w:p w14:paraId="0D393E73" w14:textId="5860B604" w:rsidR="009901D4" w:rsidRPr="00395775" w:rsidRDefault="00EB7B79" w:rsidP="00395775">
      <w:pPr>
        <w:pStyle w:val="coverdate"/>
        <w:jc w:val="center"/>
        <w:rPr>
          <w:rFonts w:cs="Arial"/>
          <w:noProof/>
          <w:sz w:val="24"/>
          <w:szCs w:val="24"/>
        </w:rPr>
      </w:pPr>
      <w:r>
        <w:rPr>
          <w:rFonts w:cs="Arial"/>
          <w:noProof/>
          <w:sz w:val="24"/>
          <w:szCs w:val="24"/>
        </w:rPr>
        <w:t>March 2</w:t>
      </w:r>
      <w:r w:rsidR="00FB432B" w:rsidRPr="00DF0404">
        <w:rPr>
          <w:rFonts w:cs="Arial"/>
          <w:noProof/>
          <w:sz w:val="24"/>
          <w:szCs w:val="24"/>
        </w:rPr>
        <w:t>, 20</w:t>
      </w:r>
      <w:r w:rsidR="00DF0404" w:rsidRPr="00DF0404">
        <w:rPr>
          <w:rFonts w:cs="Arial"/>
          <w:noProof/>
          <w:sz w:val="24"/>
          <w:szCs w:val="24"/>
        </w:rPr>
        <w:t>1</w:t>
      </w:r>
      <w:r w:rsidR="00236EF1">
        <w:rPr>
          <w:rFonts w:cs="Arial"/>
          <w:noProof/>
          <w:sz w:val="24"/>
          <w:szCs w:val="24"/>
        </w:rPr>
        <w:t>8</w:t>
      </w:r>
    </w:p>
    <w:p w14:paraId="0D393E74" w14:textId="11338E00" w:rsidR="00E2294D" w:rsidRPr="00395775" w:rsidRDefault="00E2294D" w:rsidP="00395775">
      <w:pPr>
        <w:pStyle w:val="coverdate"/>
        <w:jc w:val="center"/>
        <w:rPr>
          <w:rFonts w:cs="Arial"/>
          <w:noProof/>
          <w:sz w:val="24"/>
          <w:szCs w:val="24"/>
          <w:highlight w:val="yellow"/>
        </w:rPr>
      </w:pPr>
    </w:p>
    <w:p w14:paraId="0D393E75" w14:textId="77777777" w:rsidR="009901D4" w:rsidRPr="00395775" w:rsidRDefault="009901D4" w:rsidP="00395775">
      <w:pPr>
        <w:pStyle w:val="coverdate"/>
        <w:jc w:val="center"/>
        <w:rPr>
          <w:rFonts w:cs="Arial"/>
          <w:noProof/>
          <w:sz w:val="24"/>
          <w:szCs w:val="24"/>
          <w:highlight w:val="yellow"/>
        </w:rPr>
      </w:pPr>
    </w:p>
    <w:p w14:paraId="0D393E76" w14:textId="77777777" w:rsidR="009901D4" w:rsidRPr="00395775" w:rsidRDefault="009901D4" w:rsidP="00395775">
      <w:pPr>
        <w:pStyle w:val="coverdate"/>
        <w:jc w:val="center"/>
        <w:rPr>
          <w:rFonts w:cs="Arial"/>
          <w:noProof/>
          <w:sz w:val="24"/>
          <w:szCs w:val="24"/>
          <w:highlight w:val="yellow"/>
        </w:rPr>
      </w:pPr>
    </w:p>
    <w:p w14:paraId="0D393E77" w14:textId="77777777" w:rsidR="00972DEF" w:rsidRPr="00395775" w:rsidRDefault="00972DEF" w:rsidP="00395775">
      <w:pPr>
        <w:pStyle w:val="coverdate"/>
        <w:jc w:val="center"/>
        <w:rPr>
          <w:rFonts w:cs="Arial"/>
          <w:noProof/>
          <w:sz w:val="24"/>
          <w:szCs w:val="24"/>
          <w:highlight w:val="yellow"/>
        </w:rPr>
      </w:pPr>
    </w:p>
    <w:p w14:paraId="0D393E78" w14:textId="77777777" w:rsidR="00972DEF" w:rsidRPr="00395775" w:rsidRDefault="00972DEF" w:rsidP="00395775">
      <w:pPr>
        <w:pStyle w:val="coverdate"/>
        <w:jc w:val="center"/>
        <w:rPr>
          <w:rFonts w:cs="Arial"/>
          <w:noProof/>
          <w:sz w:val="24"/>
          <w:szCs w:val="24"/>
          <w:highlight w:val="yellow"/>
        </w:rPr>
      </w:pPr>
    </w:p>
    <w:p w14:paraId="0D393E7B" w14:textId="16371F80" w:rsidR="00FB432B" w:rsidRDefault="004941DD" w:rsidP="008352A2">
      <w:pPr>
        <w:jc w:val="center"/>
      </w:pPr>
      <w:r w:rsidRPr="00691454">
        <w:t>Point of Contact</w:t>
      </w:r>
      <w:r w:rsidR="00972DEF" w:rsidRPr="00691454">
        <w:t>:</w:t>
      </w:r>
      <w:r w:rsidR="008352A2">
        <w:t xml:space="preserve"> </w:t>
      </w:r>
      <w:r w:rsidR="00DF0404">
        <w:t>Laurie Beck, MPH</w:t>
      </w:r>
    </w:p>
    <w:p w14:paraId="0D393E7D" w14:textId="77777777" w:rsidR="00972DEF" w:rsidRPr="00691454" w:rsidRDefault="00972DEF" w:rsidP="00DF0404">
      <w:pPr>
        <w:jc w:val="center"/>
      </w:pPr>
      <w:bookmarkStart w:id="1" w:name="_MailAutoSig"/>
      <w:r w:rsidRPr="00691454">
        <w:t>Centers for Disease Control and Prevention</w:t>
      </w:r>
    </w:p>
    <w:p w14:paraId="0D393E7E" w14:textId="77777777" w:rsidR="00972DEF" w:rsidRPr="00691454" w:rsidRDefault="00972DEF" w:rsidP="00DF0404">
      <w:pPr>
        <w:jc w:val="center"/>
      </w:pPr>
      <w:r w:rsidRPr="00691454">
        <w:t>National Center for Injury Prevention and Control</w:t>
      </w:r>
    </w:p>
    <w:p w14:paraId="0D393E7F" w14:textId="0556D6EC" w:rsidR="00CF4520" w:rsidRPr="00691454" w:rsidRDefault="00CF4520" w:rsidP="00DF0404">
      <w:pPr>
        <w:jc w:val="center"/>
      </w:pPr>
      <w:r w:rsidRPr="00691454">
        <w:t>4770 Buford Highway NE</w:t>
      </w:r>
      <w:r w:rsidR="00395775">
        <w:t xml:space="preserve"> </w:t>
      </w:r>
      <w:r w:rsidRPr="00691454">
        <w:t>MS F-64</w:t>
      </w:r>
    </w:p>
    <w:p w14:paraId="0D393E80" w14:textId="77777777" w:rsidR="00972DEF" w:rsidRPr="00691454" w:rsidRDefault="00CF4520" w:rsidP="00DF0404">
      <w:pPr>
        <w:jc w:val="center"/>
      </w:pPr>
      <w:r w:rsidRPr="00691454">
        <w:t>A</w:t>
      </w:r>
      <w:r w:rsidR="00972DEF" w:rsidRPr="00691454">
        <w:t>tlanta, GA 30341-3724</w:t>
      </w:r>
    </w:p>
    <w:p w14:paraId="0D393E81" w14:textId="57303C14" w:rsidR="00972DEF" w:rsidRPr="00DF0404" w:rsidRDefault="0030186F" w:rsidP="00DF0404">
      <w:pPr>
        <w:jc w:val="center"/>
      </w:pPr>
      <w:r w:rsidRPr="00DF0404">
        <w:t>P</w:t>
      </w:r>
      <w:r w:rsidR="00CF4520" w:rsidRPr="00DF0404">
        <w:t>hone:</w:t>
      </w:r>
      <w:r w:rsidR="00DF0404" w:rsidRPr="00DF0404">
        <w:t xml:space="preserve"> 770.488.4327</w:t>
      </w:r>
    </w:p>
    <w:p w14:paraId="0D393E82" w14:textId="1ED7D5D1" w:rsidR="00972DEF" w:rsidRPr="00DF0404" w:rsidRDefault="0030186F" w:rsidP="00DF0404">
      <w:pPr>
        <w:jc w:val="center"/>
      </w:pPr>
      <w:r w:rsidRPr="00DF0404">
        <w:t>F</w:t>
      </w:r>
      <w:r w:rsidR="00972DEF" w:rsidRPr="00DF0404">
        <w:t>ax:</w:t>
      </w:r>
      <w:r w:rsidR="00DF0404" w:rsidRPr="00DF0404">
        <w:t xml:space="preserve"> 770.488.1317</w:t>
      </w:r>
    </w:p>
    <w:p w14:paraId="4C7ED6EC" w14:textId="44E5FCEB" w:rsidR="00395775" w:rsidRDefault="0030186F" w:rsidP="00DF0404">
      <w:pPr>
        <w:jc w:val="center"/>
      </w:pPr>
      <w:r w:rsidRPr="00DF0404">
        <w:t>E</w:t>
      </w:r>
      <w:r w:rsidR="00395775" w:rsidRPr="00DF0404">
        <w:t>mail</w:t>
      </w:r>
      <w:bookmarkEnd w:id="1"/>
      <w:r w:rsidR="00DF0404">
        <w:t xml:space="preserve">: </w:t>
      </w:r>
      <w:hyperlink r:id="rId13" w:history="1">
        <w:r w:rsidR="00DF0404" w:rsidRPr="00DF0404">
          <w:t>ldf8@cdc.gov</w:t>
        </w:r>
      </w:hyperlink>
    </w:p>
    <w:p w14:paraId="0D393EAE" w14:textId="655D8AB1" w:rsidR="00D80044" w:rsidRPr="00691454" w:rsidRDefault="008352A2" w:rsidP="00D35575">
      <w:pPr>
        <w:pStyle w:val="E-mailSignature"/>
      </w:pPr>
      <w:r>
        <w:rPr>
          <w:b/>
          <w:bCs/>
        </w:rPr>
        <w:br w:type="page"/>
      </w:r>
    </w:p>
    <w:p w14:paraId="32EF53A2" w14:textId="6D7D5593" w:rsidR="00B210E1" w:rsidRPr="00B210E1" w:rsidRDefault="00B210E1" w:rsidP="00B5303A">
      <w:pPr>
        <w:pStyle w:val="StyleArial14ptBoldBefore6ptAfter12ptBottomSi"/>
      </w:pPr>
      <w:r>
        <w:lastRenderedPageBreak/>
        <w:t>Contents</w:t>
      </w:r>
    </w:p>
    <w:p w14:paraId="28432D9C" w14:textId="77777777" w:rsidR="00063389" w:rsidRDefault="00B210E1">
      <w:pPr>
        <w:pStyle w:val="TOC1"/>
        <w:rPr>
          <w:rFonts w:eastAsiaTheme="minorEastAsia" w:cstheme="minorBidi"/>
          <w:b w:val="0"/>
          <w:bCs w:val="0"/>
          <w:caps w:val="0"/>
          <w:sz w:val="22"/>
          <w:szCs w:val="22"/>
        </w:rPr>
      </w:pPr>
      <w:r w:rsidRPr="00B210E1">
        <w:rPr>
          <w:sz w:val="22"/>
        </w:rPr>
        <w:fldChar w:fldCharType="begin"/>
      </w:r>
      <w:r w:rsidRPr="00B210E1">
        <w:rPr>
          <w:sz w:val="22"/>
        </w:rPr>
        <w:instrText xml:space="preserve"> TOC \o "1-2" \h \z \u </w:instrText>
      </w:r>
      <w:r w:rsidRPr="00B210E1">
        <w:rPr>
          <w:sz w:val="22"/>
        </w:rPr>
        <w:fldChar w:fldCharType="separate"/>
      </w:r>
      <w:hyperlink w:anchor="_Toc511121625" w:history="1">
        <w:r w:rsidR="00063389" w:rsidRPr="00E03350">
          <w:rPr>
            <w:rStyle w:val="Hyperlink"/>
            <w:smallCaps/>
          </w:rPr>
          <w:t>List of Attachments</w:t>
        </w:r>
        <w:r w:rsidR="00063389">
          <w:rPr>
            <w:webHidden/>
          </w:rPr>
          <w:tab/>
        </w:r>
        <w:r w:rsidR="00063389">
          <w:rPr>
            <w:webHidden/>
          </w:rPr>
          <w:fldChar w:fldCharType="begin"/>
        </w:r>
        <w:r w:rsidR="00063389">
          <w:rPr>
            <w:webHidden/>
          </w:rPr>
          <w:instrText xml:space="preserve"> PAGEREF _Toc511121625 \h </w:instrText>
        </w:r>
        <w:r w:rsidR="00063389">
          <w:rPr>
            <w:webHidden/>
          </w:rPr>
        </w:r>
        <w:r w:rsidR="00063389">
          <w:rPr>
            <w:webHidden/>
          </w:rPr>
          <w:fldChar w:fldCharType="separate"/>
        </w:r>
        <w:r w:rsidR="00063389">
          <w:rPr>
            <w:webHidden/>
          </w:rPr>
          <w:t>2</w:t>
        </w:r>
        <w:r w:rsidR="00063389">
          <w:rPr>
            <w:webHidden/>
          </w:rPr>
          <w:fldChar w:fldCharType="end"/>
        </w:r>
      </w:hyperlink>
    </w:p>
    <w:p w14:paraId="3439832D" w14:textId="77777777" w:rsidR="00063389" w:rsidRDefault="006F4776">
      <w:pPr>
        <w:pStyle w:val="TOC1"/>
        <w:rPr>
          <w:rFonts w:eastAsiaTheme="minorEastAsia" w:cstheme="minorBidi"/>
          <w:b w:val="0"/>
          <w:bCs w:val="0"/>
          <w:caps w:val="0"/>
          <w:sz w:val="22"/>
          <w:szCs w:val="22"/>
        </w:rPr>
      </w:pPr>
      <w:hyperlink w:anchor="_Toc511121626" w:history="1">
        <w:r w:rsidR="00063389" w:rsidRPr="00E03350">
          <w:rPr>
            <w:rStyle w:val="Hyperlink"/>
            <w:smallCaps/>
          </w:rPr>
          <w:t>Summary Table</w:t>
        </w:r>
        <w:r w:rsidR="00063389">
          <w:rPr>
            <w:webHidden/>
          </w:rPr>
          <w:tab/>
        </w:r>
        <w:r w:rsidR="00063389">
          <w:rPr>
            <w:webHidden/>
          </w:rPr>
          <w:fldChar w:fldCharType="begin"/>
        </w:r>
        <w:r w:rsidR="00063389">
          <w:rPr>
            <w:webHidden/>
          </w:rPr>
          <w:instrText xml:space="preserve"> PAGEREF _Toc511121626 \h </w:instrText>
        </w:r>
        <w:r w:rsidR="00063389">
          <w:rPr>
            <w:webHidden/>
          </w:rPr>
        </w:r>
        <w:r w:rsidR="00063389">
          <w:rPr>
            <w:webHidden/>
          </w:rPr>
          <w:fldChar w:fldCharType="separate"/>
        </w:r>
        <w:r w:rsidR="00063389">
          <w:rPr>
            <w:webHidden/>
          </w:rPr>
          <w:t>3</w:t>
        </w:r>
        <w:r w:rsidR="00063389">
          <w:rPr>
            <w:webHidden/>
          </w:rPr>
          <w:fldChar w:fldCharType="end"/>
        </w:r>
      </w:hyperlink>
    </w:p>
    <w:p w14:paraId="1D6A3675" w14:textId="77777777" w:rsidR="00063389" w:rsidRDefault="006F4776">
      <w:pPr>
        <w:pStyle w:val="TOC1"/>
        <w:rPr>
          <w:rFonts w:eastAsiaTheme="minorEastAsia" w:cstheme="minorBidi"/>
          <w:b w:val="0"/>
          <w:bCs w:val="0"/>
          <w:caps w:val="0"/>
          <w:sz w:val="22"/>
          <w:szCs w:val="22"/>
        </w:rPr>
      </w:pPr>
      <w:hyperlink w:anchor="_Toc511121627" w:history="1">
        <w:r w:rsidR="00063389" w:rsidRPr="00E03350">
          <w:rPr>
            <w:rStyle w:val="Hyperlink"/>
            <w:smallCaps/>
          </w:rPr>
          <w:t>A. Justification</w:t>
        </w:r>
        <w:r w:rsidR="00063389">
          <w:rPr>
            <w:webHidden/>
          </w:rPr>
          <w:tab/>
        </w:r>
        <w:r w:rsidR="00063389">
          <w:rPr>
            <w:webHidden/>
          </w:rPr>
          <w:fldChar w:fldCharType="begin"/>
        </w:r>
        <w:r w:rsidR="00063389">
          <w:rPr>
            <w:webHidden/>
          </w:rPr>
          <w:instrText xml:space="preserve"> PAGEREF _Toc511121627 \h </w:instrText>
        </w:r>
        <w:r w:rsidR="00063389">
          <w:rPr>
            <w:webHidden/>
          </w:rPr>
        </w:r>
        <w:r w:rsidR="00063389">
          <w:rPr>
            <w:webHidden/>
          </w:rPr>
          <w:fldChar w:fldCharType="separate"/>
        </w:r>
        <w:r w:rsidR="00063389">
          <w:rPr>
            <w:webHidden/>
          </w:rPr>
          <w:t>3</w:t>
        </w:r>
        <w:r w:rsidR="00063389">
          <w:rPr>
            <w:webHidden/>
          </w:rPr>
          <w:fldChar w:fldCharType="end"/>
        </w:r>
      </w:hyperlink>
    </w:p>
    <w:p w14:paraId="0EB7E991"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28" w:history="1">
        <w:r w:rsidR="00063389" w:rsidRPr="00E03350">
          <w:rPr>
            <w:rStyle w:val="Hyperlink"/>
            <w:noProof/>
          </w:rPr>
          <w:t xml:space="preserve">A.1. </w:t>
        </w:r>
        <w:r w:rsidR="00063389">
          <w:rPr>
            <w:rFonts w:eastAsiaTheme="minorEastAsia" w:cstheme="minorBidi"/>
            <w:smallCaps w:val="0"/>
            <w:noProof/>
            <w:sz w:val="22"/>
            <w:szCs w:val="22"/>
          </w:rPr>
          <w:tab/>
        </w:r>
        <w:r w:rsidR="00063389" w:rsidRPr="00E03350">
          <w:rPr>
            <w:rStyle w:val="Hyperlink"/>
            <w:noProof/>
          </w:rPr>
          <w:t>Circumstances Making the Collection of Information Necessary</w:t>
        </w:r>
        <w:r w:rsidR="00063389">
          <w:rPr>
            <w:noProof/>
            <w:webHidden/>
          </w:rPr>
          <w:tab/>
        </w:r>
        <w:r w:rsidR="00063389">
          <w:rPr>
            <w:noProof/>
            <w:webHidden/>
          </w:rPr>
          <w:fldChar w:fldCharType="begin"/>
        </w:r>
        <w:r w:rsidR="00063389">
          <w:rPr>
            <w:noProof/>
            <w:webHidden/>
          </w:rPr>
          <w:instrText xml:space="preserve"> PAGEREF _Toc511121628 \h </w:instrText>
        </w:r>
        <w:r w:rsidR="00063389">
          <w:rPr>
            <w:noProof/>
            <w:webHidden/>
          </w:rPr>
        </w:r>
        <w:r w:rsidR="00063389">
          <w:rPr>
            <w:noProof/>
            <w:webHidden/>
          </w:rPr>
          <w:fldChar w:fldCharType="separate"/>
        </w:r>
        <w:r w:rsidR="00063389">
          <w:rPr>
            <w:noProof/>
            <w:webHidden/>
          </w:rPr>
          <w:t>3</w:t>
        </w:r>
        <w:r w:rsidR="00063389">
          <w:rPr>
            <w:noProof/>
            <w:webHidden/>
          </w:rPr>
          <w:fldChar w:fldCharType="end"/>
        </w:r>
      </w:hyperlink>
    </w:p>
    <w:p w14:paraId="408828F5"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29" w:history="1">
        <w:r w:rsidR="00063389" w:rsidRPr="00E03350">
          <w:rPr>
            <w:rStyle w:val="Hyperlink"/>
            <w:noProof/>
          </w:rPr>
          <w:t xml:space="preserve">A.2. </w:t>
        </w:r>
        <w:r w:rsidR="00063389">
          <w:rPr>
            <w:rFonts w:eastAsiaTheme="minorEastAsia" w:cstheme="minorBidi"/>
            <w:smallCaps w:val="0"/>
            <w:noProof/>
            <w:sz w:val="22"/>
            <w:szCs w:val="22"/>
          </w:rPr>
          <w:tab/>
        </w:r>
        <w:r w:rsidR="00063389" w:rsidRPr="00E03350">
          <w:rPr>
            <w:rStyle w:val="Hyperlink"/>
            <w:noProof/>
          </w:rPr>
          <w:t>Purpose and Use of Information Collection</w:t>
        </w:r>
        <w:r w:rsidR="00063389">
          <w:rPr>
            <w:noProof/>
            <w:webHidden/>
          </w:rPr>
          <w:tab/>
        </w:r>
        <w:r w:rsidR="00063389">
          <w:rPr>
            <w:noProof/>
            <w:webHidden/>
          </w:rPr>
          <w:fldChar w:fldCharType="begin"/>
        </w:r>
        <w:r w:rsidR="00063389">
          <w:rPr>
            <w:noProof/>
            <w:webHidden/>
          </w:rPr>
          <w:instrText xml:space="preserve"> PAGEREF _Toc511121629 \h </w:instrText>
        </w:r>
        <w:r w:rsidR="00063389">
          <w:rPr>
            <w:noProof/>
            <w:webHidden/>
          </w:rPr>
        </w:r>
        <w:r w:rsidR="00063389">
          <w:rPr>
            <w:noProof/>
            <w:webHidden/>
          </w:rPr>
          <w:fldChar w:fldCharType="separate"/>
        </w:r>
        <w:r w:rsidR="00063389">
          <w:rPr>
            <w:noProof/>
            <w:webHidden/>
          </w:rPr>
          <w:t>5</w:t>
        </w:r>
        <w:r w:rsidR="00063389">
          <w:rPr>
            <w:noProof/>
            <w:webHidden/>
          </w:rPr>
          <w:fldChar w:fldCharType="end"/>
        </w:r>
      </w:hyperlink>
    </w:p>
    <w:p w14:paraId="42980B35"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0" w:history="1">
        <w:r w:rsidR="00063389" w:rsidRPr="00E03350">
          <w:rPr>
            <w:rStyle w:val="Hyperlink"/>
            <w:noProof/>
          </w:rPr>
          <w:t xml:space="preserve">A.3. </w:t>
        </w:r>
        <w:r w:rsidR="00063389">
          <w:rPr>
            <w:rFonts w:eastAsiaTheme="minorEastAsia" w:cstheme="minorBidi"/>
            <w:smallCaps w:val="0"/>
            <w:noProof/>
            <w:sz w:val="22"/>
            <w:szCs w:val="22"/>
          </w:rPr>
          <w:tab/>
        </w:r>
        <w:r w:rsidR="00063389" w:rsidRPr="00E03350">
          <w:rPr>
            <w:rStyle w:val="Hyperlink"/>
            <w:noProof/>
          </w:rPr>
          <w:t>Use of Improved Information Technology and Burden Reduction</w:t>
        </w:r>
        <w:r w:rsidR="00063389">
          <w:rPr>
            <w:noProof/>
            <w:webHidden/>
          </w:rPr>
          <w:tab/>
        </w:r>
        <w:r w:rsidR="00063389">
          <w:rPr>
            <w:noProof/>
            <w:webHidden/>
          </w:rPr>
          <w:fldChar w:fldCharType="begin"/>
        </w:r>
        <w:r w:rsidR="00063389">
          <w:rPr>
            <w:noProof/>
            <w:webHidden/>
          </w:rPr>
          <w:instrText xml:space="preserve"> PAGEREF _Toc511121630 \h </w:instrText>
        </w:r>
        <w:r w:rsidR="00063389">
          <w:rPr>
            <w:noProof/>
            <w:webHidden/>
          </w:rPr>
        </w:r>
        <w:r w:rsidR="00063389">
          <w:rPr>
            <w:noProof/>
            <w:webHidden/>
          </w:rPr>
          <w:fldChar w:fldCharType="separate"/>
        </w:r>
        <w:r w:rsidR="00063389">
          <w:rPr>
            <w:noProof/>
            <w:webHidden/>
          </w:rPr>
          <w:t>10</w:t>
        </w:r>
        <w:r w:rsidR="00063389">
          <w:rPr>
            <w:noProof/>
            <w:webHidden/>
          </w:rPr>
          <w:fldChar w:fldCharType="end"/>
        </w:r>
      </w:hyperlink>
    </w:p>
    <w:p w14:paraId="5DF2BFAD"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1" w:history="1">
        <w:r w:rsidR="00063389" w:rsidRPr="00E03350">
          <w:rPr>
            <w:rStyle w:val="Hyperlink"/>
            <w:noProof/>
          </w:rPr>
          <w:t xml:space="preserve">A.4. </w:t>
        </w:r>
        <w:r w:rsidR="00063389">
          <w:rPr>
            <w:rFonts w:eastAsiaTheme="minorEastAsia" w:cstheme="minorBidi"/>
            <w:smallCaps w:val="0"/>
            <w:noProof/>
            <w:sz w:val="22"/>
            <w:szCs w:val="22"/>
          </w:rPr>
          <w:tab/>
        </w:r>
        <w:r w:rsidR="00063389" w:rsidRPr="00E03350">
          <w:rPr>
            <w:rStyle w:val="Hyperlink"/>
            <w:noProof/>
          </w:rPr>
          <w:t>Efforts to Identify Duplication and Use of Similar Information</w:t>
        </w:r>
        <w:r w:rsidR="00063389">
          <w:rPr>
            <w:noProof/>
            <w:webHidden/>
          </w:rPr>
          <w:tab/>
        </w:r>
        <w:r w:rsidR="00063389">
          <w:rPr>
            <w:noProof/>
            <w:webHidden/>
          </w:rPr>
          <w:fldChar w:fldCharType="begin"/>
        </w:r>
        <w:r w:rsidR="00063389">
          <w:rPr>
            <w:noProof/>
            <w:webHidden/>
          </w:rPr>
          <w:instrText xml:space="preserve"> PAGEREF _Toc511121631 \h </w:instrText>
        </w:r>
        <w:r w:rsidR="00063389">
          <w:rPr>
            <w:noProof/>
            <w:webHidden/>
          </w:rPr>
        </w:r>
        <w:r w:rsidR="00063389">
          <w:rPr>
            <w:noProof/>
            <w:webHidden/>
          </w:rPr>
          <w:fldChar w:fldCharType="separate"/>
        </w:r>
        <w:r w:rsidR="00063389">
          <w:rPr>
            <w:noProof/>
            <w:webHidden/>
          </w:rPr>
          <w:t>10</w:t>
        </w:r>
        <w:r w:rsidR="00063389">
          <w:rPr>
            <w:noProof/>
            <w:webHidden/>
          </w:rPr>
          <w:fldChar w:fldCharType="end"/>
        </w:r>
      </w:hyperlink>
    </w:p>
    <w:p w14:paraId="44B03E5E"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2" w:history="1">
        <w:r w:rsidR="00063389" w:rsidRPr="00E03350">
          <w:rPr>
            <w:rStyle w:val="Hyperlink"/>
            <w:noProof/>
          </w:rPr>
          <w:t xml:space="preserve">A.5. </w:t>
        </w:r>
        <w:r w:rsidR="00063389">
          <w:rPr>
            <w:rFonts w:eastAsiaTheme="minorEastAsia" w:cstheme="minorBidi"/>
            <w:smallCaps w:val="0"/>
            <w:noProof/>
            <w:sz w:val="22"/>
            <w:szCs w:val="22"/>
          </w:rPr>
          <w:tab/>
        </w:r>
        <w:r w:rsidR="00063389" w:rsidRPr="00E03350">
          <w:rPr>
            <w:rStyle w:val="Hyperlink"/>
            <w:noProof/>
          </w:rPr>
          <w:t>Impact on Small Businesses or Other Small Entities</w:t>
        </w:r>
        <w:r w:rsidR="00063389">
          <w:rPr>
            <w:noProof/>
            <w:webHidden/>
          </w:rPr>
          <w:tab/>
        </w:r>
        <w:r w:rsidR="00063389">
          <w:rPr>
            <w:noProof/>
            <w:webHidden/>
          </w:rPr>
          <w:fldChar w:fldCharType="begin"/>
        </w:r>
        <w:r w:rsidR="00063389">
          <w:rPr>
            <w:noProof/>
            <w:webHidden/>
          </w:rPr>
          <w:instrText xml:space="preserve"> PAGEREF _Toc511121632 \h </w:instrText>
        </w:r>
        <w:r w:rsidR="00063389">
          <w:rPr>
            <w:noProof/>
            <w:webHidden/>
          </w:rPr>
        </w:r>
        <w:r w:rsidR="00063389">
          <w:rPr>
            <w:noProof/>
            <w:webHidden/>
          </w:rPr>
          <w:fldChar w:fldCharType="separate"/>
        </w:r>
        <w:r w:rsidR="00063389">
          <w:rPr>
            <w:noProof/>
            <w:webHidden/>
          </w:rPr>
          <w:t>10</w:t>
        </w:r>
        <w:r w:rsidR="00063389">
          <w:rPr>
            <w:noProof/>
            <w:webHidden/>
          </w:rPr>
          <w:fldChar w:fldCharType="end"/>
        </w:r>
      </w:hyperlink>
    </w:p>
    <w:p w14:paraId="385572EB"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3" w:history="1">
        <w:r w:rsidR="00063389" w:rsidRPr="00E03350">
          <w:rPr>
            <w:rStyle w:val="Hyperlink"/>
            <w:noProof/>
          </w:rPr>
          <w:t xml:space="preserve">A.6. </w:t>
        </w:r>
        <w:r w:rsidR="00063389">
          <w:rPr>
            <w:rFonts w:eastAsiaTheme="minorEastAsia" w:cstheme="minorBidi"/>
            <w:smallCaps w:val="0"/>
            <w:noProof/>
            <w:sz w:val="22"/>
            <w:szCs w:val="22"/>
          </w:rPr>
          <w:tab/>
        </w:r>
        <w:r w:rsidR="00063389" w:rsidRPr="00E03350">
          <w:rPr>
            <w:rStyle w:val="Hyperlink"/>
            <w:noProof/>
          </w:rPr>
          <w:t>Consequences of Collecting the Information Less Frequently</w:t>
        </w:r>
        <w:r w:rsidR="00063389">
          <w:rPr>
            <w:noProof/>
            <w:webHidden/>
          </w:rPr>
          <w:tab/>
        </w:r>
        <w:r w:rsidR="00063389">
          <w:rPr>
            <w:noProof/>
            <w:webHidden/>
          </w:rPr>
          <w:fldChar w:fldCharType="begin"/>
        </w:r>
        <w:r w:rsidR="00063389">
          <w:rPr>
            <w:noProof/>
            <w:webHidden/>
          </w:rPr>
          <w:instrText xml:space="preserve"> PAGEREF _Toc511121633 \h </w:instrText>
        </w:r>
        <w:r w:rsidR="00063389">
          <w:rPr>
            <w:noProof/>
            <w:webHidden/>
          </w:rPr>
        </w:r>
        <w:r w:rsidR="00063389">
          <w:rPr>
            <w:noProof/>
            <w:webHidden/>
          </w:rPr>
          <w:fldChar w:fldCharType="separate"/>
        </w:r>
        <w:r w:rsidR="00063389">
          <w:rPr>
            <w:noProof/>
            <w:webHidden/>
          </w:rPr>
          <w:t>11</w:t>
        </w:r>
        <w:r w:rsidR="00063389">
          <w:rPr>
            <w:noProof/>
            <w:webHidden/>
          </w:rPr>
          <w:fldChar w:fldCharType="end"/>
        </w:r>
      </w:hyperlink>
    </w:p>
    <w:p w14:paraId="412661E2"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4" w:history="1">
        <w:r w:rsidR="00063389" w:rsidRPr="00E03350">
          <w:rPr>
            <w:rStyle w:val="Hyperlink"/>
            <w:noProof/>
          </w:rPr>
          <w:t xml:space="preserve">A.7. </w:t>
        </w:r>
        <w:r w:rsidR="00063389">
          <w:rPr>
            <w:rFonts w:eastAsiaTheme="minorEastAsia" w:cstheme="minorBidi"/>
            <w:smallCaps w:val="0"/>
            <w:noProof/>
            <w:sz w:val="22"/>
            <w:szCs w:val="22"/>
          </w:rPr>
          <w:tab/>
        </w:r>
        <w:r w:rsidR="00063389" w:rsidRPr="00E03350">
          <w:rPr>
            <w:rStyle w:val="Hyperlink"/>
            <w:noProof/>
          </w:rPr>
          <w:t>Special Circumstances Relating to the Guidelines of 5 CFR 1320.5</w:t>
        </w:r>
        <w:r w:rsidR="00063389">
          <w:rPr>
            <w:noProof/>
            <w:webHidden/>
          </w:rPr>
          <w:tab/>
        </w:r>
        <w:r w:rsidR="00063389">
          <w:rPr>
            <w:noProof/>
            <w:webHidden/>
          </w:rPr>
          <w:fldChar w:fldCharType="begin"/>
        </w:r>
        <w:r w:rsidR="00063389">
          <w:rPr>
            <w:noProof/>
            <w:webHidden/>
          </w:rPr>
          <w:instrText xml:space="preserve"> PAGEREF _Toc511121634 \h </w:instrText>
        </w:r>
        <w:r w:rsidR="00063389">
          <w:rPr>
            <w:noProof/>
            <w:webHidden/>
          </w:rPr>
        </w:r>
        <w:r w:rsidR="00063389">
          <w:rPr>
            <w:noProof/>
            <w:webHidden/>
          </w:rPr>
          <w:fldChar w:fldCharType="separate"/>
        </w:r>
        <w:r w:rsidR="00063389">
          <w:rPr>
            <w:noProof/>
            <w:webHidden/>
          </w:rPr>
          <w:t>11</w:t>
        </w:r>
        <w:r w:rsidR="00063389">
          <w:rPr>
            <w:noProof/>
            <w:webHidden/>
          </w:rPr>
          <w:fldChar w:fldCharType="end"/>
        </w:r>
      </w:hyperlink>
    </w:p>
    <w:p w14:paraId="788603FF"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5" w:history="1">
        <w:r w:rsidR="00063389" w:rsidRPr="00E03350">
          <w:rPr>
            <w:rStyle w:val="Hyperlink"/>
            <w:noProof/>
          </w:rPr>
          <w:t xml:space="preserve">A.8. </w:t>
        </w:r>
        <w:r w:rsidR="00063389">
          <w:rPr>
            <w:rFonts w:eastAsiaTheme="minorEastAsia" w:cstheme="minorBidi"/>
            <w:smallCaps w:val="0"/>
            <w:noProof/>
            <w:sz w:val="22"/>
            <w:szCs w:val="22"/>
          </w:rPr>
          <w:tab/>
        </w:r>
        <w:r w:rsidR="00063389" w:rsidRPr="00E03350">
          <w:rPr>
            <w:rStyle w:val="Hyperlink"/>
            <w:noProof/>
          </w:rPr>
          <w:t>Comments in Response to the Federal Register Notice and Efforts to Consult Outside the Agency</w:t>
        </w:r>
        <w:r w:rsidR="00063389">
          <w:rPr>
            <w:noProof/>
            <w:webHidden/>
          </w:rPr>
          <w:tab/>
        </w:r>
        <w:r w:rsidR="00063389">
          <w:rPr>
            <w:noProof/>
            <w:webHidden/>
          </w:rPr>
          <w:fldChar w:fldCharType="begin"/>
        </w:r>
        <w:r w:rsidR="00063389">
          <w:rPr>
            <w:noProof/>
            <w:webHidden/>
          </w:rPr>
          <w:instrText xml:space="preserve"> PAGEREF _Toc511121635 \h </w:instrText>
        </w:r>
        <w:r w:rsidR="00063389">
          <w:rPr>
            <w:noProof/>
            <w:webHidden/>
          </w:rPr>
        </w:r>
        <w:r w:rsidR="00063389">
          <w:rPr>
            <w:noProof/>
            <w:webHidden/>
          </w:rPr>
          <w:fldChar w:fldCharType="separate"/>
        </w:r>
        <w:r w:rsidR="00063389">
          <w:rPr>
            <w:noProof/>
            <w:webHidden/>
          </w:rPr>
          <w:t>11</w:t>
        </w:r>
        <w:r w:rsidR="00063389">
          <w:rPr>
            <w:noProof/>
            <w:webHidden/>
          </w:rPr>
          <w:fldChar w:fldCharType="end"/>
        </w:r>
      </w:hyperlink>
    </w:p>
    <w:p w14:paraId="4854593A"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6" w:history="1">
        <w:r w:rsidR="00063389" w:rsidRPr="00E03350">
          <w:rPr>
            <w:rStyle w:val="Hyperlink"/>
            <w:noProof/>
          </w:rPr>
          <w:t xml:space="preserve">A.9. </w:t>
        </w:r>
        <w:r w:rsidR="00063389">
          <w:rPr>
            <w:rFonts w:eastAsiaTheme="minorEastAsia" w:cstheme="minorBidi"/>
            <w:smallCaps w:val="0"/>
            <w:noProof/>
            <w:sz w:val="22"/>
            <w:szCs w:val="22"/>
          </w:rPr>
          <w:tab/>
        </w:r>
        <w:r w:rsidR="00063389" w:rsidRPr="00E03350">
          <w:rPr>
            <w:rStyle w:val="Hyperlink"/>
            <w:noProof/>
          </w:rPr>
          <w:t>Explanation of Any Payment or Gift to Respondents</w:t>
        </w:r>
        <w:r w:rsidR="00063389">
          <w:rPr>
            <w:noProof/>
            <w:webHidden/>
          </w:rPr>
          <w:tab/>
        </w:r>
        <w:r w:rsidR="00063389">
          <w:rPr>
            <w:noProof/>
            <w:webHidden/>
          </w:rPr>
          <w:fldChar w:fldCharType="begin"/>
        </w:r>
        <w:r w:rsidR="00063389">
          <w:rPr>
            <w:noProof/>
            <w:webHidden/>
          </w:rPr>
          <w:instrText xml:space="preserve"> PAGEREF _Toc511121636 \h </w:instrText>
        </w:r>
        <w:r w:rsidR="00063389">
          <w:rPr>
            <w:noProof/>
            <w:webHidden/>
          </w:rPr>
        </w:r>
        <w:r w:rsidR="00063389">
          <w:rPr>
            <w:noProof/>
            <w:webHidden/>
          </w:rPr>
          <w:fldChar w:fldCharType="separate"/>
        </w:r>
        <w:r w:rsidR="00063389">
          <w:rPr>
            <w:noProof/>
            <w:webHidden/>
          </w:rPr>
          <w:t>12</w:t>
        </w:r>
        <w:r w:rsidR="00063389">
          <w:rPr>
            <w:noProof/>
            <w:webHidden/>
          </w:rPr>
          <w:fldChar w:fldCharType="end"/>
        </w:r>
      </w:hyperlink>
    </w:p>
    <w:p w14:paraId="66EFEF31"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7" w:history="1">
        <w:r w:rsidR="00063389" w:rsidRPr="00E03350">
          <w:rPr>
            <w:rStyle w:val="Hyperlink"/>
            <w:noProof/>
          </w:rPr>
          <w:t xml:space="preserve">A.10. </w:t>
        </w:r>
        <w:r w:rsidR="00063389">
          <w:rPr>
            <w:rFonts w:eastAsiaTheme="minorEastAsia" w:cstheme="minorBidi"/>
            <w:smallCaps w:val="0"/>
            <w:noProof/>
            <w:sz w:val="22"/>
            <w:szCs w:val="22"/>
          </w:rPr>
          <w:tab/>
        </w:r>
        <w:r w:rsidR="00063389" w:rsidRPr="00E03350">
          <w:rPr>
            <w:rStyle w:val="Hyperlink"/>
            <w:noProof/>
          </w:rPr>
          <w:t>Protection of the Privacy and Confidentiality of Information Provided by Respondents</w:t>
        </w:r>
        <w:r w:rsidR="00063389">
          <w:rPr>
            <w:noProof/>
            <w:webHidden/>
          </w:rPr>
          <w:tab/>
        </w:r>
        <w:r w:rsidR="00063389">
          <w:rPr>
            <w:noProof/>
            <w:webHidden/>
          </w:rPr>
          <w:fldChar w:fldCharType="begin"/>
        </w:r>
        <w:r w:rsidR="00063389">
          <w:rPr>
            <w:noProof/>
            <w:webHidden/>
          </w:rPr>
          <w:instrText xml:space="preserve"> PAGEREF _Toc511121637 \h </w:instrText>
        </w:r>
        <w:r w:rsidR="00063389">
          <w:rPr>
            <w:noProof/>
            <w:webHidden/>
          </w:rPr>
        </w:r>
        <w:r w:rsidR="00063389">
          <w:rPr>
            <w:noProof/>
            <w:webHidden/>
          </w:rPr>
          <w:fldChar w:fldCharType="separate"/>
        </w:r>
        <w:r w:rsidR="00063389">
          <w:rPr>
            <w:noProof/>
            <w:webHidden/>
          </w:rPr>
          <w:t>13</w:t>
        </w:r>
        <w:r w:rsidR="00063389">
          <w:rPr>
            <w:noProof/>
            <w:webHidden/>
          </w:rPr>
          <w:fldChar w:fldCharType="end"/>
        </w:r>
      </w:hyperlink>
    </w:p>
    <w:p w14:paraId="1DB824F0"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8" w:history="1">
        <w:r w:rsidR="00063389" w:rsidRPr="00E03350">
          <w:rPr>
            <w:rStyle w:val="Hyperlink"/>
            <w:noProof/>
          </w:rPr>
          <w:t xml:space="preserve">A.11. </w:t>
        </w:r>
        <w:r w:rsidR="00063389">
          <w:rPr>
            <w:rFonts w:eastAsiaTheme="minorEastAsia" w:cstheme="minorBidi"/>
            <w:smallCaps w:val="0"/>
            <w:noProof/>
            <w:sz w:val="22"/>
            <w:szCs w:val="22"/>
          </w:rPr>
          <w:tab/>
        </w:r>
        <w:r w:rsidR="00063389" w:rsidRPr="00E03350">
          <w:rPr>
            <w:rStyle w:val="Hyperlink"/>
            <w:noProof/>
          </w:rPr>
          <w:t>Institutional Review Board (IRB) and Justification for Sensitive Questions</w:t>
        </w:r>
        <w:r w:rsidR="00063389">
          <w:rPr>
            <w:noProof/>
            <w:webHidden/>
          </w:rPr>
          <w:tab/>
        </w:r>
        <w:r w:rsidR="00063389">
          <w:rPr>
            <w:noProof/>
            <w:webHidden/>
          </w:rPr>
          <w:fldChar w:fldCharType="begin"/>
        </w:r>
        <w:r w:rsidR="00063389">
          <w:rPr>
            <w:noProof/>
            <w:webHidden/>
          </w:rPr>
          <w:instrText xml:space="preserve"> PAGEREF _Toc511121638 \h </w:instrText>
        </w:r>
        <w:r w:rsidR="00063389">
          <w:rPr>
            <w:noProof/>
            <w:webHidden/>
          </w:rPr>
        </w:r>
        <w:r w:rsidR="00063389">
          <w:rPr>
            <w:noProof/>
            <w:webHidden/>
          </w:rPr>
          <w:fldChar w:fldCharType="separate"/>
        </w:r>
        <w:r w:rsidR="00063389">
          <w:rPr>
            <w:noProof/>
            <w:webHidden/>
          </w:rPr>
          <w:t>14</w:t>
        </w:r>
        <w:r w:rsidR="00063389">
          <w:rPr>
            <w:noProof/>
            <w:webHidden/>
          </w:rPr>
          <w:fldChar w:fldCharType="end"/>
        </w:r>
      </w:hyperlink>
    </w:p>
    <w:p w14:paraId="3C6DC183"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39" w:history="1">
        <w:r w:rsidR="00063389" w:rsidRPr="00E03350">
          <w:rPr>
            <w:rStyle w:val="Hyperlink"/>
            <w:noProof/>
          </w:rPr>
          <w:t xml:space="preserve">A.12. </w:t>
        </w:r>
        <w:r w:rsidR="00063389">
          <w:rPr>
            <w:rFonts w:eastAsiaTheme="minorEastAsia" w:cstheme="minorBidi"/>
            <w:smallCaps w:val="0"/>
            <w:noProof/>
            <w:sz w:val="22"/>
            <w:szCs w:val="22"/>
          </w:rPr>
          <w:tab/>
        </w:r>
        <w:r w:rsidR="00063389" w:rsidRPr="00E03350">
          <w:rPr>
            <w:rStyle w:val="Hyperlink"/>
            <w:noProof/>
          </w:rPr>
          <w:t>Estimates of Annualized Burden Hours and Costs</w:t>
        </w:r>
        <w:r w:rsidR="00063389">
          <w:rPr>
            <w:noProof/>
            <w:webHidden/>
          </w:rPr>
          <w:tab/>
        </w:r>
        <w:r w:rsidR="00063389">
          <w:rPr>
            <w:noProof/>
            <w:webHidden/>
          </w:rPr>
          <w:fldChar w:fldCharType="begin"/>
        </w:r>
        <w:r w:rsidR="00063389">
          <w:rPr>
            <w:noProof/>
            <w:webHidden/>
          </w:rPr>
          <w:instrText xml:space="preserve"> PAGEREF _Toc511121639 \h </w:instrText>
        </w:r>
        <w:r w:rsidR="00063389">
          <w:rPr>
            <w:noProof/>
            <w:webHidden/>
          </w:rPr>
        </w:r>
        <w:r w:rsidR="00063389">
          <w:rPr>
            <w:noProof/>
            <w:webHidden/>
          </w:rPr>
          <w:fldChar w:fldCharType="separate"/>
        </w:r>
        <w:r w:rsidR="00063389">
          <w:rPr>
            <w:noProof/>
            <w:webHidden/>
          </w:rPr>
          <w:t>15</w:t>
        </w:r>
        <w:r w:rsidR="00063389">
          <w:rPr>
            <w:noProof/>
            <w:webHidden/>
          </w:rPr>
          <w:fldChar w:fldCharType="end"/>
        </w:r>
      </w:hyperlink>
    </w:p>
    <w:p w14:paraId="59A58C84"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40" w:history="1">
        <w:r w:rsidR="00063389" w:rsidRPr="00E03350">
          <w:rPr>
            <w:rStyle w:val="Hyperlink"/>
            <w:noProof/>
          </w:rPr>
          <w:t xml:space="preserve">A.13. </w:t>
        </w:r>
        <w:r w:rsidR="00063389">
          <w:rPr>
            <w:rFonts w:eastAsiaTheme="minorEastAsia" w:cstheme="minorBidi"/>
            <w:smallCaps w:val="0"/>
            <w:noProof/>
            <w:sz w:val="22"/>
            <w:szCs w:val="22"/>
          </w:rPr>
          <w:tab/>
        </w:r>
        <w:r w:rsidR="00063389" w:rsidRPr="00E03350">
          <w:rPr>
            <w:rStyle w:val="Hyperlink"/>
            <w:noProof/>
          </w:rPr>
          <w:t>Estimates of Other Total Annual Cost Burden to Respondents or Record Keepers</w:t>
        </w:r>
        <w:r w:rsidR="00063389">
          <w:rPr>
            <w:noProof/>
            <w:webHidden/>
          </w:rPr>
          <w:tab/>
        </w:r>
        <w:r w:rsidR="00063389">
          <w:rPr>
            <w:noProof/>
            <w:webHidden/>
          </w:rPr>
          <w:fldChar w:fldCharType="begin"/>
        </w:r>
        <w:r w:rsidR="00063389">
          <w:rPr>
            <w:noProof/>
            <w:webHidden/>
          </w:rPr>
          <w:instrText xml:space="preserve"> PAGEREF _Toc511121640 \h </w:instrText>
        </w:r>
        <w:r w:rsidR="00063389">
          <w:rPr>
            <w:noProof/>
            <w:webHidden/>
          </w:rPr>
        </w:r>
        <w:r w:rsidR="00063389">
          <w:rPr>
            <w:noProof/>
            <w:webHidden/>
          </w:rPr>
          <w:fldChar w:fldCharType="separate"/>
        </w:r>
        <w:r w:rsidR="00063389">
          <w:rPr>
            <w:noProof/>
            <w:webHidden/>
          </w:rPr>
          <w:t>17</w:t>
        </w:r>
        <w:r w:rsidR="00063389">
          <w:rPr>
            <w:noProof/>
            <w:webHidden/>
          </w:rPr>
          <w:fldChar w:fldCharType="end"/>
        </w:r>
      </w:hyperlink>
    </w:p>
    <w:p w14:paraId="3F0C7A32"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41" w:history="1">
        <w:r w:rsidR="00063389" w:rsidRPr="00E03350">
          <w:rPr>
            <w:rStyle w:val="Hyperlink"/>
            <w:noProof/>
          </w:rPr>
          <w:t xml:space="preserve">A.14. </w:t>
        </w:r>
        <w:r w:rsidR="00063389">
          <w:rPr>
            <w:rFonts w:eastAsiaTheme="minorEastAsia" w:cstheme="minorBidi"/>
            <w:smallCaps w:val="0"/>
            <w:noProof/>
            <w:sz w:val="22"/>
            <w:szCs w:val="22"/>
          </w:rPr>
          <w:tab/>
        </w:r>
        <w:r w:rsidR="00063389" w:rsidRPr="00E03350">
          <w:rPr>
            <w:rStyle w:val="Hyperlink"/>
            <w:noProof/>
          </w:rPr>
          <w:t>Annualized Cost to the Government</w:t>
        </w:r>
        <w:r w:rsidR="00063389">
          <w:rPr>
            <w:noProof/>
            <w:webHidden/>
          </w:rPr>
          <w:tab/>
        </w:r>
        <w:r w:rsidR="00063389">
          <w:rPr>
            <w:noProof/>
            <w:webHidden/>
          </w:rPr>
          <w:fldChar w:fldCharType="begin"/>
        </w:r>
        <w:r w:rsidR="00063389">
          <w:rPr>
            <w:noProof/>
            <w:webHidden/>
          </w:rPr>
          <w:instrText xml:space="preserve"> PAGEREF _Toc511121641 \h </w:instrText>
        </w:r>
        <w:r w:rsidR="00063389">
          <w:rPr>
            <w:noProof/>
            <w:webHidden/>
          </w:rPr>
        </w:r>
        <w:r w:rsidR="00063389">
          <w:rPr>
            <w:noProof/>
            <w:webHidden/>
          </w:rPr>
          <w:fldChar w:fldCharType="separate"/>
        </w:r>
        <w:r w:rsidR="00063389">
          <w:rPr>
            <w:noProof/>
            <w:webHidden/>
          </w:rPr>
          <w:t>17</w:t>
        </w:r>
        <w:r w:rsidR="00063389">
          <w:rPr>
            <w:noProof/>
            <w:webHidden/>
          </w:rPr>
          <w:fldChar w:fldCharType="end"/>
        </w:r>
      </w:hyperlink>
    </w:p>
    <w:p w14:paraId="5CB8ACA0"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42" w:history="1">
        <w:r w:rsidR="00063389" w:rsidRPr="00E03350">
          <w:rPr>
            <w:rStyle w:val="Hyperlink"/>
            <w:noProof/>
          </w:rPr>
          <w:t xml:space="preserve">A.15. </w:t>
        </w:r>
        <w:r w:rsidR="00063389">
          <w:rPr>
            <w:rFonts w:eastAsiaTheme="minorEastAsia" w:cstheme="minorBidi"/>
            <w:smallCaps w:val="0"/>
            <w:noProof/>
            <w:sz w:val="22"/>
            <w:szCs w:val="22"/>
          </w:rPr>
          <w:tab/>
        </w:r>
        <w:r w:rsidR="00063389" w:rsidRPr="00E03350">
          <w:rPr>
            <w:rStyle w:val="Hyperlink"/>
            <w:noProof/>
          </w:rPr>
          <w:t>Explanation for Program Changes or Adjustments</w:t>
        </w:r>
        <w:r w:rsidR="00063389">
          <w:rPr>
            <w:noProof/>
            <w:webHidden/>
          </w:rPr>
          <w:tab/>
        </w:r>
        <w:r w:rsidR="00063389">
          <w:rPr>
            <w:noProof/>
            <w:webHidden/>
          </w:rPr>
          <w:fldChar w:fldCharType="begin"/>
        </w:r>
        <w:r w:rsidR="00063389">
          <w:rPr>
            <w:noProof/>
            <w:webHidden/>
          </w:rPr>
          <w:instrText xml:space="preserve"> PAGEREF _Toc511121642 \h </w:instrText>
        </w:r>
        <w:r w:rsidR="00063389">
          <w:rPr>
            <w:noProof/>
            <w:webHidden/>
          </w:rPr>
        </w:r>
        <w:r w:rsidR="00063389">
          <w:rPr>
            <w:noProof/>
            <w:webHidden/>
          </w:rPr>
          <w:fldChar w:fldCharType="separate"/>
        </w:r>
        <w:r w:rsidR="00063389">
          <w:rPr>
            <w:noProof/>
            <w:webHidden/>
          </w:rPr>
          <w:t>17</w:t>
        </w:r>
        <w:r w:rsidR="00063389">
          <w:rPr>
            <w:noProof/>
            <w:webHidden/>
          </w:rPr>
          <w:fldChar w:fldCharType="end"/>
        </w:r>
      </w:hyperlink>
    </w:p>
    <w:p w14:paraId="33C35583"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43" w:history="1">
        <w:r w:rsidR="00063389" w:rsidRPr="00E03350">
          <w:rPr>
            <w:rStyle w:val="Hyperlink"/>
            <w:noProof/>
          </w:rPr>
          <w:t xml:space="preserve">A.16. </w:t>
        </w:r>
        <w:r w:rsidR="00063389">
          <w:rPr>
            <w:rFonts w:eastAsiaTheme="minorEastAsia" w:cstheme="minorBidi"/>
            <w:smallCaps w:val="0"/>
            <w:noProof/>
            <w:sz w:val="22"/>
            <w:szCs w:val="22"/>
          </w:rPr>
          <w:tab/>
        </w:r>
        <w:r w:rsidR="00063389" w:rsidRPr="00E03350">
          <w:rPr>
            <w:rStyle w:val="Hyperlink"/>
            <w:noProof/>
          </w:rPr>
          <w:t>Plans for Tabulation and Publication and Project Time Schedule</w:t>
        </w:r>
        <w:r w:rsidR="00063389">
          <w:rPr>
            <w:noProof/>
            <w:webHidden/>
          </w:rPr>
          <w:tab/>
        </w:r>
        <w:r w:rsidR="00063389">
          <w:rPr>
            <w:noProof/>
            <w:webHidden/>
          </w:rPr>
          <w:fldChar w:fldCharType="begin"/>
        </w:r>
        <w:r w:rsidR="00063389">
          <w:rPr>
            <w:noProof/>
            <w:webHidden/>
          </w:rPr>
          <w:instrText xml:space="preserve"> PAGEREF _Toc511121643 \h </w:instrText>
        </w:r>
        <w:r w:rsidR="00063389">
          <w:rPr>
            <w:noProof/>
            <w:webHidden/>
          </w:rPr>
        </w:r>
        <w:r w:rsidR="00063389">
          <w:rPr>
            <w:noProof/>
            <w:webHidden/>
          </w:rPr>
          <w:fldChar w:fldCharType="separate"/>
        </w:r>
        <w:r w:rsidR="00063389">
          <w:rPr>
            <w:noProof/>
            <w:webHidden/>
          </w:rPr>
          <w:t>18</w:t>
        </w:r>
        <w:r w:rsidR="00063389">
          <w:rPr>
            <w:noProof/>
            <w:webHidden/>
          </w:rPr>
          <w:fldChar w:fldCharType="end"/>
        </w:r>
      </w:hyperlink>
    </w:p>
    <w:p w14:paraId="67B43ED5"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44" w:history="1">
        <w:r w:rsidR="00063389" w:rsidRPr="00E03350">
          <w:rPr>
            <w:rStyle w:val="Hyperlink"/>
            <w:noProof/>
          </w:rPr>
          <w:t xml:space="preserve">A.17. </w:t>
        </w:r>
        <w:r w:rsidR="00063389">
          <w:rPr>
            <w:rFonts w:eastAsiaTheme="minorEastAsia" w:cstheme="minorBidi"/>
            <w:smallCaps w:val="0"/>
            <w:noProof/>
            <w:sz w:val="22"/>
            <w:szCs w:val="22"/>
          </w:rPr>
          <w:tab/>
        </w:r>
        <w:r w:rsidR="00063389" w:rsidRPr="00E03350">
          <w:rPr>
            <w:rStyle w:val="Hyperlink"/>
            <w:noProof/>
          </w:rPr>
          <w:t>Reason(s) Display of OMB Expiration Date is Inappropriate</w:t>
        </w:r>
        <w:r w:rsidR="00063389">
          <w:rPr>
            <w:noProof/>
            <w:webHidden/>
          </w:rPr>
          <w:tab/>
        </w:r>
        <w:r w:rsidR="00063389">
          <w:rPr>
            <w:noProof/>
            <w:webHidden/>
          </w:rPr>
          <w:fldChar w:fldCharType="begin"/>
        </w:r>
        <w:r w:rsidR="00063389">
          <w:rPr>
            <w:noProof/>
            <w:webHidden/>
          </w:rPr>
          <w:instrText xml:space="preserve"> PAGEREF _Toc511121644 \h </w:instrText>
        </w:r>
        <w:r w:rsidR="00063389">
          <w:rPr>
            <w:noProof/>
            <w:webHidden/>
          </w:rPr>
        </w:r>
        <w:r w:rsidR="00063389">
          <w:rPr>
            <w:noProof/>
            <w:webHidden/>
          </w:rPr>
          <w:fldChar w:fldCharType="separate"/>
        </w:r>
        <w:r w:rsidR="00063389">
          <w:rPr>
            <w:noProof/>
            <w:webHidden/>
          </w:rPr>
          <w:t>19</w:t>
        </w:r>
        <w:r w:rsidR="00063389">
          <w:rPr>
            <w:noProof/>
            <w:webHidden/>
          </w:rPr>
          <w:fldChar w:fldCharType="end"/>
        </w:r>
      </w:hyperlink>
    </w:p>
    <w:p w14:paraId="08DB4CB8" w14:textId="77777777" w:rsidR="00063389" w:rsidRDefault="006F4776">
      <w:pPr>
        <w:pStyle w:val="TOC2"/>
        <w:tabs>
          <w:tab w:val="left" w:pos="960"/>
          <w:tab w:val="right" w:leader="dot" w:pos="9350"/>
        </w:tabs>
        <w:rPr>
          <w:rFonts w:eastAsiaTheme="minorEastAsia" w:cstheme="minorBidi"/>
          <w:smallCaps w:val="0"/>
          <w:noProof/>
          <w:sz w:val="22"/>
          <w:szCs w:val="22"/>
        </w:rPr>
      </w:pPr>
      <w:hyperlink w:anchor="_Toc511121645" w:history="1">
        <w:r w:rsidR="00063389" w:rsidRPr="00E03350">
          <w:rPr>
            <w:rStyle w:val="Hyperlink"/>
            <w:noProof/>
          </w:rPr>
          <w:t xml:space="preserve">A.18. </w:t>
        </w:r>
        <w:r w:rsidR="00063389">
          <w:rPr>
            <w:rFonts w:eastAsiaTheme="minorEastAsia" w:cstheme="minorBidi"/>
            <w:smallCaps w:val="0"/>
            <w:noProof/>
            <w:sz w:val="22"/>
            <w:szCs w:val="22"/>
          </w:rPr>
          <w:tab/>
        </w:r>
        <w:r w:rsidR="00063389" w:rsidRPr="00E03350">
          <w:rPr>
            <w:rStyle w:val="Hyperlink"/>
            <w:noProof/>
          </w:rPr>
          <w:t>Exceptions to Certification for Paperwork Reduction Act Submissions</w:t>
        </w:r>
        <w:r w:rsidR="00063389">
          <w:rPr>
            <w:noProof/>
            <w:webHidden/>
          </w:rPr>
          <w:tab/>
        </w:r>
        <w:r w:rsidR="00063389">
          <w:rPr>
            <w:noProof/>
            <w:webHidden/>
          </w:rPr>
          <w:fldChar w:fldCharType="begin"/>
        </w:r>
        <w:r w:rsidR="00063389">
          <w:rPr>
            <w:noProof/>
            <w:webHidden/>
          </w:rPr>
          <w:instrText xml:space="preserve"> PAGEREF _Toc511121645 \h </w:instrText>
        </w:r>
        <w:r w:rsidR="00063389">
          <w:rPr>
            <w:noProof/>
            <w:webHidden/>
          </w:rPr>
        </w:r>
        <w:r w:rsidR="00063389">
          <w:rPr>
            <w:noProof/>
            <w:webHidden/>
          </w:rPr>
          <w:fldChar w:fldCharType="separate"/>
        </w:r>
        <w:r w:rsidR="00063389">
          <w:rPr>
            <w:noProof/>
            <w:webHidden/>
          </w:rPr>
          <w:t>19</w:t>
        </w:r>
        <w:r w:rsidR="00063389">
          <w:rPr>
            <w:noProof/>
            <w:webHidden/>
          </w:rPr>
          <w:fldChar w:fldCharType="end"/>
        </w:r>
      </w:hyperlink>
    </w:p>
    <w:p w14:paraId="601AF26D" w14:textId="77777777" w:rsidR="00063389" w:rsidRDefault="006F4776">
      <w:pPr>
        <w:pStyle w:val="TOC1"/>
        <w:rPr>
          <w:rFonts w:eastAsiaTheme="minorEastAsia" w:cstheme="minorBidi"/>
          <w:b w:val="0"/>
          <w:bCs w:val="0"/>
          <w:caps w:val="0"/>
          <w:sz w:val="22"/>
          <w:szCs w:val="22"/>
        </w:rPr>
      </w:pPr>
      <w:hyperlink w:anchor="_Toc511121646" w:history="1">
        <w:r w:rsidR="00063389" w:rsidRPr="00E03350">
          <w:rPr>
            <w:rStyle w:val="Hyperlink"/>
            <w:smallCaps/>
          </w:rPr>
          <w:t>References</w:t>
        </w:r>
        <w:r w:rsidR="00063389">
          <w:rPr>
            <w:webHidden/>
          </w:rPr>
          <w:tab/>
        </w:r>
        <w:r w:rsidR="00063389">
          <w:rPr>
            <w:webHidden/>
          </w:rPr>
          <w:fldChar w:fldCharType="begin"/>
        </w:r>
        <w:r w:rsidR="00063389">
          <w:rPr>
            <w:webHidden/>
          </w:rPr>
          <w:instrText xml:space="preserve"> PAGEREF _Toc511121646 \h </w:instrText>
        </w:r>
        <w:r w:rsidR="00063389">
          <w:rPr>
            <w:webHidden/>
          </w:rPr>
        </w:r>
        <w:r w:rsidR="00063389">
          <w:rPr>
            <w:webHidden/>
          </w:rPr>
          <w:fldChar w:fldCharType="separate"/>
        </w:r>
        <w:r w:rsidR="00063389">
          <w:rPr>
            <w:webHidden/>
          </w:rPr>
          <w:t>20</w:t>
        </w:r>
        <w:r w:rsidR="00063389">
          <w:rPr>
            <w:webHidden/>
          </w:rPr>
          <w:fldChar w:fldCharType="end"/>
        </w:r>
      </w:hyperlink>
    </w:p>
    <w:p w14:paraId="18B6A484" w14:textId="77777777" w:rsidR="00D35575" w:rsidRPr="00D35575" w:rsidRDefault="00B210E1" w:rsidP="00D35575">
      <w:r w:rsidRPr="00B210E1">
        <w:fldChar w:fldCharType="end"/>
      </w:r>
    </w:p>
    <w:p w14:paraId="7CDDE357" w14:textId="77777777" w:rsidR="008F4F79" w:rsidRPr="00063389" w:rsidRDefault="008F4F79" w:rsidP="00063389">
      <w:pPr>
        <w:pStyle w:val="Heading1"/>
        <w:spacing w:after="120"/>
        <w:rPr>
          <w:smallCaps/>
        </w:rPr>
      </w:pPr>
      <w:bookmarkStart w:id="2" w:name="_Toc511121625"/>
      <w:r w:rsidRPr="00063389">
        <w:rPr>
          <w:smallCaps/>
        </w:rPr>
        <w:t>List of Attachments</w:t>
      </w:r>
      <w:bookmarkEnd w:id="2"/>
      <w:r w:rsidRPr="00063389">
        <w:rPr>
          <w:smallCaps/>
        </w:rPr>
        <w:t xml:space="preserve"> </w:t>
      </w:r>
    </w:p>
    <w:p w14:paraId="67677305" w14:textId="5C85D8B3" w:rsidR="008F4F79" w:rsidRPr="00DD17B0" w:rsidRDefault="008F4F79" w:rsidP="00DD17B0">
      <w:pPr>
        <w:pStyle w:val="TOC1"/>
        <w:rPr>
          <w:rStyle w:val="Hyperlink"/>
          <w:b w:val="0"/>
          <w:smallCaps/>
          <w:color w:val="auto"/>
          <w:u w:val="none"/>
        </w:rPr>
      </w:pPr>
      <w:r w:rsidRPr="00DD17B0">
        <w:rPr>
          <w:rStyle w:val="Hyperlink"/>
          <w:b w:val="0"/>
          <w:smallCaps/>
          <w:color w:val="auto"/>
          <w:u w:val="none"/>
        </w:rPr>
        <w:t>Attachment A – Ride Share Partner Outreach Materials</w:t>
      </w:r>
    </w:p>
    <w:p w14:paraId="06B46EBF" w14:textId="018DFC84" w:rsidR="008F4F79" w:rsidRPr="00DD17B0" w:rsidRDefault="008F4F79" w:rsidP="00DD17B0">
      <w:pPr>
        <w:pStyle w:val="TOC1"/>
        <w:rPr>
          <w:rStyle w:val="Hyperlink"/>
          <w:b w:val="0"/>
          <w:smallCaps/>
          <w:color w:val="auto"/>
          <w:u w:val="none"/>
        </w:rPr>
      </w:pPr>
      <w:r w:rsidRPr="00DD17B0">
        <w:rPr>
          <w:rStyle w:val="Hyperlink"/>
          <w:b w:val="0"/>
          <w:smallCaps/>
          <w:color w:val="auto"/>
          <w:u w:val="none"/>
        </w:rPr>
        <w:t>Attachment B – Written questionnaire Focus Group</w:t>
      </w:r>
    </w:p>
    <w:p w14:paraId="53094664" w14:textId="77777777" w:rsidR="008F4F79" w:rsidRPr="00DD17B0" w:rsidRDefault="008F4F79" w:rsidP="00DD17B0">
      <w:pPr>
        <w:pStyle w:val="TOC1"/>
        <w:rPr>
          <w:rStyle w:val="Hyperlink"/>
          <w:b w:val="0"/>
          <w:smallCaps/>
          <w:color w:val="auto"/>
          <w:u w:val="none"/>
        </w:rPr>
      </w:pPr>
      <w:r w:rsidRPr="00DD17B0">
        <w:rPr>
          <w:rStyle w:val="Hyperlink"/>
          <w:b w:val="0"/>
          <w:smallCaps/>
          <w:color w:val="auto"/>
          <w:u w:val="none"/>
        </w:rPr>
        <w:t xml:space="preserve">Attachment C – Focus Group Protocol – Users </w:t>
      </w:r>
    </w:p>
    <w:p w14:paraId="25DE3C3A" w14:textId="77777777" w:rsidR="008F4F79" w:rsidRPr="00DD17B0" w:rsidRDefault="008F4F79" w:rsidP="00DD17B0">
      <w:pPr>
        <w:pStyle w:val="TOC1"/>
        <w:rPr>
          <w:rStyle w:val="Hyperlink"/>
          <w:b w:val="0"/>
          <w:smallCaps/>
          <w:color w:val="auto"/>
          <w:u w:val="none"/>
        </w:rPr>
      </w:pPr>
      <w:r w:rsidRPr="00DD17B0">
        <w:rPr>
          <w:rStyle w:val="Hyperlink"/>
          <w:b w:val="0"/>
          <w:smallCaps/>
          <w:color w:val="auto"/>
          <w:u w:val="none"/>
        </w:rPr>
        <w:t xml:space="preserve">Attachment D – Focus Group Protocol – Non-Users </w:t>
      </w:r>
    </w:p>
    <w:p w14:paraId="59B94500" w14:textId="5D3B5BE5" w:rsidR="008F4F79" w:rsidRPr="00DD17B0" w:rsidRDefault="008F4F79" w:rsidP="00DD17B0">
      <w:pPr>
        <w:pStyle w:val="TOC1"/>
        <w:rPr>
          <w:rStyle w:val="Hyperlink"/>
          <w:b w:val="0"/>
          <w:smallCaps/>
          <w:color w:val="auto"/>
          <w:u w:val="none"/>
        </w:rPr>
      </w:pPr>
      <w:r w:rsidRPr="00DD17B0">
        <w:rPr>
          <w:rStyle w:val="Hyperlink"/>
          <w:b w:val="0"/>
          <w:smallCaps/>
          <w:color w:val="auto"/>
          <w:u w:val="none"/>
        </w:rPr>
        <w:t>Attachment E – Interview Protocol – Users</w:t>
      </w:r>
    </w:p>
    <w:p w14:paraId="3398F93A" w14:textId="2D3F3ABC" w:rsidR="008F4F79" w:rsidRPr="00DD17B0" w:rsidRDefault="008F4F79" w:rsidP="00DD17B0">
      <w:pPr>
        <w:pStyle w:val="TOC1"/>
        <w:rPr>
          <w:rStyle w:val="Hyperlink"/>
          <w:b w:val="0"/>
          <w:smallCaps/>
          <w:color w:val="auto"/>
          <w:u w:val="none"/>
        </w:rPr>
      </w:pPr>
      <w:r w:rsidRPr="00DD17B0">
        <w:rPr>
          <w:rStyle w:val="Hyperlink"/>
          <w:b w:val="0"/>
          <w:smallCaps/>
          <w:color w:val="auto"/>
          <w:u w:val="none"/>
        </w:rPr>
        <w:t>Attachment F – Interview Protocol  – Non-Users</w:t>
      </w:r>
    </w:p>
    <w:p w14:paraId="0E9DF2F3" w14:textId="75465975" w:rsidR="008F4F79" w:rsidRPr="00DD17B0" w:rsidRDefault="008F4F79" w:rsidP="00DD17B0">
      <w:pPr>
        <w:pStyle w:val="TOC1"/>
        <w:rPr>
          <w:rStyle w:val="Hyperlink"/>
          <w:b w:val="0"/>
          <w:smallCaps/>
          <w:color w:val="auto"/>
          <w:u w:val="none"/>
        </w:rPr>
      </w:pPr>
      <w:r w:rsidRPr="00DD17B0">
        <w:rPr>
          <w:rStyle w:val="Hyperlink"/>
          <w:b w:val="0"/>
          <w:smallCaps/>
          <w:color w:val="auto"/>
          <w:u w:val="none"/>
        </w:rPr>
        <w:t xml:space="preserve">Attachment G – </w:t>
      </w:r>
      <w:r w:rsidR="00C3436A" w:rsidRPr="00C3436A">
        <w:rPr>
          <w:rStyle w:val="Hyperlink"/>
          <w:b w:val="0"/>
          <w:smallCaps/>
          <w:color w:val="auto"/>
          <w:u w:val="none"/>
        </w:rPr>
        <w:t>Informed Consent</w:t>
      </w:r>
    </w:p>
    <w:p w14:paraId="5C7E15B0" w14:textId="69704795" w:rsidR="008F4F79" w:rsidRPr="00DD17B0" w:rsidRDefault="008F4F79" w:rsidP="00DD17B0">
      <w:pPr>
        <w:pStyle w:val="TOC1"/>
        <w:rPr>
          <w:rStyle w:val="Hyperlink"/>
          <w:b w:val="0"/>
          <w:smallCaps/>
          <w:color w:val="auto"/>
          <w:u w:val="none"/>
        </w:rPr>
      </w:pPr>
      <w:r w:rsidRPr="00DD17B0">
        <w:rPr>
          <w:rStyle w:val="Hyperlink"/>
          <w:b w:val="0"/>
          <w:smallCaps/>
          <w:color w:val="auto"/>
          <w:u w:val="none"/>
        </w:rPr>
        <w:t>Attachment H – Flyer for Recruitment</w:t>
      </w:r>
    </w:p>
    <w:p w14:paraId="2DAA1013" w14:textId="2E7B7263" w:rsidR="008F4F79" w:rsidRPr="00DD17B0" w:rsidRDefault="008F4F79" w:rsidP="00DD17B0">
      <w:pPr>
        <w:pStyle w:val="TOC1"/>
        <w:rPr>
          <w:rStyle w:val="Hyperlink"/>
          <w:b w:val="0"/>
          <w:smallCaps/>
          <w:color w:val="auto"/>
          <w:u w:val="none"/>
        </w:rPr>
      </w:pPr>
      <w:r w:rsidRPr="00DD17B0">
        <w:rPr>
          <w:rStyle w:val="Hyperlink"/>
          <w:b w:val="0"/>
          <w:smallCaps/>
          <w:color w:val="auto"/>
          <w:u w:val="none"/>
        </w:rPr>
        <w:t>Attachment I – Study Description</w:t>
      </w:r>
    </w:p>
    <w:p w14:paraId="70377028" w14:textId="1464EF8F" w:rsidR="008F4F79" w:rsidRPr="00DD17B0" w:rsidRDefault="008F4F79" w:rsidP="00DD17B0">
      <w:pPr>
        <w:pStyle w:val="TOC1"/>
        <w:rPr>
          <w:rStyle w:val="Hyperlink"/>
          <w:b w:val="0"/>
          <w:smallCaps/>
          <w:color w:val="auto"/>
          <w:u w:val="none"/>
        </w:rPr>
      </w:pPr>
      <w:r w:rsidRPr="00DD17B0">
        <w:rPr>
          <w:rStyle w:val="Hyperlink"/>
          <w:b w:val="0"/>
          <w:smallCaps/>
          <w:color w:val="auto"/>
          <w:u w:val="none"/>
        </w:rPr>
        <w:t>Attachment J –</w:t>
      </w:r>
      <w:r w:rsidR="00063389">
        <w:rPr>
          <w:rStyle w:val="Hyperlink"/>
          <w:b w:val="0"/>
          <w:smallCaps/>
          <w:color w:val="auto"/>
          <w:u w:val="none"/>
        </w:rPr>
        <w:t xml:space="preserve"> </w:t>
      </w:r>
      <w:r w:rsidRPr="00DD17B0">
        <w:rPr>
          <w:rStyle w:val="Hyperlink"/>
          <w:b w:val="0"/>
          <w:smallCaps/>
          <w:color w:val="auto"/>
          <w:u w:val="none"/>
        </w:rPr>
        <w:t>Screener</w:t>
      </w:r>
      <w:r w:rsidR="00DA082A">
        <w:rPr>
          <w:rStyle w:val="Hyperlink"/>
          <w:b w:val="0"/>
          <w:smallCaps/>
          <w:color w:val="auto"/>
          <w:u w:val="none"/>
        </w:rPr>
        <w:t xml:space="preserve"> Focus Group</w:t>
      </w:r>
    </w:p>
    <w:p w14:paraId="19D6A4C5" w14:textId="120A5B38" w:rsidR="008F4F79" w:rsidRPr="00DD17B0" w:rsidRDefault="008F4F79" w:rsidP="00DA082A">
      <w:pPr>
        <w:pStyle w:val="TOC1"/>
        <w:rPr>
          <w:rStyle w:val="Hyperlink"/>
          <w:b w:val="0"/>
          <w:smallCaps/>
          <w:color w:val="auto"/>
          <w:u w:val="none"/>
        </w:rPr>
      </w:pPr>
      <w:r w:rsidRPr="00DD17B0">
        <w:rPr>
          <w:rStyle w:val="Hyperlink"/>
          <w:b w:val="0"/>
          <w:smallCaps/>
          <w:color w:val="auto"/>
          <w:u w:val="none"/>
        </w:rPr>
        <w:t>Attachment K –Screener</w:t>
      </w:r>
      <w:r w:rsidR="00DA082A">
        <w:rPr>
          <w:rStyle w:val="Hyperlink"/>
          <w:b w:val="0"/>
          <w:smallCaps/>
          <w:color w:val="auto"/>
          <w:u w:val="none"/>
        </w:rPr>
        <w:t xml:space="preserve"> </w:t>
      </w:r>
      <w:r w:rsidR="00DA082A" w:rsidRPr="00DD17B0">
        <w:rPr>
          <w:rStyle w:val="Hyperlink"/>
          <w:b w:val="0"/>
          <w:smallCaps/>
          <w:color w:val="auto"/>
          <w:u w:val="none"/>
        </w:rPr>
        <w:t>Telephone</w:t>
      </w:r>
      <w:r w:rsidRPr="00DD17B0">
        <w:rPr>
          <w:rStyle w:val="Hyperlink"/>
          <w:b w:val="0"/>
          <w:smallCaps/>
          <w:color w:val="auto"/>
          <w:u w:val="none"/>
        </w:rPr>
        <w:t xml:space="preserve"> </w:t>
      </w:r>
      <w:r w:rsidR="00DA082A" w:rsidRPr="00DD17B0">
        <w:rPr>
          <w:rStyle w:val="Hyperlink"/>
          <w:b w:val="0"/>
          <w:smallCaps/>
          <w:color w:val="auto"/>
          <w:u w:val="none"/>
        </w:rPr>
        <w:t>Interview</w:t>
      </w:r>
    </w:p>
    <w:p w14:paraId="7C736A0D" w14:textId="70F83E18" w:rsidR="00DE77EA" w:rsidRDefault="008F4F79" w:rsidP="00DD17B0">
      <w:pPr>
        <w:pStyle w:val="TOC1"/>
        <w:rPr>
          <w:rStyle w:val="Hyperlink"/>
          <w:b w:val="0"/>
          <w:smallCaps/>
          <w:color w:val="auto"/>
          <w:u w:val="none"/>
        </w:rPr>
      </w:pPr>
      <w:r w:rsidRPr="00DD17B0">
        <w:rPr>
          <w:rStyle w:val="Hyperlink"/>
          <w:b w:val="0"/>
          <w:smallCaps/>
          <w:color w:val="auto"/>
          <w:u w:val="none"/>
        </w:rPr>
        <w:t xml:space="preserve">Attachment L – </w:t>
      </w:r>
      <w:r w:rsidR="003404F1">
        <w:rPr>
          <w:rStyle w:val="Hyperlink"/>
          <w:b w:val="0"/>
          <w:smallCaps/>
          <w:color w:val="auto"/>
          <w:u w:val="none"/>
        </w:rPr>
        <w:t>C</w:t>
      </w:r>
      <w:r w:rsidR="001E30A0" w:rsidRPr="001E30A0">
        <w:rPr>
          <w:rStyle w:val="Hyperlink"/>
          <w:b w:val="0"/>
          <w:smallCaps/>
          <w:color w:val="auto"/>
          <w:u w:val="none"/>
        </w:rPr>
        <w:t>ommunication Materials</w:t>
      </w:r>
      <w:r w:rsidR="001E30A0" w:rsidRPr="001E30A0" w:rsidDel="001E30A0">
        <w:rPr>
          <w:rStyle w:val="Hyperlink"/>
          <w:b w:val="0"/>
          <w:smallCaps/>
          <w:color w:val="auto"/>
          <w:u w:val="none"/>
        </w:rPr>
        <w:t xml:space="preserve"> </w:t>
      </w:r>
    </w:p>
    <w:p w14:paraId="5E1946C4" w14:textId="46D8203D" w:rsidR="008F4F79" w:rsidRPr="00DD17B0" w:rsidRDefault="008F4F79" w:rsidP="00DD17B0">
      <w:pPr>
        <w:pStyle w:val="TOC1"/>
        <w:rPr>
          <w:rStyle w:val="Hyperlink"/>
          <w:b w:val="0"/>
          <w:smallCaps/>
          <w:color w:val="auto"/>
          <w:u w:val="none"/>
        </w:rPr>
      </w:pPr>
      <w:r w:rsidRPr="00DD17B0">
        <w:rPr>
          <w:rStyle w:val="Hyperlink"/>
          <w:b w:val="0"/>
          <w:smallCaps/>
          <w:color w:val="auto"/>
          <w:u w:val="none"/>
        </w:rPr>
        <w:t xml:space="preserve">Attachment M – </w:t>
      </w:r>
      <w:r w:rsidR="00DA082A" w:rsidRPr="00DA082A">
        <w:rPr>
          <w:rStyle w:val="Hyperlink"/>
          <w:b w:val="0"/>
          <w:smallCaps/>
          <w:color w:val="auto"/>
          <w:u w:val="none"/>
        </w:rPr>
        <w:t xml:space="preserve"> </w:t>
      </w:r>
      <w:r w:rsidR="00DA082A" w:rsidRPr="00DD17B0">
        <w:rPr>
          <w:rStyle w:val="Hyperlink"/>
          <w:b w:val="0"/>
          <w:smallCaps/>
          <w:color w:val="auto"/>
          <w:u w:val="none"/>
        </w:rPr>
        <w:t>Privacy Impact Assessment</w:t>
      </w:r>
    </w:p>
    <w:p w14:paraId="6156B53B" w14:textId="444600BA" w:rsidR="008F4F79" w:rsidRPr="00DD17B0" w:rsidRDefault="008F4F79" w:rsidP="00DD17B0">
      <w:pPr>
        <w:pStyle w:val="TOC1"/>
        <w:rPr>
          <w:rStyle w:val="Hyperlink"/>
          <w:b w:val="0"/>
          <w:smallCaps/>
          <w:color w:val="auto"/>
          <w:u w:val="none"/>
        </w:rPr>
      </w:pPr>
      <w:r w:rsidRPr="00DD17B0">
        <w:rPr>
          <w:rStyle w:val="Hyperlink"/>
          <w:b w:val="0"/>
          <w:smallCaps/>
          <w:color w:val="auto"/>
          <w:u w:val="none"/>
        </w:rPr>
        <w:t xml:space="preserve">Attachment </w:t>
      </w:r>
      <w:r w:rsidR="00DA082A">
        <w:rPr>
          <w:rStyle w:val="Hyperlink"/>
          <w:b w:val="0"/>
          <w:smallCaps/>
          <w:color w:val="auto"/>
          <w:u w:val="none"/>
        </w:rPr>
        <w:t>N</w:t>
      </w:r>
      <w:r w:rsidRPr="00DD17B0">
        <w:rPr>
          <w:rStyle w:val="Hyperlink"/>
          <w:b w:val="0"/>
          <w:smallCaps/>
          <w:color w:val="auto"/>
          <w:u w:val="none"/>
        </w:rPr>
        <w:t xml:space="preserve"> – </w:t>
      </w:r>
      <w:r w:rsidR="00DA082A" w:rsidRPr="00DD17B0">
        <w:rPr>
          <w:rStyle w:val="Hyperlink"/>
          <w:b w:val="0"/>
          <w:smallCaps/>
          <w:color w:val="auto"/>
          <w:u w:val="none"/>
        </w:rPr>
        <w:t>Institutional Review Board (IRB) Documentation</w:t>
      </w:r>
    </w:p>
    <w:p w14:paraId="44DF03A0" w14:textId="141568DF" w:rsidR="00395775" w:rsidRDefault="00395775" w:rsidP="00177F19">
      <w:pPr>
        <w:pStyle w:val="NORCProposalBody12ptGaramond"/>
        <w:spacing w:after="40"/>
        <w:ind w:left="360" w:firstLine="0"/>
      </w:pPr>
    </w:p>
    <w:p w14:paraId="0D393EB1" w14:textId="6EADE0E6" w:rsidR="00FB1045" w:rsidRPr="00B210E1" w:rsidRDefault="00271322" w:rsidP="00481497">
      <w:pPr>
        <w:pStyle w:val="Heading1"/>
        <w:ind w:left="0" w:firstLine="0"/>
        <w:rPr>
          <w:smallCaps/>
        </w:rPr>
      </w:pPr>
      <w:bookmarkStart w:id="3" w:name="_Toc511121626"/>
      <w:r>
        <w:rPr>
          <w:noProof/>
        </w:rPr>
        <w:lastRenderedPageBreak/>
        <mc:AlternateContent>
          <mc:Choice Requires="wps">
            <w:drawing>
              <wp:anchor distT="0" distB="0" distL="114300" distR="114300" simplePos="0" relativeHeight="251659264" behindDoc="0" locked="0" layoutInCell="1" allowOverlap="1" wp14:anchorId="173AF84E" wp14:editId="4A2E546C">
                <wp:simplePos x="0" y="0"/>
                <wp:positionH relativeFrom="column">
                  <wp:posOffset>0</wp:posOffset>
                </wp:positionH>
                <wp:positionV relativeFrom="paragraph">
                  <wp:posOffset>371476</wp:posOffset>
                </wp:positionV>
                <wp:extent cx="6162675" cy="2914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14650"/>
                        </a:xfrm>
                        <a:prstGeom prst="rect">
                          <a:avLst/>
                        </a:prstGeom>
                        <a:solidFill>
                          <a:srgbClr val="FFFFFF"/>
                        </a:solidFill>
                        <a:ln w="9525">
                          <a:solidFill>
                            <a:srgbClr val="000000"/>
                          </a:solidFill>
                          <a:miter lim="800000"/>
                          <a:headEnd/>
                          <a:tailEnd/>
                        </a:ln>
                      </wps:spPr>
                      <wps:txbx>
                        <w:txbxContent>
                          <w:p w14:paraId="25E83EEB" w14:textId="14A02E0A" w:rsidR="000910E6" w:rsidRPr="00271322" w:rsidRDefault="000910E6" w:rsidP="00770B65">
                            <w:pPr>
                              <w:pStyle w:val="ListParagraph"/>
                              <w:numPr>
                                <w:ilvl w:val="0"/>
                                <w:numId w:val="6"/>
                              </w:numPr>
                              <w:spacing w:after="200" w:line="276" w:lineRule="auto"/>
                            </w:pPr>
                            <w:r w:rsidRPr="00271322">
                              <w:t>Goal of the study: Examine the barriers and facilitators of older adults</w:t>
                            </w:r>
                            <w:r>
                              <w:t>'</w:t>
                            </w:r>
                            <w:r w:rsidRPr="00271322">
                              <w:t xml:space="preserve"> use of ride share services as a transportation alternative and compare the</w:t>
                            </w:r>
                            <w:r>
                              <w:t>ir experiences to younger adults.</w:t>
                            </w:r>
                          </w:p>
                          <w:p w14:paraId="6DC4028B" w14:textId="77777777" w:rsidR="000910E6" w:rsidRPr="00271322" w:rsidRDefault="000910E6" w:rsidP="00395775">
                            <w:pPr>
                              <w:pStyle w:val="ListParagraph"/>
                              <w:ind w:left="360"/>
                            </w:pPr>
                          </w:p>
                          <w:p w14:paraId="4D36C609" w14:textId="53C18399" w:rsidR="000910E6" w:rsidRPr="00271322" w:rsidRDefault="000910E6" w:rsidP="00770B65">
                            <w:pPr>
                              <w:pStyle w:val="ListParagraph"/>
                              <w:numPr>
                                <w:ilvl w:val="0"/>
                                <w:numId w:val="6"/>
                              </w:numPr>
                              <w:spacing w:after="200" w:line="276" w:lineRule="auto"/>
                            </w:pPr>
                            <w:r w:rsidRPr="00271322">
                              <w:t>Intended use of the resulting data: The study will help CDC to understand older adults</w:t>
                            </w:r>
                            <w:r>
                              <w:t>'</w:t>
                            </w:r>
                            <w:r w:rsidRPr="00271322">
                              <w:t xml:space="preserve"> use of ride share services and identify strategies for meeting the transportation needs of older adults. </w:t>
                            </w:r>
                          </w:p>
                          <w:p w14:paraId="5AE521D4" w14:textId="77777777" w:rsidR="000910E6" w:rsidRPr="00271322" w:rsidRDefault="000910E6" w:rsidP="00395775">
                            <w:pPr>
                              <w:pStyle w:val="ListParagraph"/>
                              <w:ind w:left="360"/>
                            </w:pPr>
                          </w:p>
                          <w:p w14:paraId="234FB34F" w14:textId="3B8D28DD" w:rsidR="000910E6" w:rsidRPr="00271322" w:rsidRDefault="000910E6" w:rsidP="00770B65">
                            <w:pPr>
                              <w:pStyle w:val="ListParagraph"/>
                              <w:numPr>
                                <w:ilvl w:val="0"/>
                                <w:numId w:val="6"/>
                              </w:numPr>
                              <w:spacing w:after="200" w:line="276" w:lineRule="auto"/>
                            </w:pPr>
                            <w:r w:rsidRPr="00271322">
                              <w:t>Methods to be used to collect: Qualitative data collection via in-person focus groups and telephone interviews with a sample of older and younger adults.</w:t>
                            </w:r>
                          </w:p>
                          <w:p w14:paraId="439EA9C0" w14:textId="77777777" w:rsidR="000910E6" w:rsidRPr="00271322" w:rsidRDefault="000910E6" w:rsidP="00395775">
                            <w:pPr>
                              <w:pStyle w:val="ListParagraph"/>
                              <w:ind w:left="360"/>
                            </w:pPr>
                          </w:p>
                          <w:p w14:paraId="38E3129A" w14:textId="316579D5" w:rsidR="000910E6" w:rsidRPr="00271322" w:rsidRDefault="000910E6" w:rsidP="00770B65">
                            <w:pPr>
                              <w:pStyle w:val="ListParagraph"/>
                              <w:numPr>
                                <w:ilvl w:val="0"/>
                                <w:numId w:val="6"/>
                              </w:numPr>
                              <w:spacing w:after="200" w:line="276" w:lineRule="auto"/>
                            </w:pPr>
                            <w:r w:rsidRPr="00271322">
                              <w:t>The subpopulation to be studied: Older adults aged 65+ and younger adults aged 18 to 64 who are users and non-users o</w:t>
                            </w:r>
                            <w:r>
                              <w:t>f</w:t>
                            </w:r>
                            <w:r w:rsidRPr="00271322">
                              <w:t xml:space="preserve"> ride share services. </w:t>
                            </w:r>
                          </w:p>
                          <w:p w14:paraId="7A4D6E57" w14:textId="77777777" w:rsidR="000910E6" w:rsidRPr="00271322" w:rsidRDefault="000910E6" w:rsidP="00395775">
                            <w:pPr>
                              <w:pStyle w:val="ListParagraph"/>
                              <w:ind w:left="360"/>
                            </w:pPr>
                          </w:p>
                          <w:p w14:paraId="078EFBFD" w14:textId="52A8FB22" w:rsidR="000910E6" w:rsidRPr="00271322" w:rsidRDefault="000910E6" w:rsidP="00770B65">
                            <w:pPr>
                              <w:pStyle w:val="ListParagraph"/>
                              <w:numPr>
                                <w:ilvl w:val="0"/>
                                <w:numId w:val="6"/>
                              </w:numPr>
                              <w:spacing w:after="200" w:line="276" w:lineRule="auto"/>
                            </w:pPr>
                            <w:r w:rsidRPr="00271322">
                              <w:t>How data will be analyzed: Qualitative analysis using NVivo software to identify key themes.</w:t>
                            </w:r>
                          </w:p>
                          <w:p w14:paraId="1365E078" w14:textId="77777777" w:rsidR="000910E6" w:rsidRDefault="000910E6" w:rsidP="00395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9.25pt;width:485.2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3R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">
                <v:textbox>
                  <w:txbxContent>
                    <w:p w14:paraId="25E83EEB" w14:textId="14A02E0A" w:rsidR="000910E6" w:rsidRPr="00271322" w:rsidRDefault="000910E6" w:rsidP="00770B65">
                      <w:pPr>
                        <w:pStyle w:val="ListParagraph"/>
                        <w:numPr>
                          <w:ilvl w:val="0"/>
                          <w:numId w:val="6"/>
                        </w:numPr>
                        <w:spacing w:after="200" w:line="276" w:lineRule="auto"/>
                      </w:pPr>
                      <w:r w:rsidRPr="00271322">
                        <w:t>Goal of the study: Examine the barriers and facilitators of older adults</w:t>
                      </w:r>
                      <w:r>
                        <w:t>'</w:t>
                      </w:r>
                      <w:r w:rsidRPr="00271322">
                        <w:t xml:space="preserve"> use of ride share services as a transportation alternative and compare the</w:t>
                      </w:r>
                      <w:r>
                        <w:t>ir experiences to younger adults.</w:t>
                      </w:r>
                    </w:p>
                    <w:p w14:paraId="6DC4028B" w14:textId="77777777" w:rsidR="000910E6" w:rsidRPr="00271322" w:rsidRDefault="000910E6" w:rsidP="00395775">
                      <w:pPr>
                        <w:pStyle w:val="ListParagraph"/>
                        <w:ind w:left="360"/>
                      </w:pPr>
                    </w:p>
                    <w:p w14:paraId="4D36C609" w14:textId="53C18399" w:rsidR="000910E6" w:rsidRPr="00271322" w:rsidRDefault="000910E6" w:rsidP="00770B65">
                      <w:pPr>
                        <w:pStyle w:val="ListParagraph"/>
                        <w:numPr>
                          <w:ilvl w:val="0"/>
                          <w:numId w:val="6"/>
                        </w:numPr>
                        <w:spacing w:after="200" w:line="276" w:lineRule="auto"/>
                      </w:pPr>
                      <w:r w:rsidRPr="00271322">
                        <w:t>Intended use of the resulting data: The study will help CDC to understand older adults</w:t>
                      </w:r>
                      <w:r>
                        <w:t>'</w:t>
                      </w:r>
                      <w:r w:rsidRPr="00271322">
                        <w:t xml:space="preserve"> use of ride share services and identify strategies for meeting the transportation needs of older adults. </w:t>
                      </w:r>
                    </w:p>
                    <w:p w14:paraId="5AE521D4" w14:textId="77777777" w:rsidR="000910E6" w:rsidRPr="00271322" w:rsidRDefault="000910E6" w:rsidP="00395775">
                      <w:pPr>
                        <w:pStyle w:val="ListParagraph"/>
                        <w:ind w:left="360"/>
                      </w:pPr>
                    </w:p>
                    <w:p w14:paraId="234FB34F" w14:textId="3B8D28DD" w:rsidR="000910E6" w:rsidRPr="00271322" w:rsidRDefault="000910E6" w:rsidP="00770B65">
                      <w:pPr>
                        <w:pStyle w:val="ListParagraph"/>
                        <w:numPr>
                          <w:ilvl w:val="0"/>
                          <w:numId w:val="6"/>
                        </w:numPr>
                        <w:spacing w:after="200" w:line="276" w:lineRule="auto"/>
                      </w:pPr>
                      <w:r w:rsidRPr="00271322">
                        <w:t>Methods to be used to collect: Qualitative data collection via in-person focus groups and telephone interviews with a sample of older and younger adults.</w:t>
                      </w:r>
                    </w:p>
                    <w:p w14:paraId="439EA9C0" w14:textId="77777777" w:rsidR="000910E6" w:rsidRPr="00271322" w:rsidRDefault="000910E6" w:rsidP="00395775">
                      <w:pPr>
                        <w:pStyle w:val="ListParagraph"/>
                        <w:ind w:left="360"/>
                      </w:pPr>
                    </w:p>
                    <w:p w14:paraId="38E3129A" w14:textId="316579D5" w:rsidR="000910E6" w:rsidRPr="00271322" w:rsidRDefault="000910E6" w:rsidP="00770B65">
                      <w:pPr>
                        <w:pStyle w:val="ListParagraph"/>
                        <w:numPr>
                          <w:ilvl w:val="0"/>
                          <w:numId w:val="6"/>
                        </w:numPr>
                        <w:spacing w:after="200" w:line="276" w:lineRule="auto"/>
                      </w:pPr>
                      <w:r w:rsidRPr="00271322">
                        <w:t>The subpopulation to be studied: Older adults aged 65+ and younger adults aged 18 to 64 who are users and non-users o</w:t>
                      </w:r>
                      <w:r>
                        <w:t>f</w:t>
                      </w:r>
                      <w:r w:rsidRPr="00271322">
                        <w:t xml:space="preserve"> ride share services. </w:t>
                      </w:r>
                    </w:p>
                    <w:p w14:paraId="7A4D6E57" w14:textId="77777777" w:rsidR="000910E6" w:rsidRPr="00271322" w:rsidRDefault="000910E6" w:rsidP="00395775">
                      <w:pPr>
                        <w:pStyle w:val="ListParagraph"/>
                        <w:ind w:left="360"/>
                      </w:pPr>
                    </w:p>
                    <w:p w14:paraId="078EFBFD" w14:textId="52A8FB22" w:rsidR="000910E6" w:rsidRPr="00271322" w:rsidRDefault="000910E6" w:rsidP="00770B65">
                      <w:pPr>
                        <w:pStyle w:val="ListParagraph"/>
                        <w:numPr>
                          <w:ilvl w:val="0"/>
                          <w:numId w:val="6"/>
                        </w:numPr>
                        <w:spacing w:after="200" w:line="276" w:lineRule="auto"/>
                      </w:pPr>
                      <w:r w:rsidRPr="00271322">
                        <w:t>How data will be analyzed: Qualitative analysis using NVivo software to identify key themes.</w:t>
                      </w:r>
                    </w:p>
                    <w:p w14:paraId="1365E078" w14:textId="77777777" w:rsidR="000910E6" w:rsidRDefault="000910E6" w:rsidP="00395775"/>
                  </w:txbxContent>
                </v:textbox>
              </v:shape>
            </w:pict>
          </mc:Fallback>
        </mc:AlternateContent>
      </w:r>
      <w:r w:rsidR="00395775" w:rsidRPr="00B210E1">
        <w:rPr>
          <w:smallCaps/>
        </w:rPr>
        <w:t>Summary Table</w:t>
      </w:r>
      <w:bookmarkEnd w:id="3"/>
    </w:p>
    <w:p w14:paraId="737B2BF1" w14:textId="5E4E5AAD" w:rsidR="00395775" w:rsidRDefault="00395775" w:rsidP="00812EDE">
      <w:pPr>
        <w:rPr>
          <w:b/>
          <w:bCs/>
        </w:rPr>
      </w:pPr>
    </w:p>
    <w:p w14:paraId="0D393EB2" w14:textId="77777777" w:rsidR="00FB1045" w:rsidRDefault="00FB1045" w:rsidP="00812EDE">
      <w:pPr>
        <w:rPr>
          <w:b/>
          <w:bCs/>
        </w:rPr>
      </w:pPr>
    </w:p>
    <w:p w14:paraId="0D393EB3" w14:textId="77777777" w:rsidR="00FB1045" w:rsidRDefault="00FB1045" w:rsidP="00812EDE">
      <w:pPr>
        <w:rPr>
          <w:b/>
          <w:bCs/>
        </w:rPr>
      </w:pPr>
    </w:p>
    <w:p w14:paraId="0D393EB4" w14:textId="77777777" w:rsidR="00FB1045" w:rsidRDefault="00FB1045" w:rsidP="00812EDE">
      <w:pPr>
        <w:rPr>
          <w:b/>
          <w:bCs/>
        </w:rPr>
      </w:pPr>
    </w:p>
    <w:p w14:paraId="0D393EB5" w14:textId="77777777" w:rsidR="00FB1045" w:rsidRDefault="00FB1045" w:rsidP="00812EDE">
      <w:pPr>
        <w:rPr>
          <w:b/>
          <w:bCs/>
        </w:rPr>
      </w:pPr>
    </w:p>
    <w:p w14:paraId="0D393EB6" w14:textId="77777777" w:rsidR="00FB1045" w:rsidRDefault="00FB1045" w:rsidP="00812EDE">
      <w:pPr>
        <w:rPr>
          <w:b/>
          <w:bCs/>
        </w:rPr>
      </w:pPr>
    </w:p>
    <w:p w14:paraId="0D393EB7" w14:textId="77777777" w:rsidR="00FB1045" w:rsidRDefault="00FB1045" w:rsidP="00812EDE">
      <w:pPr>
        <w:rPr>
          <w:b/>
          <w:bCs/>
        </w:rPr>
      </w:pPr>
    </w:p>
    <w:p w14:paraId="0D393EB8" w14:textId="77777777" w:rsidR="00FB1045" w:rsidRDefault="00FB1045" w:rsidP="00812EDE">
      <w:pPr>
        <w:rPr>
          <w:b/>
          <w:bCs/>
        </w:rPr>
      </w:pPr>
    </w:p>
    <w:p w14:paraId="0D393EB9" w14:textId="77777777" w:rsidR="00FB1045" w:rsidRDefault="00FB1045" w:rsidP="00812EDE">
      <w:pPr>
        <w:rPr>
          <w:b/>
          <w:bCs/>
        </w:rPr>
      </w:pPr>
    </w:p>
    <w:p w14:paraId="0D393EBA" w14:textId="77777777" w:rsidR="00FB1045" w:rsidRDefault="00FB1045" w:rsidP="00812EDE">
      <w:pPr>
        <w:rPr>
          <w:b/>
          <w:bCs/>
        </w:rPr>
      </w:pPr>
    </w:p>
    <w:p w14:paraId="0D393EBB" w14:textId="77777777" w:rsidR="00FB1045" w:rsidRDefault="00FB1045" w:rsidP="00812EDE">
      <w:pPr>
        <w:rPr>
          <w:b/>
          <w:bCs/>
        </w:rPr>
      </w:pPr>
    </w:p>
    <w:p w14:paraId="0D393EBC" w14:textId="77777777" w:rsidR="00FB1045" w:rsidRDefault="00FB1045" w:rsidP="00812EDE">
      <w:pPr>
        <w:rPr>
          <w:b/>
          <w:bCs/>
        </w:rPr>
      </w:pPr>
    </w:p>
    <w:p w14:paraId="0D393EBD" w14:textId="77777777" w:rsidR="00FB1045" w:rsidRDefault="00FB1045" w:rsidP="00812EDE">
      <w:pPr>
        <w:rPr>
          <w:b/>
          <w:bCs/>
        </w:rPr>
      </w:pPr>
    </w:p>
    <w:p w14:paraId="0D393EBE" w14:textId="77777777" w:rsidR="00D629FE" w:rsidRDefault="00D629FE" w:rsidP="00812EDE">
      <w:pPr>
        <w:rPr>
          <w:b/>
          <w:bCs/>
        </w:rPr>
      </w:pPr>
    </w:p>
    <w:p w14:paraId="70113CDC" w14:textId="713BA064" w:rsidR="00395775" w:rsidRDefault="00395775" w:rsidP="00812EDE">
      <w:pPr>
        <w:rPr>
          <w:b/>
          <w:bCs/>
        </w:rPr>
      </w:pPr>
    </w:p>
    <w:p w14:paraId="0D393EBF" w14:textId="3D3426BA" w:rsidR="00972DEF" w:rsidRPr="00B210E1" w:rsidRDefault="00972DEF" w:rsidP="00481497">
      <w:pPr>
        <w:pStyle w:val="Heading1"/>
        <w:ind w:left="0" w:firstLine="0"/>
        <w:rPr>
          <w:smallCaps/>
        </w:rPr>
      </w:pPr>
      <w:bookmarkStart w:id="4" w:name="_Toc511121627"/>
      <w:r w:rsidRPr="00B210E1">
        <w:rPr>
          <w:smallCaps/>
        </w:rPr>
        <w:t>A.</w:t>
      </w:r>
      <w:r w:rsidR="00395775" w:rsidRPr="00B210E1">
        <w:rPr>
          <w:smallCaps/>
        </w:rPr>
        <w:t xml:space="preserve"> </w:t>
      </w:r>
      <w:r w:rsidRPr="00B210E1">
        <w:rPr>
          <w:smallCaps/>
        </w:rPr>
        <w:t>J</w:t>
      </w:r>
      <w:r w:rsidR="00B210E1" w:rsidRPr="00B210E1">
        <w:rPr>
          <w:smallCaps/>
        </w:rPr>
        <w:t>ustification</w:t>
      </w:r>
      <w:bookmarkEnd w:id="4"/>
      <w:r w:rsidRPr="00B210E1">
        <w:rPr>
          <w:smallCaps/>
        </w:rPr>
        <w:t xml:space="preserve"> </w:t>
      </w:r>
    </w:p>
    <w:p w14:paraId="0D393EC1" w14:textId="6A4CE5C1" w:rsidR="00972DEF" w:rsidRPr="00691454" w:rsidRDefault="00972DEF" w:rsidP="00EF504E">
      <w:pPr>
        <w:pStyle w:val="Heading2"/>
      </w:pPr>
      <w:bookmarkStart w:id="5" w:name="_Toc511121628"/>
      <w:r w:rsidRPr="00691454">
        <w:t>A.1</w:t>
      </w:r>
      <w:r w:rsidR="00B210E1">
        <w:t xml:space="preserve">. </w:t>
      </w:r>
      <w:r w:rsidR="00B210E1">
        <w:tab/>
      </w:r>
      <w:r w:rsidRPr="00691454">
        <w:t>Circumstances Making the Collection of Information Necessary</w:t>
      </w:r>
      <w:bookmarkEnd w:id="5"/>
    </w:p>
    <w:p w14:paraId="09EE7517" w14:textId="29687F97" w:rsidR="00FE25DD" w:rsidRDefault="001D3AB8" w:rsidP="00FE25DD">
      <w:pPr>
        <w:pStyle w:val="BodyText"/>
      </w:pPr>
      <w:r w:rsidRPr="001D3AB8">
        <w:rPr>
          <w:sz w:val="22"/>
          <w:szCs w:val="22"/>
        </w:rPr>
        <w:t>The Centers for Disease Control and Prevention (CDC) is reque</w:t>
      </w:r>
      <w:r w:rsidR="009233AC">
        <w:rPr>
          <w:sz w:val="22"/>
          <w:szCs w:val="22"/>
        </w:rPr>
        <w:t xml:space="preserve">sting approval for a new GenIC under </w:t>
      </w:r>
      <w:r w:rsidRPr="001D3AB8">
        <w:rPr>
          <w:sz w:val="22"/>
          <w:szCs w:val="22"/>
        </w:rPr>
        <w:t>OMB C</w:t>
      </w:r>
      <w:r w:rsidR="009233AC">
        <w:rPr>
          <w:sz w:val="22"/>
          <w:szCs w:val="22"/>
        </w:rPr>
        <w:t>ontrol No. 0920-1154,</w:t>
      </w:r>
      <w:r>
        <w:rPr>
          <w:sz w:val="22"/>
          <w:szCs w:val="22"/>
        </w:rPr>
        <w:t xml:space="preserve"> titled </w:t>
      </w:r>
      <w:r w:rsidR="00B54325">
        <w:rPr>
          <w:sz w:val="22"/>
          <w:szCs w:val="22"/>
        </w:rPr>
        <w:t>"</w:t>
      </w:r>
      <w:r w:rsidR="0024247A">
        <w:rPr>
          <w:sz w:val="22"/>
          <w:szCs w:val="22"/>
        </w:rPr>
        <w:t>Older Adult Mobility Ride Share (OAMRS)</w:t>
      </w:r>
      <w:r w:rsidR="0024247A" w:rsidRPr="00EF6D85">
        <w:rPr>
          <w:sz w:val="22"/>
          <w:szCs w:val="22"/>
        </w:rPr>
        <w:t>.</w:t>
      </w:r>
      <w:r w:rsidR="00B54325">
        <w:rPr>
          <w:sz w:val="22"/>
          <w:szCs w:val="22"/>
        </w:rPr>
        <w:t>"</w:t>
      </w:r>
      <w:r w:rsidR="0024247A" w:rsidRPr="00EF6D85">
        <w:rPr>
          <w:sz w:val="22"/>
          <w:szCs w:val="22"/>
        </w:rPr>
        <w:t xml:space="preserve"> </w:t>
      </w:r>
      <w:r w:rsidR="00E2145B" w:rsidRPr="00E2145B">
        <w:t>The purpose of this project is to describe the available U.S. ride share services, including services specifically for older adults and services that include older adults as part of their service population, understand older adult attitudes and beliefs toward using these services, and comparing older adult attitudes and beliefs to a group of younger (age &lt;65 years) adults.</w:t>
      </w:r>
      <w:r w:rsidR="00E2145B">
        <w:t xml:space="preserve"> </w:t>
      </w:r>
      <w:r w:rsidR="00FE25DD" w:rsidRPr="00971265">
        <w:t xml:space="preserve">Given that ride share services are promising mechanisms for promoting older adult health and wellbeing by improving mobility, it is imperative </w:t>
      </w:r>
      <w:r w:rsidR="00FE25DD">
        <w:t>to</w:t>
      </w:r>
      <w:r w:rsidR="00FE25DD" w:rsidRPr="00971265">
        <w:t xml:space="preserve"> understand the barriers and facilitators </w:t>
      </w:r>
      <w:r w:rsidR="00F34F24">
        <w:t>of</w:t>
      </w:r>
      <w:r w:rsidR="00FE25DD" w:rsidRPr="00971265">
        <w:t xml:space="preserve"> </w:t>
      </w:r>
      <w:r w:rsidR="00FE25DD">
        <w:t>older adults</w:t>
      </w:r>
      <w:r w:rsidR="00B54325">
        <w:t>'</w:t>
      </w:r>
      <w:r w:rsidR="00FE25DD">
        <w:t xml:space="preserve"> </w:t>
      </w:r>
      <w:r w:rsidR="00FE25DD" w:rsidRPr="00971265">
        <w:t xml:space="preserve">use of these potentially life-changing services. </w:t>
      </w:r>
      <w:r w:rsidR="00D0486A">
        <w:t>T</w:t>
      </w:r>
      <w:r w:rsidR="00FE25DD">
        <w:t>he propo</w:t>
      </w:r>
      <w:r w:rsidR="00857DB7">
        <w:t xml:space="preserve">sed information collection </w:t>
      </w:r>
      <w:r w:rsidR="00F34F24">
        <w:t>will study the</w:t>
      </w:r>
      <w:r w:rsidR="00857DB7">
        <w:t xml:space="preserve"> perspectives of </w:t>
      </w:r>
      <w:r w:rsidR="00FE25DD" w:rsidRPr="00971265">
        <w:t xml:space="preserve">younger and older adults </w:t>
      </w:r>
      <w:r w:rsidR="00FE25DD">
        <w:t>who</w:t>
      </w:r>
      <w:r w:rsidR="00FE25DD" w:rsidRPr="00971265">
        <w:t xml:space="preserve"> are users and non-users of ride share services. </w:t>
      </w:r>
      <w:r w:rsidR="00857DB7">
        <w:t>CDC will use the information collection to</w:t>
      </w:r>
      <w:r w:rsidR="00FE25DD">
        <w:t xml:space="preserve">: </w:t>
      </w:r>
    </w:p>
    <w:p w14:paraId="1C0E9F57" w14:textId="373CDF3A" w:rsidR="00FE25DD" w:rsidRPr="00857DB7" w:rsidRDefault="00FE25DD" w:rsidP="00770B65">
      <w:pPr>
        <w:pStyle w:val="BodyText"/>
        <w:numPr>
          <w:ilvl w:val="0"/>
          <w:numId w:val="7"/>
        </w:numPr>
      </w:pPr>
      <w:r w:rsidRPr="00857DB7">
        <w:t xml:space="preserve">Describe currently available U.S. ride share services, including services specifically for older adults </w:t>
      </w:r>
      <w:r w:rsidR="002A285F">
        <w:t xml:space="preserve">(age 65+ years) </w:t>
      </w:r>
      <w:r w:rsidRPr="00857DB7">
        <w:t>and services that include older adults as part of their service population;</w:t>
      </w:r>
    </w:p>
    <w:p w14:paraId="780397FB" w14:textId="77777777" w:rsidR="00FE25DD" w:rsidRPr="00857DB7" w:rsidRDefault="00FE25DD" w:rsidP="00770B65">
      <w:pPr>
        <w:pStyle w:val="BodyText"/>
        <w:numPr>
          <w:ilvl w:val="0"/>
          <w:numId w:val="7"/>
        </w:numPr>
      </w:pPr>
      <w:r w:rsidRPr="00857DB7">
        <w:t xml:space="preserve">Understand older adult attitudes and beliefs toward using these services; and </w:t>
      </w:r>
    </w:p>
    <w:p w14:paraId="3CEA6E0C" w14:textId="45D00E9C" w:rsidR="00FE25DD" w:rsidRPr="00857DB7" w:rsidRDefault="00FE25DD" w:rsidP="00770B65">
      <w:pPr>
        <w:pStyle w:val="BodyText"/>
        <w:numPr>
          <w:ilvl w:val="0"/>
          <w:numId w:val="7"/>
        </w:numPr>
      </w:pPr>
      <w:r w:rsidRPr="00857DB7">
        <w:t>Compare older adult</w:t>
      </w:r>
      <w:r w:rsidR="00F05A7B">
        <w:t>s</w:t>
      </w:r>
      <w:r w:rsidR="00B54325">
        <w:t>'</w:t>
      </w:r>
      <w:r w:rsidRPr="00857DB7">
        <w:t xml:space="preserve"> attitudes and beliefs to younger adults (age &lt;65 years).</w:t>
      </w:r>
    </w:p>
    <w:p w14:paraId="10F24F81" w14:textId="0A640EFE" w:rsidR="00945D3D" w:rsidRPr="00857DB7" w:rsidRDefault="00FE25DD" w:rsidP="00857DB7">
      <w:pPr>
        <w:pStyle w:val="BodyText"/>
        <w:rPr>
          <w:rFonts w:eastAsia="SimSun"/>
        </w:rPr>
      </w:pPr>
      <w:r w:rsidRPr="00857DB7">
        <w:t xml:space="preserve">This </w:t>
      </w:r>
      <w:r w:rsidR="00C40904">
        <w:t>information collection is the first of its kind and</w:t>
      </w:r>
      <w:r w:rsidRPr="00857DB7">
        <w:t xml:space="preserve"> </w:t>
      </w:r>
      <w:r w:rsidR="00857DB7">
        <w:t>will help CDC to identify strategies for meeting the transportation needs of older adults.</w:t>
      </w:r>
      <w:r w:rsidRPr="00857DB7">
        <w:t xml:space="preserve"> </w:t>
      </w:r>
    </w:p>
    <w:p w14:paraId="773B54F0" w14:textId="0046A38A" w:rsidR="007D3F80" w:rsidRDefault="00272BD1" w:rsidP="00ED39A8">
      <w:pPr>
        <w:pStyle w:val="BodyText"/>
      </w:pPr>
      <w:r>
        <w:t>Transportation supports health by reducing social isolation and enhancing individual autonomy and psychosocial wellbeing.</w:t>
      </w:r>
      <w:r>
        <w:rPr>
          <w:rStyle w:val="EndnoteReference"/>
        </w:rPr>
        <w:endnoteReference w:id="1"/>
      </w:r>
      <w:r>
        <w:t xml:space="preserve"> Health and functional benefits for older adults have been identified for those maintaining mobility through transportation.</w:t>
      </w:r>
      <w:r>
        <w:rPr>
          <w:rStyle w:val="EndnoteReference"/>
          <w:bCs/>
        </w:rPr>
        <w:endnoteReference w:id="2"/>
      </w:r>
      <w:r>
        <w:t xml:space="preserve"> </w:t>
      </w:r>
      <w:r w:rsidR="00B70D67">
        <w:t xml:space="preserve">To maintain mobility, it is crucial </w:t>
      </w:r>
      <w:r w:rsidR="00B2459F">
        <w:t xml:space="preserve">for older adults to have </w:t>
      </w:r>
      <w:r w:rsidR="00B70D67">
        <w:t>access to a private vehicle</w:t>
      </w:r>
      <w:r w:rsidR="00F36634">
        <w:t xml:space="preserve"> (either as a </w:t>
      </w:r>
      <w:r w:rsidR="00F36634" w:rsidRPr="00B2459F">
        <w:t>driver or as a passenger) or practical alternative transportation options.</w:t>
      </w:r>
      <w:r w:rsidR="00B70D67" w:rsidRPr="00B2459F">
        <w:rPr>
          <w:rStyle w:val="EndnoteReference"/>
        </w:rPr>
        <w:endnoteReference w:id="3"/>
      </w:r>
    </w:p>
    <w:p w14:paraId="415B20D9" w14:textId="1FA61428" w:rsidR="00945D3D" w:rsidRDefault="007D3F80" w:rsidP="00AE6047">
      <w:pPr>
        <w:pStyle w:val="BodyText"/>
      </w:pPr>
      <w:r>
        <w:t xml:space="preserve">Alternate transportation solutions for older adults who do not drive include public transportation, walking, van services, seeking rides from friends or family members, and taxis. </w:t>
      </w:r>
      <w:r w:rsidR="00177F19">
        <w:t>The l</w:t>
      </w:r>
      <w:r w:rsidR="00F36634">
        <w:t>iterature indicate</w:t>
      </w:r>
      <w:r w:rsidR="00177F19">
        <w:t>s</w:t>
      </w:r>
      <w:r w:rsidR="00F36634">
        <w:t xml:space="preserve"> that older adults primarily rely on rides from others and taxis as transportation alternatives. </w:t>
      </w:r>
      <w:r>
        <w:t xml:space="preserve">There are </w:t>
      </w:r>
      <w:r w:rsidR="00B80C8C">
        <w:t>barriers to using these</w:t>
      </w:r>
      <w:r>
        <w:t xml:space="preserve"> </w:t>
      </w:r>
      <w:r w:rsidR="00F36634">
        <w:t xml:space="preserve">alternative transportation </w:t>
      </w:r>
      <w:r>
        <w:t>methods</w:t>
      </w:r>
      <w:r w:rsidR="00177F19">
        <w:t xml:space="preserve">, </w:t>
      </w:r>
      <w:r w:rsidR="00D60D00">
        <w:t>including</w:t>
      </w:r>
      <w:r>
        <w:t xml:space="preserve"> poor health </w:t>
      </w:r>
      <w:r w:rsidR="00B80C8C">
        <w:t xml:space="preserve">and mobility </w:t>
      </w:r>
      <w:r>
        <w:t xml:space="preserve">of the older person, </w:t>
      </w:r>
      <w:r w:rsidR="00B80C8C">
        <w:t xml:space="preserve">cost, and availability. </w:t>
      </w:r>
      <w:r w:rsidR="00F36634">
        <w:t>In particular, the barriers to using public transportation are related to physical difficulties and lack of integrated mobili</w:t>
      </w:r>
      <w:r w:rsidR="00AE6047">
        <w:t>ty systems to help older adults, for example, step on and off of busses or walk to and from bus or train stops.</w:t>
      </w:r>
      <w:r w:rsidR="00F36634">
        <w:t xml:space="preserve"> </w:t>
      </w:r>
      <w:r w:rsidR="00AE6047">
        <w:t>Barriers to using taxis, among older adults, include concerns regarding personal safety, limited access in low-population or rural areas, and generational perceptions regarding cost (</w:t>
      </w:r>
      <w:r w:rsidR="00177F19">
        <w:t>there is a generational perception among</w:t>
      </w:r>
      <w:r w:rsidR="00AE6047">
        <w:t xml:space="preserve"> older adults </w:t>
      </w:r>
      <w:r w:rsidR="00177F19">
        <w:t>who view</w:t>
      </w:r>
      <w:r w:rsidR="00AE6047">
        <w:t xml:space="preserve"> taxis as </w:t>
      </w:r>
      <w:r w:rsidR="00B54325">
        <w:t>"</w:t>
      </w:r>
      <w:r w:rsidR="00AE6047">
        <w:t>a luxury they cannot afford</w:t>
      </w:r>
      <w:r w:rsidR="00B54325">
        <w:t>"</w:t>
      </w:r>
      <w:r w:rsidR="00AE6047">
        <w:t>).</w:t>
      </w:r>
      <w:r w:rsidR="00AE6047">
        <w:rPr>
          <w:rStyle w:val="EndnoteReference"/>
        </w:rPr>
        <w:endnoteReference w:id="4"/>
      </w:r>
      <w:r w:rsidR="00AE6047">
        <w:t xml:space="preserve"> </w:t>
      </w:r>
      <w:r w:rsidR="00B80C8C">
        <w:t>A</w:t>
      </w:r>
      <w:r>
        <w:t>s a result, older adults have been reluctant to us</w:t>
      </w:r>
      <w:r w:rsidR="00B2459F">
        <w:t>e</w:t>
      </w:r>
      <w:r>
        <w:t xml:space="preserve"> these alternatives or these alternatives have no</w:t>
      </w:r>
      <w:r w:rsidR="00B80C8C">
        <w:t>t fully met their travel needs</w:t>
      </w:r>
      <w:r>
        <w:t xml:space="preserve">. </w:t>
      </w:r>
    </w:p>
    <w:p w14:paraId="5C3C2790" w14:textId="45A8D708" w:rsidR="00272BD1" w:rsidRDefault="00945D3D" w:rsidP="00ED39A8">
      <w:pPr>
        <w:pStyle w:val="BodyText"/>
      </w:pPr>
      <w:r>
        <w:t>Ride share services offer a promising solution to an enduring challenge for the one out of every five older Americans who has limited or no access to a private vehicle, either as a driver or as a passenger.</w:t>
      </w:r>
      <w:r>
        <w:rPr>
          <w:rStyle w:val="EndnoteReference"/>
        </w:rPr>
        <w:endnoteReference w:id="5"/>
      </w:r>
      <w:r>
        <w:t xml:space="preserve"> </w:t>
      </w:r>
      <w:r w:rsidR="007D3F80">
        <w:t xml:space="preserve">Ride share services show </w:t>
      </w:r>
      <w:r w:rsidR="00B80C8C">
        <w:t>great</w:t>
      </w:r>
      <w:r>
        <w:t xml:space="preserve"> potential for improving</w:t>
      </w:r>
      <w:r w:rsidR="00B80C8C">
        <w:t xml:space="preserve"> </w:t>
      </w:r>
      <w:r w:rsidR="007D3F80">
        <w:t xml:space="preserve">mobility </w:t>
      </w:r>
      <w:r w:rsidR="008E6A0F">
        <w:t>of</w:t>
      </w:r>
      <w:r w:rsidR="00B80C8C">
        <w:t xml:space="preserve"> older adults</w:t>
      </w:r>
      <w:r w:rsidR="00576748">
        <w:t xml:space="preserve">. </w:t>
      </w:r>
      <w:r w:rsidR="007D3F80">
        <w:t>For the purposes of this study, ride sharing is defined as transportation arranged through a third party where a person is a passenger in a private automobile</w:t>
      </w:r>
      <w:r w:rsidR="007D3F80">
        <w:rPr>
          <w:rStyle w:val="FootnoteReference"/>
        </w:rPr>
        <w:footnoteReference w:id="1"/>
      </w:r>
      <w:r w:rsidR="007D3F80">
        <w:t xml:space="preserve"> (e.g., privately owned car, van, truck, or sport utility vehicle). </w:t>
      </w:r>
      <w:r w:rsidR="00B230CB">
        <w:rPr>
          <w:rFonts w:eastAsia="Calibri"/>
        </w:rPr>
        <w:t xml:space="preserve">Ride share services include </w:t>
      </w:r>
      <w:r w:rsidR="00B230CB" w:rsidRPr="000E567A">
        <w:rPr>
          <w:rFonts w:eastAsia="Calibri"/>
        </w:rPr>
        <w:t>volunteer driver programs,</w:t>
      </w:r>
      <w:r w:rsidR="00B230CB">
        <w:rPr>
          <w:rFonts w:eastAsia="Calibri"/>
        </w:rPr>
        <w:t xml:space="preserve"> companies such as</w:t>
      </w:r>
      <w:r w:rsidR="00B230CB" w:rsidRPr="000E567A">
        <w:rPr>
          <w:rFonts w:eastAsia="Calibri"/>
        </w:rPr>
        <w:t xml:space="preserve"> Uber, Lyft, </w:t>
      </w:r>
      <w:r w:rsidR="00463728">
        <w:rPr>
          <w:rFonts w:eastAsia="Calibri"/>
        </w:rPr>
        <w:t xml:space="preserve">and </w:t>
      </w:r>
      <w:r w:rsidR="00B230CB" w:rsidRPr="000E567A">
        <w:rPr>
          <w:rFonts w:eastAsia="Calibri"/>
        </w:rPr>
        <w:t>ITN</w:t>
      </w:r>
      <w:r w:rsidR="00B230CB">
        <w:rPr>
          <w:rFonts w:eastAsia="Calibri"/>
        </w:rPr>
        <w:t>,</w:t>
      </w:r>
      <w:r w:rsidR="00B230CB" w:rsidRPr="000E567A">
        <w:rPr>
          <w:rFonts w:eastAsia="Calibri"/>
        </w:rPr>
        <w:t xml:space="preserve"> </w:t>
      </w:r>
      <w:r w:rsidR="00463728">
        <w:rPr>
          <w:rFonts w:eastAsia="Calibri"/>
        </w:rPr>
        <w:t>as well as rural ride share services</w:t>
      </w:r>
      <w:r w:rsidR="00B230CB" w:rsidRPr="000E567A">
        <w:rPr>
          <w:rFonts w:eastAsia="Calibri"/>
        </w:rPr>
        <w:t xml:space="preserve">. </w:t>
      </w:r>
      <w:r w:rsidR="007D3F80">
        <w:t>This excludes public transportation or a ride provided by a commercial van, bus, or taxi.</w:t>
      </w:r>
      <w:r w:rsidR="00B230CB">
        <w:t xml:space="preserve"> They also exclude rides provided by a friend or family member.</w:t>
      </w:r>
    </w:p>
    <w:p w14:paraId="44792698" w14:textId="57C83605" w:rsidR="008F50D0" w:rsidRPr="00F62EED" w:rsidRDefault="008F50D0" w:rsidP="00EF504E">
      <w:pPr>
        <w:pStyle w:val="BodyText"/>
        <w:spacing w:before="240"/>
        <w:rPr>
          <w:i/>
        </w:rPr>
      </w:pPr>
      <w:r>
        <w:rPr>
          <w:i/>
        </w:rPr>
        <w:t xml:space="preserve">Ride Share </w:t>
      </w:r>
      <w:r w:rsidRPr="00F62EED">
        <w:rPr>
          <w:i/>
        </w:rPr>
        <w:t xml:space="preserve">Services Designed for </w:t>
      </w:r>
      <w:r>
        <w:rPr>
          <w:i/>
        </w:rPr>
        <w:t>All</w:t>
      </w:r>
      <w:r w:rsidRPr="00F62EED">
        <w:rPr>
          <w:i/>
        </w:rPr>
        <w:t xml:space="preserve"> </w:t>
      </w:r>
      <w:r>
        <w:rPr>
          <w:i/>
        </w:rPr>
        <w:t>Populations</w:t>
      </w:r>
    </w:p>
    <w:p w14:paraId="43A6F04B" w14:textId="69EF1723" w:rsidR="007D3F80" w:rsidRDefault="008F50D0" w:rsidP="00C40904">
      <w:pPr>
        <w:pStyle w:val="BodyText"/>
      </w:pPr>
      <w:r>
        <w:t>There are a number of ride share services available</w:t>
      </w:r>
      <w:r w:rsidR="00945D3D">
        <w:t xml:space="preserve"> for all populations</w:t>
      </w:r>
      <w:r>
        <w:t xml:space="preserve">. Uber and Lyft are the two largest ridesharing programs in the U.S. These programs enable passengers to hail nearby private drivers using geolocation technology. Uber and Lyft have introduced flexible pricing, automated payments and shorter wait times than traditional taxi services. Uber and Lyft are available in many cities and counties and </w:t>
      </w:r>
      <w:r w:rsidR="00F040E7">
        <w:t xml:space="preserve">both </w:t>
      </w:r>
      <w:r w:rsidR="00E16269">
        <w:t xml:space="preserve">organizations </w:t>
      </w:r>
      <w:r>
        <w:t xml:space="preserve">are growing rapidly. </w:t>
      </w:r>
      <w:r w:rsidR="00E16269">
        <w:t xml:space="preserve">Uber and </w:t>
      </w:r>
      <w:r>
        <w:t xml:space="preserve">Lyft operate in and around </w:t>
      </w:r>
      <w:r w:rsidR="00F040E7">
        <w:t>urban areas</w:t>
      </w:r>
      <w:r w:rsidR="00E16269">
        <w:t>.</w:t>
      </w:r>
      <w:r>
        <w:t xml:space="preserve"> Uber has </w:t>
      </w:r>
      <w:r w:rsidR="00E16269">
        <w:t xml:space="preserve">also </w:t>
      </w:r>
      <w:r>
        <w:t xml:space="preserve">been growing in smaller towns. </w:t>
      </w:r>
      <w:r w:rsidR="007D3F80">
        <w:t>Other services designed for all populations may include local, independent volunteer and non-profit services.</w:t>
      </w:r>
    </w:p>
    <w:p w14:paraId="28B2090D" w14:textId="5111FF5A" w:rsidR="008F50D0" w:rsidRPr="008E6245" w:rsidRDefault="008F50D0" w:rsidP="00EF504E">
      <w:pPr>
        <w:pStyle w:val="BodyText"/>
        <w:spacing w:before="240"/>
        <w:rPr>
          <w:i/>
        </w:rPr>
      </w:pPr>
      <w:r w:rsidRPr="008E6245">
        <w:rPr>
          <w:i/>
        </w:rPr>
        <w:t>Services Designed for Older Adults</w:t>
      </w:r>
    </w:p>
    <w:p w14:paraId="6EB2B5B0" w14:textId="1F824CEB" w:rsidR="008F50D0" w:rsidRDefault="008F50D0" w:rsidP="00C40904">
      <w:pPr>
        <w:pStyle w:val="BodyText"/>
      </w:pPr>
      <w:r>
        <w:t>There are also services specifically designed for older adults. ITNAmerica is one of the original ride share services tailored to older adults; it is a network of independent, nonprofit ride service programs that offers door-through-door services for older adults using volunteers (paid and unpaid). Another ride share service specifically for older adults is GoGoGrandparent, which developed an interface with Uber and Lyft to help older adults to access ride share services without a smartphone. GoGoGrandparent serves tens of thousands of people in every market in the U.S. except Alaska. Members register their favorite locations and can use a landline to request transportation; the GoGoGrandparent team then orders a Lyft or Uber driver for them. There are also services for people who live in rural communities provided by</w:t>
      </w:r>
      <w:r w:rsidR="00463728">
        <w:t xml:space="preserve"> rural ride share services</w:t>
      </w:r>
      <w:r>
        <w:t xml:space="preserve">. </w:t>
      </w:r>
      <w:r w:rsidR="00463728">
        <w:t>Oth</w:t>
      </w:r>
      <w:r>
        <w:t xml:space="preserve">er volunteer transportation organizations </w:t>
      </w:r>
      <w:r w:rsidR="00463728">
        <w:t xml:space="preserve">exist </w:t>
      </w:r>
      <w:r>
        <w:t xml:space="preserve">in communities across the U.S. </w:t>
      </w:r>
      <w:r w:rsidR="00463728">
        <w:t>There are also</w:t>
      </w:r>
      <w:r w:rsidR="007D3F80">
        <w:t xml:space="preserve"> local, non-profit services for aging in place that include transportation, and community organizations that use volunteers to provide free transportation for seniors and p</w:t>
      </w:r>
      <w:r w:rsidR="00B12610">
        <w:t>eople with disabilities.</w:t>
      </w:r>
    </w:p>
    <w:p w14:paraId="0AC694BC" w14:textId="2320FB2D" w:rsidR="00272BD1" w:rsidRDefault="008F50D0" w:rsidP="00EF504E">
      <w:pPr>
        <w:pStyle w:val="BodyText"/>
        <w:spacing w:before="240"/>
      </w:pPr>
      <w:r>
        <w:rPr>
          <w:i/>
        </w:rPr>
        <w:t>Factors that Affect Ride Share Service Utilization</w:t>
      </w:r>
      <w:r w:rsidDel="004E39C0">
        <w:t xml:space="preserve"> </w:t>
      </w:r>
    </w:p>
    <w:p w14:paraId="2D6A2582" w14:textId="34AAA25B" w:rsidR="00272BD1" w:rsidRDefault="00272BD1" w:rsidP="00C40904">
      <w:pPr>
        <w:pStyle w:val="BodyText"/>
      </w:pPr>
      <w:r>
        <w:t xml:space="preserve">The decision to utilize a ride share service reflects multiple considerations related </w:t>
      </w:r>
      <w:r w:rsidR="00B12610">
        <w:t>to</w:t>
      </w:r>
      <w:r>
        <w:t xml:space="preserve"> attitudes and beliefs about whether this option is a realistic solution, either short-term or long-term, to a specific transportation need. Other factors that may influence the decision to use a ride share service include wait times, the company</w:t>
      </w:r>
      <w:r w:rsidR="00B54325">
        <w:t>'</w:t>
      </w:r>
      <w:r>
        <w:t>s identity, technology, cost, and safety.</w:t>
      </w:r>
      <w:r>
        <w:rPr>
          <w:rStyle w:val="EndnoteReference"/>
        </w:rPr>
        <w:endnoteReference w:id="6"/>
      </w:r>
    </w:p>
    <w:p w14:paraId="5C2DCA69" w14:textId="7F0C85DF" w:rsidR="00272BD1" w:rsidRDefault="00272BD1" w:rsidP="00C40904">
      <w:pPr>
        <w:pStyle w:val="BodyText"/>
      </w:pPr>
      <w:r>
        <w:t xml:space="preserve">Exploring the barriers and facilitators of </w:t>
      </w:r>
      <w:r w:rsidR="005E5644">
        <w:t xml:space="preserve">use of </w:t>
      </w:r>
      <w:r>
        <w:t>ride share services for th</w:t>
      </w:r>
      <w:r w:rsidR="00643AD7">
        <w:t>e older adult</w:t>
      </w:r>
      <w:r>
        <w:t xml:space="preserve"> population is critical, as the population aged 65 and over is projected to double by 2050.</w:t>
      </w:r>
      <w:r>
        <w:rPr>
          <w:rStyle w:val="EndnoteReference"/>
        </w:rPr>
        <w:endnoteReference w:id="7"/>
      </w:r>
      <w:r>
        <w:t xml:space="preserve"> </w:t>
      </w:r>
    </w:p>
    <w:p w14:paraId="1FAA8F03" w14:textId="056BCF2F" w:rsidR="00857DB7" w:rsidRPr="00857DB7" w:rsidRDefault="00857DB7" w:rsidP="00EF504E">
      <w:pPr>
        <w:pStyle w:val="BodyText"/>
        <w:spacing w:before="360"/>
        <w:rPr>
          <w:u w:val="single"/>
        </w:rPr>
      </w:pPr>
      <w:r w:rsidRPr="00857DB7">
        <w:rPr>
          <w:u w:val="single"/>
        </w:rPr>
        <w:t>Data Collection</w:t>
      </w:r>
      <w:r w:rsidR="00770B65">
        <w:rPr>
          <w:u w:val="single"/>
        </w:rPr>
        <w:t xml:space="preserve"> Activities under this OMB Request</w:t>
      </w:r>
    </w:p>
    <w:p w14:paraId="791B2A6C" w14:textId="084E8365" w:rsidR="00CC2624" w:rsidRDefault="00CC2624" w:rsidP="00F05A7B">
      <w:pPr>
        <w:pStyle w:val="BodyText"/>
      </w:pPr>
      <w:r>
        <w:t xml:space="preserve">CDC is seeking approval from OMB to conduct: </w:t>
      </w:r>
    </w:p>
    <w:p w14:paraId="42DF37A3" w14:textId="3E6586A1" w:rsidR="00CC2624" w:rsidRDefault="00CC2624" w:rsidP="00AB1142">
      <w:pPr>
        <w:pStyle w:val="BodyText"/>
        <w:numPr>
          <w:ilvl w:val="0"/>
          <w:numId w:val="12"/>
        </w:numPr>
      </w:pPr>
      <w:r w:rsidRPr="008E6245">
        <w:rPr>
          <w:b/>
        </w:rPr>
        <w:t>Focus groups</w:t>
      </w:r>
      <w:r>
        <w:t xml:space="preserve"> with older and younger adults to gather detailed information on</w:t>
      </w:r>
      <w:r w:rsidRPr="00D4425C">
        <w:t xml:space="preserve"> individuals</w:t>
      </w:r>
      <w:r w:rsidR="00B54325">
        <w:t>'</w:t>
      </w:r>
      <w:r w:rsidRPr="00D4425C">
        <w:t xml:space="preserve"> experiences with and perceptions of ride share services, as well as the barriers and facilitators associated with use or non-use of ride share services. The focus groups will gather </w:t>
      </w:r>
      <w:r w:rsidR="005B665D">
        <w:t>respondents</w:t>
      </w:r>
      <w:r w:rsidR="00B54325">
        <w:t>'</w:t>
      </w:r>
      <w:r w:rsidR="005B665D" w:rsidRPr="00D4425C">
        <w:t xml:space="preserve"> </w:t>
      </w:r>
      <w:r w:rsidRPr="00D4425C">
        <w:t>perspectives in a group setting.</w:t>
      </w:r>
    </w:p>
    <w:p w14:paraId="557911A3" w14:textId="6D1003F7" w:rsidR="00CC2624" w:rsidRDefault="00CC2624" w:rsidP="00AB1142">
      <w:pPr>
        <w:pStyle w:val="BodyText"/>
        <w:numPr>
          <w:ilvl w:val="0"/>
          <w:numId w:val="8"/>
        </w:numPr>
      </w:pPr>
      <w:r w:rsidRPr="008E6245">
        <w:rPr>
          <w:b/>
        </w:rPr>
        <w:t xml:space="preserve">Interviews </w:t>
      </w:r>
      <w:r>
        <w:t xml:space="preserve">with older and younger adults to </w:t>
      </w:r>
      <w:r w:rsidR="005B665D">
        <w:t xml:space="preserve">gather </w:t>
      </w:r>
      <w:r>
        <w:t>insights on</w:t>
      </w:r>
      <w:r w:rsidRPr="00D4425C">
        <w:t xml:space="preserve"> individuals</w:t>
      </w:r>
      <w:r w:rsidR="00B54325">
        <w:t>'</w:t>
      </w:r>
      <w:r w:rsidRPr="00D4425C">
        <w:t xml:space="preserve"> experiences with and perceptions of ride share services, as well as the barriers and facilitators </w:t>
      </w:r>
      <w:r w:rsidR="005E5644">
        <w:t>of</w:t>
      </w:r>
      <w:r w:rsidRPr="00D4425C">
        <w:t xml:space="preserve"> their use or non-use of ride share services. The interviews will </w:t>
      </w:r>
      <w:r w:rsidR="005B665D">
        <w:t>collect</w:t>
      </w:r>
      <w:r w:rsidR="005B665D" w:rsidRPr="00D4425C">
        <w:t xml:space="preserve"> </w:t>
      </w:r>
      <w:r w:rsidRPr="00D4425C">
        <w:t>detailed accounts of respondents</w:t>
      </w:r>
      <w:r w:rsidR="00B54325">
        <w:t>'</w:t>
      </w:r>
      <w:r w:rsidRPr="00D4425C">
        <w:t xml:space="preserve"> experiences</w:t>
      </w:r>
      <w:r w:rsidR="00643AD7">
        <w:t xml:space="preserve"> and</w:t>
      </w:r>
      <w:r w:rsidRPr="00D4425C">
        <w:t xml:space="preserve"> perceptions</w:t>
      </w:r>
      <w:r w:rsidR="00643AD7">
        <w:t xml:space="preserve"> of</w:t>
      </w:r>
      <w:r w:rsidRPr="00D4425C">
        <w:t xml:space="preserve"> ride sharing. </w:t>
      </w:r>
    </w:p>
    <w:p w14:paraId="28F31400" w14:textId="06F1A4F5" w:rsidR="00F05A7B" w:rsidRDefault="007E1057" w:rsidP="00F05A7B">
      <w:pPr>
        <w:pStyle w:val="BodyText"/>
      </w:pPr>
      <w:r>
        <w:t xml:space="preserve">To address the goals of the study, </w:t>
      </w:r>
      <w:r w:rsidR="00D4425C">
        <w:t xml:space="preserve">the information collection activities </w:t>
      </w:r>
      <w:r w:rsidR="001A1970">
        <w:t xml:space="preserve">will involve </w:t>
      </w:r>
      <w:r w:rsidR="00D4425C">
        <w:t>five distinct s</w:t>
      </w:r>
      <w:r w:rsidR="00CC2624">
        <w:t>tudy populations</w:t>
      </w:r>
      <w:r w:rsidR="00D4425C">
        <w:t xml:space="preserve">: </w:t>
      </w:r>
    </w:p>
    <w:p w14:paraId="3D294B6F" w14:textId="51786EF9" w:rsidR="00F05A7B" w:rsidRDefault="00ED39A8" w:rsidP="00AB1142">
      <w:pPr>
        <w:pStyle w:val="BodyText"/>
        <w:numPr>
          <w:ilvl w:val="0"/>
          <w:numId w:val="15"/>
        </w:numPr>
      </w:pPr>
      <w:r>
        <w:t xml:space="preserve">Older adults </w:t>
      </w:r>
      <w:r w:rsidR="00F05A7B">
        <w:t xml:space="preserve">(aged 65 and older) </w:t>
      </w:r>
      <w:r>
        <w:t>who use</w:t>
      </w:r>
      <w:r w:rsidR="00F05A7B">
        <w:t xml:space="preserve"> ride share services </w:t>
      </w:r>
      <w:r w:rsidR="00F05A7B" w:rsidRPr="008E6245">
        <w:rPr>
          <w:b/>
        </w:rPr>
        <w:t>designed for older adults</w:t>
      </w:r>
      <w:r w:rsidR="00F05A7B">
        <w:t>;</w:t>
      </w:r>
    </w:p>
    <w:p w14:paraId="6017BAD1" w14:textId="459D6C52" w:rsidR="00F05A7B" w:rsidRDefault="00F05A7B" w:rsidP="00AB1142">
      <w:pPr>
        <w:pStyle w:val="BodyText"/>
        <w:numPr>
          <w:ilvl w:val="0"/>
          <w:numId w:val="15"/>
        </w:numPr>
      </w:pPr>
      <w:r>
        <w:t>Older adult</w:t>
      </w:r>
      <w:r w:rsidR="005B665D">
        <w:t>s</w:t>
      </w:r>
      <w:r>
        <w:t xml:space="preserve"> </w:t>
      </w:r>
      <w:r w:rsidR="00ED39A8">
        <w:t>who use</w:t>
      </w:r>
      <w:r>
        <w:t xml:space="preserve"> ride share services </w:t>
      </w:r>
      <w:r w:rsidRPr="008E6245">
        <w:rPr>
          <w:b/>
        </w:rPr>
        <w:t>designed for all ages</w:t>
      </w:r>
      <w:r>
        <w:t>;</w:t>
      </w:r>
    </w:p>
    <w:p w14:paraId="0C126173" w14:textId="43515909" w:rsidR="00F05A7B" w:rsidRDefault="00F05A7B" w:rsidP="00AB1142">
      <w:pPr>
        <w:pStyle w:val="BodyText"/>
        <w:numPr>
          <w:ilvl w:val="0"/>
          <w:numId w:val="15"/>
        </w:numPr>
      </w:pPr>
      <w:r>
        <w:t>Older adult</w:t>
      </w:r>
      <w:r w:rsidR="00ED39A8">
        <w:t xml:space="preserve">s who </w:t>
      </w:r>
      <w:r w:rsidR="00ED39A8" w:rsidRPr="008E6245">
        <w:rPr>
          <w:b/>
        </w:rPr>
        <w:t>do not use</w:t>
      </w:r>
      <w:r>
        <w:t xml:space="preserve"> ride share services;</w:t>
      </w:r>
    </w:p>
    <w:p w14:paraId="0383443B" w14:textId="4CA5E2A0" w:rsidR="00F05A7B" w:rsidRDefault="00F05A7B" w:rsidP="00AB1142">
      <w:pPr>
        <w:pStyle w:val="BodyText"/>
        <w:numPr>
          <w:ilvl w:val="0"/>
          <w:numId w:val="15"/>
        </w:numPr>
      </w:pPr>
      <w:r>
        <w:t>Younger adult</w:t>
      </w:r>
      <w:r w:rsidR="00ED39A8">
        <w:t>s</w:t>
      </w:r>
      <w:r>
        <w:t xml:space="preserve"> (aged 18 to 64) </w:t>
      </w:r>
      <w:r w:rsidR="00ED39A8">
        <w:t>who use</w:t>
      </w:r>
      <w:r>
        <w:t xml:space="preserve"> ride share services </w:t>
      </w:r>
      <w:r w:rsidRPr="008E6245">
        <w:rPr>
          <w:b/>
        </w:rPr>
        <w:t>designed for all ages</w:t>
      </w:r>
      <w:r>
        <w:t>; and</w:t>
      </w:r>
    </w:p>
    <w:p w14:paraId="6B13DDBD" w14:textId="22D1808B" w:rsidR="00F05A7B" w:rsidRPr="00061622" w:rsidRDefault="00F05A7B" w:rsidP="00AB1142">
      <w:pPr>
        <w:pStyle w:val="BodyText"/>
        <w:numPr>
          <w:ilvl w:val="0"/>
          <w:numId w:val="15"/>
        </w:numPr>
      </w:pPr>
      <w:r>
        <w:t>Younger adult</w:t>
      </w:r>
      <w:r w:rsidR="00ED39A8">
        <w:t xml:space="preserve">s who </w:t>
      </w:r>
      <w:r w:rsidR="00ED39A8" w:rsidRPr="008E6245">
        <w:rPr>
          <w:b/>
        </w:rPr>
        <w:t>do not use</w:t>
      </w:r>
      <w:r>
        <w:t xml:space="preserve"> ride share services.</w:t>
      </w:r>
    </w:p>
    <w:p w14:paraId="0D393EC5" w14:textId="23171B25" w:rsidR="00972DEF" w:rsidRPr="00691454" w:rsidRDefault="00972DEF" w:rsidP="0006739E">
      <w:pPr>
        <w:pStyle w:val="Heading2"/>
      </w:pPr>
      <w:bookmarkStart w:id="6" w:name="_Toc511121629"/>
      <w:r w:rsidRPr="00691454">
        <w:t>A.2</w:t>
      </w:r>
      <w:r w:rsidR="00B210E1">
        <w:t xml:space="preserve">. </w:t>
      </w:r>
      <w:r w:rsidR="00B210E1">
        <w:tab/>
      </w:r>
      <w:r w:rsidRPr="00691454">
        <w:t>Purpose and Use of Information Collection</w:t>
      </w:r>
      <w:bookmarkEnd w:id="6"/>
      <w:r w:rsidRPr="00691454">
        <w:t xml:space="preserve"> </w:t>
      </w:r>
    </w:p>
    <w:p w14:paraId="1A251630" w14:textId="193DF882" w:rsidR="00CE59CA" w:rsidRPr="00AE6047" w:rsidRDefault="00D54DA7" w:rsidP="00AE6047">
      <w:pPr>
        <w:pStyle w:val="BodyText"/>
      </w:pPr>
      <w:r w:rsidRPr="00AE6047">
        <w:t xml:space="preserve">The purpose of this information collection is to gain an understanding of the </w:t>
      </w:r>
      <w:r w:rsidR="00F30CC1" w:rsidRPr="00AE6047">
        <w:t>barriers and facilitators of older adults</w:t>
      </w:r>
      <w:r w:rsidR="00B54325">
        <w:t>'</w:t>
      </w:r>
      <w:r w:rsidR="00F30CC1" w:rsidRPr="00AE6047">
        <w:t xml:space="preserve"> use of ride share services</w:t>
      </w:r>
      <w:r w:rsidR="00AF415A" w:rsidRPr="00AE6047">
        <w:t xml:space="preserve">. </w:t>
      </w:r>
      <w:r w:rsidR="00CE59CA" w:rsidRPr="00AE6047">
        <w:t xml:space="preserve">This study is focused around </w:t>
      </w:r>
      <w:r w:rsidR="008F50D0" w:rsidRPr="00AE6047">
        <w:t>three</w:t>
      </w:r>
      <w:r w:rsidR="00CE59CA" w:rsidRPr="00AE6047">
        <w:t xml:space="preserve"> goals: </w:t>
      </w:r>
    </w:p>
    <w:p w14:paraId="1BD0E670" w14:textId="77777777" w:rsidR="00CE59CA" w:rsidRPr="00AE6047" w:rsidRDefault="00CE59CA" w:rsidP="00AB1142">
      <w:pPr>
        <w:pStyle w:val="BodyText"/>
        <w:numPr>
          <w:ilvl w:val="0"/>
          <w:numId w:val="17"/>
        </w:numPr>
      </w:pPr>
      <w:r w:rsidRPr="00AE6047">
        <w:t>Describe currently available U.S. ride share services, including services specifically for older adults and services that include older adults as part of their service population;</w:t>
      </w:r>
    </w:p>
    <w:p w14:paraId="3825169A" w14:textId="77777777" w:rsidR="00CE59CA" w:rsidRPr="00AE6047" w:rsidRDefault="00CE59CA" w:rsidP="00AB1142">
      <w:pPr>
        <w:pStyle w:val="BodyText"/>
        <w:numPr>
          <w:ilvl w:val="0"/>
          <w:numId w:val="17"/>
        </w:numPr>
      </w:pPr>
      <w:r w:rsidRPr="00AE6047">
        <w:t xml:space="preserve">Understand older adult attitudes and beliefs toward using these services; and </w:t>
      </w:r>
    </w:p>
    <w:p w14:paraId="01E0E977" w14:textId="5840C3FB" w:rsidR="00CE59CA" w:rsidRPr="00AE6047" w:rsidRDefault="00CE59CA" w:rsidP="00AB1142">
      <w:pPr>
        <w:pStyle w:val="BodyText"/>
        <w:numPr>
          <w:ilvl w:val="0"/>
          <w:numId w:val="17"/>
        </w:numPr>
      </w:pPr>
      <w:r w:rsidRPr="00AE6047">
        <w:t>Compare older adults</w:t>
      </w:r>
      <w:r w:rsidR="00B54325">
        <w:t>'</w:t>
      </w:r>
      <w:r w:rsidRPr="00AE6047">
        <w:t xml:space="preserve"> attitudes and beliefs to younger adults (age &lt;65 years).</w:t>
      </w:r>
    </w:p>
    <w:p w14:paraId="1D7C0F9C" w14:textId="43BE62DD" w:rsidR="00CE59CA" w:rsidRDefault="00CE59CA" w:rsidP="00AE6047">
      <w:pPr>
        <w:pStyle w:val="BodyText"/>
      </w:pPr>
      <w:r>
        <w:t>To reach these goals, key research questions will guide the information collection activities:</w:t>
      </w:r>
    </w:p>
    <w:p w14:paraId="2CB7686E" w14:textId="107BECFD" w:rsidR="00F52257" w:rsidRPr="00F52257" w:rsidRDefault="00F52257" w:rsidP="00AB1142">
      <w:pPr>
        <w:pStyle w:val="BodyText"/>
        <w:numPr>
          <w:ilvl w:val="0"/>
          <w:numId w:val="18"/>
        </w:numPr>
        <w:rPr>
          <w:b/>
        </w:rPr>
      </w:pPr>
      <w:r w:rsidRPr="00F52257">
        <w:t>What are the barriers and facilitators for older adults in using these ride share services?</w:t>
      </w:r>
    </w:p>
    <w:p w14:paraId="132E0A19" w14:textId="77777777" w:rsidR="00F52257" w:rsidRPr="00F52257" w:rsidRDefault="00F52257" w:rsidP="00AB1142">
      <w:pPr>
        <w:pStyle w:val="BodyText"/>
        <w:numPr>
          <w:ilvl w:val="0"/>
          <w:numId w:val="18"/>
        </w:numPr>
        <w:rPr>
          <w:b/>
        </w:rPr>
      </w:pPr>
      <w:r w:rsidRPr="00F52257">
        <w:t>How do the barriers and facilitators in using ride share services differ between older and younger adults?</w:t>
      </w:r>
    </w:p>
    <w:p w14:paraId="68461528" w14:textId="77777777" w:rsidR="00F52257" w:rsidRPr="00F52257" w:rsidRDefault="00F52257" w:rsidP="00AB1142">
      <w:pPr>
        <w:pStyle w:val="BodyText"/>
        <w:numPr>
          <w:ilvl w:val="0"/>
          <w:numId w:val="18"/>
        </w:numPr>
        <w:rPr>
          <w:b/>
        </w:rPr>
      </w:pPr>
      <w:r w:rsidRPr="00F52257">
        <w:t>To what extent are these services meeting older adult transportation needs?</w:t>
      </w:r>
    </w:p>
    <w:p w14:paraId="63A68296" w14:textId="77777777" w:rsidR="00F52257" w:rsidRPr="00F52257" w:rsidRDefault="00F52257" w:rsidP="00AB1142">
      <w:pPr>
        <w:pStyle w:val="BodyText"/>
        <w:numPr>
          <w:ilvl w:val="0"/>
          <w:numId w:val="18"/>
        </w:numPr>
        <w:rPr>
          <w:b/>
        </w:rPr>
      </w:pPr>
      <w:r w:rsidRPr="00F52257">
        <w:t>To what extent could these services meet older adult needs if the barriers were addressed?</w:t>
      </w:r>
    </w:p>
    <w:p w14:paraId="05EC9348" w14:textId="77777777" w:rsidR="00F52257" w:rsidRPr="00F52257" w:rsidRDefault="00F52257" w:rsidP="00AB1142">
      <w:pPr>
        <w:pStyle w:val="BodyText"/>
        <w:numPr>
          <w:ilvl w:val="0"/>
          <w:numId w:val="18"/>
        </w:numPr>
        <w:rPr>
          <w:b/>
        </w:rPr>
      </w:pPr>
      <w:r w:rsidRPr="00F52257">
        <w:t>What other transportation methods do older adults use? What factors play into their decisions around which options to use for each trip?</w:t>
      </w:r>
    </w:p>
    <w:p w14:paraId="5FDADC03" w14:textId="77777777" w:rsidR="00F52257" w:rsidRPr="00F52257" w:rsidRDefault="00F52257" w:rsidP="00AB1142">
      <w:pPr>
        <w:pStyle w:val="BodyText"/>
        <w:numPr>
          <w:ilvl w:val="0"/>
          <w:numId w:val="18"/>
        </w:numPr>
        <w:rPr>
          <w:b/>
        </w:rPr>
      </w:pPr>
      <w:r w:rsidRPr="00F52257">
        <w:t>What attributes of the driver are important (e.g., human driver, driver of the same sex or age)?</w:t>
      </w:r>
    </w:p>
    <w:p w14:paraId="5950186E" w14:textId="506F4F5C" w:rsidR="00097DC6" w:rsidRDefault="00623BF8" w:rsidP="00AE6047">
      <w:pPr>
        <w:pStyle w:val="BodyText"/>
      </w:pPr>
      <w:r>
        <w:t xml:space="preserve">To answer these research questions, we will conduct primary data </w:t>
      </w:r>
      <w:r w:rsidR="00ED39A8">
        <w:t>collection</w:t>
      </w:r>
      <w:r>
        <w:t xml:space="preserve"> </w:t>
      </w:r>
      <w:r w:rsidR="00F30CC1">
        <w:t>using</w:t>
      </w:r>
      <w:r w:rsidR="00F52257">
        <w:t xml:space="preserve"> </w:t>
      </w:r>
      <w:r w:rsidR="00F30CC1">
        <w:t xml:space="preserve">in-person </w:t>
      </w:r>
      <w:r w:rsidR="00F52257">
        <w:t xml:space="preserve">focus groups and telephone interviews with </w:t>
      </w:r>
      <w:r w:rsidR="00F30CC1">
        <w:t>older and younger adults.</w:t>
      </w:r>
      <w:r w:rsidR="00F52257">
        <w:t xml:space="preserve"> </w:t>
      </w:r>
      <w:r w:rsidR="00F30CC1">
        <w:t>In total</w:t>
      </w:r>
      <w:r w:rsidR="00AA78AE">
        <w:t xml:space="preserve">10 focus groups </w:t>
      </w:r>
      <w:r w:rsidR="0024247A">
        <w:t xml:space="preserve">will be conducted </w:t>
      </w:r>
      <w:r w:rsidR="00B12610">
        <w:t xml:space="preserve">with a total of 90 participants </w:t>
      </w:r>
      <w:r w:rsidR="00ED39A8">
        <w:t xml:space="preserve">and </w:t>
      </w:r>
      <w:r w:rsidR="00AA78AE">
        <w:t xml:space="preserve">95 telephone interviews </w:t>
      </w:r>
      <w:r w:rsidR="00ED39A8">
        <w:t>with older and younger adults</w:t>
      </w:r>
      <w:r w:rsidR="00AA78AE">
        <w:t xml:space="preserve">. </w:t>
      </w:r>
    </w:p>
    <w:p w14:paraId="1C2212BA" w14:textId="70C626C0" w:rsidR="002D3676" w:rsidRDefault="008F50D0" w:rsidP="00AE6047">
      <w:pPr>
        <w:pStyle w:val="BodyText"/>
      </w:pPr>
      <w:r>
        <w:t>Table 1 presents the linkage between each study question, the information collection activity (focus groups or interviews), and the study population (</w:t>
      </w:r>
      <w:r w:rsidR="00B44490">
        <w:t>users and non-users, older and</w:t>
      </w:r>
      <w:r>
        <w:t xml:space="preserve"> younger adults).</w:t>
      </w:r>
    </w:p>
    <w:p w14:paraId="50A9F09A" w14:textId="77777777" w:rsidR="008A7B07" w:rsidRPr="00F85A28" w:rsidRDefault="008A7B07" w:rsidP="008A7B07">
      <w:pPr>
        <w:pStyle w:val="NORCCaption-Exhibit"/>
      </w:pPr>
      <w:r>
        <w:rPr>
          <w:rStyle w:val="NORCCaption-Color"/>
        </w:rPr>
        <w:t>Table 1.</w:t>
      </w:r>
      <w:r w:rsidRPr="00131CD0">
        <w:rPr>
          <w:rStyle w:val="NORCCaption-Color"/>
        </w:rPr>
        <w:t xml:space="preserve"> </w:t>
      </w:r>
      <w:r>
        <w:rPr>
          <w:rStyle w:val="NORCCaption-Color"/>
        </w:rPr>
        <w:tab/>
      </w:r>
      <w:r>
        <w:t xml:space="preserve">Research Questions Mapped to Information Collection Activities </w:t>
      </w:r>
    </w:p>
    <w:tbl>
      <w:tblPr>
        <w:tblW w:w="9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8" w:type="dxa"/>
          <w:right w:w="58" w:type="dxa"/>
        </w:tblCellMar>
        <w:tblLook w:val="04A0" w:firstRow="1" w:lastRow="0" w:firstColumn="1" w:lastColumn="0" w:noHBand="0" w:noVBand="1"/>
      </w:tblPr>
      <w:tblGrid>
        <w:gridCol w:w="5305"/>
        <w:gridCol w:w="585"/>
        <w:gridCol w:w="585"/>
        <w:gridCol w:w="495"/>
        <w:gridCol w:w="495"/>
        <w:gridCol w:w="630"/>
        <w:gridCol w:w="630"/>
        <w:gridCol w:w="720"/>
      </w:tblGrid>
      <w:tr w:rsidR="008A7B07" w:rsidRPr="00D83C88" w14:paraId="7558B0A3" w14:textId="77777777" w:rsidTr="00097DC6">
        <w:trPr>
          <w:cantSplit/>
        </w:trPr>
        <w:tc>
          <w:tcPr>
            <w:tcW w:w="5305" w:type="dxa"/>
            <w:vMerge w:val="restart"/>
            <w:shd w:val="clear" w:color="000000" w:fill="9FC1AF"/>
            <w:tcMar>
              <w:left w:w="29" w:type="dxa"/>
              <w:right w:w="29" w:type="dxa"/>
            </w:tcMar>
            <w:vAlign w:val="bottom"/>
            <w:hideMark/>
          </w:tcPr>
          <w:p w14:paraId="228016F8" w14:textId="77777777" w:rsidR="008A7B07" w:rsidRPr="00D83C88" w:rsidRDefault="008A7B07" w:rsidP="000D7284">
            <w:pPr>
              <w:pStyle w:val="NORCTableSubheadArial-Black"/>
              <w:jc w:val="left"/>
            </w:pPr>
            <w:r>
              <w:t>CDC Research Questions</w:t>
            </w:r>
          </w:p>
        </w:tc>
        <w:tc>
          <w:tcPr>
            <w:tcW w:w="4140" w:type="dxa"/>
            <w:gridSpan w:val="7"/>
            <w:tcBorders>
              <w:bottom w:val="single" w:sz="4" w:space="0" w:color="808080" w:themeColor="background1" w:themeShade="80"/>
            </w:tcBorders>
            <w:shd w:val="clear" w:color="000000" w:fill="9FC1AF"/>
            <w:tcMar>
              <w:left w:w="29" w:type="dxa"/>
              <w:right w:w="29" w:type="dxa"/>
            </w:tcMar>
            <w:vAlign w:val="bottom"/>
            <w:hideMark/>
          </w:tcPr>
          <w:p w14:paraId="26FDE576" w14:textId="77777777" w:rsidR="008A7B07" w:rsidRPr="00D83C88" w:rsidRDefault="008A7B07" w:rsidP="000D7284">
            <w:pPr>
              <w:pStyle w:val="NORCTableSubheadArial-Black"/>
            </w:pPr>
            <w:r>
              <w:t>Information Collection Activities</w:t>
            </w:r>
          </w:p>
        </w:tc>
      </w:tr>
      <w:tr w:rsidR="008A7B07" w:rsidRPr="00D83C88" w14:paraId="75DC5CB5" w14:textId="77777777" w:rsidTr="00097DC6">
        <w:trPr>
          <w:cantSplit/>
          <w:trHeight w:val="188"/>
        </w:trPr>
        <w:tc>
          <w:tcPr>
            <w:tcW w:w="5305" w:type="dxa"/>
            <w:vMerge/>
            <w:shd w:val="clear" w:color="000000" w:fill="CFE0D7"/>
            <w:tcMar>
              <w:left w:w="29" w:type="dxa"/>
              <w:right w:w="29" w:type="dxa"/>
            </w:tcMar>
            <w:vAlign w:val="bottom"/>
            <w:hideMark/>
          </w:tcPr>
          <w:p w14:paraId="667D5612" w14:textId="77777777" w:rsidR="008A7B07" w:rsidRPr="00D83C88" w:rsidRDefault="008A7B07" w:rsidP="000D7284">
            <w:pPr>
              <w:pStyle w:val="NORCTableSubheadArial-Black"/>
            </w:pPr>
          </w:p>
        </w:tc>
        <w:tc>
          <w:tcPr>
            <w:tcW w:w="2160" w:type="dxa"/>
            <w:gridSpan w:val="4"/>
            <w:shd w:val="clear" w:color="000000" w:fill="CFE0D7"/>
            <w:tcMar>
              <w:left w:w="29" w:type="dxa"/>
              <w:right w:w="29" w:type="dxa"/>
            </w:tcMar>
            <w:vAlign w:val="bottom"/>
          </w:tcPr>
          <w:p w14:paraId="715BF04A" w14:textId="77777777" w:rsidR="008A7B07" w:rsidRPr="00D83C88" w:rsidRDefault="008A7B07" w:rsidP="000D7284">
            <w:pPr>
              <w:pStyle w:val="NORCTableSubheadArial-Black"/>
            </w:pPr>
            <w:r w:rsidRPr="00D83C88">
              <w:t>Interviews</w:t>
            </w:r>
            <w:r>
              <w:t xml:space="preserve"> (n=95)</w:t>
            </w:r>
          </w:p>
        </w:tc>
        <w:tc>
          <w:tcPr>
            <w:tcW w:w="1980" w:type="dxa"/>
            <w:gridSpan w:val="3"/>
            <w:shd w:val="clear" w:color="000000" w:fill="CFE0D7"/>
            <w:tcMar>
              <w:left w:w="29" w:type="dxa"/>
              <w:right w:w="29" w:type="dxa"/>
            </w:tcMar>
            <w:vAlign w:val="bottom"/>
            <w:hideMark/>
          </w:tcPr>
          <w:p w14:paraId="6F1E3B78" w14:textId="77777777" w:rsidR="008A7B07" w:rsidRPr="00D83C88" w:rsidRDefault="008A7B07" w:rsidP="000D7284">
            <w:pPr>
              <w:pStyle w:val="NORCTableSubheadArial-Black"/>
            </w:pPr>
            <w:r w:rsidRPr="00D83C88">
              <w:t>Focus Groups</w:t>
            </w:r>
            <w:r>
              <w:t xml:space="preserve"> (n=10)</w:t>
            </w:r>
          </w:p>
        </w:tc>
      </w:tr>
      <w:tr w:rsidR="008A7B07" w:rsidRPr="00D83C88" w14:paraId="3CE8135A" w14:textId="77777777" w:rsidTr="00097DC6">
        <w:trPr>
          <w:cantSplit/>
          <w:trHeight w:val="215"/>
        </w:trPr>
        <w:tc>
          <w:tcPr>
            <w:tcW w:w="5305" w:type="dxa"/>
            <w:vMerge/>
            <w:tcMar>
              <w:left w:w="29" w:type="dxa"/>
              <w:right w:w="29" w:type="dxa"/>
            </w:tcMar>
            <w:vAlign w:val="center"/>
            <w:hideMark/>
          </w:tcPr>
          <w:p w14:paraId="21DD7E2C" w14:textId="77777777" w:rsidR="008A7B07" w:rsidRPr="00D83C88" w:rsidRDefault="008A7B07" w:rsidP="000D7284">
            <w:pPr>
              <w:pStyle w:val="NORCTableSubheadArial-Black"/>
            </w:pPr>
          </w:p>
        </w:tc>
        <w:tc>
          <w:tcPr>
            <w:tcW w:w="1170" w:type="dxa"/>
            <w:gridSpan w:val="2"/>
            <w:shd w:val="clear" w:color="000000" w:fill="D9D9D9"/>
            <w:tcMar>
              <w:left w:w="29" w:type="dxa"/>
              <w:right w:w="29" w:type="dxa"/>
            </w:tcMar>
            <w:vAlign w:val="bottom"/>
          </w:tcPr>
          <w:p w14:paraId="493E1F8C" w14:textId="77777777" w:rsidR="008A7B07" w:rsidRPr="00D83C88" w:rsidRDefault="008A7B07" w:rsidP="000D7284">
            <w:pPr>
              <w:pStyle w:val="NORCTableSubheadArial-Black"/>
            </w:pPr>
            <w:r w:rsidRPr="00D83C88">
              <w:t xml:space="preserve">Older </w:t>
            </w:r>
            <w:r w:rsidRPr="00D83C88">
              <w:br/>
              <w:t>Adults</w:t>
            </w:r>
          </w:p>
        </w:tc>
        <w:tc>
          <w:tcPr>
            <w:tcW w:w="990" w:type="dxa"/>
            <w:gridSpan w:val="2"/>
            <w:shd w:val="clear" w:color="000000" w:fill="D9D9D9"/>
            <w:tcMar>
              <w:left w:w="29" w:type="dxa"/>
              <w:right w:w="29" w:type="dxa"/>
            </w:tcMar>
            <w:vAlign w:val="bottom"/>
            <w:hideMark/>
          </w:tcPr>
          <w:p w14:paraId="6F4D1539" w14:textId="77777777" w:rsidR="008A7B07" w:rsidRPr="00D83C88" w:rsidRDefault="008A7B07" w:rsidP="000D7284">
            <w:pPr>
              <w:pStyle w:val="NORCTableSubheadArial-Black"/>
            </w:pPr>
            <w:r w:rsidRPr="00D83C88">
              <w:t>Younger Adults</w:t>
            </w:r>
          </w:p>
        </w:tc>
        <w:tc>
          <w:tcPr>
            <w:tcW w:w="1260" w:type="dxa"/>
            <w:gridSpan w:val="2"/>
            <w:shd w:val="clear" w:color="000000" w:fill="D9D9D9"/>
            <w:tcMar>
              <w:left w:w="29" w:type="dxa"/>
              <w:right w:w="29" w:type="dxa"/>
            </w:tcMar>
            <w:vAlign w:val="bottom"/>
            <w:hideMark/>
          </w:tcPr>
          <w:p w14:paraId="7B3423F7" w14:textId="77777777" w:rsidR="008A7B07" w:rsidRPr="00AA78AE" w:rsidRDefault="008A7B07" w:rsidP="000D7284">
            <w:pPr>
              <w:pStyle w:val="NORCTableSubheadArial-Black"/>
              <w:rPr>
                <w:sz w:val="18"/>
                <w:szCs w:val="18"/>
              </w:rPr>
            </w:pPr>
            <w:r w:rsidRPr="00AA78AE">
              <w:rPr>
                <w:sz w:val="18"/>
                <w:szCs w:val="18"/>
              </w:rPr>
              <w:t xml:space="preserve">Older </w:t>
            </w:r>
            <w:r w:rsidRPr="00AA78AE">
              <w:rPr>
                <w:sz w:val="18"/>
                <w:szCs w:val="18"/>
              </w:rPr>
              <w:br/>
              <w:t>Adults</w:t>
            </w:r>
          </w:p>
        </w:tc>
        <w:tc>
          <w:tcPr>
            <w:tcW w:w="720" w:type="dxa"/>
            <w:shd w:val="clear" w:color="000000" w:fill="D9D9D9"/>
            <w:tcMar>
              <w:left w:w="29" w:type="dxa"/>
              <w:right w:w="29" w:type="dxa"/>
            </w:tcMar>
            <w:vAlign w:val="bottom"/>
            <w:hideMark/>
          </w:tcPr>
          <w:p w14:paraId="1A54A91A" w14:textId="77777777" w:rsidR="008A7B07" w:rsidRPr="00AA78AE" w:rsidRDefault="008A7B07" w:rsidP="000D7284">
            <w:pPr>
              <w:pStyle w:val="NORCTableSubheadArial-Black"/>
              <w:rPr>
                <w:sz w:val="18"/>
                <w:szCs w:val="18"/>
              </w:rPr>
            </w:pPr>
            <w:r w:rsidRPr="00AA78AE">
              <w:rPr>
                <w:sz w:val="18"/>
                <w:szCs w:val="18"/>
              </w:rPr>
              <w:t>Younger Adults</w:t>
            </w:r>
          </w:p>
        </w:tc>
      </w:tr>
      <w:tr w:rsidR="008A7B07" w:rsidRPr="00D83C88" w14:paraId="234E592D" w14:textId="77777777" w:rsidTr="00097DC6">
        <w:trPr>
          <w:cantSplit/>
          <w:trHeight w:val="1205"/>
        </w:trPr>
        <w:tc>
          <w:tcPr>
            <w:tcW w:w="5305" w:type="dxa"/>
            <w:vMerge/>
            <w:tcMar>
              <w:left w:w="29" w:type="dxa"/>
              <w:right w:w="29" w:type="dxa"/>
            </w:tcMar>
            <w:vAlign w:val="center"/>
            <w:hideMark/>
          </w:tcPr>
          <w:p w14:paraId="2E3B336C" w14:textId="77777777" w:rsidR="008A7B07" w:rsidRPr="00D83C88" w:rsidRDefault="008A7B07" w:rsidP="000D7284">
            <w:pPr>
              <w:pStyle w:val="NORCTableSubheadArial-Black"/>
            </w:pPr>
          </w:p>
        </w:tc>
        <w:tc>
          <w:tcPr>
            <w:tcW w:w="585" w:type="dxa"/>
            <w:shd w:val="clear" w:color="000000" w:fill="D9D9D9"/>
            <w:tcMar>
              <w:left w:w="29" w:type="dxa"/>
              <w:right w:w="29" w:type="dxa"/>
            </w:tcMar>
            <w:textDirection w:val="btLr"/>
            <w:vAlign w:val="center"/>
          </w:tcPr>
          <w:p w14:paraId="303073E7" w14:textId="4B486397" w:rsidR="008A7B07" w:rsidRPr="00AA78AE" w:rsidRDefault="008A7B07" w:rsidP="008A7B07">
            <w:pPr>
              <w:pStyle w:val="NORCTableSubheadArial-Black"/>
              <w:ind w:left="113" w:right="113"/>
              <w:jc w:val="left"/>
              <w:rPr>
                <w:sz w:val="18"/>
                <w:szCs w:val="18"/>
              </w:rPr>
            </w:pPr>
            <w:r w:rsidRPr="00AA78AE">
              <w:rPr>
                <w:sz w:val="18"/>
                <w:szCs w:val="18"/>
              </w:rPr>
              <w:t xml:space="preserve">Users </w:t>
            </w:r>
          </w:p>
        </w:tc>
        <w:tc>
          <w:tcPr>
            <w:tcW w:w="585" w:type="dxa"/>
            <w:shd w:val="clear" w:color="000000" w:fill="D9D9D9"/>
            <w:tcMar>
              <w:left w:w="29" w:type="dxa"/>
              <w:right w:w="29" w:type="dxa"/>
            </w:tcMar>
            <w:textDirection w:val="btLr"/>
            <w:vAlign w:val="center"/>
            <w:hideMark/>
          </w:tcPr>
          <w:p w14:paraId="4DDB2B33" w14:textId="70DA6EEB" w:rsidR="008A7B07" w:rsidRPr="00AA78AE" w:rsidRDefault="008A7B07" w:rsidP="008A7B07">
            <w:pPr>
              <w:pStyle w:val="NORCTableSubheadArial-Black"/>
              <w:ind w:left="113" w:right="113"/>
              <w:jc w:val="left"/>
              <w:rPr>
                <w:sz w:val="18"/>
                <w:szCs w:val="18"/>
              </w:rPr>
            </w:pPr>
            <w:r w:rsidRPr="00AA78AE">
              <w:rPr>
                <w:sz w:val="18"/>
                <w:szCs w:val="18"/>
              </w:rPr>
              <w:t xml:space="preserve">Non Users </w:t>
            </w:r>
          </w:p>
        </w:tc>
        <w:tc>
          <w:tcPr>
            <w:tcW w:w="495" w:type="dxa"/>
            <w:shd w:val="clear" w:color="000000" w:fill="D9D9D9"/>
            <w:tcMar>
              <w:left w:w="29" w:type="dxa"/>
              <w:right w:w="29" w:type="dxa"/>
            </w:tcMar>
            <w:textDirection w:val="btLr"/>
            <w:vAlign w:val="center"/>
            <w:hideMark/>
          </w:tcPr>
          <w:p w14:paraId="6C152BE6" w14:textId="15C2A436" w:rsidR="008A7B07" w:rsidRPr="00AA78AE" w:rsidRDefault="008A7B07" w:rsidP="008A7B07">
            <w:pPr>
              <w:pStyle w:val="NORCTableSubheadArial-Black"/>
              <w:ind w:left="113" w:right="113"/>
              <w:jc w:val="left"/>
              <w:rPr>
                <w:sz w:val="18"/>
                <w:szCs w:val="18"/>
              </w:rPr>
            </w:pPr>
            <w:r w:rsidRPr="00AA78AE">
              <w:rPr>
                <w:sz w:val="18"/>
                <w:szCs w:val="18"/>
              </w:rPr>
              <w:t xml:space="preserve">Users </w:t>
            </w:r>
          </w:p>
        </w:tc>
        <w:tc>
          <w:tcPr>
            <w:tcW w:w="495" w:type="dxa"/>
            <w:shd w:val="clear" w:color="000000" w:fill="D9D9D9"/>
            <w:tcMar>
              <w:left w:w="29" w:type="dxa"/>
              <w:right w:w="29" w:type="dxa"/>
            </w:tcMar>
            <w:textDirection w:val="btLr"/>
            <w:vAlign w:val="center"/>
            <w:hideMark/>
          </w:tcPr>
          <w:p w14:paraId="034217BC" w14:textId="09A71FCE" w:rsidR="008A7B07" w:rsidRPr="00AA78AE" w:rsidRDefault="008A7B07" w:rsidP="008A7B07">
            <w:pPr>
              <w:pStyle w:val="NORCTableSubheadArial-Black"/>
              <w:ind w:left="113" w:right="113"/>
              <w:jc w:val="left"/>
              <w:rPr>
                <w:sz w:val="18"/>
                <w:szCs w:val="18"/>
              </w:rPr>
            </w:pPr>
            <w:r w:rsidRPr="00AA78AE">
              <w:rPr>
                <w:sz w:val="18"/>
                <w:szCs w:val="18"/>
              </w:rPr>
              <w:t xml:space="preserve">Non Users </w:t>
            </w:r>
          </w:p>
        </w:tc>
        <w:tc>
          <w:tcPr>
            <w:tcW w:w="630" w:type="dxa"/>
            <w:shd w:val="clear" w:color="000000" w:fill="D9D9D9"/>
            <w:tcMar>
              <w:left w:w="29" w:type="dxa"/>
              <w:right w:w="29" w:type="dxa"/>
            </w:tcMar>
            <w:textDirection w:val="btLr"/>
            <w:vAlign w:val="center"/>
            <w:hideMark/>
          </w:tcPr>
          <w:p w14:paraId="19954078" w14:textId="125B8A04" w:rsidR="008A7B07" w:rsidRPr="00AA78AE" w:rsidRDefault="008A7B07" w:rsidP="008A7B07">
            <w:pPr>
              <w:pStyle w:val="NORCTableSubheadArial-Black"/>
              <w:ind w:left="113" w:right="113"/>
              <w:jc w:val="left"/>
              <w:rPr>
                <w:sz w:val="18"/>
                <w:szCs w:val="18"/>
              </w:rPr>
            </w:pPr>
            <w:r w:rsidRPr="00AA78AE">
              <w:rPr>
                <w:sz w:val="18"/>
                <w:szCs w:val="18"/>
              </w:rPr>
              <w:t>Users</w:t>
            </w:r>
            <w:r>
              <w:rPr>
                <w:sz w:val="18"/>
                <w:szCs w:val="18"/>
              </w:rPr>
              <w:t xml:space="preserve"> </w:t>
            </w:r>
          </w:p>
        </w:tc>
        <w:tc>
          <w:tcPr>
            <w:tcW w:w="630" w:type="dxa"/>
            <w:shd w:val="clear" w:color="000000" w:fill="D9D9D9"/>
            <w:tcMar>
              <w:left w:w="29" w:type="dxa"/>
              <w:right w:w="29" w:type="dxa"/>
            </w:tcMar>
            <w:textDirection w:val="btLr"/>
            <w:vAlign w:val="center"/>
            <w:hideMark/>
          </w:tcPr>
          <w:p w14:paraId="0DD705C7" w14:textId="63A9DD7E" w:rsidR="008A7B07" w:rsidRPr="00AA78AE" w:rsidRDefault="008A7B07" w:rsidP="008A7B07">
            <w:pPr>
              <w:pStyle w:val="NORCTableSubheadArial-Black"/>
              <w:ind w:left="113" w:right="113"/>
              <w:jc w:val="left"/>
              <w:rPr>
                <w:sz w:val="18"/>
                <w:szCs w:val="18"/>
              </w:rPr>
            </w:pPr>
            <w:r w:rsidRPr="00AA78AE">
              <w:rPr>
                <w:sz w:val="18"/>
                <w:szCs w:val="18"/>
              </w:rPr>
              <w:t xml:space="preserve">Non Users </w:t>
            </w:r>
          </w:p>
        </w:tc>
        <w:tc>
          <w:tcPr>
            <w:tcW w:w="720" w:type="dxa"/>
            <w:shd w:val="clear" w:color="000000" w:fill="D9D9D9"/>
            <w:tcMar>
              <w:left w:w="29" w:type="dxa"/>
              <w:right w:w="29" w:type="dxa"/>
            </w:tcMar>
            <w:textDirection w:val="btLr"/>
            <w:vAlign w:val="center"/>
            <w:hideMark/>
          </w:tcPr>
          <w:p w14:paraId="0D056708" w14:textId="65DA2F87" w:rsidR="008A7B07" w:rsidRPr="00AA78AE" w:rsidRDefault="008A7B07" w:rsidP="008A7B07">
            <w:pPr>
              <w:pStyle w:val="NORCTableSubheadArial-Black"/>
              <w:ind w:left="113" w:right="113"/>
              <w:jc w:val="left"/>
              <w:rPr>
                <w:sz w:val="18"/>
                <w:szCs w:val="18"/>
              </w:rPr>
            </w:pPr>
            <w:r w:rsidRPr="00AA78AE">
              <w:rPr>
                <w:sz w:val="18"/>
                <w:szCs w:val="18"/>
              </w:rPr>
              <w:t xml:space="preserve">Users </w:t>
            </w:r>
          </w:p>
        </w:tc>
      </w:tr>
      <w:tr w:rsidR="008A7B07" w:rsidRPr="00D83C88" w14:paraId="57AF52F8" w14:textId="77777777" w:rsidTr="00097DC6">
        <w:trPr>
          <w:cantSplit/>
        </w:trPr>
        <w:tc>
          <w:tcPr>
            <w:tcW w:w="5305" w:type="dxa"/>
            <w:shd w:val="clear" w:color="000000" w:fill="FFFFFF"/>
            <w:tcMar>
              <w:left w:w="29" w:type="dxa"/>
              <w:right w:w="29" w:type="dxa"/>
            </w:tcMar>
            <w:hideMark/>
          </w:tcPr>
          <w:p w14:paraId="0FBFE0D4" w14:textId="77777777" w:rsidR="008A7B07" w:rsidRPr="00D83C88" w:rsidRDefault="008A7B07" w:rsidP="00AB1142">
            <w:pPr>
              <w:pStyle w:val="NORCTableBodyLeftArial"/>
              <w:numPr>
                <w:ilvl w:val="0"/>
                <w:numId w:val="13"/>
              </w:numPr>
              <w:spacing w:before="0" w:after="0" w:line="240" w:lineRule="atLeast"/>
              <w:ind w:left="416" w:hanging="270"/>
            </w:pPr>
            <w:r w:rsidRPr="00D83C88">
              <w:t xml:space="preserve">What are the barriers and facilitators for older adults in using these </w:t>
            </w:r>
            <w:r>
              <w:t>ride share</w:t>
            </w:r>
            <w:r w:rsidRPr="00D83C88">
              <w:t xml:space="preserve"> services?</w:t>
            </w:r>
          </w:p>
        </w:tc>
        <w:tc>
          <w:tcPr>
            <w:tcW w:w="585" w:type="dxa"/>
            <w:shd w:val="clear" w:color="auto" w:fill="auto"/>
            <w:tcMar>
              <w:left w:w="29" w:type="dxa"/>
              <w:right w:w="29" w:type="dxa"/>
            </w:tcMar>
            <w:vAlign w:val="bottom"/>
          </w:tcPr>
          <w:p w14:paraId="4F20D173"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585" w:type="dxa"/>
            <w:shd w:val="clear" w:color="auto" w:fill="auto"/>
            <w:tcMar>
              <w:left w:w="29" w:type="dxa"/>
              <w:right w:w="29" w:type="dxa"/>
            </w:tcMar>
            <w:vAlign w:val="bottom"/>
            <w:hideMark/>
          </w:tcPr>
          <w:p w14:paraId="390FF79A"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349AAC15" w14:textId="77777777" w:rsidR="008A7B07" w:rsidRPr="00D83C88" w:rsidRDefault="008A7B07" w:rsidP="000D7284">
            <w:pPr>
              <w:spacing w:line="240" w:lineRule="atLeast"/>
              <w:jc w:val="center"/>
              <w:rPr>
                <w:rFonts w:ascii="Arial" w:hAnsi="Arial" w:cs="Arial"/>
                <w:b/>
                <w:bCs/>
                <w:color w:val="000000"/>
                <w:sz w:val="20"/>
                <w:szCs w:val="20"/>
              </w:rPr>
            </w:pPr>
          </w:p>
        </w:tc>
        <w:tc>
          <w:tcPr>
            <w:tcW w:w="495" w:type="dxa"/>
            <w:shd w:val="clear" w:color="auto" w:fill="auto"/>
            <w:tcMar>
              <w:left w:w="29" w:type="dxa"/>
              <w:right w:w="29" w:type="dxa"/>
            </w:tcMar>
            <w:vAlign w:val="bottom"/>
            <w:hideMark/>
          </w:tcPr>
          <w:p w14:paraId="2CC87301" w14:textId="77777777" w:rsidR="008A7B07" w:rsidRPr="00D83C88" w:rsidRDefault="008A7B07" w:rsidP="000D7284">
            <w:pPr>
              <w:spacing w:line="240" w:lineRule="atLeast"/>
              <w:jc w:val="center"/>
              <w:rPr>
                <w:rFonts w:ascii="Arial" w:hAnsi="Arial" w:cs="Arial"/>
                <w:b/>
                <w:bCs/>
                <w:color w:val="000000"/>
                <w:sz w:val="20"/>
                <w:szCs w:val="20"/>
              </w:rPr>
            </w:pPr>
          </w:p>
        </w:tc>
        <w:tc>
          <w:tcPr>
            <w:tcW w:w="630" w:type="dxa"/>
            <w:shd w:val="clear" w:color="auto" w:fill="auto"/>
            <w:tcMar>
              <w:left w:w="29" w:type="dxa"/>
              <w:right w:w="29" w:type="dxa"/>
            </w:tcMar>
            <w:vAlign w:val="bottom"/>
            <w:hideMark/>
          </w:tcPr>
          <w:p w14:paraId="20F0AAE2"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4BD85872" w14:textId="77777777" w:rsidR="008A7B07" w:rsidRPr="00D83C88" w:rsidRDefault="008A7B07" w:rsidP="000D7284">
            <w:pPr>
              <w:spacing w:line="240" w:lineRule="atLeast"/>
              <w:jc w:val="center"/>
              <w:rPr>
                <w:rFonts w:ascii="Arial" w:hAnsi="Arial" w:cs="Arial"/>
                <w:color w:val="000000"/>
                <w:sz w:val="20"/>
                <w:szCs w:val="20"/>
              </w:rPr>
            </w:pPr>
            <w:r w:rsidRPr="00D83C88">
              <w:rPr>
                <w:rFonts w:ascii="Arial" w:hAnsi="Arial" w:cs="Arial"/>
                <w:color w:val="000000"/>
                <w:sz w:val="20"/>
                <w:szCs w:val="20"/>
              </w:rPr>
              <w:t>√</w:t>
            </w:r>
          </w:p>
        </w:tc>
        <w:tc>
          <w:tcPr>
            <w:tcW w:w="720" w:type="dxa"/>
            <w:shd w:val="clear" w:color="auto" w:fill="auto"/>
            <w:tcMar>
              <w:left w:w="29" w:type="dxa"/>
              <w:right w:w="29" w:type="dxa"/>
            </w:tcMar>
            <w:vAlign w:val="bottom"/>
            <w:hideMark/>
          </w:tcPr>
          <w:p w14:paraId="45C5FE08" w14:textId="77777777" w:rsidR="008A7B07" w:rsidRPr="00D83C88" w:rsidRDefault="008A7B07" w:rsidP="000D7284">
            <w:pPr>
              <w:spacing w:line="240" w:lineRule="atLeast"/>
              <w:jc w:val="center"/>
              <w:rPr>
                <w:rFonts w:ascii="Arial" w:hAnsi="Arial" w:cs="Arial"/>
                <w:b/>
                <w:bCs/>
                <w:color w:val="000000"/>
                <w:sz w:val="20"/>
                <w:szCs w:val="20"/>
              </w:rPr>
            </w:pPr>
          </w:p>
        </w:tc>
      </w:tr>
      <w:tr w:rsidR="008A7B07" w:rsidRPr="00D83C88" w14:paraId="2B2FD9A5" w14:textId="77777777" w:rsidTr="00097DC6">
        <w:trPr>
          <w:cantSplit/>
        </w:trPr>
        <w:tc>
          <w:tcPr>
            <w:tcW w:w="5305" w:type="dxa"/>
            <w:shd w:val="clear" w:color="000000" w:fill="FFFFFF"/>
            <w:tcMar>
              <w:left w:w="29" w:type="dxa"/>
              <w:right w:w="29" w:type="dxa"/>
            </w:tcMar>
            <w:hideMark/>
          </w:tcPr>
          <w:p w14:paraId="7C0EDAAB" w14:textId="77777777" w:rsidR="008A7B07" w:rsidRPr="00D83C88" w:rsidRDefault="008A7B07" w:rsidP="00AB1142">
            <w:pPr>
              <w:pStyle w:val="NORCTableBodyLeftArial"/>
              <w:numPr>
                <w:ilvl w:val="0"/>
                <w:numId w:val="13"/>
              </w:numPr>
              <w:spacing w:before="0" w:after="0" w:line="240" w:lineRule="atLeast"/>
              <w:ind w:left="416" w:hanging="270"/>
            </w:pPr>
            <w:r w:rsidRPr="00D83C88">
              <w:t xml:space="preserve">How do the barriers and facilitators in using </w:t>
            </w:r>
            <w:r>
              <w:t>ride share</w:t>
            </w:r>
            <w:r w:rsidRPr="00D83C88">
              <w:t xml:space="preserve"> services differ between older and younger adults?</w:t>
            </w:r>
          </w:p>
        </w:tc>
        <w:tc>
          <w:tcPr>
            <w:tcW w:w="585" w:type="dxa"/>
            <w:shd w:val="clear" w:color="auto" w:fill="auto"/>
            <w:tcMar>
              <w:left w:w="29" w:type="dxa"/>
              <w:right w:w="29" w:type="dxa"/>
            </w:tcMar>
            <w:vAlign w:val="bottom"/>
          </w:tcPr>
          <w:p w14:paraId="60E7C582"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585" w:type="dxa"/>
            <w:shd w:val="clear" w:color="auto" w:fill="auto"/>
            <w:tcMar>
              <w:left w:w="29" w:type="dxa"/>
              <w:right w:w="29" w:type="dxa"/>
            </w:tcMar>
            <w:vAlign w:val="bottom"/>
            <w:hideMark/>
          </w:tcPr>
          <w:p w14:paraId="369101F1"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74043BBC"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61749C8C"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51A68D6F"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7D8CCEB6"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720" w:type="dxa"/>
            <w:shd w:val="clear" w:color="auto" w:fill="auto"/>
            <w:tcMar>
              <w:left w:w="29" w:type="dxa"/>
              <w:right w:w="29" w:type="dxa"/>
            </w:tcMar>
            <w:vAlign w:val="bottom"/>
            <w:hideMark/>
          </w:tcPr>
          <w:p w14:paraId="1DE311D5"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r>
      <w:tr w:rsidR="008A7B07" w:rsidRPr="00D83C88" w14:paraId="5522DE15" w14:textId="77777777" w:rsidTr="00097DC6">
        <w:trPr>
          <w:cantSplit/>
        </w:trPr>
        <w:tc>
          <w:tcPr>
            <w:tcW w:w="5305" w:type="dxa"/>
            <w:shd w:val="clear" w:color="000000" w:fill="FFFFFF"/>
            <w:tcMar>
              <w:left w:w="29" w:type="dxa"/>
              <w:right w:w="29" w:type="dxa"/>
            </w:tcMar>
            <w:hideMark/>
          </w:tcPr>
          <w:p w14:paraId="65BD4A6F" w14:textId="77777777" w:rsidR="008A7B07" w:rsidRPr="00D83C88" w:rsidRDefault="008A7B07" w:rsidP="00AB1142">
            <w:pPr>
              <w:pStyle w:val="NORCTableBodyLeftArial"/>
              <w:numPr>
                <w:ilvl w:val="0"/>
                <w:numId w:val="13"/>
              </w:numPr>
              <w:spacing w:before="0" w:after="0" w:line="240" w:lineRule="atLeast"/>
              <w:ind w:left="416" w:hanging="270"/>
            </w:pPr>
            <w:r w:rsidRPr="00D83C88">
              <w:t>To what extent are these services meeting older adult transportation needs?</w:t>
            </w:r>
          </w:p>
        </w:tc>
        <w:tc>
          <w:tcPr>
            <w:tcW w:w="585" w:type="dxa"/>
            <w:shd w:val="clear" w:color="000000" w:fill="FFFFFF"/>
            <w:tcMar>
              <w:left w:w="29" w:type="dxa"/>
              <w:right w:w="29" w:type="dxa"/>
            </w:tcMar>
            <w:vAlign w:val="bottom"/>
          </w:tcPr>
          <w:p w14:paraId="29DD66B5"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585" w:type="dxa"/>
            <w:shd w:val="clear" w:color="auto" w:fill="auto"/>
            <w:tcMar>
              <w:left w:w="29" w:type="dxa"/>
              <w:right w:w="29" w:type="dxa"/>
            </w:tcMar>
            <w:vAlign w:val="bottom"/>
            <w:hideMark/>
          </w:tcPr>
          <w:p w14:paraId="2DB9F430"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51D9A563" w14:textId="77777777" w:rsidR="008A7B07" w:rsidRPr="00D83C88" w:rsidRDefault="008A7B07" w:rsidP="000D7284">
            <w:pPr>
              <w:spacing w:line="240" w:lineRule="atLeast"/>
              <w:jc w:val="center"/>
              <w:rPr>
                <w:rFonts w:ascii="Arial" w:hAnsi="Arial" w:cs="Arial"/>
                <w:b/>
                <w:bCs/>
                <w:color w:val="000000"/>
                <w:sz w:val="20"/>
                <w:szCs w:val="20"/>
              </w:rPr>
            </w:pPr>
          </w:p>
        </w:tc>
        <w:tc>
          <w:tcPr>
            <w:tcW w:w="495" w:type="dxa"/>
            <w:shd w:val="clear" w:color="auto" w:fill="auto"/>
            <w:tcMar>
              <w:left w:w="29" w:type="dxa"/>
              <w:right w:w="29" w:type="dxa"/>
            </w:tcMar>
            <w:vAlign w:val="bottom"/>
            <w:hideMark/>
          </w:tcPr>
          <w:p w14:paraId="25AA998A" w14:textId="77777777" w:rsidR="008A7B07" w:rsidRPr="00D83C88" w:rsidRDefault="008A7B07" w:rsidP="000D7284">
            <w:pPr>
              <w:spacing w:line="240" w:lineRule="atLeast"/>
              <w:jc w:val="center"/>
              <w:rPr>
                <w:rFonts w:ascii="Arial" w:hAnsi="Arial" w:cs="Arial"/>
                <w:b/>
                <w:bCs/>
                <w:color w:val="000000"/>
                <w:sz w:val="20"/>
                <w:szCs w:val="20"/>
              </w:rPr>
            </w:pPr>
          </w:p>
        </w:tc>
        <w:tc>
          <w:tcPr>
            <w:tcW w:w="630" w:type="dxa"/>
            <w:shd w:val="clear" w:color="auto" w:fill="auto"/>
            <w:tcMar>
              <w:left w:w="29" w:type="dxa"/>
              <w:right w:w="29" w:type="dxa"/>
            </w:tcMar>
            <w:vAlign w:val="bottom"/>
            <w:hideMark/>
          </w:tcPr>
          <w:p w14:paraId="1CD0FD0E"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1888C539"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720" w:type="dxa"/>
            <w:shd w:val="clear" w:color="auto" w:fill="auto"/>
            <w:tcMar>
              <w:left w:w="29" w:type="dxa"/>
              <w:right w:w="29" w:type="dxa"/>
            </w:tcMar>
            <w:vAlign w:val="bottom"/>
            <w:hideMark/>
          </w:tcPr>
          <w:p w14:paraId="5202EBF4" w14:textId="77777777" w:rsidR="008A7B07" w:rsidRPr="00D83C88" w:rsidRDefault="008A7B07" w:rsidP="000D7284">
            <w:pPr>
              <w:spacing w:line="240" w:lineRule="atLeast"/>
              <w:jc w:val="center"/>
              <w:rPr>
                <w:rFonts w:ascii="Arial" w:hAnsi="Arial" w:cs="Arial"/>
                <w:b/>
                <w:bCs/>
                <w:color w:val="000000"/>
                <w:sz w:val="20"/>
                <w:szCs w:val="20"/>
              </w:rPr>
            </w:pPr>
          </w:p>
        </w:tc>
      </w:tr>
      <w:tr w:rsidR="008A7B07" w:rsidRPr="00D83C88" w14:paraId="1461647A" w14:textId="77777777" w:rsidTr="00097DC6">
        <w:trPr>
          <w:cantSplit/>
        </w:trPr>
        <w:tc>
          <w:tcPr>
            <w:tcW w:w="5305" w:type="dxa"/>
            <w:shd w:val="clear" w:color="000000" w:fill="FFFFFF"/>
            <w:tcMar>
              <w:left w:w="29" w:type="dxa"/>
              <w:right w:w="29" w:type="dxa"/>
            </w:tcMar>
            <w:hideMark/>
          </w:tcPr>
          <w:p w14:paraId="35AEC1CB" w14:textId="77777777" w:rsidR="008A7B07" w:rsidRPr="00D83C88" w:rsidRDefault="008A7B07" w:rsidP="00AB1142">
            <w:pPr>
              <w:pStyle w:val="NORCTableBodyLeftArial"/>
              <w:numPr>
                <w:ilvl w:val="0"/>
                <w:numId w:val="13"/>
              </w:numPr>
              <w:spacing w:before="0" w:after="0" w:line="240" w:lineRule="atLeast"/>
              <w:ind w:left="416" w:hanging="270"/>
            </w:pPr>
            <w:r w:rsidRPr="00D83C88">
              <w:t>To what extent could these services meet older adult needs if the barriers were addressed?</w:t>
            </w:r>
          </w:p>
        </w:tc>
        <w:tc>
          <w:tcPr>
            <w:tcW w:w="585" w:type="dxa"/>
            <w:shd w:val="clear" w:color="000000" w:fill="FFFFFF"/>
            <w:tcMar>
              <w:left w:w="29" w:type="dxa"/>
              <w:right w:w="29" w:type="dxa"/>
            </w:tcMar>
            <w:vAlign w:val="bottom"/>
          </w:tcPr>
          <w:p w14:paraId="0C4D4D62"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585" w:type="dxa"/>
            <w:shd w:val="clear" w:color="auto" w:fill="auto"/>
            <w:tcMar>
              <w:left w:w="29" w:type="dxa"/>
              <w:right w:w="29" w:type="dxa"/>
            </w:tcMar>
            <w:vAlign w:val="bottom"/>
            <w:hideMark/>
          </w:tcPr>
          <w:p w14:paraId="0C9E6AC4"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3472A397" w14:textId="77777777" w:rsidR="008A7B07" w:rsidRPr="00D83C88" w:rsidRDefault="008A7B07" w:rsidP="000D7284">
            <w:pPr>
              <w:spacing w:line="240" w:lineRule="atLeast"/>
              <w:jc w:val="center"/>
              <w:rPr>
                <w:rFonts w:ascii="Arial" w:hAnsi="Arial" w:cs="Arial"/>
                <w:b/>
                <w:bCs/>
                <w:color w:val="000000"/>
                <w:sz w:val="20"/>
                <w:szCs w:val="20"/>
              </w:rPr>
            </w:pPr>
          </w:p>
        </w:tc>
        <w:tc>
          <w:tcPr>
            <w:tcW w:w="495" w:type="dxa"/>
            <w:shd w:val="clear" w:color="auto" w:fill="auto"/>
            <w:tcMar>
              <w:left w:w="29" w:type="dxa"/>
              <w:right w:w="29" w:type="dxa"/>
            </w:tcMar>
            <w:vAlign w:val="bottom"/>
            <w:hideMark/>
          </w:tcPr>
          <w:p w14:paraId="2CFAAF26" w14:textId="77777777" w:rsidR="008A7B07" w:rsidRPr="00D83C88" w:rsidRDefault="008A7B07" w:rsidP="000D7284">
            <w:pPr>
              <w:spacing w:line="240" w:lineRule="atLeast"/>
              <w:jc w:val="center"/>
              <w:rPr>
                <w:rFonts w:ascii="Arial" w:hAnsi="Arial" w:cs="Arial"/>
                <w:b/>
                <w:bCs/>
                <w:color w:val="000000"/>
                <w:sz w:val="20"/>
                <w:szCs w:val="20"/>
              </w:rPr>
            </w:pPr>
          </w:p>
        </w:tc>
        <w:tc>
          <w:tcPr>
            <w:tcW w:w="630" w:type="dxa"/>
            <w:shd w:val="clear" w:color="auto" w:fill="auto"/>
            <w:tcMar>
              <w:left w:w="29" w:type="dxa"/>
              <w:right w:w="29" w:type="dxa"/>
            </w:tcMar>
            <w:vAlign w:val="bottom"/>
            <w:hideMark/>
          </w:tcPr>
          <w:p w14:paraId="281E0FBC"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244E6B5A"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720" w:type="dxa"/>
            <w:shd w:val="clear" w:color="auto" w:fill="auto"/>
            <w:tcMar>
              <w:left w:w="29" w:type="dxa"/>
              <w:right w:w="29" w:type="dxa"/>
            </w:tcMar>
            <w:vAlign w:val="bottom"/>
            <w:hideMark/>
          </w:tcPr>
          <w:p w14:paraId="6F791D2E" w14:textId="77777777" w:rsidR="008A7B07" w:rsidRPr="00D83C88" w:rsidRDefault="008A7B07" w:rsidP="000D7284">
            <w:pPr>
              <w:spacing w:line="240" w:lineRule="atLeast"/>
              <w:jc w:val="center"/>
              <w:rPr>
                <w:rFonts w:ascii="Arial" w:hAnsi="Arial" w:cs="Arial"/>
                <w:b/>
                <w:bCs/>
                <w:color w:val="000000"/>
                <w:sz w:val="20"/>
                <w:szCs w:val="20"/>
              </w:rPr>
            </w:pPr>
          </w:p>
        </w:tc>
      </w:tr>
      <w:tr w:rsidR="008A7B07" w:rsidRPr="00D83C88" w14:paraId="2FB031D5" w14:textId="77777777" w:rsidTr="00097DC6">
        <w:trPr>
          <w:cantSplit/>
        </w:trPr>
        <w:tc>
          <w:tcPr>
            <w:tcW w:w="5305" w:type="dxa"/>
            <w:shd w:val="clear" w:color="auto" w:fill="auto"/>
            <w:tcMar>
              <w:left w:w="29" w:type="dxa"/>
              <w:right w:w="29" w:type="dxa"/>
            </w:tcMar>
            <w:hideMark/>
          </w:tcPr>
          <w:p w14:paraId="77584C0C" w14:textId="77777777" w:rsidR="008A7B07" w:rsidRPr="00D83C88" w:rsidRDefault="008A7B07" w:rsidP="00AB1142">
            <w:pPr>
              <w:pStyle w:val="NORCTableBodyLeftArial"/>
              <w:numPr>
                <w:ilvl w:val="0"/>
                <w:numId w:val="13"/>
              </w:numPr>
              <w:spacing w:before="0" w:after="0" w:line="240" w:lineRule="atLeast"/>
              <w:ind w:left="416" w:hanging="270"/>
            </w:pPr>
            <w:r w:rsidRPr="00D83C88">
              <w:t>What other transportation methods do older adults use? What factors play into their decisions around which options to use for each trip?</w:t>
            </w:r>
          </w:p>
        </w:tc>
        <w:tc>
          <w:tcPr>
            <w:tcW w:w="585" w:type="dxa"/>
            <w:shd w:val="clear" w:color="auto" w:fill="auto"/>
            <w:tcMar>
              <w:left w:w="29" w:type="dxa"/>
              <w:right w:w="29" w:type="dxa"/>
            </w:tcMar>
            <w:vAlign w:val="bottom"/>
          </w:tcPr>
          <w:p w14:paraId="116A5D40"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585" w:type="dxa"/>
            <w:shd w:val="clear" w:color="auto" w:fill="auto"/>
            <w:tcMar>
              <w:left w:w="29" w:type="dxa"/>
              <w:right w:w="29" w:type="dxa"/>
            </w:tcMar>
            <w:vAlign w:val="bottom"/>
            <w:hideMark/>
          </w:tcPr>
          <w:p w14:paraId="38882183"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597A8072" w14:textId="77777777" w:rsidR="008A7B07" w:rsidRPr="00D83C88" w:rsidRDefault="008A7B07" w:rsidP="000D7284">
            <w:pPr>
              <w:spacing w:line="240" w:lineRule="atLeast"/>
              <w:jc w:val="center"/>
              <w:rPr>
                <w:rFonts w:ascii="Arial" w:hAnsi="Arial" w:cs="Arial"/>
                <w:b/>
                <w:bCs/>
                <w:color w:val="000000"/>
                <w:sz w:val="20"/>
                <w:szCs w:val="20"/>
              </w:rPr>
            </w:pPr>
          </w:p>
        </w:tc>
        <w:tc>
          <w:tcPr>
            <w:tcW w:w="495" w:type="dxa"/>
            <w:shd w:val="clear" w:color="auto" w:fill="auto"/>
            <w:tcMar>
              <w:left w:w="29" w:type="dxa"/>
              <w:right w:w="29" w:type="dxa"/>
            </w:tcMar>
            <w:vAlign w:val="bottom"/>
            <w:hideMark/>
          </w:tcPr>
          <w:p w14:paraId="4B9E77CB" w14:textId="77777777" w:rsidR="008A7B07" w:rsidRPr="00D83C88" w:rsidRDefault="008A7B07" w:rsidP="000D7284">
            <w:pPr>
              <w:spacing w:line="240" w:lineRule="atLeast"/>
              <w:jc w:val="center"/>
              <w:rPr>
                <w:rFonts w:ascii="Arial" w:hAnsi="Arial" w:cs="Arial"/>
                <w:b/>
                <w:bCs/>
                <w:color w:val="000000"/>
                <w:sz w:val="20"/>
                <w:szCs w:val="20"/>
              </w:rPr>
            </w:pPr>
          </w:p>
        </w:tc>
        <w:tc>
          <w:tcPr>
            <w:tcW w:w="630" w:type="dxa"/>
            <w:shd w:val="clear" w:color="auto" w:fill="auto"/>
            <w:tcMar>
              <w:left w:w="29" w:type="dxa"/>
              <w:right w:w="29" w:type="dxa"/>
            </w:tcMar>
            <w:vAlign w:val="bottom"/>
            <w:hideMark/>
          </w:tcPr>
          <w:p w14:paraId="1966938B"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0F370B73"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720" w:type="dxa"/>
            <w:shd w:val="clear" w:color="auto" w:fill="auto"/>
            <w:tcMar>
              <w:left w:w="29" w:type="dxa"/>
              <w:right w:w="29" w:type="dxa"/>
            </w:tcMar>
            <w:vAlign w:val="bottom"/>
            <w:hideMark/>
          </w:tcPr>
          <w:p w14:paraId="4DBEE6FC" w14:textId="77777777" w:rsidR="008A7B07" w:rsidRPr="00D83C88" w:rsidRDefault="008A7B07" w:rsidP="000D7284">
            <w:pPr>
              <w:spacing w:line="240" w:lineRule="atLeast"/>
              <w:jc w:val="center"/>
              <w:rPr>
                <w:rFonts w:ascii="Arial" w:hAnsi="Arial" w:cs="Arial"/>
                <w:b/>
                <w:bCs/>
                <w:color w:val="000000"/>
                <w:sz w:val="20"/>
                <w:szCs w:val="20"/>
              </w:rPr>
            </w:pPr>
          </w:p>
        </w:tc>
      </w:tr>
      <w:tr w:rsidR="008A7B07" w:rsidRPr="00D83C88" w14:paraId="0F3DFCE7" w14:textId="77777777" w:rsidTr="00097DC6">
        <w:trPr>
          <w:cantSplit/>
        </w:trPr>
        <w:tc>
          <w:tcPr>
            <w:tcW w:w="5305" w:type="dxa"/>
            <w:shd w:val="clear" w:color="auto" w:fill="auto"/>
            <w:tcMar>
              <w:left w:w="29" w:type="dxa"/>
              <w:right w:w="29" w:type="dxa"/>
            </w:tcMar>
            <w:hideMark/>
          </w:tcPr>
          <w:p w14:paraId="15747B85" w14:textId="77777777" w:rsidR="008A7B07" w:rsidRPr="00D83C88" w:rsidRDefault="008A7B07" w:rsidP="00AB1142">
            <w:pPr>
              <w:pStyle w:val="NORCTableBodyLeftArial"/>
              <w:numPr>
                <w:ilvl w:val="0"/>
                <w:numId w:val="13"/>
              </w:numPr>
              <w:spacing w:before="0" w:after="0" w:line="240" w:lineRule="atLeast"/>
              <w:ind w:left="416" w:hanging="270"/>
            </w:pPr>
            <w:r w:rsidRPr="00D83C88">
              <w:t>What attributes of the driver are important (e.g., human driver, driver of the same sex or age)?</w:t>
            </w:r>
          </w:p>
        </w:tc>
        <w:tc>
          <w:tcPr>
            <w:tcW w:w="585" w:type="dxa"/>
            <w:shd w:val="clear" w:color="auto" w:fill="auto"/>
            <w:tcMar>
              <w:left w:w="29" w:type="dxa"/>
              <w:right w:w="29" w:type="dxa"/>
            </w:tcMar>
            <w:vAlign w:val="bottom"/>
          </w:tcPr>
          <w:p w14:paraId="30B34734"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585" w:type="dxa"/>
            <w:shd w:val="clear" w:color="auto" w:fill="auto"/>
            <w:tcMar>
              <w:left w:w="29" w:type="dxa"/>
              <w:right w:w="29" w:type="dxa"/>
            </w:tcMar>
            <w:vAlign w:val="bottom"/>
            <w:hideMark/>
          </w:tcPr>
          <w:p w14:paraId="68BF5DF8"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1084E942"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495" w:type="dxa"/>
            <w:shd w:val="clear" w:color="auto" w:fill="auto"/>
            <w:tcMar>
              <w:left w:w="29" w:type="dxa"/>
              <w:right w:w="29" w:type="dxa"/>
            </w:tcMar>
            <w:vAlign w:val="bottom"/>
            <w:hideMark/>
          </w:tcPr>
          <w:p w14:paraId="55F54D9C"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3EAF4232"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630" w:type="dxa"/>
            <w:shd w:val="clear" w:color="auto" w:fill="auto"/>
            <w:tcMar>
              <w:left w:w="29" w:type="dxa"/>
              <w:right w:w="29" w:type="dxa"/>
            </w:tcMar>
            <w:vAlign w:val="bottom"/>
            <w:hideMark/>
          </w:tcPr>
          <w:p w14:paraId="648B60E9"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c>
          <w:tcPr>
            <w:tcW w:w="720" w:type="dxa"/>
            <w:shd w:val="clear" w:color="auto" w:fill="auto"/>
            <w:tcMar>
              <w:left w:w="29" w:type="dxa"/>
              <w:right w:w="29" w:type="dxa"/>
            </w:tcMar>
            <w:vAlign w:val="bottom"/>
            <w:hideMark/>
          </w:tcPr>
          <w:p w14:paraId="5211C84C" w14:textId="77777777" w:rsidR="008A7B07" w:rsidRPr="00D83C88" w:rsidRDefault="008A7B07" w:rsidP="000D7284">
            <w:pPr>
              <w:spacing w:line="240" w:lineRule="atLeast"/>
              <w:jc w:val="center"/>
              <w:rPr>
                <w:rFonts w:ascii="Arial" w:hAnsi="Arial" w:cs="Arial"/>
                <w:b/>
                <w:bCs/>
                <w:color w:val="000000"/>
                <w:sz w:val="20"/>
                <w:szCs w:val="20"/>
              </w:rPr>
            </w:pPr>
            <w:r w:rsidRPr="00D83C88">
              <w:rPr>
                <w:rFonts w:ascii="Arial" w:hAnsi="Arial" w:cs="Arial"/>
                <w:b/>
                <w:bCs/>
                <w:color w:val="000000"/>
                <w:sz w:val="20"/>
                <w:szCs w:val="20"/>
              </w:rPr>
              <w:t>√</w:t>
            </w:r>
          </w:p>
        </w:tc>
      </w:tr>
    </w:tbl>
    <w:p w14:paraId="1019F6EA" w14:textId="6FD4ED38" w:rsidR="00E832AB" w:rsidRPr="00AE6047" w:rsidRDefault="00EA1662" w:rsidP="00EF504E">
      <w:pPr>
        <w:pStyle w:val="BodyText"/>
        <w:spacing w:before="240"/>
      </w:pPr>
      <w:r w:rsidRPr="00AE6047">
        <w:t>Below, we describe the</w:t>
      </w:r>
      <w:r w:rsidR="00E832AB" w:rsidRPr="00AE6047">
        <w:t xml:space="preserve"> two study populations</w:t>
      </w:r>
      <w:r w:rsidRPr="00AE6047">
        <w:t xml:space="preserve"> for this information collection</w:t>
      </w:r>
      <w:r w:rsidR="00E832AB" w:rsidRPr="00AE6047">
        <w:t xml:space="preserve">. </w:t>
      </w:r>
    </w:p>
    <w:p w14:paraId="5AB4ECFF" w14:textId="5E057008" w:rsidR="00AE6047" w:rsidRPr="00AE6047" w:rsidRDefault="00D35575" w:rsidP="00EF504E">
      <w:pPr>
        <w:pStyle w:val="BodyText"/>
        <w:spacing w:before="360"/>
        <w:rPr>
          <w:u w:val="single"/>
        </w:rPr>
      </w:pPr>
      <w:r w:rsidRPr="00AE6047">
        <w:rPr>
          <w:u w:val="single"/>
        </w:rPr>
        <w:t>Older Adult Study Population</w:t>
      </w:r>
      <w:r w:rsidR="00B80C8C" w:rsidRPr="00AE6047">
        <w:rPr>
          <w:u w:val="single"/>
        </w:rPr>
        <w:t xml:space="preserve"> </w:t>
      </w:r>
    </w:p>
    <w:p w14:paraId="3511673D" w14:textId="4452586C" w:rsidR="00236EF1" w:rsidRDefault="00D35575" w:rsidP="00AE6047">
      <w:pPr>
        <w:pStyle w:val="BodyText"/>
      </w:pPr>
      <w:r w:rsidRPr="00AE6047">
        <w:t xml:space="preserve">The older adult study population </w:t>
      </w:r>
      <w:r w:rsidR="008A053C">
        <w:t xml:space="preserve">is defined as people </w:t>
      </w:r>
      <w:r w:rsidRPr="00AE6047">
        <w:t xml:space="preserve">aged 65+. </w:t>
      </w:r>
      <w:r w:rsidR="00EA1662" w:rsidRPr="00AE6047">
        <w:t xml:space="preserve">We will explore our research questions by collecting information from two </w:t>
      </w:r>
      <w:r w:rsidRPr="00AE6047">
        <w:t xml:space="preserve">cohorts of older adults: </w:t>
      </w:r>
      <w:r w:rsidR="00B54325">
        <w:t>"</w:t>
      </w:r>
      <w:r w:rsidRPr="00AE6047">
        <w:t>young-old</w:t>
      </w:r>
      <w:r w:rsidR="00B54325">
        <w:t>"</w:t>
      </w:r>
      <w:r w:rsidRPr="00AE6047">
        <w:t xml:space="preserve"> adults, aged 65 to 74, and </w:t>
      </w:r>
      <w:r w:rsidR="00B54325">
        <w:t>"</w:t>
      </w:r>
      <w:r w:rsidRPr="00AE6047">
        <w:t>old-old</w:t>
      </w:r>
      <w:r w:rsidR="00B54325">
        <w:t>"</w:t>
      </w:r>
      <w:r w:rsidRPr="00AE6047">
        <w:t xml:space="preserve"> adults, aged 75+. </w:t>
      </w:r>
      <w:r w:rsidR="00236EF1">
        <w:t xml:space="preserve">These two cohorts are of interest because of potential differences in their experiences using ride share services. The </w:t>
      </w:r>
      <w:r w:rsidR="00B54325">
        <w:t>"</w:t>
      </w:r>
      <w:r w:rsidR="00236EF1">
        <w:t>young-old</w:t>
      </w:r>
      <w:r w:rsidR="00B54325">
        <w:t>"</w:t>
      </w:r>
      <w:r w:rsidR="00236EF1">
        <w:t xml:space="preserve"> may still be driving and/or may be transitioning to using ride share services. In contrast, the </w:t>
      </w:r>
      <w:r w:rsidR="00B54325">
        <w:t>"</w:t>
      </w:r>
      <w:r w:rsidR="00236EF1">
        <w:t>old-old</w:t>
      </w:r>
      <w:r w:rsidR="00B54325">
        <w:t>"</w:t>
      </w:r>
      <w:r w:rsidR="00236EF1">
        <w:t xml:space="preserve"> are starting to use ride sharing, with nearly 20% of those aged 75 to 79, and 40% of those aged 85+, using ride sharing as their primary means of travel, according to research conducted by AARP.</w:t>
      </w:r>
      <w:r w:rsidR="00236EF1">
        <w:rPr>
          <w:rStyle w:val="EndnoteReference"/>
        </w:rPr>
        <w:endnoteReference w:id="8"/>
      </w:r>
      <w:r w:rsidR="00236EF1">
        <w:t xml:space="preserve"> Additionally, fatal crash involvement increases after age 74.</w:t>
      </w:r>
      <w:r w:rsidR="00236EF1">
        <w:rPr>
          <w:rStyle w:val="EndnoteReference"/>
        </w:rPr>
        <w:endnoteReference w:id="9"/>
      </w:r>
      <w:r w:rsidR="00236EF1">
        <w:t xml:space="preserve">   </w:t>
      </w:r>
    </w:p>
    <w:p w14:paraId="42D7DCB5" w14:textId="667533A5" w:rsidR="00AE6047" w:rsidRPr="00AE6047" w:rsidRDefault="009D36B5" w:rsidP="00EF504E">
      <w:pPr>
        <w:pStyle w:val="BodyText"/>
        <w:spacing w:before="360"/>
        <w:rPr>
          <w:u w:val="single"/>
        </w:rPr>
      </w:pPr>
      <w:r w:rsidRPr="00AE6047">
        <w:rPr>
          <w:u w:val="single"/>
        </w:rPr>
        <w:t>Younger Adult Study Population</w:t>
      </w:r>
      <w:r w:rsidR="00B80C8C" w:rsidRPr="00AE6047">
        <w:rPr>
          <w:u w:val="single"/>
        </w:rPr>
        <w:t xml:space="preserve"> </w:t>
      </w:r>
    </w:p>
    <w:p w14:paraId="1A0E03A0" w14:textId="7D0B023B" w:rsidR="00236EF1" w:rsidRDefault="009D36B5" w:rsidP="00236EF1">
      <w:pPr>
        <w:pStyle w:val="BodyText"/>
        <w:spacing w:before="120"/>
      </w:pPr>
      <w:r w:rsidRPr="00AE6047">
        <w:t xml:space="preserve">The younger adult study population is defined as people aged 18 to 64. </w:t>
      </w:r>
      <w:r w:rsidR="00EA1662" w:rsidRPr="00AE6047">
        <w:t xml:space="preserve">One specific cohort of </w:t>
      </w:r>
      <w:r w:rsidR="00EA0266">
        <w:t xml:space="preserve">the younger adult study population that is of particular </w:t>
      </w:r>
      <w:r w:rsidR="00EA1662" w:rsidRPr="00AE6047">
        <w:t>interest t</w:t>
      </w:r>
      <w:r w:rsidRPr="00AE6047">
        <w:t xml:space="preserve">o this study is the </w:t>
      </w:r>
      <w:r w:rsidR="00B54325">
        <w:t>"</w:t>
      </w:r>
      <w:r w:rsidRPr="00AE6047">
        <w:t>young adult</w:t>
      </w:r>
      <w:r w:rsidR="00B54325">
        <w:t>"</w:t>
      </w:r>
      <w:r w:rsidRPr="00AE6047">
        <w:t xml:space="preserve"> cohort aged 25 to 39</w:t>
      </w:r>
      <w:r w:rsidR="00EA1662" w:rsidRPr="00AE6047">
        <w:t>.</w:t>
      </w:r>
      <w:r w:rsidR="00EA0266">
        <w:t xml:space="preserve"> This cohort is of interest because d</w:t>
      </w:r>
      <w:r w:rsidR="00F040E7" w:rsidRPr="004E30D9">
        <w:t>ata suggest</w:t>
      </w:r>
      <w:r w:rsidR="00236EF1">
        <w:t xml:space="preserve"> </w:t>
      </w:r>
      <w:r w:rsidR="00F040E7" w:rsidRPr="004E30D9">
        <w:t xml:space="preserve">that </w:t>
      </w:r>
      <w:r w:rsidR="00EA0266">
        <w:t xml:space="preserve">younger adults are </w:t>
      </w:r>
      <w:r w:rsidR="00F040E7" w:rsidRPr="004E30D9">
        <w:t>using ride share services (approximately 57% of Lyft and Uber ride share passengers are aged 25 to 34 in contrast to only 7% of people aged 45+).</w:t>
      </w:r>
      <w:r w:rsidR="00F040E7">
        <w:rPr>
          <w:rStyle w:val="EndnoteReference"/>
        </w:rPr>
        <w:endnoteReference w:id="10"/>
      </w:r>
      <w:r w:rsidR="00050BDA">
        <w:t xml:space="preserve"> </w:t>
      </w:r>
      <w:r w:rsidR="00F040E7">
        <w:t>Further,</w:t>
      </w:r>
      <w:r w:rsidR="00F040E7" w:rsidRPr="004E30D9">
        <w:t xml:space="preserve"> this young adult cohort will likely have more in common with the older adult study population (e.g., more years of work and life experience) than adults under the age of 25. </w:t>
      </w:r>
    </w:p>
    <w:p w14:paraId="1A37A35E" w14:textId="26ADC1FB" w:rsidR="00B44490" w:rsidRDefault="00EA1662" w:rsidP="00236EF1">
      <w:pPr>
        <w:pStyle w:val="BodyText"/>
        <w:spacing w:before="120"/>
      </w:pPr>
      <w:r w:rsidRPr="00AE6047">
        <w:t xml:space="preserve">Table 2 presents </w:t>
      </w:r>
      <w:r w:rsidR="00097DC6">
        <w:t xml:space="preserve">data collection activities by study </w:t>
      </w:r>
      <w:r w:rsidR="00B44490" w:rsidRPr="00AE6047">
        <w:t xml:space="preserve">population.  </w:t>
      </w:r>
    </w:p>
    <w:p w14:paraId="11DF4972" w14:textId="6B81FA9E" w:rsidR="00B44490" w:rsidRPr="00F85A28" w:rsidRDefault="00B44490" w:rsidP="00B44490">
      <w:pPr>
        <w:pStyle w:val="NORCCaption-Exhibit"/>
      </w:pPr>
      <w:r>
        <w:rPr>
          <w:rStyle w:val="NORCCaption-Color"/>
        </w:rPr>
        <w:t>Table 2.</w:t>
      </w:r>
      <w:r w:rsidRPr="00131CD0">
        <w:rPr>
          <w:rStyle w:val="NORCCaption-Color"/>
        </w:rPr>
        <w:t xml:space="preserve"> </w:t>
      </w:r>
      <w:r>
        <w:rPr>
          <w:rStyle w:val="NORCCaption-Color"/>
        </w:rPr>
        <w:tab/>
      </w:r>
      <w:r>
        <w:t xml:space="preserve">Data Collection Activities by Study Population  </w:t>
      </w:r>
    </w:p>
    <w:tbl>
      <w:tblPr>
        <w:tblStyle w:val="NASHPTableGrid1"/>
        <w:tblW w:w="5000" w:type="pct"/>
        <w:tblLook w:val="04A0" w:firstRow="1" w:lastRow="0" w:firstColumn="1" w:lastColumn="0" w:noHBand="0" w:noVBand="1"/>
      </w:tblPr>
      <w:tblGrid>
        <w:gridCol w:w="3038"/>
        <w:gridCol w:w="3428"/>
        <w:gridCol w:w="1404"/>
        <w:gridCol w:w="1706"/>
      </w:tblGrid>
      <w:tr w:rsidR="00B44490" w:rsidRPr="002D3676" w14:paraId="70D09E18" w14:textId="77777777" w:rsidTr="005E5644">
        <w:trPr>
          <w:cantSplit/>
          <w:trHeight w:val="278"/>
          <w:tblHeader/>
        </w:trPr>
        <w:tc>
          <w:tcPr>
            <w:tcW w:w="1586" w:type="pct"/>
            <w:tcBorders>
              <w:top w:val="single" w:sz="4" w:space="0" w:color="auto"/>
              <w:left w:val="single" w:sz="4" w:space="0" w:color="auto"/>
              <w:right w:val="single" w:sz="4" w:space="0" w:color="auto"/>
            </w:tcBorders>
            <w:shd w:val="clear" w:color="auto" w:fill="A3C3B7"/>
          </w:tcPr>
          <w:p w14:paraId="3E115409" w14:textId="77777777" w:rsidR="00B44490" w:rsidRPr="002D3676" w:rsidRDefault="00B44490" w:rsidP="000D7284">
            <w:pPr>
              <w:keepNext/>
              <w:spacing w:before="40" w:after="40"/>
              <w:jc w:val="center"/>
              <w:rPr>
                <w:rFonts w:ascii="Arial Narrow" w:hAnsi="Arial Narrow" w:cs="Arial"/>
                <w:b/>
                <w:bCs/>
                <w:sz w:val="20"/>
                <w:szCs w:val="22"/>
              </w:rPr>
            </w:pPr>
          </w:p>
        </w:tc>
        <w:tc>
          <w:tcPr>
            <w:tcW w:w="1790" w:type="pct"/>
            <w:tcBorders>
              <w:top w:val="single" w:sz="4" w:space="0" w:color="auto"/>
              <w:left w:val="single" w:sz="4" w:space="0" w:color="auto"/>
              <w:right w:val="single" w:sz="4" w:space="0" w:color="auto"/>
            </w:tcBorders>
            <w:shd w:val="clear" w:color="auto" w:fill="A3C3B7"/>
          </w:tcPr>
          <w:p w14:paraId="39D1AAE5" w14:textId="77777777" w:rsidR="00B44490" w:rsidRPr="002D3676" w:rsidRDefault="00B44490" w:rsidP="000D7284">
            <w:pPr>
              <w:keepNext/>
              <w:spacing w:before="40" w:after="40"/>
              <w:jc w:val="center"/>
              <w:rPr>
                <w:rFonts w:ascii="Arial Narrow" w:hAnsi="Arial Narrow" w:cs="Arial"/>
                <w:b/>
                <w:bCs/>
                <w:sz w:val="20"/>
                <w:szCs w:val="22"/>
              </w:rPr>
            </w:pPr>
          </w:p>
        </w:tc>
        <w:tc>
          <w:tcPr>
            <w:tcW w:w="733" w:type="pct"/>
            <w:tcBorders>
              <w:top w:val="single" w:sz="4" w:space="0" w:color="auto"/>
              <w:left w:val="single" w:sz="4" w:space="0" w:color="auto"/>
              <w:right w:val="single" w:sz="4" w:space="0" w:color="auto"/>
            </w:tcBorders>
            <w:shd w:val="clear" w:color="auto" w:fill="A3C3B7"/>
            <w:vAlign w:val="center"/>
          </w:tcPr>
          <w:p w14:paraId="3B95F3ED" w14:textId="77777777" w:rsidR="00B44490" w:rsidRPr="002D3676" w:rsidRDefault="00B44490" w:rsidP="000D7284">
            <w:pPr>
              <w:keepNext/>
              <w:spacing w:before="40" w:after="40"/>
              <w:jc w:val="center"/>
              <w:rPr>
                <w:rFonts w:ascii="Arial Narrow" w:hAnsi="Arial Narrow" w:cs="Arial"/>
                <w:b/>
                <w:bCs/>
                <w:sz w:val="20"/>
                <w:szCs w:val="22"/>
              </w:rPr>
            </w:pPr>
            <w:r w:rsidRPr="002D3676">
              <w:rPr>
                <w:rFonts w:ascii="Arial Narrow" w:hAnsi="Arial Narrow" w:cs="Arial"/>
                <w:b/>
                <w:bCs/>
                <w:sz w:val="20"/>
                <w:szCs w:val="22"/>
              </w:rPr>
              <w:t>Number of Focus Groups</w:t>
            </w:r>
          </w:p>
        </w:tc>
        <w:tc>
          <w:tcPr>
            <w:tcW w:w="891" w:type="pct"/>
            <w:tcBorders>
              <w:top w:val="single" w:sz="4" w:space="0" w:color="auto"/>
              <w:left w:val="single" w:sz="4" w:space="0" w:color="auto"/>
              <w:right w:val="single" w:sz="4" w:space="0" w:color="auto"/>
            </w:tcBorders>
            <w:shd w:val="clear" w:color="auto" w:fill="A3C3B7"/>
            <w:vAlign w:val="center"/>
          </w:tcPr>
          <w:p w14:paraId="02BB91AF" w14:textId="77777777" w:rsidR="00B44490" w:rsidRPr="002D3676" w:rsidRDefault="00B44490" w:rsidP="000D7284">
            <w:pPr>
              <w:keepNext/>
              <w:spacing w:before="40" w:after="40"/>
              <w:jc w:val="center"/>
              <w:rPr>
                <w:rFonts w:ascii="Arial Narrow" w:hAnsi="Arial Narrow" w:cs="Arial"/>
                <w:b/>
                <w:bCs/>
                <w:sz w:val="20"/>
                <w:szCs w:val="22"/>
              </w:rPr>
            </w:pPr>
            <w:r w:rsidRPr="002D3676">
              <w:rPr>
                <w:rFonts w:ascii="Arial Narrow" w:hAnsi="Arial Narrow" w:cs="Arial"/>
                <w:b/>
                <w:bCs/>
                <w:sz w:val="20"/>
                <w:szCs w:val="22"/>
              </w:rPr>
              <w:t>Number of Interviews</w:t>
            </w:r>
          </w:p>
        </w:tc>
      </w:tr>
      <w:tr w:rsidR="00B44490" w:rsidRPr="002D3676" w14:paraId="3ED4BA71" w14:textId="77777777" w:rsidTr="005E5644">
        <w:trPr>
          <w:cantSplit/>
          <w:trHeight w:val="70"/>
        </w:trPr>
        <w:tc>
          <w:tcPr>
            <w:tcW w:w="1586" w:type="pct"/>
            <w:vMerge w:val="restart"/>
            <w:tcBorders>
              <w:top w:val="single" w:sz="4" w:space="0" w:color="auto"/>
              <w:left w:val="single" w:sz="4" w:space="0" w:color="auto"/>
              <w:right w:val="single" w:sz="4" w:space="0" w:color="auto"/>
            </w:tcBorders>
            <w:vAlign w:val="center"/>
          </w:tcPr>
          <w:p w14:paraId="0E4DEF6B" w14:textId="48A5002C" w:rsidR="00B44490" w:rsidRPr="002D3676" w:rsidRDefault="00B44490" w:rsidP="000D7284">
            <w:pPr>
              <w:tabs>
                <w:tab w:val="left" w:pos="144"/>
              </w:tabs>
              <w:spacing w:before="20" w:after="20"/>
              <w:rPr>
                <w:rFonts w:ascii="Arial Narrow" w:hAnsi="Arial Narrow" w:cs="Arial"/>
                <w:color w:val="000000"/>
                <w:sz w:val="20"/>
              </w:rPr>
            </w:pPr>
            <w:r w:rsidRPr="002D3676">
              <w:rPr>
                <w:rFonts w:ascii="Arial Narrow" w:hAnsi="Arial Narrow" w:cs="Arial"/>
                <w:b/>
                <w:color w:val="000000"/>
                <w:sz w:val="20"/>
              </w:rPr>
              <w:t>Users of Ride Share Services Designed for Older Adults</w:t>
            </w:r>
          </w:p>
        </w:tc>
        <w:tc>
          <w:tcPr>
            <w:tcW w:w="1790" w:type="pct"/>
            <w:tcBorders>
              <w:top w:val="single" w:sz="4" w:space="0" w:color="auto"/>
              <w:left w:val="single" w:sz="4" w:space="0" w:color="auto"/>
              <w:bottom w:val="single" w:sz="4" w:space="0" w:color="auto"/>
              <w:right w:val="single" w:sz="4" w:space="0" w:color="auto"/>
            </w:tcBorders>
          </w:tcPr>
          <w:p w14:paraId="5EE68741" w14:textId="4B11AEA0" w:rsidR="00B44490" w:rsidRPr="002D3676" w:rsidRDefault="00B44490" w:rsidP="000D7284">
            <w:pPr>
              <w:tabs>
                <w:tab w:val="left" w:pos="144"/>
              </w:tabs>
              <w:spacing w:before="20" w:after="20"/>
              <w:ind w:hanging="29"/>
              <w:rPr>
                <w:rFonts w:ascii="Arial Narrow" w:hAnsi="Arial Narrow" w:cs="Arial"/>
                <w:color w:val="000000"/>
                <w:sz w:val="20"/>
              </w:rPr>
            </w:pPr>
            <w:r w:rsidRPr="002D3676">
              <w:rPr>
                <w:rFonts w:ascii="Arial Narrow" w:hAnsi="Arial Narrow" w:cs="Arial"/>
                <w:color w:val="000000"/>
                <w:sz w:val="20"/>
              </w:rPr>
              <w:t xml:space="preserve">Older Adults: </w:t>
            </w:r>
            <w:r w:rsidR="00B54325">
              <w:rPr>
                <w:rFonts w:ascii="Arial Narrow" w:hAnsi="Arial Narrow" w:cs="Arial"/>
                <w:color w:val="000000"/>
                <w:sz w:val="20"/>
              </w:rPr>
              <w:t>"</w:t>
            </w:r>
            <w:r w:rsidRPr="002D3676">
              <w:rPr>
                <w:rFonts w:ascii="Arial Narrow" w:hAnsi="Arial Narrow" w:cs="Arial"/>
                <w:color w:val="000000"/>
                <w:sz w:val="20"/>
              </w:rPr>
              <w:t>Old-Old</w:t>
            </w:r>
            <w:r w:rsidR="00B54325">
              <w:rPr>
                <w:rFonts w:ascii="Arial Narrow" w:hAnsi="Arial Narrow" w:cs="Arial"/>
                <w:color w:val="000000"/>
                <w:sz w:val="20"/>
              </w:rPr>
              <w:t>"</w:t>
            </w:r>
            <w:r w:rsidRPr="002D3676">
              <w:rPr>
                <w:rFonts w:ascii="Arial Narrow" w:hAnsi="Arial Narrow" w:cs="Arial"/>
                <w:color w:val="000000"/>
                <w:sz w:val="20"/>
              </w:rPr>
              <w:t xml:space="preserve"> – Aged 75+</w:t>
            </w:r>
          </w:p>
        </w:tc>
        <w:tc>
          <w:tcPr>
            <w:tcW w:w="733" w:type="pct"/>
            <w:tcBorders>
              <w:top w:val="single" w:sz="4" w:space="0" w:color="auto"/>
              <w:left w:val="single" w:sz="4" w:space="0" w:color="auto"/>
              <w:bottom w:val="single" w:sz="4" w:space="0" w:color="auto"/>
              <w:right w:val="single" w:sz="4" w:space="0" w:color="auto"/>
            </w:tcBorders>
            <w:vAlign w:val="center"/>
          </w:tcPr>
          <w:p w14:paraId="4CDFA8F8"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w:t>
            </w:r>
          </w:p>
        </w:tc>
        <w:tc>
          <w:tcPr>
            <w:tcW w:w="891" w:type="pct"/>
            <w:tcBorders>
              <w:top w:val="single" w:sz="4" w:space="0" w:color="auto"/>
              <w:left w:val="single" w:sz="4" w:space="0" w:color="auto"/>
              <w:bottom w:val="single" w:sz="4" w:space="0" w:color="auto"/>
              <w:right w:val="single" w:sz="4" w:space="0" w:color="auto"/>
            </w:tcBorders>
            <w:vAlign w:val="center"/>
          </w:tcPr>
          <w:p w14:paraId="3B622290" w14:textId="77777777" w:rsidR="00B44490" w:rsidRPr="002D3676" w:rsidRDefault="00B44490" w:rsidP="000D7284">
            <w:pPr>
              <w:tabs>
                <w:tab w:val="left" w:pos="144"/>
              </w:tabs>
              <w:spacing w:before="20" w:after="20"/>
              <w:jc w:val="center"/>
              <w:rPr>
                <w:rFonts w:ascii="Arial Narrow" w:hAnsi="Arial Narrow" w:cs="Arial"/>
                <w:color w:val="000000"/>
                <w:sz w:val="20"/>
              </w:rPr>
            </w:pPr>
          </w:p>
        </w:tc>
      </w:tr>
      <w:tr w:rsidR="00B44490" w:rsidRPr="002D3676" w14:paraId="7F302D83" w14:textId="77777777" w:rsidTr="005E5644">
        <w:trPr>
          <w:cantSplit/>
          <w:trHeight w:val="70"/>
        </w:trPr>
        <w:tc>
          <w:tcPr>
            <w:tcW w:w="1586" w:type="pct"/>
            <w:vMerge/>
            <w:tcBorders>
              <w:left w:val="single" w:sz="4" w:space="0" w:color="auto"/>
              <w:right w:val="single" w:sz="4" w:space="0" w:color="auto"/>
            </w:tcBorders>
            <w:vAlign w:val="center"/>
          </w:tcPr>
          <w:p w14:paraId="02014983" w14:textId="77777777" w:rsidR="00B44490" w:rsidRPr="002D3676" w:rsidRDefault="00B44490" w:rsidP="000D7284">
            <w:pPr>
              <w:tabs>
                <w:tab w:val="left" w:pos="144"/>
              </w:tabs>
              <w:spacing w:before="20" w:after="20"/>
              <w:ind w:firstLine="337"/>
              <w:rPr>
                <w:rFonts w:ascii="Arial Narrow" w:hAnsi="Arial Narrow" w:cs="Arial"/>
                <w:color w:val="000000"/>
                <w:sz w:val="20"/>
              </w:rPr>
            </w:pPr>
          </w:p>
        </w:tc>
        <w:tc>
          <w:tcPr>
            <w:tcW w:w="1790" w:type="pct"/>
            <w:tcBorders>
              <w:top w:val="single" w:sz="4" w:space="0" w:color="auto"/>
              <w:left w:val="single" w:sz="4" w:space="0" w:color="auto"/>
              <w:bottom w:val="single" w:sz="4" w:space="0" w:color="auto"/>
              <w:right w:val="single" w:sz="4" w:space="0" w:color="auto"/>
            </w:tcBorders>
          </w:tcPr>
          <w:p w14:paraId="066DCC82" w14:textId="4125D5E5" w:rsidR="00B44490" w:rsidRPr="002D3676" w:rsidRDefault="00B44490" w:rsidP="000D7284">
            <w:pPr>
              <w:tabs>
                <w:tab w:val="left" w:pos="144"/>
              </w:tabs>
              <w:spacing w:before="20" w:after="20"/>
              <w:ind w:hanging="29"/>
              <w:rPr>
                <w:rFonts w:ascii="Arial Narrow" w:hAnsi="Arial Narrow" w:cs="Arial"/>
                <w:color w:val="000000"/>
                <w:sz w:val="20"/>
              </w:rPr>
            </w:pPr>
            <w:r w:rsidRPr="002D3676">
              <w:rPr>
                <w:rFonts w:ascii="Arial Narrow" w:hAnsi="Arial Narrow" w:cs="Arial"/>
                <w:color w:val="000000"/>
                <w:sz w:val="20"/>
              </w:rPr>
              <w:t xml:space="preserve">Older Adults: </w:t>
            </w:r>
            <w:r w:rsidR="00B54325">
              <w:rPr>
                <w:rFonts w:ascii="Arial Narrow" w:hAnsi="Arial Narrow" w:cs="Arial"/>
                <w:color w:val="000000"/>
                <w:sz w:val="20"/>
              </w:rPr>
              <w:t>"</w:t>
            </w:r>
            <w:r w:rsidRPr="002D3676">
              <w:rPr>
                <w:rFonts w:ascii="Arial Narrow" w:hAnsi="Arial Narrow" w:cs="Arial"/>
                <w:color w:val="000000"/>
                <w:sz w:val="20"/>
              </w:rPr>
              <w:t>Young-Old</w:t>
            </w:r>
            <w:r w:rsidR="00B54325">
              <w:rPr>
                <w:rFonts w:ascii="Arial Narrow" w:hAnsi="Arial Narrow" w:cs="Arial"/>
                <w:color w:val="000000"/>
                <w:sz w:val="20"/>
              </w:rPr>
              <w:t>"</w:t>
            </w:r>
            <w:r w:rsidRPr="002D3676">
              <w:rPr>
                <w:rFonts w:ascii="Arial Narrow" w:hAnsi="Arial Narrow" w:cs="Arial"/>
                <w:color w:val="000000"/>
                <w:sz w:val="20"/>
              </w:rPr>
              <w:t>– Aged 65 to 74</w:t>
            </w:r>
          </w:p>
        </w:tc>
        <w:tc>
          <w:tcPr>
            <w:tcW w:w="733" w:type="pct"/>
            <w:tcBorders>
              <w:top w:val="single" w:sz="4" w:space="0" w:color="auto"/>
              <w:left w:val="single" w:sz="4" w:space="0" w:color="auto"/>
              <w:bottom w:val="single" w:sz="4" w:space="0" w:color="auto"/>
              <w:right w:val="single" w:sz="4" w:space="0" w:color="auto"/>
            </w:tcBorders>
            <w:vAlign w:val="center"/>
          </w:tcPr>
          <w:p w14:paraId="3D4B4742"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w:t>
            </w:r>
          </w:p>
        </w:tc>
        <w:tc>
          <w:tcPr>
            <w:tcW w:w="891" w:type="pct"/>
            <w:tcBorders>
              <w:top w:val="single" w:sz="4" w:space="0" w:color="auto"/>
              <w:left w:val="single" w:sz="4" w:space="0" w:color="auto"/>
              <w:bottom w:val="single" w:sz="4" w:space="0" w:color="auto"/>
              <w:right w:val="single" w:sz="4" w:space="0" w:color="auto"/>
            </w:tcBorders>
            <w:vAlign w:val="center"/>
          </w:tcPr>
          <w:p w14:paraId="0BF98A02" w14:textId="77777777" w:rsidR="00B44490" w:rsidRPr="002D3676" w:rsidRDefault="00B44490" w:rsidP="000D7284">
            <w:pPr>
              <w:tabs>
                <w:tab w:val="left" w:pos="144"/>
              </w:tabs>
              <w:spacing w:before="20" w:after="20"/>
              <w:jc w:val="center"/>
              <w:rPr>
                <w:rFonts w:ascii="Arial Narrow" w:hAnsi="Arial Narrow" w:cs="Arial"/>
                <w:color w:val="000000"/>
                <w:sz w:val="20"/>
              </w:rPr>
            </w:pPr>
          </w:p>
        </w:tc>
      </w:tr>
      <w:tr w:rsidR="00B44490" w:rsidRPr="002D3676" w14:paraId="0F46001D" w14:textId="77777777" w:rsidTr="00B12610">
        <w:trPr>
          <w:cantSplit/>
          <w:trHeight w:val="260"/>
        </w:trPr>
        <w:tc>
          <w:tcPr>
            <w:tcW w:w="1586" w:type="pct"/>
            <w:vMerge/>
            <w:tcBorders>
              <w:left w:val="single" w:sz="4" w:space="0" w:color="auto"/>
              <w:bottom w:val="single" w:sz="4" w:space="0" w:color="auto"/>
              <w:right w:val="single" w:sz="4" w:space="0" w:color="auto"/>
            </w:tcBorders>
            <w:vAlign w:val="center"/>
          </w:tcPr>
          <w:p w14:paraId="764F0308" w14:textId="77777777" w:rsidR="00B44490" w:rsidRPr="002D3676" w:rsidRDefault="00B44490" w:rsidP="000D7284">
            <w:pPr>
              <w:tabs>
                <w:tab w:val="left" w:pos="144"/>
              </w:tabs>
              <w:spacing w:before="20" w:after="20"/>
              <w:ind w:firstLine="337"/>
              <w:rPr>
                <w:rFonts w:ascii="Arial Narrow" w:hAnsi="Arial Narrow" w:cs="Arial"/>
                <w:color w:val="000000"/>
                <w:sz w:val="20"/>
              </w:rPr>
            </w:pPr>
          </w:p>
        </w:tc>
        <w:tc>
          <w:tcPr>
            <w:tcW w:w="1790" w:type="pct"/>
            <w:tcBorders>
              <w:top w:val="single" w:sz="4" w:space="0" w:color="auto"/>
              <w:left w:val="single" w:sz="4" w:space="0" w:color="auto"/>
              <w:bottom w:val="single" w:sz="4" w:space="0" w:color="auto"/>
              <w:right w:val="single" w:sz="4" w:space="0" w:color="auto"/>
            </w:tcBorders>
          </w:tcPr>
          <w:p w14:paraId="50344144" w14:textId="77777777" w:rsidR="00B44490" w:rsidRPr="002D3676" w:rsidRDefault="00B44490" w:rsidP="000D7284">
            <w:pPr>
              <w:tabs>
                <w:tab w:val="left" w:pos="144"/>
              </w:tabs>
              <w:spacing w:before="20" w:after="20"/>
              <w:ind w:hanging="29"/>
              <w:rPr>
                <w:rFonts w:ascii="Arial Narrow" w:hAnsi="Arial Narrow" w:cs="Arial"/>
                <w:color w:val="000000"/>
                <w:sz w:val="20"/>
              </w:rPr>
            </w:pPr>
            <w:r w:rsidRPr="002D3676">
              <w:rPr>
                <w:rFonts w:ascii="Arial Narrow" w:hAnsi="Arial Narrow" w:cs="Arial"/>
                <w:color w:val="000000"/>
                <w:sz w:val="20"/>
              </w:rPr>
              <w:t>Older Adults – Aged 65+</w:t>
            </w:r>
          </w:p>
        </w:tc>
        <w:tc>
          <w:tcPr>
            <w:tcW w:w="733" w:type="pct"/>
            <w:tcBorders>
              <w:top w:val="single" w:sz="4" w:space="0" w:color="auto"/>
              <w:left w:val="single" w:sz="4" w:space="0" w:color="auto"/>
              <w:bottom w:val="single" w:sz="4" w:space="0" w:color="auto"/>
              <w:right w:val="single" w:sz="4" w:space="0" w:color="auto"/>
            </w:tcBorders>
            <w:vAlign w:val="center"/>
          </w:tcPr>
          <w:p w14:paraId="7FB8B52D" w14:textId="77777777" w:rsidR="00B44490" w:rsidRPr="002D3676" w:rsidRDefault="00B44490" w:rsidP="000D7284">
            <w:pPr>
              <w:tabs>
                <w:tab w:val="left" w:pos="144"/>
              </w:tabs>
              <w:spacing w:before="20" w:after="20"/>
              <w:jc w:val="center"/>
              <w:rPr>
                <w:rFonts w:ascii="Arial Narrow" w:hAnsi="Arial Narrow" w:cs="Arial"/>
                <w:color w:val="000000"/>
                <w:sz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6C0B79A1"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25</w:t>
            </w:r>
          </w:p>
        </w:tc>
      </w:tr>
      <w:tr w:rsidR="00B44490" w:rsidRPr="002D3676" w14:paraId="3C0F982F" w14:textId="77777777" w:rsidTr="005E5644">
        <w:trPr>
          <w:cantSplit/>
          <w:trHeight w:val="70"/>
        </w:trPr>
        <w:tc>
          <w:tcPr>
            <w:tcW w:w="1586" w:type="pct"/>
            <w:vMerge w:val="restart"/>
            <w:tcBorders>
              <w:top w:val="single" w:sz="4" w:space="0" w:color="auto"/>
              <w:left w:val="single" w:sz="4" w:space="0" w:color="auto"/>
              <w:right w:val="single" w:sz="4" w:space="0" w:color="auto"/>
            </w:tcBorders>
            <w:vAlign w:val="center"/>
          </w:tcPr>
          <w:p w14:paraId="0B7F1E4C" w14:textId="7D047DBC" w:rsidR="00B44490" w:rsidRPr="002D3676" w:rsidRDefault="00B44490" w:rsidP="000D7284">
            <w:pPr>
              <w:tabs>
                <w:tab w:val="left" w:pos="144"/>
              </w:tabs>
              <w:spacing w:before="20" w:after="20"/>
              <w:rPr>
                <w:rFonts w:ascii="Arial Narrow" w:hAnsi="Arial Narrow" w:cs="Arial"/>
                <w:b/>
                <w:color w:val="000000"/>
                <w:sz w:val="20"/>
                <w:vertAlign w:val="superscript"/>
              </w:rPr>
            </w:pPr>
            <w:r w:rsidRPr="002D3676">
              <w:rPr>
                <w:rFonts w:ascii="Arial Narrow" w:hAnsi="Arial Narrow" w:cs="Arial"/>
                <w:b/>
                <w:color w:val="000000"/>
                <w:sz w:val="20"/>
              </w:rPr>
              <w:t>Users of Ride Share Services Designed for All Ages</w:t>
            </w:r>
          </w:p>
        </w:tc>
        <w:tc>
          <w:tcPr>
            <w:tcW w:w="1790" w:type="pct"/>
            <w:tcBorders>
              <w:top w:val="single" w:sz="4" w:space="0" w:color="auto"/>
              <w:left w:val="single" w:sz="4" w:space="0" w:color="auto"/>
              <w:bottom w:val="single" w:sz="4" w:space="0" w:color="auto"/>
              <w:right w:val="single" w:sz="4" w:space="0" w:color="auto"/>
            </w:tcBorders>
          </w:tcPr>
          <w:p w14:paraId="26BA0135" w14:textId="77777777" w:rsidR="00B44490" w:rsidRPr="002D3676" w:rsidRDefault="00B44490" w:rsidP="000D7284">
            <w:pPr>
              <w:tabs>
                <w:tab w:val="left" w:pos="144"/>
              </w:tabs>
              <w:spacing w:before="20" w:after="20"/>
              <w:ind w:hanging="29"/>
              <w:rPr>
                <w:rFonts w:ascii="Arial Narrow" w:hAnsi="Arial Narrow" w:cs="Arial"/>
                <w:color w:val="000000"/>
                <w:sz w:val="20"/>
              </w:rPr>
            </w:pPr>
            <w:r w:rsidRPr="002D3676">
              <w:rPr>
                <w:rFonts w:ascii="Arial Narrow" w:hAnsi="Arial Narrow" w:cs="Arial"/>
                <w:color w:val="000000"/>
                <w:sz w:val="20"/>
              </w:rPr>
              <w:t>Older Adults – Aged 65+</w:t>
            </w:r>
          </w:p>
        </w:tc>
        <w:tc>
          <w:tcPr>
            <w:tcW w:w="733" w:type="pct"/>
            <w:tcBorders>
              <w:top w:val="single" w:sz="4" w:space="0" w:color="auto"/>
              <w:left w:val="single" w:sz="4" w:space="0" w:color="auto"/>
              <w:bottom w:val="single" w:sz="4" w:space="0" w:color="auto"/>
              <w:right w:val="single" w:sz="4" w:space="0" w:color="auto"/>
            </w:tcBorders>
            <w:vAlign w:val="center"/>
          </w:tcPr>
          <w:p w14:paraId="48CD1F8D"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w:t>
            </w:r>
          </w:p>
        </w:tc>
        <w:tc>
          <w:tcPr>
            <w:tcW w:w="891" w:type="pct"/>
            <w:tcBorders>
              <w:top w:val="single" w:sz="4" w:space="0" w:color="auto"/>
              <w:left w:val="single" w:sz="4" w:space="0" w:color="auto"/>
              <w:bottom w:val="single" w:sz="4" w:space="0" w:color="auto"/>
              <w:right w:val="single" w:sz="4" w:space="0" w:color="auto"/>
            </w:tcBorders>
            <w:vAlign w:val="center"/>
          </w:tcPr>
          <w:p w14:paraId="00404123"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25</w:t>
            </w:r>
          </w:p>
        </w:tc>
      </w:tr>
      <w:tr w:rsidR="00B44490" w:rsidRPr="002D3676" w14:paraId="12650513" w14:textId="77777777" w:rsidTr="005E5644">
        <w:trPr>
          <w:cantSplit/>
          <w:trHeight w:val="70"/>
        </w:trPr>
        <w:tc>
          <w:tcPr>
            <w:tcW w:w="1586" w:type="pct"/>
            <w:vMerge/>
            <w:tcBorders>
              <w:left w:val="single" w:sz="4" w:space="0" w:color="auto"/>
              <w:right w:val="single" w:sz="4" w:space="0" w:color="auto"/>
            </w:tcBorders>
            <w:vAlign w:val="center"/>
          </w:tcPr>
          <w:p w14:paraId="3D4E0CF5" w14:textId="77777777" w:rsidR="00B44490" w:rsidRPr="002D3676" w:rsidRDefault="00B44490" w:rsidP="000D7284">
            <w:pPr>
              <w:tabs>
                <w:tab w:val="left" w:pos="144"/>
              </w:tabs>
              <w:spacing w:before="20" w:after="20"/>
              <w:rPr>
                <w:rFonts w:ascii="Arial Narrow" w:hAnsi="Arial Narrow" w:cs="Arial"/>
                <w:b/>
                <w:color w:val="000000"/>
                <w:sz w:val="20"/>
              </w:rPr>
            </w:pPr>
          </w:p>
        </w:tc>
        <w:tc>
          <w:tcPr>
            <w:tcW w:w="1790" w:type="pct"/>
            <w:tcBorders>
              <w:top w:val="single" w:sz="4" w:space="0" w:color="auto"/>
              <w:left w:val="single" w:sz="4" w:space="0" w:color="auto"/>
              <w:bottom w:val="single" w:sz="4" w:space="0" w:color="auto"/>
              <w:right w:val="single" w:sz="4" w:space="0" w:color="auto"/>
            </w:tcBorders>
          </w:tcPr>
          <w:p w14:paraId="7653D89C" w14:textId="7F05BB5B" w:rsidR="00B44490" w:rsidRPr="002D3676" w:rsidRDefault="00097DC6" w:rsidP="000D7284">
            <w:pPr>
              <w:tabs>
                <w:tab w:val="left" w:pos="144"/>
              </w:tabs>
              <w:spacing w:before="20" w:after="20"/>
              <w:ind w:hanging="29"/>
              <w:rPr>
                <w:rFonts w:ascii="Arial Narrow" w:hAnsi="Arial Narrow" w:cs="Arial"/>
                <w:b/>
                <w:color w:val="000000"/>
                <w:sz w:val="20"/>
              </w:rPr>
            </w:pPr>
            <w:r>
              <w:rPr>
                <w:rFonts w:ascii="Arial Narrow" w:hAnsi="Arial Narrow" w:cs="Arial"/>
                <w:color w:val="000000"/>
                <w:sz w:val="20"/>
              </w:rPr>
              <w:t xml:space="preserve">Younger Adults </w:t>
            </w:r>
            <w:r w:rsidR="00B44490" w:rsidRPr="002D3676">
              <w:rPr>
                <w:rFonts w:ascii="Arial Narrow" w:hAnsi="Arial Narrow" w:cs="Arial"/>
                <w:color w:val="000000"/>
                <w:sz w:val="20"/>
              </w:rPr>
              <w:t>– Aged 25 to 39</w:t>
            </w:r>
          </w:p>
        </w:tc>
        <w:tc>
          <w:tcPr>
            <w:tcW w:w="733" w:type="pct"/>
            <w:tcBorders>
              <w:top w:val="single" w:sz="4" w:space="0" w:color="auto"/>
              <w:left w:val="single" w:sz="4" w:space="0" w:color="auto"/>
              <w:bottom w:val="single" w:sz="4" w:space="0" w:color="auto"/>
              <w:right w:val="single" w:sz="4" w:space="0" w:color="auto"/>
            </w:tcBorders>
            <w:vAlign w:val="center"/>
          </w:tcPr>
          <w:p w14:paraId="09A9CF10"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w:t>
            </w:r>
          </w:p>
        </w:tc>
        <w:tc>
          <w:tcPr>
            <w:tcW w:w="891" w:type="pct"/>
            <w:tcBorders>
              <w:top w:val="single" w:sz="4" w:space="0" w:color="auto"/>
              <w:left w:val="single" w:sz="4" w:space="0" w:color="auto"/>
              <w:bottom w:val="single" w:sz="4" w:space="0" w:color="auto"/>
              <w:right w:val="single" w:sz="4" w:space="0" w:color="auto"/>
            </w:tcBorders>
            <w:vAlign w:val="center"/>
          </w:tcPr>
          <w:p w14:paraId="52794BFD" w14:textId="77777777" w:rsidR="00B44490" w:rsidRPr="002D3676" w:rsidRDefault="00B44490" w:rsidP="000D7284">
            <w:pPr>
              <w:tabs>
                <w:tab w:val="left" w:pos="144"/>
              </w:tabs>
              <w:spacing w:before="20" w:after="20"/>
              <w:jc w:val="center"/>
              <w:rPr>
                <w:rFonts w:ascii="Arial Narrow" w:hAnsi="Arial Narrow" w:cs="Arial"/>
                <w:color w:val="000000"/>
                <w:sz w:val="20"/>
              </w:rPr>
            </w:pPr>
          </w:p>
        </w:tc>
      </w:tr>
      <w:tr w:rsidR="00B44490" w:rsidRPr="002D3676" w14:paraId="75C6B1DB" w14:textId="77777777" w:rsidTr="005E5644">
        <w:trPr>
          <w:cantSplit/>
          <w:trHeight w:val="70"/>
        </w:trPr>
        <w:tc>
          <w:tcPr>
            <w:tcW w:w="1586" w:type="pct"/>
            <w:vMerge/>
            <w:tcBorders>
              <w:left w:val="single" w:sz="4" w:space="0" w:color="auto"/>
              <w:bottom w:val="single" w:sz="4" w:space="0" w:color="auto"/>
              <w:right w:val="single" w:sz="4" w:space="0" w:color="auto"/>
            </w:tcBorders>
            <w:vAlign w:val="center"/>
          </w:tcPr>
          <w:p w14:paraId="48806D6A" w14:textId="77777777" w:rsidR="00B44490" w:rsidRPr="002D3676" w:rsidRDefault="00B44490" w:rsidP="000D7284">
            <w:pPr>
              <w:tabs>
                <w:tab w:val="left" w:pos="144"/>
              </w:tabs>
              <w:spacing w:before="20" w:after="20"/>
              <w:rPr>
                <w:rFonts w:ascii="Arial Narrow" w:hAnsi="Arial Narrow" w:cs="Arial"/>
                <w:b/>
                <w:color w:val="000000"/>
                <w:sz w:val="20"/>
              </w:rPr>
            </w:pPr>
          </w:p>
        </w:tc>
        <w:tc>
          <w:tcPr>
            <w:tcW w:w="1790" w:type="pct"/>
            <w:tcBorders>
              <w:top w:val="single" w:sz="4" w:space="0" w:color="auto"/>
              <w:left w:val="single" w:sz="4" w:space="0" w:color="auto"/>
              <w:bottom w:val="single" w:sz="4" w:space="0" w:color="auto"/>
              <w:right w:val="single" w:sz="4" w:space="0" w:color="auto"/>
            </w:tcBorders>
          </w:tcPr>
          <w:p w14:paraId="01F2483D" w14:textId="77777777" w:rsidR="00B44490" w:rsidRPr="002D3676" w:rsidRDefault="00B44490" w:rsidP="000D7284">
            <w:pPr>
              <w:tabs>
                <w:tab w:val="left" w:pos="144"/>
              </w:tabs>
              <w:spacing w:before="20" w:after="20"/>
              <w:ind w:hanging="29"/>
              <w:rPr>
                <w:rFonts w:ascii="Arial Narrow" w:hAnsi="Arial Narrow" w:cs="Arial"/>
                <w:color w:val="000000"/>
                <w:sz w:val="20"/>
              </w:rPr>
            </w:pPr>
            <w:r w:rsidRPr="002D3676">
              <w:rPr>
                <w:rFonts w:ascii="Arial Narrow" w:hAnsi="Arial Narrow" w:cs="Arial"/>
                <w:color w:val="000000"/>
                <w:sz w:val="20"/>
              </w:rPr>
              <w:t>Younger Adults – Aged 18 to 64</w:t>
            </w:r>
          </w:p>
        </w:tc>
        <w:tc>
          <w:tcPr>
            <w:tcW w:w="733" w:type="pct"/>
            <w:tcBorders>
              <w:top w:val="single" w:sz="4" w:space="0" w:color="auto"/>
              <w:left w:val="single" w:sz="4" w:space="0" w:color="auto"/>
              <w:bottom w:val="single" w:sz="4" w:space="0" w:color="auto"/>
              <w:right w:val="single" w:sz="4" w:space="0" w:color="auto"/>
            </w:tcBorders>
            <w:vAlign w:val="center"/>
          </w:tcPr>
          <w:p w14:paraId="46C9FFA3" w14:textId="77777777" w:rsidR="00B44490" w:rsidRPr="002D3676" w:rsidRDefault="00B44490" w:rsidP="000D7284">
            <w:pPr>
              <w:tabs>
                <w:tab w:val="left" w:pos="144"/>
              </w:tabs>
              <w:spacing w:before="20" w:after="20"/>
              <w:jc w:val="center"/>
              <w:rPr>
                <w:rFonts w:ascii="Arial Narrow" w:hAnsi="Arial Narrow" w:cs="Arial"/>
                <w:color w:val="000000"/>
                <w:sz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4E60E1E3"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25</w:t>
            </w:r>
          </w:p>
        </w:tc>
      </w:tr>
      <w:tr w:rsidR="00B44490" w:rsidRPr="002D3676" w14:paraId="40D9BF00" w14:textId="77777777" w:rsidTr="005E5644">
        <w:trPr>
          <w:cantSplit/>
          <w:trHeight w:val="70"/>
        </w:trPr>
        <w:tc>
          <w:tcPr>
            <w:tcW w:w="1586" w:type="pct"/>
            <w:vMerge w:val="restart"/>
            <w:tcBorders>
              <w:top w:val="single" w:sz="4" w:space="0" w:color="auto"/>
              <w:left w:val="single" w:sz="4" w:space="0" w:color="auto"/>
              <w:right w:val="single" w:sz="4" w:space="0" w:color="auto"/>
            </w:tcBorders>
            <w:vAlign w:val="center"/>
          </w:tcPr>
          <w:p w14:paraId="62A20A14" w14:textId="77777777" w:rsidR="00B44490" w:rsidRPr="002D3676" w:rsidRDefault="00B44490" w:rsidP="000D7284">
            <w:pPr>
              <w:tabs>
                <w:tab w:val="left" w:pos="144"/>
              </w:tabs>
              <w:spacing w:before="20" w:after="20"/>
              <w:rPr>
                <w:rFonts w:ascii="Arial Narrow" w:hAnsi="Arial Narrow" w:cs="Arial"/>
                <w:b/>
                <w:color w:val="000000"/>
                <w:sz w:val="20"/>
              </w:rPr>
            </w:pPr>
            <w:r w:rsidRPr="002D3676">
              <w:rPr>
                <w:rFonts w:ascii="Arial Narrow" w:hAnsi="Arial Narrow" w:cs="Arial"/>
                <w:b/>
                <w:color w:val="000000"/>
                <w:sz w:val="20"/>
              </w:rPr>
              <w:t>Non-Users of Ride Share Services</w:t>
            </w:r>
          </w:p>
        </w:tc>
        <w:tc>
          <w:tcPr>
            <w:tcW w:w="1790" w:type="pct"/>
            <w:tcBorders>
              <w:top w:val="single" w:sz="4" w:space="0" w:color="auto"/>
              <w:left w:val="single" w:sz="4" w:space="0" w:color="auto"/>
              <w:bottom w:val="single" w:sz="4" w:space="0" w:color="auto"/>
              <w:right w:val="single" w:sz="4" w:space="0" w:color="auto"/>
            </w:tcBorders>
          </w:tcPr>
          <w:p w14:paraId="7D699447" w14:textId="77777777" w:rsidR="00B44490" w:rsidRPr="002D3676" w:rsidRDefault="00B44490" w:rsidP="000D7284">
            <w:pPr>
              <w:tabs>
                <w:tab w:val="left" w:pos="144"/>
              </w:tabs>
              <w:spacing w:before="20" w:after="20"/>
              <w:ind w:hanging="29"/>
              <w:rPr>
                <w:rFonts w:ascii="Arial Narrow" w:hAnsi="Arial Narrow" w:cs="Arial"/>
                <w:color w:val="000000"/>
                <w:sz w:val="20"/>
              </w:rPr>
            </w:pPr>
            <w:r w:rsidRPr="002D3676">
              <w:rPr>
                <w:rFonts w:ascii="Arial Narrow" w:hAnsi="Arial Narrow" w:cs="Arial"/>
                <w:color w:val="000000"/>
                <w:sz w:val="20"/>
              </w:rPr>
              <w:t>Older Adults – Aged 65+</w:t>
            </w:r>
          </w:p>
        </w:tc>
        <w:tc>
          <w:tcPr>
            <w:tcW w:w="733" w:type="pct"/>
            <w:tcBorders>
              <w:top w:val="single" w:sz="4" w:space="0" w:color="auto"/>
              <w:left w:val="single" w:sz="4" w:space="0" w:color="auto"/>
              <w:bottom w:val="single" w:sz="4" w:space="0" w:color="auto"/>
              <w:right w:val="single" w:sz="4" w:space="0" w:color="auto"/>
            </w:tcBorders>
            <w:vAlign w:val="center"/>
          </w:tcPr>
          <w:p w14:paraId="566A6107"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2</w:t>
            </w:r>
          </w:p>
        </w:tc>
        <w:tc>
          <w:tcPr>
            <w:tcW w:w="891" w:type="pct"/>
            <w:tcBorders>
              <w:top w:val="single" w:sz="4" w:space="0" w:color="auto"/>
              <w:left w:val="single" w:sz="4" w:space="0" w:color="auto"/>
              <w:bottom w:val="single" w:sz="4" w:space="0" w:color="auto"/>
              <w:right w:val="single" w:sz="4" w:space="0" w:color="auto"/>
            </w:tcBorders>
            <w:vAlign w:val="center"/>
          </w:tcPr>
          <w:p w14:paraId="4A191F7C"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10</w:t>
            </w:r>
          </w:p>
        </w:tc>
      </w:tr>
      <w:tr w:rsidR="00B44490" w:rsidRPr="002D3676" w14:paraId="4EBA2BC9" w14:textId="77777777" w:rsidTr="005E5644">
        <w:trPr>
          <w:cantSplit/>
          <w:trHeight w:val="70"/>
        </w:trPr>
        <w:tc>
          <w:tcPr>
            <w:tcW w:w="1586" w:type="pct"/>
            <w:vMerge/>
            <w:tcBorders>
              <w:left w:val="single" w:sz="4" w:space="0" w:color="auto"/>
              <w:right w:val="single" w:sz="4" w:space="0" w:color="auto"/>
            </w:tcBorders>
          </w:tcPr>
          <w:p w14:paraId="7C812C80" w14:textId="77777777" w:rsidR="00B44490" w:rsidRPr="002D3676" w:rsidRDefault="00B44490" w:rsidP="000D7284">
            <w:pPr>
              <w:tabs>
                <w:tab w:val="left" w:pos="144"/>
              </w:tabs>
              <w:spacing w:before="20" w:after="20"/>
              <w:rPr>
                <w:rFonts w:ascii="Arial Narrow" w:hAnsi="Arial Narrow" w:cs="Arial"/>
                <w:b/>
                <w:color w:val="000000"/>
                <w:sz w:val="20"/>
              </w:rPr>
            </w:pPr>
          </w:p>
        </w:tc>
        <w:tc>
          <w:tcPr>
            <w:tcW w:w="1790" w:type="pct"/>
            <w:tcBorders>
              <w:top w:val="single" w:sz="4" w:space="0" w:color="auto"/>
              <w:left w:val="single" w:sz="4" w:space="0" w:color="auto"/>
              <w:bottom w:val="single" w:sz="4" w:space="0" w:color="auto"/>
              <w:right w:val="single" w:sz="4" w:space="0" w:color="auto"/>
            </w:tcBorders>
          </w:tcPr>
          <w:p w14:paraId="029531F9" w14:textId="77777777" w:rsidR="00B44490" w:rsidRPr="002D3676" w:rsidRDefault="00B44490" w:rsidP="000D7284">
            <w:pPr>
              <w:tabs>
                <w:tab w:val="left" w:pos="144"/>
              </w:tabs>
              <w:spacing w:before="20" w:after="20"/>
              <w:ind w:hanging="29"/>
              <w:rPr>
                <w:rFonts w:ascii="Arial Narrow" w:hAnsi="Arial Narrow" w:cs="Arial"/>
                <w:color w:val="000000"/>
                <w:sz w:val="20"/>
              </w:rPr>
            </w:pPr>
            <w:r w:rsidRPr="002D3676">
              <w:rPr>
                <w:rFonts w:ascii="Arial Narrow" w:hAnsi="Arial Narrow" w:cs="Arial"/>
                <w:color w:val="000000"/>
                <w:sz w:val="20"/>
              </w:rPr>
              <w:t>Younger Adults – Aged 18 to 64</w:t>
            </w:r>
          </w:p>
        </w:tc>
        <w:tc>
          <w:tcPr>
            <w:tcW w:w="733" w:type="pct"/>
            <w:tcBorders>
              <w:top w:val="single" w:sz="4" w:space="0" w:color="auto"/>
              <w:left w:val="single" w:sz="4" w:space="0" w:color="auto"/>
              <w:bottom w:val="single" w:sz="4" w:space="0" w:color="auto"/>
              <w:right w:val="single" w:sz="4" w:space="0" w:color="auto"/>
            </w:tcBorders>
            <w:vAlign w:val="center"/>
          </w:tcPr>
          <w:p w14:paraId="30AAE085" w14:textId="77777777" w:rsidR="00B44490" w:rsidRPr="002D3676" w:rsidRDefault="00B44490" w:rsidP="000D7284">
            <w:pPr>
              <w:tabs>
                <w:tab w:val="left" w:pos="144"/>
              </w:tabs>
              <w:spacing w:before="20" w:after="20"/>
              <w:jc w:val="center"/>
              <w:rPr>
                <w:rFonts w:ascii="Arial Narrow" w:hAnsi="Arial Narrow" w:cs="Arial"/>
                <w:color w:val="000000"/>
                <w:sz w:val="20"/>
              </w:rPr>
            </w:pPr>
          </w:p>
        </w:tc>
        <w:tc>
          <w:tcPr>
            <w:tcW w:w="891" w:type="pct"/>
            <w:tcBorders>
              <w:top w:val="single" w:sz="4" w:space="0" w:color="auto"/>
              <w:left w:val="single" w:sz="4" w:space="0" w:color="auto"/>
              <w:bottom w:val="single" w:sz="4" w:space="0" w:color="auto"/>
              <w:right w:val="single" w:sz="4" w:space="0" w:color="auto"/>
            </w:tcBorders>
            <w:vAlign w:val="center"/>
          </w:tcPr>
          <w:p w14:paraId="2674179A"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10</w:t>
            </w:r>
          </w:p>
        </w:tc>
      </w:tr>
      <w:tr w:rsidR="00B44490" w:rsidRPr="002D3676" w14:paraId="2A2D05FF" w14:textId="77777777" w:rsidTr="000D7284">
        <w:trPr>
          <w:cantSplit/>
          <w:trHeight w:val="70"/>
        </w:trPr>
        <w:tc>
          <w:tcPr>
            <w:tcW w:w="3376" w:type="pct"/>
            <w:gridSpan w:val="2"/>
            <w:tcBorders>
              <w:left w:val="single" w:sz="4" w:space="0" w:color="auto"/>
              <w:bottom w:val="single" w:sz="4" w:space="0" w:color="auto"/>
              <w:right w:val="single" w:sz="4" w:space="0" w:color="auto"/>
            </w:tcBorders>
          </w:tcPr>
          <w:p w14:paraId="572EAABD" w14:textId="77777777" w:rsidR="00B44490" w:rsidRPr="002D3676" w:rsidRDefault="00B44490" w:rsidP="000D7284">
            <w:pPr>
              <w:tabs>
                <w:tab w:val="left" w:pos="144"/>
              </w:tabs>
              <w:spacing w:before="20" w:after="20"/>
              <w:ind w:hanging="29"/>
              <w:jc w:val="right"/>
              <w:rPr>
                <w:rFonts w:ascii="Arial Narrow" w:hAnsi="Arial Narrow" w:cs="Arial"/>
                <w:b/>
                <w:color w:val="000000"/>
                <w:sz w:val="20"/>
              </w:rPr>
            </w:pPr>
            <w:r w:rsidRPr="002D3676">
              <w:rPr>
                <w:rFonts w:ascii="Arial Narrow" w:hAnsi="Arial Narrow" w:cs="Arial"/>
                <w:b/>
                <w:color w:val="000000"/>
                <w:sz w:val="20"/>
              </w:rPr>
              <w:t>TOTAL</w:t>
            </w:r>
          </w:p>
        </w:tc>
        <w:tc>
          <w:tcPr>
            <w:tcW w:w="733" w:type="pct"/>
            <w:tcBorders>
              <w:top w:val="single" w:sz="4" w:space="0" w:color="auto"/>
              <w:left w:val="single" w:sz="4" w:space="0" w:color="auto"/>
              <w:bottom w:val="single" w:sz="4" w:space="0" w:color="auto"/>
              <w:right w:val="single" w:sz="4" w:space="0" w:color="auto"/>
            </w:tcBorders>
            <w:vAlign w:val="center"/>
          </w:tcPr>
          <w:p w14:paraId="34590401"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10</w:t>
            </w:r>
          </w:p>
        </w:tc>
        <w:tc>
          <w:tcPr>
            <w:tcW w:w="891" w:type="pct"/>
            <w:tcBorders>
              <w:top w:val="single" w:sz="4" w:space="0" w:color="auto"/>
              <w:left w:val="single" w:sz="4" w:space="0" w:color="auto"/>
              <w:bottom w:val="single" w:sz="4" w:space="0" w:color="auto"/>
              <w:right w:val="single" w:sz="4" w:space="0" w:color="auto"/>
            </w:tcBorders>
            <w:vAlign w:val="center"/>
          </w:tcPr>
          <w:p w14:paraId="55FB710E" w14:textId="77777777" w:rsidR="00B44490" w:rsidRPr="002D3676" w:rsidRDefault="00B44490" w:rsidP="000D7284">
            <w:pPr>
              <w:tabs>
                <w:tab w:val="left" w:pos="144"/>
              </w:tabs>
              <w:spacing w:before="20" w:after="20"/>
              <w:jc w:val="center"/>
              <w:rPr>
                <w:rFonts w:ascii="Arial Narrow" w:hAnsi="Arial Narrow" w:cs="Arial"/>
                <w:color w:val="000000"/>
                <w:sz w:val="20"/>
              </w:rPr>
            </w:pPr>
            <w:r w:rsidRPr="002D3676">
              <w:rPr>
                <w:rFonts w:ascii="Arial Narrow" w:hAnsi="Arial Narrow" w:cs="Arial"/>
                <w:color w:val="000000"/>
                <w:sz w:val="20"/>
              </w:rPr>
              <w:t>95</w:t>
            </w:r>
          </w:p>
        </w:tc>
      </w:tr>
    </w:tbl>
    <w:p w14:paraId="4916395B" w14:textId="3AE7E4AF" w:rsidR="00B80C8C" w:rsidRPr="00AE6047" w:rsidRDefault="00B80C8C" w:rsidP="00B54325">
      <w:pPr>
        <w:pStyle w:val="BodyText"/>
        <w:spacing w:before="360"/>
      </w:pPr>
      <w:r w:rsidRPr="00AE6047">
        <w:t xml:space="preserve">Below, we describe each </w:t>
      </w:r>
      <w:r w:rsidR="00E826F0" w:rsidRPr="00AE6047">
        <w:t xml:space="preserve">data collection </w:t>
      </w:r>
      <w:r w:rsidR="00E753B4" w:rsidRPr="00AE6047">
        <w:t>method</w:t>
      </w:r>
      <w:r w:rsidRPr="00AE6047">
        <w:t xml:space="preserve"> and discuss the use of the information collected.</w:t>
      </w:r>
    </w:p>
    <w:p w14:paraId="394B2E90" w14:textId="60676F0A" w:rsidR="00AE6047" w:rsidRPr="00AE6047" w:rsidRDefault="002D3676" w:rsidP="00EF504E">
      <w:pPr>
        <w:pStyle w:val="BodyText"/>
        <w:spacing w:before="360"/>
        <w:rPr>
          <w:u w:val="single"/>
        </w:rPr>
      </w:pPr>
      <w:r w:rsidRPr="00AE6047">
        <w:rPr>
          <w:u w:val="single"/>
        </w:rPr>
        <w:t>Focus Groups</w:t>
      </w:r>
      <w:r w:rsidR="00B80C8C" w:rsidRPr="00AE6047">
        <w:rPr>
          <w:u w:val="single"/>
        </w:rPr>
        <w:t xml:space="preserve"> </w:t>
      </w:r>
    </w:p>
    <w:p w14:paraId="2ED4B331" w14:textId="54C16232" w:rsidR="008F50D0" w:rsidRPr="00AE6047" w:rsidRDefault="00B54325" w:rsidP="00AE6047">
      <w:pPr>
        <w:pStyle w:val="BodyText"/>
      </w:pPr>
      <w:r>
        <w:t>We will conduct a</w:t>
      </w:r>
      <w:r w:rsidR="0024247A">
        <w:t xml:space="preserve"> total of</w:t>
      </w:r>
      <w:r>
        <w:t xml:space="preserve"> </w:t>
      </w:r>
      <w:r w:rsidR="00B44490" w:rsidRPr="00AE6047">
        <w:t>10</w:t>
      </w:r>
      <w:r w:rsidR="002D3676" w:rsidRPr="00AE6047">
        <w:t xml:space="preserve"> focus groups with older and younger </w:t>
      </w:r>
      <w:r w:rsidR="008F50D0" w:rsidRPr="00AE6047">
        <w:t xml:space="preserve">adults who are </w:t>
      </w:r>
      <w:r w:rsidR="002D3676" w:rsidRPr="00AE6047">
        <w:t>users and non-users of ride share services</w:t>
      </w:r>
      <w:r w:rsidR="00B44490" w:rsidRPr="00AE6047">
        <w:t>.</w:t>
      </w:r>
      <w:r w:rsidR="002D3676" w:rsidRPr="00AE6047">
        <w:t xml:space="preserve"> Each focus group will be 90 minutes in length and include up to 9 individuals. The focus groups will be conducted</w:t>
      </w:r>
      <w:r w:rsidR="008F50D0" w:rsidRPr="00AE6047">
        <w:t xml:space="preserve"> in person, at</w:t>
      </w:r>
      <w:r w:rsidR="002D3676" w:rsidRPr="00AE6047">
        <w:t xml:space="preserve"> two different locations—a metropolitan and a non-metropolitan community—to provide some geographic diversity. </w:t>
      </w:r>
      <w:r w:rsidR="00B44490" w:rsidRPr="00AE6047">
        <w:t>We will conduct five focus groups in each geographic location (for a total of 10 focus groups).</w:t>
      </w:r>
    </w:p>
    <w:p w14:paraId="0C78D83B" w14:textId="380ABD9C" w:rsidR="002D3676" w:rsidRPr="00AE6047" w:rsidRDefault="000D7284" w:rsidP="00AE6047">
      <w:pPr>
        <w:pStyle w:val="BodyText"/>
      </w:pPr>
      <w:r w:rsidRPr="00AE6047">
        <w:t>As shown in Table 2</w:t>
      </w:r>
      <w:r w:rsidR="002D3676" w:rsidRPr="00AE6047">
        <w:t xml:space="preserve">, we will conduct </w:t>
      </w:r>
      <w:r w:rsidR="008A7B07" w:rsidRPr="00AE6047">
        <w:t xml:space="preserve">two </w:t>
      </w:r>
      <w:r w:rsidR="002D3676" w:rsidRPr="00AE6047">
        <w:t xml:space="preserve">focus groups with </w:t>
      </w:r>
      <w:r w:rsidR="00B54325">
        <w:t>"</w:t>
      </w:r>
      <w:r w:rsidR="002D3676" w:rsidRPr="00AE6047">
        <w:t>young-old</w:t>
      </w:r>
      <w:r w:rsidR="00B54325">
        <w:t>"</w:t>
      </w:r>
      <w:r w:rsidR="008F50D0" w:rsidRPr="00AE6047">
        <w:t xml:space="preserve"> adults (aged 65 to 74)</w:t>
      </w:r>
      <w:r w:rsidR="002D3676" w:rsidRPr="00AE6047">
        <w:t xml:space="preserve"> and</w:t>
      </w:r>
      <w:r w:rsidR="008A7B07" w:rsidRPr="00AE6047">
        <w:t xml:space="preserve"> two focus groups with</w:t>
      </w:r>
      <w:r w:rsidR="002D3676" w:rsidRPr="00AE6047">
        <w:t xml:space="preserve"> </w:t>
      </w:r>
      <w:r w:rsidR="00B54325">
        <w:t>"</w:t>
      </w:r>
      <w:r w:rsidR="002D3676" w:rsidRPr="00AE6047">
        <w:t>old-old</w:t>
      </w:r>
      <w:r w:rsidR="00B54325">
        <w:t>"</w:t>
      </w:r>
      <w:r w:rsidR="002D3676" w:rsidRPr="00AE6047">
        <w:t xml:space="preserve"> </w:t>
      </w:r>
      <w:r w:rsidR="008F50D0" w:rsidRPr="00AE6047">
        <w:t xml:space="preserve">adults (aged 75+) </w:t>
      </w:r>
      <w:r w:rsidR="002D3676" w:rsidRPr="00AE6047">
        <w:t xml:space="preserve">who use ride share services </w:t>
      </w:r>
      <w:r w:rsidR="002D3676" w:rsidRPr="00097DC6">
        <w:rPr>
          <w:i/>
        </w:rPr>
        <w:t>designed for older adults</w:t>
      </w:r>
      <w:r w:rsidR="002D3676" w:rsidRPr="00AE6047">
        <w:t xml:space="preserve">. We will also conduct </w:t>
      </w:r>
      <w:r w:rsidR="008A7B07" w:rsidRPr="00AE6047">
        <w:t xml:space="preserve">two </w:t>
      </w:r>
      <w:r w:rsidR="002D3676" w:rsidRPr="00AE6047">
        <w:t>focus groups with older adults</w:t>
      </w:r>
      <w:r w:rsidR="00B44490" w:rsidRPr="00AE6047">
        <w:t xml:space="preserve"> (aged 65+)</w:t>
      </w:r>
      <w:r w:rsidR="002D3676" w:rsidRPr="00AE6047">
        <w:t xml:space="preserve"> and </w:t>
      </w:r>
      <w:r w:rsidR="008A7B07" w:rsidRPr="00AE6047">
        <w:t xml:space="preserve">two focus groups with </w:t>
      </w:r>
      <w:r w:rsidR="002D3676" w:rsidRPr="00AE6047">
        <w:t xml:space="preserve">younger adults </w:t>
      </w:r>
      <w:r w:rsidR="00B44490" w:rsidRPr="00AE6047">
        <w:t xml:space="preserve">(aged 25 to 39) </w:t>
      </w:r>
      <w:r w:rsidR="002D3676" w:rsidRPr="00AE6047">
        <w:t>who</w:t>
      </w:r>
      <w:r w:rsidR="00B44490" w:rsidRPr="00AE6047">
        <w:t xml:space="preserve"> use ride share services </w:t>
      </w:r>
      <w:r w:rsidR="00B44490" w:rsidRPr="00097DC6">
        <w:rPr>
          <w:i/>
        </w:rPr>
        <w:t>designed for all ages</w:t>
      </w:r>
      <w:r w:rsidR="00B44490" w:rsidRPr="00AE6047">
        <w:t xml:space="preserve">. Finally, we will conduct </w:t>
      </w:r>
      <w:r w:rsidR="008A7B07" w:rsidRPr="00AE6047">
        <w:t xml:space="preserve">two </w:t>
      </w:r>
      <w:r w:rsidR="00B44490" w:rsidRPr="00AE6047">
        <w:t xml:space="preserve">focus groups </w:t>
      </w:r>
      <w:r w:rsidR="008A7B07" w:rsidRPr="00AE6047">
        <w:t xml:space="preserve">with older adults (aged 65+) who </w:t>
      </w:r>
      <w:r w:rsidR="002D3676" w:rsidRPr="00097DC6">
        <w:rPr>
          <w:i/>
        </w:rPr>
        <w:t>do not use</w:t>
      </w:r>
      <w:r w:rsidR="002D3676" w:rsidRPr="00AE6047">
        <w:t xml:space="preserve"> ride share services. </w:t>
      </w:r>
      <w:r w:rsidR="00B44490" w:rsidRPr="00AE6047">
        <w:t xml:space="preserve"> </w:t>
      </w:r>
    </w:p>
    <w:p w14:paraId="586DBAD0" w14:textId="6532A832" w:rsidR="00780642" w:rsidRPr="008503EA" w:rsidRDefault="00E826F0" w:rsidP="00AE6047">
      <w:pPr>
        <w:pStyle w:val="BodyText"/>
      </w:pPr>
      <w:r w:rsidRPr="00AE6047">
        <w:t>Prior to beginning the focus group, w</w:t>
      </w:r>
      <w:r w:rsidR="00780642" w:rsidRPr="00AE6047">
        <w:t xml:space="preserve">e will ask focus group participants to complete a written questionnaire (Attachment </w:t>
      </w:r>
      <w:r w:rsidR="00EB7B79">
        <w:t>B</w:t>
      </w:r>
      <w:r w:rsidR="00AC58D1">
        <w:t>)</w:t>
      </w:r>
      <w:r w:rsidR="00DE77EA">
        <w:t xml:space="preserve"> </w:t>
      </w:r>
      <w:r w:rsidR="00780642" w:rsidRPr="00AE6047">
        <w:t>that includes questions</w:t>
      </w:r>
      <w:r w:rsidRPr="00AE6047">
        <w:t xml:space="preserve"> to determine the participant</w:t>
      </w:r>
      <w:r w:rsidR="00B54325">
        <w:t>'</w:t>
      </w:r>
      <w:r w:rsidRPr="00AE6047">
        <w:t>s</w:t>
      </w:r>
      <w:r w:rsidR="00780642" w:rsidRPr="00AE6047">
        <w:t xml:space="preserve"> driving status (</w:t>
      </w:r>
      <w:r w:rsidRPr="00AE6047">
        <w:t>if they have a driver</w:t>
      </w:r>
      <w:r w:rsidR="00B54325">
        <w:t>'</w:t>
      </w:r>
      <w:r w:rsidRPr="00AE6047">
        <w:t>s license and have</w:t>
      </w:r>
      <w:r w:rsidR="00780642" w:rsidRPr="00AE6047">
        <w:t xml:space="preserve"> driven in the past two weeks); car ownership; frequency of traveling outside the home; </w:t>
      </w:r>
      <w:r w:rsidRPr="00AE6047">
        <w:t xml:space="preserve">and </w:t>
      </w:r>
      <w:r w:rsidR="00780642" w:rsidRPr="00AE6047">
        <w:t xml:space="preserve">frequency </w:t>
      </w:r>
      <w:r w:rsidRPr="00AE6047">
        <w:t xml:space="preserve">of use of a ride share </w:t>
      </w:r>
      <w:r w:rsidRPr="008503EA">
        <w:t>service.</w:t>
      </w:r>
      <w:r w:rsidR="00780642" w:rsidRPr="008503EA">
        <w:t xml:space="preserve"> </w:t>
      </w:r>
      <w:r w:rsidR="00E648E4">
        <w:t xml:space="preserve">The questionnaire also asks demographic questions including: race, ethnicity, and sex. The data gathered through the questionnaire is intended for analysis purposes only. </w:t>
      </w:r>
    </w:p>
    <w:p w14:paraId="62E7E9C4" w14:textId="11610A4B" w:rsidR="000D7284" w:rsidRPr="00AE6047" w:rsidRDefault="00F9110C" w:rsidP="00AE6047">
      <w:pPr>
        <w:pStyle w:val="BodyText"/>
      </w:pPr>
      <w:r w:rsidRPr="008503EA">
        <w:t xml:space="preserve">We will use the focus group protocols </w:t>
      </w:r>
      <w:r w:rsidR="005E5644" w:rsidRPr="008503EA">
        <w:t xml:space="preserve">(Attachment </w:t>
      </w:r>
      <w:r w:rsidR="00EB7B79">
        <w:t>C</w:t>
      </w:r>
      <w:r w:rsidR="00BD4E91" w:rsidRPr="008503EA">
        <w:t xml:space="preserve"> </w:t>
      </w:r>
      <w:r w:rsidR="005E5644" w:rsidRPr="008503EA">
        <w:t xml:space="preserve">and </w:t>
      </w:r>
      <w:r w:rsidR="00BD4E91" w:rsidRPr="008503EA">
        <w:t xml:space="preserve">Attachment </w:t>
      </w:r>
      <w:r w:rsidR="00EB7B79">
        <w:t>D</w:t>
      </w:r>
      <w:r w:rsidR="005E5644" w:rsidRPr="00AE6047">
        <w:t xml:space="preserve">) </w:t>
      </w:r>
      <w:r w:rsidRPr="00AE6047">
        <w:t>to collect information about:</w:t>
      </w:r>
    </w:p>
    <w:p w14:paraId="75FFFC9C" w14:textId="26A05CD5" w:rsidR="000D7284" w:rsidRPr="00D35575" w:rsidRDefault="000D7284" w:rsidP="00AB1142">
      <w:pPr>
        <w:pStyle w:val="BodyText"/>
        <w:numPr>
          <w:ilvl w:val="0"/>
          <w:numId w:val="9"/>
        </w:numPr>
      </w:pPr>
      <w:r w:rsidRPr="00D35575">
        <w:t>Transportation needs and habits (when traveling outside the home, reasons, types of transportation used, and factors affecting decision to take one form of transportation or another)</w:t>
      </w:r>
      <w:r w:rsidR="008A053C">
        <w:t>.</w:t>
      </w:r>
    </w:p>
    <w:p w14:paraId="788AE8E6" w14:textId="492A55B2" w:rsidR="000D7284" w:rsidRPr="00D35575" w:rsidRDefault="000D7284" w:rsidP="00AB1142">
      <w:pPr>
        <w:pStyle w:val="BodyText"/>
        <w:numPr>
          <w:ilvl w:val="0"/>
          <w:numId w:val="9"/>
        </w:numPr>
      </w:pPr>
      <w:r w:rsidRPr="00D35575">
        <w:t>Use of ride share services (</w:t>
      </w:r>
      <w:r w:rsidR="00097DC6">
        <w:t>for users:</w:t>
      </w:r>
      <w:r>
        <w:t xml:space="preserve"> </w:t>
      </w:r>
      <w:r w:rsidRPr="00D35575">
        <w:t>types of ride share services used, reasons for choosing a ride share service, and process for requesting a ride share service)</w:t>
      </w:r>
      <w:r w:rsidR="008A053C">
        <w:t>.</w:t>
      </w:r>
      <w:r w:rsidRPr="00D35575">
        <w:t xml:space="preserve"> </w:t>
      </w:r>
    </w:p>
    <w:p w14:paraId="0415C60E" w14:textId="1AF6B4D9" w:rsidR="000D7284" w:rsidRPr="00D35575" w:rsidRDefault="000D7284" w:rsidP="00AB1142">
      <w:pPr>
        <w:pStyle w:val="BodyText"/>
        <w:numPr>
          <w:ilvl w:val="0"/>
          <w:numId w:val="9"/>
        </w:numPr>
      </w:pPr>
      <w:r w:rsidRPr="00D35575">
        <w:t>Opinions of ride share services (</w:t>
      </w:r>
      <w:r w:rsidR="00097DC6">
        <w:t xml:space="preserve">for users: </w:t>
      </w:r>
      <w:r w:rsidRPr="00D35575">
        <w:t xml:space="preserve">likes/dislikes of ride share services, </w:t>
      </w:r>
      <w:r w:rsidR="00097DC6">
        <w:t xml:space="preserve">attributes of an </w:t>
      </w:r>
      <w:r w:rsidRPr="00D35575">
        <w:t>ideal driver, and special needs or considerations</w:t>
      </w:r>
      <w:r w:rsidR="00097DC6">
        <w:t>; for non-users:</w:t>
      </w:r>
      <w:r>
        <w:t xml:space="preserve"> familiarity, perceptions, and potential benefits of ride share services</w:t>
      </w:r>
      <w:r w:rsidRPr="00D35575">
        <w:t>)</w:t>
      </w:r>
      <w:r w:rsidR="008A053C">
        <w:t>.</w:t>
      </w:r>
    </w:p>
    <w:p w14:paraId="525BBC5C" w14:textId="2965D701" w:rsidR="000D7284" w:rsidRPr="00D35575" w:rsidRDefault="000D7284" w:rsidP="00AB1142">
      <w:pPr>
        <w:pStyle w:val="BodyText"/>
        <w:numPr>
          <w:ilvl w:val="0"/>
          <w:numId w:val="9"/>
        </w:numPr>
      </w:pPr>
      <w:r w:rsidRPr="00D35575">
        <w:t>Future use of ride share services (how ride share services could be improved to meet rider</w:t>
      </w:r>
      <w:r w:rsidR="00097DC6">
        <w:t>s</w:t>
      </w:r>
      <w:r w:rsidR="00B54325">
        <w:t>'</w:t>
      </w:r>
      <w:r w:rsidRPr="00D35575">
        <w:t xml:space="preserve"> needs, perceptions of driverless automobiles)</w:t>
      </w:r>
      <w:r w:rsidR="008A053C">
        <w:t>.</w:t>
      </w:r>
    </w:p>
    <w:p w14:paraId="3F023B07" w14:textId="65B53915" w:rsidR="000D7284" w:rsidRDefault="000D7284" w:rsidP="008E6245">
      <w:pPr>
        <w:pStyle w:val="BodyText"/>
      </w:pPr>
      <w:r w:rsidRPr="00971265">
        <w:t>The</w:t>
      </w:r>
      <w:r>
        <w:t xml:space="preserve"> qualitative data collected from the focus groups </w:t>
      </w:r>
      <w:r w:rsidRPr="00971265">
        <w:t xml:space="preserve">will </w:t>
      </w:r>
      <w:r>
        <w:t xml:space="preserve">be used to explore the perspectives of specific groups of older and younger adults (users, non-users, age cohorts) about ride sharing in two different communities. </w:t>
      </w:r>
    </w:p>
    <w:p w14:paraId="7B1BB709" w14:textId="34F39F8A" w:rsidR="00AE6047" w:rsidRPr="00AE6047" w:rsidRDefault="002D3676" w:rsidP="00EF504E">
      <w:pPr>
        <w:pStyle w:val="BodyText"/>
        <w:spacing w:before="360"/>
        <w:rPr>
          <w:u w:val="single"/>
        </w:rPr>
      </w:pPr>
      <w:r w:rsidRPr="00AE6047">
        <w:rPr>
          <w:u w:val="single"/>
        </w:rPr>
        <w:t>Interviews</w:t>
      </w:r>
      <w:r w:rsidR="007E4CD5" w:rsidRPr="00AE6047">
        <w:rPr>
          <w:u w:val="single"/>
        </w:rPr>
        <w:t xml:space="preserve"> </w:t>
      </w:r>
    </w:p>
    <w:p w14:paraId="7CBBACB4" w14:textId="3E4A492F" w:rsidR="008A7B07" w:rsidRPr="008503EA" w:rsidRDefault="0024247A" w:rsidP="002D3676">
      <w:pPr>
        <w:pStyle w:val="BodyText"/>
      </w:pPr>
      <w:r>
        <w:t xml:space="preserve">A total of </w:t>
      </w:r>
      <w:r w:rsidR="002D3676" w:rsidRPr="00971265">
        <w:t xml:space="preserve">95 </w:t>
      </w:r>
      <w:r w:rsidR="002D3676">
        <w:t xml:space="preserve">telephone interviews </w:t>
      </w:r>
      <w:r w:rsidR="002D3676" w:rsidRPr="00971265">
        <w:t>with older and younger users and non-users of ride share services</w:t>
      </w:r>
      <w:r>
        <w:t xml:space="preserve"> will be conducted</w:t>
      </w:r>
      <w:r w:rsidR="00E826F0">
        <w:t xml:space="preserve">. </w:t>
      </w:r>
      <w:r w:rsidR="002D3676">
        <w:t xml:space="preserve">Each interview will </w:t>
      </w:r>
      <w:r w:rsidR="008A7B07">
        <w:t>last</w:t>
      </w:r>
      <w:r w:rsidR="002D3676">
        <w:t xml:space="preserve"> approximately 20 minutes. </w:t>
      </w:r>
      <w:r w:rsidR="000D7284">
        <w:t>As shown in Table 2</w:t>
      </w:r>
      <w:r w:rsidR="002D3676">
        <w:t xml:space="preserve">, we will conduct 25 interviews with older adults </w:t>
      </w:r>
      <w:r w:rsidR="008A7B07">
        <w:t>(</w:t>
      </w:r>
      <w:r w:rsidR="002D3676">
        <w:t>aged 65+</w:t>
      </w:r>
      <w:r w:rsidR="008A7B07">
        <w:t>)</w:t>
      </w:r>
      <w:r w:rsidR="002D3676">
        <w:t xml:space="preserve"> who use ride share services </w:t>
      </w:r>
      <w:r w:rsidR="002D3676" w:rsidRPr="00097DC6">
        <w:rPr>
          <w:i/>
        </w:rPr>
        <w:t>designed for older adults</w:t>
      </w:r>
      <w:r w:rsidR="00097DC6">
        <w:t xml:space="preserve">. We will conduct </w:t>
      </w:r>
      <w:r w:rsidR="002D3676">
        <w:t xml:space="preserve">50 interviews with users of ride share services </w:t>
      </w:r>
      <w:r w:rsidR="002D3676" w:rsidRPr="00097DC6">
        <w:rPr>
          <w:i/>
        </w:rPr>
        <w:t>designed for all ages</w:t>
      </w:r>
      <w:r w:rsidR="008A7B07">
        <w:t>—</w:t>
      </w:r>
      <w:r w:rsidR="002D3676">
        <w:t xml:space="preserve">25 with older adults </w:t>
      </w:r>
      <w:r w:rsidR="008A7B07">
        <w:t>(</w:t>
      </w:r>
      <w:r w:rsidR="002D3676">
        <w:t>aged 65+</w:t>
      </w:r>
      <w:r w:rsidR="008A7B07">
        <w:t>)</w:t>
      </w:r>
      <w:r w:rsidR="002D3676">
        <w:t xml:space="preserve"> </w:t>
      </w:r>
      <w:r w:rsidR="002D3676" w:rsidRPr="008503EA">
        <w:t xml:space="preserve">and 25 with younger adults </w:t>
      </w:r>
      <w:r w:rsidR="008A7B07" w:rsidRPr="008503EA">
        <w:t>(</w:t>
      </w:r>
      <w:r w:rsidR="002D3676" w:rsidRPr="008503EA">
        <w:t>aged 18 to 64)</w:t>
      </w:r>
      <w:r w:rsidR="008A7B07" w:rsidRPr="008503EA">
        <w:t xml:space="preserve">. We will also conduct </w:t>
      </w:r>
      <w:r w:rsidR="002D3676" w:rsidRPr="008503EA">
        <w:t>20 interv</w:t>
      </w:r>
      <w:r w:rsidR="00097DC6">
        <w:t>iews with non-users—</w:t>
      </w:r>
      <w:r w:rsidR="002D3676" w:rsidRPr="008503EA">
        <w:t xml:space="preserve">10 </w:t>
      </w:r>
      <w:r w:rsidR="008A7B07" w:rsidRPr="008503EA">
        <w:t xml:space="preserve">interviews </w:t>
      </w:r>
      <w:r w:rsidR="002D3676" w:rsidRPr="008503EA">
        <w:t xml:space="preserve">with older adults and 10 </w:t>
      </w:r>
      <w:r w:rsidR="008A7B07" w:rsidRPr="008503EA">
        <w:t xml:space="preserve">interviews </w:t>
      </w:r>
      <w:r w:rsidR="002D3676" w:rsidRPr="008503EA">
        <w:t xml:space="preserve">with younger adults. </w:t>
      </w:r>
    </w:p>
    <w:p w14:paraId="2A537772" w14:textId="73EE9DF6" w:rsidR="000D7284" w:rsidRDefault="00F9110C" w:rsidP="000D7284">
      <w:pPr>
        <w:pStyle w:val="BodyText"/>
      </w:pPr>
      <w:r w:rsidRPr="008503EA">
        <w:t xml:space="preserve">We will use the </w:t>
      </w:r>
      <w:r w:rsidR="000D7284" w:rsidRPr="008503EA">
        <w:t>interview protocols</w:t>
      </w:r>
      <w:r w:rsidR="00E826F0" w:rsidRPr="008503EA">
        <w:t xml:space="preserve"> (</w:t>
      </w:r>
      <w:r w:rsidR="00EE37AB" w:rsidRPr="008503EA">
        <w:t xml:space="preserve">Attachment </w:t>
      </w:r>
      <w:r w:rsidR="00EB7B79">
        <w:t>E</w:t>
      </w:r>
      <w:r w:rsidR="00DE77EA">
        <w:t xml:space="preserve"> </w:t>
      </w:r>
      <w:r w:rsidR="00E826F0" w:rsidRPr="008503EA">
        <w:t xml:space="preserve">and </w:t>
      </w:r>
      <w:r w:rsidR="00BD4E91" w:rsidRPr="008503EA">
        <w:t xml:space="preserve">Attachment </w:t>
      </w:r>
      <w:r w:rsidR="00EB7B79">
        <w:t>F</w:t>
      </w:r>
      <w:r w:rsidR="00E826F0">
        <w:t>)</w:t>
      </w:r>
      <w:r w:rsidR="000D7284">
        <w:t xml:space="preserve"> </w:t>
      </w:r>
      <w:r>
        <w:t xml:space="preserve">to collect information about: </w:t>
      </w:r>
    </w:p>
    <w:p w14:paraId="5F1A186B" w14:textId="717C653D" w:rsidR="000D7284" w:rsidRPr="00D35575" w:rsidRDefault="000D7284" w:rsidP="00AB1142">
      <w:pPr>
        <w:pStyle w:val="BodyText"/>
        <w:numPr>
          <w:ilvl w:val="0"/>
          <w:numId w:val="9"/>
        </w:numPr>
      </w:pPr>
      <w:r w:rsidRPr="00D35575">
        <w:t xml:space="preserve">Transportation needs and habits (when traveling outside the home, reasons, types of transportation used, </w:t>
      </w:r>
      <w:r>
        <w:t xml:space="preserve">and </w:t>
      </w:r>
      <w:r w:rsidRPr="00D35575">
        <w:t>factors affecting decision to take one form of transportation or another</w:t>
      </w:r>
      <w:r>
        <w:t>; driving status and possession of a driver</w:t>
      </w:r>
      <w:r w:rsidR="00B54325">
        <w:t>'</w:t>
      </w:r>
      <w:r>
        <w:t>s license</w:t>
      </w:r>
      <w:r w:rsidRPr="00D35575">
        <w:t>)</w:t>
      </w:r>
      <w:r w:rsidR="008A053C">
        <w:t>.</w:t>
      </w:r>
    </w:p>
    <w:p w14:paraId="0727B012" w14:textId="74CDAC7D" w:rsidR="000D7284" w:rsidRPr="00D35575" w:rsidRDefault="000D7284" w:rsidP="00AB1142">
      <w:pPr>
        <w:pStyle w:val="BodyText"/>
        <w:numPr>
          <w:ilvl w:val="0"/>
          <w:numId w:val="9"/>
        </w:numPr>
      </w:pPr>
      <w:r w:rsidRPr="00D35575">
        <w:t>Use of ride share services (</w:t>
      </w:r>
      <w:r w:rsidR="00097DC6">
        <w:t>for users:</w:t>
      </w:r>
      <w:r>
        <w:t xml:space="preserve"> </w:t>
      </w:r>
      <w:r w:rsidRPr="00D35575">
        <w:t xml:space="preserve">types of ride share services used, reasons for </w:t>
      </w:r>
      <w:r w:rsidRPr="007F2193">
        <w:t>choosing a ride share service, process for requesting a ride share service, and factors considered when deciding to use a ri</w:t>
      </w:r>
      <w:r w:rsidR="00097DC6">
        <w:t>de share service</w:t>
      </w:r>
      <w:r w:rsidRPr="007F2193">
        <w:t>)</w:t>
      </w:r>
      <w:r w:rsidR="008A053C">
        <w:t>.</w:t>
      </w:r>
      <w:r w:rsidRPr="00D35575">
        <w:t xml:space="preserve"> </w:t>
      </w:r>
    </w:p>
    <w:p w14:paraId="189A44EF" w14:textId="6AA71A88" w:rsidR="000D7284" w:rsidRPr="007F2193" w:rsidRDefault="000D7284" w:rsidP="00AB1142">
      <w:pPr>
        <w:pStyle w:val="BodyText"/>
        <w:numPr>
          <w:ilvl w:val="0"/>
          <w:numId w:val="9"/>
        </w:numPr>
      </w:pPr>
      <w:r w:rsidRPr="00D35575">
        <w:t xml:space="preserve">Opinions of ride </w:t>
      </w:r>
      <w:r w:rsidR="00097DC6">
        <w:t>share services (for users:</w:t>
      </w:r>
      <w:r w:rsidRPr="007F2193">
        <w:t xml:space="preserve"> likes/dislikes of ride share services, reasons for using a ride share service,</w:t>
      </w:r>
      <w:r w:rsidR="00097DC6">
        <w:t xml:space="preserve"> attributes of an </w:t>
      </w:r>
      <w:r w:rsidRPr="007F2193">
        <w:t>ideal driver, and special needs or</w:t>
      </w:r>
      <w:r w:rsidR="00097DC6">
        <w:t xml:space="preserve"> considerations; for non-users: </w:t>
      </w:r>
      <w:r w:rsidRPr="007F2193">
        <w:t>familiarity, perceptions, and potential benefits of ride share services)</w:t>
      </w:r>
      <w:r w:rsidR="008A053C">
        <w:t>.</w:t>
      </w:r>
    </w:p>
    <w:p w14:paraId="7153469C" w14:textId="0724A943" w:rsidR="000D7284" w:rsidRDefault="000D7284" w:rsidP="00AB1142">
      <w:pPr>
        <w:pStyle w:val="BodyText"/>
        <w:numPr>
          <w:ilvl w:val="0"/>
          <w:numId w:val="9"/>
        </w:numPr>
      </w:pPr>
      <w:r w:rsidRPr="007F2193">
        <w:t>Future use of ride share services (how ride share services could be improved to meet riders</w:t>
      </w:r>
      <w:r w:rsidR="00B54325">
        <w:t>'</w:t>
      </w:r>
      <w:r w:rsidRPr="007F2193">
        <w:t xml:space="preserve"> needs, perceptions of driverless automobiles)</w:t>
      </w:r>
      <w:r w:rsidR="008A053C">
        <w:t>.</w:t>
      </w:r>
    </w:p>
    <w:p w14:paraId="362A6DB7" w14:textId="418FAA63" w:rsidR="004B4F9A" w:rsidRDefault="004B4F9A" w:rsidP="00AB1142">
      <w:pPr>
        <w:pStyle w:val="BodyText"/>
        <w:numPr>
          <w:ilvl w:val="0"/>
          <w:numId w:val="9"/>
        </w:numPr>
      </w:pPr>
      <w:r>
        <w:t>Demographics (race, ethnicity, sex</w:t>
      </w:r>
      <w:r w:rsidR="00E648E4">
        <w:t>, and city and state of residence</w:t>
      </w:r>
      <w:r>
        <w:t>)</w:t>
      </w:r>
      <w:r w:rsidR="00BD60C0">
        <w:t>.</w:t>
      </w:r>
    </w:p>
    <w:p w14:paraId="4222DDA7" w14:textId="14A32DC4" w:rsidR="002208B5" w:rsidRDefault="002208B5" w:rsidP="00766D63">
      <w:pPr>
        <w:pStyle w:val="BodyText"/>
        <w:rPr>
          <w:rFonts w:eastAsiaTheme="minorEastAsia"/>
        </w:rPr>
      </w:pPr>
      <w:r w:rsidRPr="00971265">
        <w:t>The</w:t>
      </w:r>
      <w:r>
        <w:t xml:space="preserve"> qualitative data collected from the</w:t>
      </w:r>
      <w:r w:rsidRPr="00971265">
        <w:t xml:space="preserve"> interviews will </w:t>
      </w:r>
      <w:r>
        <w:t>be used to assess</w:t>
      </w:r>
      <w:r w:rsidRPr="00971265">
        <w:t xml:space="preserve"> respondents</w:t>
      </w:r>
      <w:r w:rsidR="00B54325">
        <w:t>'</w:t>
      </w:r>
      <w:r w:rsidRPr="00971265">
        <w:t xml:space="preserve"> experiences, perceptions, and beliefs</w:t>
      </w:r>
      <w:r>
        <w:t xml:space="preserve"> related to ride sharing</w:t>
      </w:r>
      <w:r w:rsidRPr="00971265">
        <w:t xml:space="preserve">. </w:t>
      </w:r>
      <w:r w:rsidR="004B4F9A">
        <w:t xml:space="preserve">The demographic questions are asked for analysis purposes only. </w:t>
      </w:r>
      <w:r w:rsidR="008A053C">
        <w:t>T</w:t>
      </w:r>
      <w:r>
        <w:t>he interviews are an opportunity to speak with a greater number of people across the country</w:t>
      </w:r>
      <w:r w:rsidR="00097DC6">
        <w:t xml:space="preserve"> from many different communities</w:t>
      </w:r>
      <w:r w:rsidR="00661C83">
        <w:t>, including older adults who have experienced limited or loss of mobility</w:t>
      </w:r>
      <w:r w:rsidR="00097DC6">
        <w:t xml:space="preserve">. </w:t>
      </w:r>
      <w:r>
        <w:t xml:space="preserve"> </w:t>
      </w:r>
    </w:p>
    <w:p w14:paraId="013C2E81" w14:textId="6DC710ED" w:rsidR="00AE6047" w:rsidRPr="00AE6047" w:rsidRDefault="00F32A42" w:rsidP="00EF504E">
      <w:pPr>
        <w:pStyle w:val="BodyText"/>
        <w:spacing w:before="360"/>
        <w:rPr>
          <w:u w:val="single"/>
        </w:rPr>
      </w:pPr>
      <w:r w:rsidRPr="00AE6047">
        <w:rPr>
          <w:u w:val="single"/>
        </w:rPr>
        <w:t xml:space="preserve">Recruitment </w:t>
      </w:r>
    </w:p>
    <w:p w14:paraId="42B76127" w14:textId="78A69FFC" w:rsidR="00F32A42" w:rsidRPr="002208B5" w:rsidRDefault="00F32A42" w:rsidP="00F32A42">
      <w:pPr>
        <w:pStyle w:val="BodyText"/>
      </w:pPr>
      <w:r w:rsidRPr="00E753B4">
        <w:t xml:space="preserve">We will recruit study participants </w:t>
      </w:r>
      <w:r w:rsidR="0014237E">
        <w:t xml:space="preserve">for the focus groups and interviews by working with </w:t>
      </w:r>
      <w:r>
        <w:t>ride share organization</w:t>
      </w:r>
      <w:r w:rsidR="0014237E">
        <w:t>s</w:t>
      </w:r>
      <w:r w:rsidR="00463728">
        <w:t>, including</w:t>
      </w:r>
      <w:r w:rsidR="0014237E">
        <w:t xml:space="preserve">: </w:t>
      </w:r>
      <w:r w:rsidR="00FD6D53">
        <w:t>ITNAmerica, GoGoGrandparent, Lyft, and</w:t>
      </w:r>
      <w:r>
        <w:t xml:space="preserve"> </w:t>
      </w:r>
      <w:r w:rsidR="00463728">
        <w:t>rural ride share services</w:t>
      </w:r>
      <w:r>
        <w:t xml:space="preserve">. </w:t>
      </w:r>
      <w:r w:rsidR="00766D63">
        <w:t>We will</w:t>
      </w:r>
      <w:r>
        <w:t xml:space="preserve"> share our </w:t>
      </w:r>
      <w:r w:rsidR="00766D63">
        <w:t xml:space="preserve">recruitment </w:t>
      </w:r>
      <w:r>
        <w:t>materials</w:t>
      </w:r>
      <w:r w:rsidR="00766D63">
        <w:t xml:space="preserve"> with these ride share organizations</w:t>
      </w:r>
      <w:r>
        <w:t xml:space="preserve">—a letter describing our study </w:t>
      </w:r>
      <w:r w:rsidR="00236EF1">
        <w:t xml:space="preserve">and reminder </w:t>
      </w:r>
      <w:r>
        <w:t xml:space="preserve">(Attachment </w:t>
      </w:r>
      <w:r w:rsidR="00F41367">
        <w:t>A)</w:t>
      </w:r>
      <w:r>
        <w:t>, fl</w:t>
      </w:r>
      <w:r w:rsidR="0023596F">
        <w:t>y</w:t>
      </w:r>
      <w:r>
        <w:t xml:space="preserve">ers (Attachment </w:t>
      </w:r>
      <w:r w:rsidR="00EB7B79">
        <w:t>H</w:t>
      </w:r>
      <w:r w:rsidR="00F41367">
        <w:t>)</w:t>
      </w:r>
      <w:r>
        <w:t xml:space="preserve"> and a study description (Attachment </w:t>
      </w:r>
      <w:r w:rsidR="00EB7B79">
        <w:t>I</w:t>
      </w:r>
      <w:r>
        <w:t>)</w:t>
      </w:r>
      <w:r w:rsidR="00766D63">
        <w:t>. The</w:t>
      </w:r>
      <w:r w:rsidR="00B2459F">
        <w:t xml:space="preserve"> ride share organizations have agreed to</w:t>
      </w:r>
      <w:r w:rsidR="00766D63">
        <w:t xml:space="preserve"> share these materials </w:t>
      </w:r>
      <w:r>
        <w:t xml:space="preserve">with their ridership </w:t>
      </w:r>
      <w:r w:rsidR="00766D63">
        <w:t>as well as</w:t>
      </w:r>
      <w:r>
        <w:t xml:space="preserve"> partners who serve their ridership. Respondents will self-select to participate by using the contact information provided in our study materials. </w:t>
      </w:r>
      <w:r w:rsidR="008E6B08">
        <w:t xml:space="preserve">We </w:t>
      </w:r>
      <w:r>
        <w:t xml:space="preserve">will also work with a third party recruitment firm to </w:t>
      </w:r>
      <w:r w:rsidRPr="002208B5">
        <w:t xml:space="preserve">recruit respondents who do not use ride share services. </w:t>
      </w:r>
    </w:p>
    <w:p w14:paraId="5C030C47" w14:textId="40D9D9E2" w:rsidR="00296EA7" w:rsidRDefault="008E6B08" w:rsidP="00766D63">
      <w:pPr>
        <w:pStyle w:val="BodyText"/>
      </w:pPr>
      <w:r>
        <w:t>A</w:t>
      </w:r>
      <w:r w:rsidR="00766D63" w:rsidRPr="002208B5">
        <w:t xml:space="preserve"> screener</w:t>
      </w:r>
      <w:r>
        <w:t xml:space="preserve"> will be used </w:t>
      </w:r>
      <w:r w:rsidR="00766D63" w:rsidRPr="002208B5">
        <w:t xml:space="preserve">to determine eligibility to participate in the study. </w:t>
      </w:r>
      <w:r w:rsidR="0023596F">
        <w:t xml:space="preserve">The focus group screener </w:t>
      </w:r>
      <w:r w:rsidRPr="002208B5">
        <w:t xml:space="preserve">(Attachment </w:t>
      </w:r>
      <w:r>
        <w:t xml:space="preserve">J) </w:t>
      </w:r>
      <w:r w:rsidRPr="002208B5">
        <w:t>includes</w:t>
      </w:r>
      <w:r w:rsidR="0023596F">
        <w:t xml:space="preserve"> </w:t>
      </w:r>
      <w:r w:rsidR="004B4F9A">
        <w:t>four</w:t>
      </w:r>
      <w:r w:rsidR="004B4F9A" w:rsidRPr="002208B5">
        <w:t xml:space="preserve"> </w:t>
      </w:r>
      <w:r w:rsidR="00766D63" w:rsidRPr="002208B5">
        <w:t xml:space="preserve">questions to determine eligibility: </w:t>
      </w:r>
    </w:p>
    <w:p w14:paraId="60ACF6D5" w14:textId="1F8C54FF" w:rsidR="00296EA7" w:rsidRDefault="00296EA7" w:rsidP="00AB1142">
      <w:pPr>
        <w:pStyle w:val="BodyText"/>
        <w:numPr>
          <w:ilvl w:val="1"/>
          <w:numId w:val="19"/>
        </w:numPr>
      </w:pPr>
      <w:r>
        <w:t>H</w:t>
      </w:r>
      <w:r w:rsidR="00766D63" w:rsidRPr="002208B5">
        <w:t>ave you ever used a ride share service</w:t>
      </w:r>
      <w:r w:rsidR="00766D63">
        <w:t xml:space="preserve"> for transportation?</w:t>
      </w:r>
      <w:r w:rsidR="0023596F">
        <w:t xml:space="preserve"> </w:t>
      </w:r>
    </w:p>
    <w:p w14:paraId="5F0D3EF3" w14:textId="77777777" w:rsidR="004B4F9A" w:rsidRPr="00BD60C0" w:rsidRDefault="004B4F9A" w:rsidP="00BD60C0">
      <w:pPr>
        <w:pStyle w:val="BodyText"/>
        <w:numPr>
          <w:ilvl w:val="1"/>
          <w:numId w:val="19"/>
        </w:numPr>
      </w:pPr>
      <w:r>
        <w:t>Are you currently, or have you ever, been employed by a ride share service company or organization?</w:t>
      </w:r>
    </w:p>
    <w:p w14:paraId="472F3CE8" w14:textId="06480E4D" w:rsidR="00296EA7" w:rsidRDefault="00296EA7" w:rsidP="00AB1142">
      <w:pPr>
        <w:pStyle w:val="BodyText"/>
        <w:numPr>
          <w:ilvl w:val="1"/>
          <w:numId w:val="19"/>
        </w:numPr>
      </w:pPr>
      <w:r>
        <w:t>W</w:t>
      </w:r>
      <w:r w:rsidR="00766D63">
        <w:t>hat is your age?</w:t>
      </w:r>
    </w:p>
    <w:p w14:paraId="145C3720" w14:textId="527243BC" w:rsidR="00296EA7" w:rsidRDefault="00296EA7" w:rsidP="00AB1142">
      <w:pPr>
        <w:pStyle w:val="BodyText"/>
        <w:numPr>
          <w:ilvl w:val="1"/>
          <w:numId w:val="19"/>
        </w:numPr>
      </w:pPr>
      <w:r>
        <w:t>W</w:t>
      </w:r>
      <w:r w:rsidR="0023596F">
        <w:t xml:space="preserve">hat is your county and state of residence? </w:t>
      </w:r>
    </w:p>
    <w:p w14:paraId="2610E90C" w14:textId="0550C85A" w:rsidR="00296EA7" w:rsidRDefault="0023596F" w:rsidP="00766D63">
      <w:pPr>
        <w:pStyle w:val="BodyText"/>
      </w:pPr>
      <w:r>
        <w:t xml:space="preserve">The interview screener </w:t>
      </w:r>
      <w:r w:rsidR="008E6B08">
        <w:t>(Attachment K</w:t>
      </w:r>
      <w:r w:rsidR="008E6B08" w:rsidRPr="002208B5">
        <w:t>)</w:t>
      </w:r>
      <w:r w:rsidR="008E6B08">
        <w:t xml:space="preserve"> </w:t>
      </w:r>
      <w:r w:rsidR="00C93B2B">
        <w:t>includes</w:t>
      </w:r>
      <w:r>
        <w:t xml:space="preserve"> </w:t>
      </w:r>
      <w:r w:rsidR="004B4F9A">
        <w:t xml:space="preserve">three </w:t>
      </w:r>
      <w:r>
        <w:t xml:space="preserve">questions to determine eligibility: </w:t>
      </w:r>
    </w:p>
    <w:p w14:paraId="4E96A065" w14:textId="155941FE" w:rsidR="00296EA7" w:rsidRDefault="00296EA7" w:rsidP="00AB1142">
      <w:pPr>
        <w:pStyle w:val="BodyText"/>
        <w:numPr>
          <w:ilvl w:val="0"/>
          <w:numId w:val="20"/>
        </w:numPr>
      </w:pPr>
      <w:r>
        <w:t>H</w:t>
      </w:r>
      <w:r w:rsidR="0023596F" w:rsidRPr="002208B5">
        <w:t>ave you ever used a ride share service</w:t>
      </w:r>
      <w:r w:rsidR="0023596F">
        <w:t xml:space="preserve"> for transportation? </w:t>
      </w:r>
    </w:p>
    <w:p w14:paraId="7A58A7CD" w14:textId="77777777" w:rsidR="004B4F9A" w:rsidRPr="008F0A89" w:rsidRDefault="004B4F9A" w:rsidP="0078318B">
      <w:pPr>
        <w:numPr>
          <w:ilvl w:val="0"/>
          <w:numId w:val="20"/>
        </w:numPr>
        <w:spacing w:after="120"/>
        <w:ind w:left="994"/>
        <w:rPr>
          <w:rFonts w:eastAsiaTheme="minorHAnsi"/>
        </w:rPr>
      </w:pPr>
      <w:r>
        <w:t>Are you currently, or have you ever, been employed by a ride share service company or organization?</w:t>
      </w:r>
    </w:p>
    <w:p w14:paraId="6353E7DF" w14:textId="0C8AA206" w:rsidR="00296EA7" w:rsidRDefault="00296EA7" w:rsidP="00AB1142">
      <w:pPr>
        <w:pStyle w:val="BodyText"/>
        <w:numPr>
          <w:ilvl w:val="0"/>
          <w:numId w:val="20"/>
        </w:numPr>
      </w:pPr>
      <w:r>
        <w:t>W</w:t>
      </w:r>
      <w:r w:rsidR="0023596F">
        <w:t xml:space="preserve">hat is your age? </w:t>
      </w:r>
      <w:r w:rsidR="00766D63">
        <w:t xml:space="preserve"> </w:t>
      </w:r>
    </w:p>
    <w:p w14:paraId="52F4FB52" w14:textId="2A6EA58C" w:rsidR="00766D63" w:rsidRDefault="002208B5" w:rsidP="00766D63">
      <w:pPr>
        <w:pStyle w:val="BodyText"/>
      </w:pPr>
      <w:r>
        <w:t>These questions are asked to determine whether the respondent is a user or non-user, and an older or younger adult, so that we use the appropriate focus group or interview protocol.</w:t>
      </w:r>
      <w:r w:rsidR="00766D63">
        <w:t xml:space="preserve"> </w:t>
      </w:r>
      <w:r w:rsidR="00BD60C0">
        <w:t xml:space="preserve">The question about being employed by a ride share service company is asked so that we may exclude drivers of ride share services from the respondent population. </w:t>
      </w:r>
      <w:r w:rsidR="0023596F">
        <w:t xml:space="preserve">The question about county and state of residence will be </w:t>
      </w:r>
      <w:r w:rsidR="00C93B2B">
        <w:t>asked of potential</w:t>
      </w:r>
      <w:r w:rsidR="0023596F">
        <w:t xml:space="preserve"> focus group</w:t>
      </w:r>
      <w:r w:rsidR="00C93B2B">
        <w:t xml:space="preserve"> participants</w:t>
      </w:r>
      <w:r w:rsidR="0023596F">
        <w:t xml:space="preserve"> to ensure that all participants </w:t>
      </w:r>
      <w:r w:rsidR="00C93B2B">
        <w:t xml:space="preserve">reside in </w:t>
      </w:r>
      <w:r w:rsidR="00296EA7">
        <w:t>the</w:t>
      </w:r>
      <w:r w:rsidR="0023596F">
        <w:t xml:space="preserve"> geographic area</w:t>
      </w:r>
      <w:r w:rsidR="00C93B2B">
        <w:t>s</w:t>
      </w:r>
      <w:r w:rsidR="00296EA7">
        <w:t xml:space="preserve"> where the</w:t>
      </w:r>
      <w:r w:rsidR="00C93B2B">
        <w:t xml:space="preserve"> two</w:t>
      </w:r>
      <w:r w:rsidR="00296EA7">
        <w:t xml:space="preserve"> focus groups will be conducted</w:t>
      </w:r>
      <w:r w:rsidR="0023596F">
        <w:t>.</w:t>
      </w:r>
    </w:p>
    <w:p w14:paraId="126D7176" w14:textId="00D8766F" w:rsidR="00EE37AB" w:rsidRDefault="002F27F4" w:rsidP="00EE37AB">
      <w:pPr>
        <w:pStyle w:val="BodyText"/>
      </w:pPr>
      <w:r>
        <w:t>For potential focus group participants, after we have determined their eligibility to participate in the study, we will ask if they are available to participate in the focus group at the designated date and time. If they are not available, we will ask if they are willing to participate in a telephone interview</w:t>
      </w:r>
      <w:r w:rsidR="0078318B">
        <w:t xml:space="preserve"> instead</w:t>
      </w:r>
      <w:r>
        <w:t>. If they are available, we will continue with the screener questions. For both interview and focus group participants, a</w:t>
      </w:r>
      <w:r w:rsidR="0014237E">
        <w:t>t the end of the screener, we will ask for</w:t>
      </w:r>
      <w:r w:rsidR="004D6274">
        <w:t>,</w:t>
      </w:r>
      <w:r w:rsidR="0014237E">
        <w:t xml:space="preserve"> </w:t>
      </w:r>
      <w:r w:rsidR="00DE2B19">
        <w:t>or confirm</w:t>
      </w:r>
      <w:r w:rsidR="004D6274">
        <w:t>,</w:t>
      </w:r>
      <w:r w:rsidR="00DE2B19">
        <w:t xml:space="preserve"> </w:t>
      </w:r>
      <w:r w:rsidR="0014237E">
        <w:t>conta</w:t>
      </w:r>
      <w:r w:rsidR="00550DCA">
        <w:t>ct information for all participants (name, telephone number, email address</w:t>
      </w:r>
      <w:r w:rsidR="00DE2B19">
        <w:t xml:space="preserve"> (focus group participants only)</w:t>
      </w:r>
      <w:r w:rsidR="00550DCA">
        <w:t xml:space="preserve">, </w:t>
      </w:r>
      <w:r w:rsidR="00124412">
        <w:t xml:space="preserve">mailing address (focus group participants only), </w:t>
      </w:r>
      <w:r w:rsidR="00550DCA">
        <w:t>and preferred method that we should use to contact them</w:t>
      </w:r>
      <w:r w:rsidR="004D6274">
        <w:t xml:space="preserve"> (phone</w:t>
      </w:r>
      <w:r w:rsidR="00124412">
        <w:t>,</w:t>
      </w:r>
      <w:r w:rsidR="004D6274">
        <w:t xml:space="preserve"> email</w:t>
      </w:r>
      <w:r w:rsidR="00F040E7">
        <w:t>, or mailed letter</w:t>
      </w:r>
      <w:r w:rsidR="004D6274">
        <w:t>)</w:t>
      </w:r>
      <w:r w:rsidR="00DE2B19">
        <w:t xml:space="preserve"> for focus group participants only</w:t>
      </w:r>
      <w:r w:rsidR="00550DCA">
        <w:t xml:space="preserve">). This information will be used to </w:t>
      </w:r>
      <w:r w:rsidR="001874CC">
        <w:t>conduct</w:t>
      </w:r>
      <w:r w:rsidR="00550DCA">
        <w:t xml:space="preserve"> the telephone interview (if it is not possible to conduct the interview at that time) or confirm participation in the focus group </w:t>
      </w:r>
      <w:r w:rsidR="00EE37AB">
        <w:t xml:space="preserve">(Attachment </w:t>
      </w:r>
      <w:r w:rsidR="00EB7B79">
        <w:t>L</w:t>
      </w:r>
      <w:r w:rsidR="00B23B53">
        <w:t>)</w:t>
      </w:r>
      <w:r>
        <w:t xml:space="preserve"> Approximately one week prior to the focus group, we will send a reminder letter via mail or email to all participants (depending on their preference expressed during the screener). </w:t>
      </w:r>
    </w:p>
    <w:p w14:paraId="0D393EC7" w14:textId="5634A6E0" w:rsidR="00972DEF" w:rsidRPr="00691454" w:rsidRDefault="00B210E1" w:rsidP="0006739E">
      <w:pPr>
        <w:pStyle w:val="Heading2"/>
      </w:pPr>
      <w:bookmarkStart w:id="7" w:name="_Toc511121630"/>
      <w:r>
        <w:t xml:space="preserve">A.3. </w:t>
      </w:r>
      <w:r>
        <w:tab/>
      </w:r>
      <w:r w:rsidR="00972DEF" w:rsidRPr="00691454">
        <w:t>Use of Improved Information Technology and Burden Reduction</w:t>
      </w:r>
      <w:bookmarkEnd w:id="7"/>
    </w:p>
    <w:p w14:paraId="78760D32" w14:textId="424EAF8D" w:rsidR="00017ECC" w:rsidRDefault="00CA1DF2" w:rsidP="007458D4">
      <w:pPr>
        <w:pStyle w:val="BodyText"/>
      </w:pPr>
      <w:r>
        <w:t>The information collection methods under this OMB request are qualitative</w:t>
      </w:r>
      <w:r w:rsidR="00001ACE">
        <w:t xml:space="preserve">; therefore, </w:t>
      </w:r>
      <w:r>
        <w:t xml:space="preserve">information technology will not be used to collect data from the 185 individuals recruited to participate in the focus groups and interviews. </w:t>
      </w:r>
      <w:r w:rsidR="00A62E88" w:rsidRPr="0074039B">
        <w:t>Because the data collection is qualitative in nature and require</w:t>
      </w:r>
      <w:r w:rsidR="00A62E88">
        <w:t>s</w:t>
      </w:r>
      <w:r w:rsidR="00A62E88" w:rsidRPr="0074039B">
        <w:t xml:space="preserve"> information from a relatively small number of individuals; it is </w:t>
      </w:r>
      <w:r w:rsidR="00A62E88">
        <w:t xml:space="preserve">not appropriate, </w:t>
      </w:r>
      <w:r w:rsidR="00A62E88" w:rsidRPr="0074039B">
        <w:t>pra</w:t>
      </w:r>
      <w:r w:rsidR="00A62E88">
        <w:t xml:space="preserve">ctical, or </w:t>
      </w:r>
      <w:r w:rsidR="00A62E88" w:rsidRPr="0074039B">
        <w:t xml:space="preserve">cost-beneficial to build electronic instruments to collect the information. </w:t>
      </w:r>
      <w:r w:rsidR="007E4CD5">
        <w:t>Th</w:t>
      </w:r>
      <w:r w:rsidR="00017ECC" w:rsidRPr="00017ECC">
        <w:t>e proposed interviews and focus groups will collect only the minimum information necessary for the purposes of the project.</w:t>
      </w:r>
    </w:p>
    <w:p w14:paraId="10527D50" w14:textId="64F89BC1" w:rsidR="00017ECC" w:rsidRDefault="00A62E88" w:rsidP="007458D4">
      <w:pPr>
        <w:pStyle w:val="BodyText"/>
      </w:pPr>
      <w:r w:rsidRPr="008503EA">
        <w:t xml:space="preserve">All information will be collected </w:t>
      </w:r>
      <w:r w:rsidR="00661C83">
        <w:t xml:space="preserve">via </w:t>
      </w:r>
      <w:r w:rsidRPr="008503EA">
        <w:t>focus group</w:t>
      </w:r>
      <w:r w:rsidR="00661C83">
        <w:t>s</w:t>
      </w:r>
      <w:r w:rsidRPr="008503EA">
        <w:t xml:space="preserve"> and interview</w:t>
      </w:r>
      <w:r w:rsidR="00661C83">
        <w:t>s using semi-structured</w:t>
      </w:r>
      <w:r w:rsidRPr="008503EA">
        <w:t xml:space="preserve"> protocols (Attachment</w:t>
      </w:r>
      <w:r w:rsidR="00EE37AB" w:rsidRPr="008503EA">
        <w:t xml:space="preserve">s </w:t>
      </w:r>
      <w:r w:rsidR="00EB7B79">
        <w:t xml:space="preserve">C, </w:t>
      </w:r>
      <w:r w:rsidR="00EE37AB" w:rsidRPr="008503EA">
        <w:t xml:space="preserve">D, E, </w:t>
      </w:r>
      <w:r w:rsidR="00EB7B79">
        <w:t xml:space="preserve">and </w:t>
      </w:r>
      <w:r w:rsidR="00EE37AB" w:rsidRPr="008503EA">
        <w:t>F</w:t>
      </w:r>
      <w:r w:rsidRPr="008503EA">
        <w:t>)</w:t>
      </w:r>
      <w:r w:rsidR="00017ECC" w:rsidRPr="008503EA">
        <w:t xml:space="preserve">. </w:t>
      </w:r>
      <w:r w:rsidR="00661C83">
        <w:t xml:space="preserve">Focus group participants will be asked to complete a written questionnaire (Attachment </w:t>
      </w:r>
      <w:r w:rsidR="00EB7B79">
        <w:t>B</w:t>
      </w:r>
      <w:r w:rsidR="00661C83">
        <w:t xml:space="preserve">). </w:t>
      </w:r>
      <w:r w:rsidR="00EE37AB" w:rsidRPr="008503EA">
        <w:t xml:space="preserve">Focus group participants will </w:t>
      </w:r>
      <w:r w:rsidR="00661C83">
        <w:t xml:space="preserve">also </w:t>
      </w:r>
      <w:r w:rsidR="00EE37AB" w:rsidRPr="008503EA">
        <w:t xml:space="preserve">be asked to provide written informed consent (Attachment </w:t>
      </w:r>
      <w:r w:rsidR="00D5761B">
        <w:t>G</w:t>
      </w:r>
      <w:r w:rsidR="00EE37AB" w:rsidRPr="008503EA">
        <w:t xml:space="preserve">). </w:t>
      </w:r>
      <w:r w:rsidR="007E4CD5" w:rsidRPr="008503EA">
        <w:t xml:space="preserve">Focus groups will be conducted in person and interviews will be conducted by telephone. </w:t>
      </w:r>
      <w:r w:rsidR="00FC2D47">
        <w:t>T</w:t>
      </w:r>
      <w:r w:rsidR="007E4CD5">
        <w:t xml:space="preserve">elephone </w:t>
      </w:r>
      <w:r w:rsidR="00017ECC" w:rsidRPr="00017ECC">
        <w:t xml:space="preserve">interviews </w:t>
      </w:r>
      <w:r w:rsidR="00FC2D47">
        <w:t xml:space="preserve">will be scheduled </w:t>
      </w:r>
      <w:r w:rsidR="007E4CD5">
        <w:t>to occur at a</w:t>
      </w:r>
      <w:r w:rsidR="00017ECC" w:rsidRPr="00017ECC">
        <w:t xml:space="preserve"> time that is convenient for the respondents, and </w:t>
      </w:r>
      <w:r w:rsidR="007E4CD5">
        <w:t>accommodate requests</w:t>
      </w:r>
      <w:r w:rsidR="00017ECC" w:rsidRPr="00017ECC">
        <w:t xml:space="preserve"> to reschedule.</w:t>
      </w:r>
    </w:p>
    <w:p w14:paraId="46D70809" w14:textId="3648299A" w:rsidR="00A62E88" w:rsidRDefault="00017ECC" w:rsidP="007458D4">
      <w:pPr>
        <w:pStyle w:val="BodyText"/>
      </w:pPr>
      <w:r>
        <w:t xml:space="preserve">Each data collection activity will be supported </w:t>
      </w:r>
      <w:r w:rsidR="00A62E88" w:rsidRPr="0074039B">
        <w:t xml:space="preserve">by digital </w:t>
      </w:r>
      <w:r w:rsidR="00A62E88">
        <w:t>audio</w:t>
      </w:r>
      <w:r>
        <w:t xml:space="preserve"> recordings. </w:t>
      </w:r>
      <w:r w:rsidR="00001ACE">
        <w:t xml:space="preserve">Each audio recording </w:t>
      </w:r>
      <w:r w:rsidR="00A62E88">
        <w:t>wil</w:t>
      </w:r>
      <w:r>
        <w:t xml:space="preserve">l be created with consent </w:t>
      </w:r>
      <w:r w:rsidR="00A62E88">
        <w:t>from the study participant</w:t>
      </w:r>
      <w:r>
        <w:t xml:space="preserve"> (written consent from focus group participants and verbal consent from interview participants)</w:t>
      </w:r>
      <w:r w:rsidR="00A62E88">
        <w:t xml:space="preserve">. </w:t>
      </w:r>
      <w:r w:rsidR="00CB20C3">
        <w:t>We will develop transcripts and</w:t>
      </w:r>
      <w:r w:rsidR="00001ACE">
        <w:t xml:space="preserve"> analyze</w:t>
      </w:r>
      <w:r w:rsidR="00CB20C3">
        <w:t xml:space="preserve"> them</w:t>
      </w:r>
      <w:r w:rsidR="00001ACE">
        <w:t xml:space="preserve"> using NVivo, a qualitative analysis software</w:t>
      </w:r>
      <w:r w:rsidR="00550DCA">
        <w:t xml:space="preserve"> program</w:t>
      </w:r>
      <w:r w:rsidR="00001ACE">
        <w:t xml:space="preserve">, which will facilitate the organization </w:t>
      </w:r>
      <w:r w:rsidR="004361D3">
        <w:t xml:space="preserve">and analysis </w:t>
      </w:r>
      <w:r w:rsidR="00001ACE">
        <w:t xml:space="preserve">of the </w:t>
      </w:r>
      <w:r w:rsidR="004361D3">
        <w:t>qualitative</w:t>
      </w:r>
      <w:r w:rsidR="00001ACE">
        <w:t xml:space="preserve"> data.</w:t>
      </w:r>
      <w:r w:rsidR="0071123A">
        <w:t xml:space="preserve"> </w:t>
      </w:r>
    </w:p>
    <w:p w14:paraId="0D393EC9" w14:textId="6A145FA4" w:rsidR="00972DEF" w:rsidRPr="00691454" w:rsidRDefault="00B210E1" w:rsidP="0006739E">
      <w:pPr>
        <w:pStyle w:val="Heading2"/>
      </w:pPr>
      <w:bookmarkStart w:id="8" w:name="_Toc511121631"/>
      <w:r>
        <w:t xml:space="preserve">A.4. </w:t>
      </w:r>
      <w:r>
        <w:tab/>
      </w:r>
      <w:r w:rsidR="00972DEF" w:rsidRPr="00691454">
        <w:t>Efforts to Identify Duplication and Use of Similar Information</w:t>
      </w:r>
      <w:bookmarkEnd w:id="8"/>
    </w:p>
    <w:p w14:paraId="10D72D5A" w14:textId="28D30157" w:rsidR="00FC1A21" w:rsidRPr="00246B86" w:rsidRDefault="00FC1A21" w:rsidP="00FC1A21">
      <w:pPr>
        <w:pStyle w:val="BodyText"/>
      </w:pPr>
      <w:r>
        <w:t>This information collection request represents a new effort</w:t>
      </w:r>
      <w:r w:rsidR="00E828B2">
        <w:t xml:space="preserve"> – </w:t>
      </w:r>
      <w:r>
        <w:t>the first of its kind</w:t>
      </w:r>
      <w:r w:rsidR="00E828B2">
        <w:t xml:space="preserve"> – </w:t>
      </w:r>
      <w:r>
        <w:t xml:space="preserve">to collect qualitative data from older and younger adults regarding the facilitators and barriers </w:t>
      </w:r>
      <w:r w:rsidR="008E6A0F">
        <w:t>of</w:t>
      </w:r>
      <w:r>
        <w:t xml:space="preserve"> using ride share services. The data collection effort will allow CDC to describe currently available ride share services, understand older adults</w:t>
      </w:r>
      <w:r w:rsidR="00B54325">
        <w:t>'</w:t>
      </w:r>
      <w:r>
        <w:t xml:space="preserve"> attitudes and beliefs toward using these services, and compare older adults</w:t>
      </w:r>
      <w:r w:rsidR="00B54325">
        <w:t>'</w:t>
      </w:r>
      <w:r>
        <w:t xml:space="preserve"> attitudes and beliefs to younger adults. CDC will use this information to identify strategies for meeting the transportation needs of older adults. This study represents the first attempt to systematically assess barriers and facilitators </w:t>
      </w:r>
      <w:r w:rsidR="005E5644">
        <w:t>of</w:t>
      </w:r>
      <w:r>
        <w:t xml:space="preserve"> using ride share services. There is no known information available that can substitute data collection.</w:t>
      </w:r>
      <w:r w:rsidR="0071123A">
        <w:t xml:space="preserve"> </w:t>
      </w:r>
    </w:p>
    <w:p w14:paraId="0D393ECB" w14:textId="2AA6004E" w:rsidR="00972DEF" w:rsidRPr="00691454" w:rsidRDefault="00B210E1" w:rsidP="0006739E">
      <w:pPr>
        <w:pStyle w:val="Heading2"/>
      </w:pPr>
      <w:bookmarkStart w:id="9" w:name="_Toc511121632"/>
      <w:r w:rsidRPr="00CB20C3">
        <w:t xml:space="preserve">A.5. </w:t>
      </w:r>
      <w:r w:rsidRPr="00CB20C3">
        <w:tab/>
      </w:r>
      <w:r w:rsidR="00972DEF" w:rsidRPr="00CB20C3">
        <w:t>Impact on Small Businesses or Other Small Entities</w:t>
      </w:r>
      <w:bookmarkEnd w:id="9"/>
      <w:r w:rsidR="00972DEF" w:rsidRPr="00691454">
        <w:t xml:space="preserve"> </w:t>
      </w:r>
    </w:p>
    <w:p w14:paraId="36ABC7E8" w14:textId="64DA3446" w:rsidR="00CB20C3" w:rsidRDefault="00CB20C3" w:rsidP="00C462C7">
      <w:pPr>
        <w:pStyle w:val="BodyText"/>
      </w:pPr>
      <w:r>
        <w:t>The collection of information does not involve small businesses or other small entities. This information collection only includes older and younger adults.</w:t>
      </w:r>
    </w:p>
    <w:p w14:paraId="0D393ECF" w14:textId="3D666F20" w:rsidR="00972DEF" w:rsidRPr="00691454" w:rsidRDefault="00B210E1" w:rsidP="0006739E">
      <w:pPr>
        <w:pStyle w:val="Heading2"/>
      </w:pPr>
      <w:bookmarkStart w:id="10" w:name="_Toc511121633"/>
      <w:r>
        <w:t xml:space="preserve">A.6. </w:t>
      </w:r>
      <w:r>
        <w:tab/>
      </w:r>
      <w:r w:rsidR="00972DEF" w:rsidRPr="00691454">
        <w:t>Consequences of Collecting the Information Less Frequently</w:t>
      </w:r>
      <w:bookmarkEnd w:id="10"/>
      <w:r w:rsidR="00972DEF" w:rsidRPr="00691454">
        <w:t xml:space="preserve"> </w:t>
      </w:r>
    </w:p>
    <w:p w14:paraId="1937DC5E" w14:textId="140B440B" w:rsidR="000F50EC" w:rsidRDefault="00AA2182" w:rsidP="00CD0101">
      <w:pPr>
        <w:pStyle w:val="BodyText"/>
      </w:pPr>
      <w:r>
        <w:t>The proposed data collection is a direct response to CDC</w:t>
      </w:r>
      <w:r w:rsidR="00B54325">
        <w:t>'</w:t>
      </w:r>
      <w:r>
        <w:t>s need to understand older adults</w:t>
      </w:r>
      <w:r w:rsidR="00B54325">
        <w:t>'</w:t>
      </w:r>
      <w:r>
        <w:t xml:space="preserve"> </w:t>
      </w:r>
      <w:r w:rsidR="000F50EC">
        <w:t>barriers and facilitators of using</w:t>
      </w:r>
      <w:r>
        <w:t xml:space="preserve"> ride share services, in order to identify strategies for meeting the transportation needs of older adults. </w:t>
      </w:r>
    </w:p>
    <w:p w14:paraId="6A4793A4" w14:textId="1B88F48F" w:rsidR="00AA2182" w:rsidRDefault="000F50EC" w:rsidP="00CD0101">
      <w:pPr>
        <w:pStyle w:val="BodyText"/>
      </w:pPr>
      <w:r>
        <w:t xml:space="preserve">This request is for a one-time data collection. No respondent will be asked to participate in more than one interview or focus group. There will be no additional information collections under this OMB request.   </w:t>
      </w:r>
    </w:p>
    <w:p w14:paraId="1757175A" w14:textId="5969DA35" w:rsidR="00AA2182" w:rsidRDefault="007379BF" w:rsidP="00AA2182">
      <w:pPr>
        <w:pStyle w:val="BodyText"/>
      </w:pPr>
      <w:r>
        <w:t>Not collecting this information would negatively impact CDC</w:t>
      </w:r>
      <w:r w:rsidR="00B54325">
        <w:t>'</w:t>
      </w:r>
      <w:r>
        <w:t>s mission to promote and improve the health of people in the United States. Specifically, th</w:t>
      </w:r>
      <w:r w:rsidR="00AA2182">
        <w:t xml:space="preserve">e consequences of </w:t>
      </w:r>
      <w:r w:rsidR="00AA2182" w:rsidRPr="008E6245">
        <w:rPr>
          <w:i/>
        </w:rPr>
        <w:t>not</w:t>
      </w:r>
      <w:r w:rsidR="00AA2182">
        <w:t xml:space="preserve"> collecting the information would be: </w:t>
      </w:r>
    </w:p>
    <w:p w14:paraId="613A8BED" w14:textId="18774DAB" w:rsidR="007379BF" w:rsidRPr="00857DB7" w:rsidRDefault="007379BF" w:rsidP="00AB1142">
      <w:pPr>
        <w:pStyle w:val="BodyText"/>
        <w:numPr>
          <w:ilvl w:val="0"/>
          <w:numId w:val="16"/>
        </w:numPr>
      </w:pPr>
      <w:r>
        <w:t>Failure to d</w:t>
      </w:r>
      <w:r w:rsidRPr="00857DB7">
        <w:t>escribe currently available U.S. ride share services, including services specifically for older adults and services that include older adults as part of their service population;</w:t>
      </w:r>
    </w:p>
    <w:p w14:paraId="1E16F764" w14:textId="04B33342" w:rsidR="007379BF" w:rsidRPr="00857DB7" w:rsidRDefault="007379BF" w:rsidP="00AB1142">
      <w:pPr>
        <w:pStyle w:val="BodyText"/>
        <w:numPr>
          <w:ilvl w:val="0"/>
          <w:numId w:val="16"/>
        </w:numPr>
      </w:pPr>
      <w:r>
        <w:t>Failure to u</w:t>
      </w:r>
      <w:r w:rsidRPr="00857DB7">
        <w:t xml:space="preserve">nderstand older adult attitudes and beliefs toward using these services; and </w:t>
      </w:r>
    </w:p>
    <w:p w14:paraId="5341CE79" w14:textId="095821AD" w:rsidR="007379BF" w:rsidRDefault="007379BF" w:rsidP="00AB1142">
      <w:pPr>
        <w:pStyle w:val="BodyText"/>
        <w:numPr>
          <w:ilvl w:val="0"/>
          <w:numId w:val="16"/>
        </w:numPr>
      </w:pPr>
      <w:r>
        <w:t>Failure to c</w:t>
      </w:r>
      <w:r w:rsidRPr="00857DB7">
        <w:t>ompare older adult</w:t>
      </w:r>
      <w:r>
        <w:t>s</w:t>
      </w:r>
      <w:r w:rsidR="00B54325">
        <w:t>'</w:t>
      </w:r>
      <w:r w:rsidRPr="00857DB7">
        <w:t xml:space="preserve"> attitudes and beliefs to younger adults (age &lt;65 years).</w:t>
      </w:r>
      <w:r w:rsidDel="007379BF">
        <w:t xml:space="preserve"> </w:t>
      </w:r>
    </w:p>
    <w:p w14:paraId="0D393ED1" w14:textId="1DC200B5" w:rsidR="00972DEF" w:rsidRPr="00691454" w:rsidRDefault="00B210E1" w:rsidP="0006739E">
      <w:pPr>
        <w:pStyle w:val="Heading2"/>
      </w:pPr>
      <w:bookmarkStart w:id="11" w:name="_Toc511121634"/>
      <w:r>
        <w:t xml:space="preserve">A.7. </w:t>
      </w:r>
      <w:r>
        <w:tab/>
      </w:r>
      <w:r w:rsidR="00972DEF" w:rsidRPr="00691454">
        <w:t>Special Circumstances Relating to the Guidelines of 5 CFR 1320.5</w:t>
      </w:r>
      <w:bookmarkEnd w:id="11"/>
    </w:p>
    <w:p w14:paraId="0D393ED3" w14:textId="3F0FC345" w:rsidR="00972DEF" w:rsidRPr="00691454" w:rsidRDefault="00972DEF" w:rsidP="008907BD">
      <w:pPr>
        <w:pStyle w:val="BodyText"/>
      </w:pPr>
      <w:r w:rsidRPr="00691454">
        <w:t>Th</w:t>
      </w:r>
      <w:r w:rsidR="00A5643E">
        <w:t>is</w:t>
      </w:r>
      <w:r w:rsidRPr="00691454">
        <w:t xml:space="preserve"> request fully complies with the regulation 5 CF</w:t>
      </w:r>
      <w:r w:rsidR="00AA2182">
        <w:t xml:space="preserve">R 1320.5. </w:t>
      </w:r>
      <w:r w:rsidR="00A5643E">
        <w:t>There are no special circumstances.</w:t>
      </w:r>
    </w:p>
    <w:p w14:paraId="0D393ED5" w14:textId="36A1F0AD" w:rsidR="00972DEF" w:rsidRPr="00691454" w:rsidRDefault="00B210E1" w:rsidP="0006739E">
      <w:pPr>
        <w:pStyle w:val="Heading2"/>
      </w:pPr>
      <w:bookmarkStart w:id="12" w:name="_Toc511121635"/>
      <w:r>
        <w:t xml:space="preserve">A.8. </w:t>
      </w:r>
      <w:r>
        <w:tab/>
      </w:r>
      <w:r w:rsidR="00972DEF" w:rsidRPr="00691454">
        <w:t>Comments in Response to the Federal Register N</w:t>
      </w:r>
      <w:r w:rsidR="0006739E">
        <w:t xml:space="preserve">otice and Efforts to Consult </w:t>
      </w:r>
      <w:r w:rsidR="00972DEF" w:rsidRPr="00691454">
        <w:t>Outside the Agency</w:t>
      </w:r>
      <w:bookmarkEnd w:id="12"/>
      <w:r w:rsidR="00972DEF" w:rsidRPr="00691454">
        <w:t xml:space="preserve"> </w:t>
      </w:r>
    </w:p>
    <w:p w14:paraId="0D393ED7" w14:textId="77777777" w:rsidR="00405CC1" w:rsidRPr="00D10B87" w:rsidRDefault="00972DEF" w:rsidP="00EF504E">
      <w:pPr>
        <w:pStyle w:val="BodyText"/>
        <w:spacing w:before="360"/>
        <w:rPr>
          <w:noProof/>
          <w:u w:val="single"/>
        </w:rPr>
      </w:pPr>
      <w:r w:rsidRPr="00D10B87">
        <w:rPr>
          <w:u w:val="single"/>
        </w:rPr>
        <w:t>A.8.a)</w:t>
      </w:r>
      <w:r w:rsidRPr="00D10B87">
        <w:rPr>
          <w:u w:val="single"/>
        </w:rPr>
        <w:tab/>
      </w:r>
      <w:r w:rsidR="0049057C" w:rsidRPr="00D10B87">
        <w:rPr>
          <w:noProof/>
          <w:u w:val="single"/>
        </w:rPr>
        <w:t>Federal Register Notice</w:t>
      </w:r>
    </w:p>
    <w:p w14:paraId="50B933A8" w14:textId="77777777" w:rsidR="000C6419" w:rsidRDefault="000C6419" w:rsidP="00AA2182">
      <w:pPr>
        <w:pStyle w:val="BodyText"/>
        <w:rPr>
          <w:noProof/>
        </w:rPr>
      </w:pPr>
      <w:r w:rsidRPr="000C6419">
        <w:rPr>
          <w:noProof/>
        </w:rPr>
        <w:t xml:space="preserve">A 60-day Federal Register Notice has already been published for the Generic Clearance.  No Federal Register Notice is required for this GenIC submission.  </w:t>
      </w:r>
    </w:p>
    <w:p w14:paraId="0D393EDA" w14:textId="07BF4A45" w:rsidR="00972DEF" w:rsidRPr="00D10B87" w:rsidRDefault="00972DEF" w:rsidP="00EF504E">
      <w:pPr>
        <w:pStyle w:val="BodyText"/>
        <w:spacing w:before="360"/>
        <w:rPr>
          <w:noProof/>
          <w:u w:val="single"/>
        </w:rPr>
      </w:pPr>
      <w:r w:rsidRPr="00D10B87">
        <w:rPr>
          <w:u w:val="single"/>
        </w:rPr>
        <w:t xml:space="preserve">A.8.b) </w:t>
      </w:r>
      <w:r w:rsidR="0049057C" w:rsidRPr="00D10B87">
        <w:rPr>
          <w:u w:val="single"/>
        </w:rPr>
        <w:t>Efforts to Consult Outside the Agency</w:t>
      </w:r>
    </w:p>
    <w:p w14:paraId="36A02308" w14:textId="3AFFD8D9" w:rsidR="00550DCA" w:rsidRDefault="00AA2182" w:rsidP="00EC4381">
      <w:pPr>
        <w:pStyle w:val="BodyText"/>
        <w:rPr>
          <w:noProof/>
        </w:rPr>
      </w:pPr>
      <w:r w:rsidRPr="00D10B87">
        <w:rPr>
          <w:noProof/>
        </w:rPr>
        <w:t>CDC</w:t>
      </w:r>
      <w:r w:rsidR="00B54325">
        <w:rPr>
          <w:noProof/>
        </w:rPr>
        <w:t>'</w:t>
      </w:r>
      <w:r w:rsidR="00F07608">
        <w:rPr>
          <w:noProof/>
        </w:rPr>
        <w:t>s</w:t>
      </w:r>
      <w:r w:rsidR="00A5643E">
        <w:rPr>
          <w:noProof/>
        </w:rPr>
        <w:t xml:space="preserve"> National Center for Injury Prevention and Control—</w:t>
      </w:r>
      <w:r w:rsidR="006D010B">
        <w:rPr>
          <w:noProof/>
        </w:rPr>
        <w:t xml:space="preserve">Laurie Beck, </w:t>
      </w:r>
      <w:r w:rsidR="00F46390">
        <w:rPr>
          <w:noProof/>
        </w:rPr>
        <w:t xml:space="preserve">MPH; </w:t>
      </w:r>
      <w:r w:rsidR="00A5643E">
        <w:rPr>
          <w:noProof/>
        </w:rPr>
        <w:t>Amelia Jewett</w:t>
      </w:r>
      <w:r w:rsidR="006D010B">
        <w:rPr>
          <w:noProof/>
        </w:rPr>
        <w:t>,</w:t>
      </w:r>
      <w:r w:rsidR="00F46390">
        <w:rPr>
          <w:noProof/>
        </w:rPr>
        <w:t xml:space="preserve"> MPH;</w:t>
      </w:r>
      <w:r w:rsidR="006D010B">
        <w:rPr>
          <w:noProof/>
        </w:rPr>
        <w:t xml:space="preserve"> and Asad</w:t>
      </w:r>
      <w:r w:rsidR="003E4E04">
        <w:rPr>
          <w:noProof/>
        </w:rPr>
        <w:t>ur</w:t>
      </w:r>
      <w:r w:rsidR="006D010B">
        <w:rPr>
          <w:noProof/>
        </w:rPr>
        <w:t xml:space="preserve"> Patwary</w:t>
      </w:r>
      <w:r w:rsidR="00F46390">
        <w:rPr>
          <w:noProof/>
        </w:rPr>
        <w:t>, MPH</w:t>
      </w:r>
      <w:r w:rsidR="006D010B">
        <w:rPr>
          <w:noProof/>
        </w:rPr>
        <w:t>—</w:t>
      </w:r>
      <w:r w:rsidR="00A5643E">
        <w:rPr>
          <w:noProof/>
        </w:rPr>
        <w:t xml:space="preserve">reviewed the study methodology and protocols and provided written </w:t>
      </w:r>
      <w:r w:rsidR="006D010B">
        <w:rPr>
          <w:noProof/>
        </w:rPr>
        <w:t xml:space="preserve">and verbal </w:t>
      </w:r>
      <w:r w:rsidR="00A5643E">
        <w:rPr>
          <w:noProof/>
        </w:rPr>
        <w:t>feedback</w:t>
      </w:r>
      <w:r w:rsidR="006D010B">
        <w:rPr>
          <w:noProof/>
        </w:rPr>
        <w:t xml:space="preserve"> on the study methodology and all attachments</w:t>
      </w:r>
      <w:r w:rsidR="00A5643E">
        <w:rPr>
          <w:noProof/>
        </w:rPr>
        <w:t xml:space="preserve">. </w:t>
      </w:r>
    </w:p>
    <w:p w14:paraId="2B40E683" w14:textId="77777777" w:rsidR="00550DCA" w:rsidRDefault="00D10B87" w:rsidP="00EC4381">
      <w:pPr>
        <w:pStyle w:val="BodyText"/>
        <w:rPr>
          <w:noProof/>
        </w:rPr>
      </w:pPr>
      <w:r>
        <w:rPr>
          <w:noProof/>
        </w:rPr>
        <w:t xml:space="preserve">Katherine Freund, </w:t>
      </w:r>
      <w:r w:rsidR="00F46390">
        <w:rPr>
          <w:noProof/>
        </w:rPr>
        <w:t xml:space="preserve">MA, </w:t>
      </w:r>
      <w:r>
        <w:rPr>
          <w:noProof/>
        </w:rPr>
        <w:t>President</w:t>
      </w:r>
      <w:r w:rsidR="00A5643E">
        <w:rPr>
          <w:noProof/>
        </w:rPr>
        <w:t xml:space="preserve"> of</w:t>
      </w:r>
      <w:r>
        <w:rPr>
          <w:noProof/>
        </w:rPr>
        <w:t xml:space="preserve"> ITNAmerica</w:t>
      </w:r>
      <w:r w:rsidR="00A5643E">
        <w:rPr>
          <w:noProof/>
        </w:rPr>
        <w:t xml:space="preserve"> and an expert in transportation for older adults</w:t>
      </w:r>
      <w:r w:rsidR="006D010B">
        <w:rPr>
          <w:noProof/>
        </w:rPr>
        <w:t xml:space="preserve"> also provided written and verbal feedback on the</w:t>
      </w:r>
      <w:r>
        <w:rPr>
          <w:noProof/>
        </w:rPr>
        <w:t xml:space="preserve"> study methodology </w:t>
      </w:r>
      <w:r w:rsidR="004B1F55">
        <w:rPr>
          <w:noProof/>
        </w:rPr>
        <w:t xml:space="preserve">and </w:t>
      </w:r>
      <w:r w:rsidR="006D010B">
        <w:rPr>
          <w:noProof/>
        </w:rPr>
        <w:t>all attachments</w:t>
      </w:r>
      <w:r>
        <w:rPr>
          <w:noProof/>
        </w:rPr>
        <w:t xml:space="preserve">. </w:t>
      </w:r>
    </w:p>
    <w:p w14:paraId="1EFADD3A" w14:textId="200CB64E" w:rsidR="00550DCA" w:rsidRDefault="00550DCA" w:rsidP="00EC4381">
      <w:pPr>
        <w:pStyle w:val="BodyText"/>
        <w:rPr>
          <w:noProof/>
        </w:rPr>
      </w:pPr>
      <w:r>
        <w:rPr>
          <w:noProof/>
        </w:rPr>
        <w:t xml:space="preserve">Several ride share organizations were consulted about the recruitment strategy, and specifically, the feasibility of recruiting study participants from their ridership. Specifically, we consulted with Katherine Freund, </w:t>
      </w:r>
      <w:r>
        <w:t xml:space="preserve">Joe Warren, </w:t>
      </w:r>
      <w:r w:rsidR="00944CC6">
        <w:t xml:space="preserve">and </w:t>
      </w:r>
      <w:r>
        <w:t>Amarjothi Natarajan from ITNAmerica; Justin Boogaard from GoGoGrandparent</w:t>
      </w:r>
      <w:r w:rsidR="00944CC6">
        <w:t>;</w:t>
      </w:r>
      <w:r>
        <w:t xml:space="preserve"> </w:t>
      </w:r>
      <w:r w:rsidR="00463728">
        <w:t xml:space="preserve">and </w:t>
      </w:r>
      <w:r>
        <w:t xml:space="preserve">Gyre Renwick from Lyft. </w:t>
      </w:r>
    </w:p>
    <w:p w14:paraId="4C9B254B" w14:textId="73D800CF" w:rsidR="00D10B87" w:rsidRPr="00D10B87" w:rsidRDefault="00D10B87" w:rsidP="00EC4381">
      <w:pPr>
        <w:pStyle w:val="BodyText"/>
        <w:rPr>
          <w:noProof/>
        </w:rPr>
      </w:pPr>
      <w:r>
        <w:rPr>
          <w:noProof/>
        </w:rPr>
        <w:t>The NORC staff consulted to develop the study include: Alycia Bayne, MPA</w:t>
      </w:r>
      <w:r w:rsidR="00EC4381">
        <w:rPr>
          <w:noProof/>
        </w:rPr>
        <w:t xml:space="preserve">; </w:t>
      </w:r>
      <w:r>
        <w:rPr>
          <w:noProof/>
        </w:rPr>
        <w:t>Alexa Siegfried, MPH</w:t>
      </w:r>
      <w:r w:rsidR="00EC4381">
        <w:rPr>
          <w:noProof/>
        </w:rPr>
        <w:t xml:space="preserve">; </w:t>
      </w:r>
      <w:r>
        <w:rPr>
          <w:noProof/>
        </w:rPr>
        <w:t>Mary Slosar</w:t>
      </w:r>
      <w:r w:rsidR="00EC4381">
        <w:rPr>
          <w:noProof/>
        </w:rPr>
        <w:t xml:space="preserve">, PhD; </w:t>
      </w:r>
      <w:r>
        <w:rPr>
          <w:noProof/>
        </w:rPr>
        <w:t>Tori Nadel, BS</w:t>
      </w:r>
      <w:r w:rsidR="00EC4381">
        <w:rPr>
          <w:noProof/>
        </w:rPr>
        <w:t xml:space="preserve">; and </w:t>
      </w:r>
      <w:r>
        <w:rPr>
          <w:noProof/>
        </w:rPr>
        <w:t>Mallory Kennedy, BA</w:t>
      </w:r>
      <w:r w:rsidR="00EC4381">
        <w:rPr>
          <w:noProof/>
        </w:rPr>
        <w:t>.</w:t>
      </w:r>
    </w:p>
    <w:p w14:paraId="0D393EDC" w14:textId="3DF3843B" w:rsidR="00972DEF" w:rsidRPr="00691454" w:rsidRDefault="00972DEF" w:rsidP="0006739E">
      <w:pPr>
        <w:pStyle w:val="Heading2"/>
      </w:pPr>
      <w:bookmarkStart w:id="13" w:name="_Toc511121636"/>
      <w:r w:rsidRPr="00691454">
        <w:t>A.9</w:t>
      </w:r>
      <w:r w:rsidR="00B210E1">
        <w:t xml:space="preserve">. </w:t>
      </w:r>
      <w:r w:rsidR="00B210E1">
        <w:tab/>
      </w:r>
      <w:r w:rsidRPr="00691454">
        <w:t>Explanation of Any Payment or Gift to Respondents</w:t>
      </w:r>
      <w:bookmarkEnd w:id="13"/>
      <w:r w:rsidRPr="00691454">
        <w:t xml:space="preserve"> </w:t>
      </w:r>
    </w:p>
    <w:p w14:paraId="36833EDC" w14:textId="6236E2D7" w:rsidR="005B2CD6" w:rsidRDefault="002D260B" w:rsidP="00FC0FF6">
      <w:pPr>
        <w:pStyle w:val="BodyText"/>
      </w:pPr>
      <w:r>
        <w:t>This study will help CDC to understand older adults</w:t>
      </w:r>
      <w:r w:rsidR="00B54325">
        <w:t>'</w:t>
      </w:r>
      <w:r>
        <w:t xml:space="preserve"> use of ride share services, compare their experiences with those of younger adults, and identify strategies for meeting the transportation needs of older adults. </w:t>
      </w:r>
      <w:r w:rsidR="00FC0FF6">
        <w:t>To address these goals</w:t>
      </w:r>
      <w:r>
        <w:t xml:space="preserve">, we will recruit a sample of </w:t>
      </w:r>
      <w:r w:rsidR="00FC0FF6">
        <w:t>individuals</w:t>
      </w:r>
      <w:r w:rsidR="00497BA3">
        <w:t xml:space="preserve"> </w:t>
      </w:r>
      <w:r w:rsidR="00FC0FF6">
        <w:t xml:space="preserve">from the five study populations </w:t>
      </w:r>
      <w:r w:rsidR="00497BA3">
        <w:t xml:space="preserve">who </w:t>
      </w:r>
      <w:r w:rsidR="00FC0FF6">
        <w:t xml:space="preserve">represent a range of different characteristics </w:t>
      </w:r>
      <w:r>
        <w:t xml:space="preserve">in terms of age, geographic location (county of residence), </w:t>
      </w:r>
      <w:r w:rsidR="00E16269">
        <w:t>sex</w:t>
      </w:r>
      <w:r>
        <w:t xml:space="preserve">, race, ethnicity, and driving status. </w:t>
      </w:r>
      <w:r w:rsidR="005B2CD6">
        <w:t>It is important to gain as many perspectives as possible through this information collection</w:t>
      </w:r>
      <w:r w:rsidR="009B3D7B">
        <w:t>. D</w:t>
      </w:r>
      <w:r w:rsidR="005B2CD6">
        <w:t xml:space="preserve">oing so will allow us to </w:t>
      </w:r>
      <w:r w:rsidR="005D5551">
        <w:t xml:space="preserve">provide a more </w:t>
      </w:r>
      <w:r w:rsidR="00D31375">
        <w:t>nuanced</w:t>
      </w:r>
      <w:r w:rsidR="005D5551">
        <w:t xml:space="preserve"> understanding of </w:t>
      </w:r>
      <w:r w:rsidR="005B2CD6">
        <w:t>the</w:t>
      </w:r>
      <w:r w:rsidR="009B3D7B">
        <w:t xml:space="preserve"> </w:t>
      </w:r>
      <w:r w:rsidR="00D31375">
        <w:t>older and younger adults</w:t>
      </w:r>
      <w:r w:rsidR="00B54325">
        <w:t>'</w:t>
      </w:r>
      <w:r w:rsidR="005B2CD6">
        <w:t xml:space="preserve"> attitudes and beliefs towards ride share services</w:t>
      </w:r>
      <w:r w:rsidR="005D5551">
        <w:t xml:space="preserve">. </w:t>
      </w:r>
      <w:r w:rsidR="00D31375">
        <w:t xml:space="preserve">This will enable </w:t>
      </w:r>
      <w:r w:rsidR="005B2CD6">
        <w:t xml:space="preserve">CDC </w:t>
      </w:r>
      <w:r w:rsidR="00D31375">
        <w:t>to</w:t>
      </w:r>
      <w:r w:rsidR="005B2CD6">
        <w:t xml:space="preserve"> identify strategies </w:t>
      </w:r>
      <w:r w:rsidR="00D31375">
        <w:t xml:space="preserve">to meet the transportation needs of older adults. </w:t>
      </w:r>
    </w:p>
    <w:p w14:paraId="029CFB0E" w14:textId="4681EF2E" w:rsidR="00FC0FF6" w:rsidRDefault="002D260B" w:rsidP="002D260B">
      <w:pPr>
        <w:pStyle w:val="BodyText"/>
      </w:pPr>
      <w:r>
        <w:t xml:space="preserve">To ensure that </w:t>
      </w:r>
      <w:r w:rsidR="005B2CD6">
        <w:t xml:space="preserve">the </w:t>
      </w:r>
      <w:r>
        <w:t>sample</w:t>
      </w:r>
      <w:r w:rsidR="005B2CD6">
        <w:t xml:space="preserve"> </w:t>
      </w:r>
      <w:r w:rsidR="00D31375">
        <w:t>is comprised of respondents</w:t>
      </w:r>
      <w:r w:rsidR="00374C24">
        <w:t xml:space="preserve"> with different characteristics</w:t>
      </w:r>
      <w:r w:rsidR="00D31375">
        <w:t>—including racial and ethnic minority populations and populations of low socioeconomic status—</w:t>
      </w:r>
      <w:r>
        <w:t xml:space="preserve">we will </w:t>
      </w:r>
      <w:r w:rsidR="005B2CD6">
        <w:t>provide</w:t>
      </w:r>
      <w:r>
        <w:t xml:space="preserve"> a </w:t>
      </w:r>
      <w:r w:rsidR="00F46390">
        <w:t>token of appreciation</w:t>
      </w:r>
      <w:r w:rsidR="005B2CD6">
        <w:t xml:space="preserve"> for their participation</w:t>
      </w:r>
      <w:r w:rsidR="00FC0FF6">
        <w:t>.</w:t>
      </w:r>
      <w:r>
        <w:t xml:space="preserve"> </w:t>
      </w:r>
    </w:p>
    <w:p w14:paraId="122B0A82" w14:textId="5D811BDA" w:rsidR="002D260B" w:rsidRDefault="002D260B" w:rsidP="002D260B">
      <w:pPr>
        <w:pStyle w:val="BodyText"/>
        <w:rPr>
          <w:vertAlign w:val="superscript"/>
        </w:rPr>
      </w:pPr>
      <w:r>
        <w:t>Several studies have demonstrate</w:t>
      </w:r>
      <w:r w:rsidR="00FC0FF6">
        <w:t>d</w:t>
      </w:r>
      <w:r>
        <w:t xml:space="preserve"> </w:t>
      </w:r>
      <w:r w:rsidR="00A514D9">
        <w:t xml:space="preserve">that </w:t>
      </w:r>
      <w:r>
        <w:t xml:space="preserve">the use of </w:t>
      </w:r>
      <w:r w:rsidR="00B7446F">
        <w:t>gifts of gratitude</w:t>
      </w:r>
      <w:r>
        <w:t xml:space="preserve"> </w:t>
      </w:r>
      <w:r w:rsidR="00B7446F">
        <w:t>are</w:t>
      </w:r>
      <w:r>
        <w:t xml:space="preserve"> an effective method for increasing response rates, particularly among hard-to-reach populations. Hard-to-reach populations are subgroups that may be difficult to involve in research due to various determinants, such as their physical or geographic location, or their social or economic conditions.</w:t>
      </w:r>
      <w:r>
        <w:rPr>
          <w:rStyle w:val="EndnoteReference"/>
        </w:rPr>
        <w:endnoteReference w:id="11"/>
      </w:r>
      <w:r>
        <w:t xml:space="preserve"> Several studies have found that </w:t>
      </w:r>
      <w:r w:rsidR="00B7446F">
        <w:t xml:space="preserve">small gifts </w:t>
      </w:r>
      <w:r>
        <w:t>significantly increased participation among racial and ethnic minorities.</w:t>
      </w:r>
      <w:r>
        <w:rPr>
          <w:rStyle w:val="EndnoteReference"/>
          <w:rFonts w:ascii="TimesNewRomanPSMT" w:hAnsi="TimesNewRomanPSMT" w:cs="TimesNewRomanPSMT"/>
        </w:rPr>
        <w:endnoteReference w:id="12"/>
      </w:r>
      <w:r>
        <w:t xml:space="preserve"> For example, in one telephone survey of Medicaid recipients, </w:t>
      </w:r>
      <w:r w:rsidR="00FB029E">
        <w:t>a $2 token of appreciation</w:t>
      </w:r>
      <w:r>
        <w:t xml:space="preserve"> increased responsiveness both overall and within different racial and ethnic groups of respondents;</w:t>
      </w:r>
      <w:r>
        <w:rPr>
          <w:rStyle w:val="EndnoteReference"/>
        </w:rPr>
        <w:endnoteReference w:id="13"/>
      </w:r>
      <w:r>
        <w:rPr>
          <w:vertAlign w:val="superscript"/>
        </w:rPr>
        <w:t xml:space="preserve"> </w:t>
      </w:r>
      <w:r>
        <w:t xml:space="preserve">a </w:t>
      </w:r>
      <w:r w:rsidR="00FB029E">
        <w:t xml:space="preserve">$5 </w:t>
      </w:r>
      <w:r>
        <w:t xml:space="preserve">prepaid </w:t>
      </w:r>
      <w:r w:rsidR="008F1709">
        <w:t>reward</w:t>
      </w:r>
      <w:r>
        <w:t xml:space="preserve"> increase</w:t>
      </w:r>
      <w:r w:rsidR="008F1709">
        <w:t>d</w:t>
      </w:r>
      <w:r>
        <w:t xml:space="preserve"> responsiveness to a follow-up survey of low-income Latino respondents;</w:t>
      </w:r>
      <w:r>
        <w:rPr>
          <w:rStyle w:val="EndnoteReference"/>
        </w:rPr>
        <w:endnoteReference w:id="14"/>
      </w:r>
      <w:r>
        <w:t xml:space="preserve"> and, compared to a coupon or no </w:t>
      </w:r>
      <w:r w:rsidR="008F1709">
        <w:t>reward</w:t>
      </w:r>
      <w:r>
        <w:t xml:space="preserve">, a </w:t>
      </w:r>
      <w:r w:rsidR="00FB029E">
        <w:t>$5 token of appreciation</w:t>
      </w:r>
      <w:r>
        <w:t xml:space="preserve"> significantly increased responsiveness among African Americans to the Wisconsin </w:t>
      </w:r>
      <w:r w:rsidRPr="005567AB">
        <w:t>Pregnancy Risk Assessment Monitoring System (PRAMS)</w:t>
      </w:r>
      <w:r>
        <w:t>.</w:t>
      </w:r>
      <w:r>
        <w:rPr>
          <w:rStyle w:val="EndnoteReference"/>
        </w:rPr>
        <w:endnoteReference w:id="15"/>
      </w:r>
      <w:r>
        <w:t xml:space="preserve"> These studies have also found that the use of </w:t>
      </w:r>
      <w:r w:rsidR="00994CB1">
        <w:t xml:space="preserve">small gifts </w:t>
      </w:r>
      <w:r>
        <w:t>significantly increased participation among respondents that are typically underrepresented in surveys, such as those with low education levels</w:t>
      </w:r>
      <w:r>
        <w:rPr>
          <w:rStyle w:val="EndnoteReference"/>
          <w:rFonts w:ascii="TimesNewRomanPSMT" w:hAnsi="TimesNewRomanPSMT" w:cs="TimesNewRomanPSMT"/>
        </w:rPr>
        <w:endnoteReference w:id="16"/>
      </w:r>
      <w:r>
        <w:rPr>
          <w:rFonts w:ascii="TimesNewRomanPSMT" w:hAnsi="TimesNewRomanPSMT" w:cs="TimesNewRomanPSMT"/>
          <w:b/>
          <w:bCs/>
        </w:rPr>
        <w:t xml:space="preserve"> </w:t>
      </w:r>
      <w:r w:rsidRPr="00495BB0">
        <w:rPr>
          <w:rFonts w:ascii="TimesNewRomanPSMT" w:hAnsi="TimesNewRomanPSMT" w:cs="TimesNewRomanPSMT"/>
          <w:bCs/>
        </w:rPr>
        <w:t>and</w:t>
      </w:r>
      <w:r>
        <w:rPr>
          <w:rFonts w:ascii="TimesNewRomanPSMT" w:hAnsi="TimesNewRomanPSMT" w:cs="TimesNewRomanPSMT"/>
          <w:bCs/>
        </w:rPr>
        <w:t xml:space="preserve"> those</w:t>
      </w:r>
      <w:r w:rsidRPr="00495BB0">
        <w:rPr>
          <w:rFonts w:ascii="TimesNewRomanPSMT" w:hAnsi="TimesNewRomanPSMT" w:cs="TimesNewRomanPSMT"/>
          <w:bCs/>
        </w:rPr>
        <w:t xml:space="preserve"> from</w:t>
      </w:r>
      <w:r>
        <w:rPr>
          <w:rFonts w:ascii="TimesNewRomanPSMT" w:hAnsi="TimesNewRomanPSMT" w:cs="TimesNewRomanPSMT"/>
          <w:b/>
          <w:bCs/>
        </w:rPr>
        <w:t xml:space="preserve"> </w:t>
      </w:r>
      <w:r>
        <w:rPr>
          <w:rFonts w:ascii="TimesNewRomanPSMT" w:hAnsi="TimesNewRomanPSMT" w:cs="TimesNewRomanPSMT"/>
        </w:rPr>
        <w:t>low-income households.</w:t>
      </w:r>
      <w:r>
        <w:rPr>
          <w:rStyle w:val="EndnoteReference"/>
          <w:rFonts w:ascii="TimesNewRomanPSMT" w:hAnsi="TimesNewRomanPSMT" w:cs="TimesNewRomanPSMT"/>
        </w:rPr>
        <w:endnoteReference w:id="17"/>
      </w:r>
      <w:r w:rsidRPr="00495BB0">
        <w:t xml:space="preserve"> </w:t>
      </w:r>
      <w:r>
        <w:t xml:space="preserve">Additionally, among older adults in particular, the use of </w:t>
      </w:r>
      <w:r w:rsidR="00FB029E">
        <w:t xml:space="preserve">a $5 </w:t>
      </w:r>
      <w:r w:rsidR="00EA0266">
        <w:t>prepaid</w:t>
      </w:r>
      <w:r w:rsidR="00FB029E">
        <w:t xml:space="preserve"> reward </w:t>
      </w:r>
      <w:r>
        <w:t>in one telephone survey significantly reduced nonresponse.</w:t>
      </w:r>
      <w:r w:rsidR="00160FB2">
        <w:rPr>
          <w:rStyle w:val="EndnoteReference"/>
        </w:rPr>
        <w:endnoteReference w:id="18"/>
      </w:r>
      <w:r>
        <w:t xml:space="preserve"> </w:t>
      </w:r>
    </w:p>
    <w:p w14:paraId="183ED606" w14:textId="14CCBFC5" w:rsidR="002D260B" w:rsidRDefault="002D260B" w:rsidP="002D260B">
      <w:pPr>
        <w:pStyle w:val="BodyText"/>
      </w:pPr>
      <w:r>
        <w:t xml:space="preserve">Recent data collection conducted by the NORC research team leading the Multi-Site Evaluation of Project LAUNCH found that, without </w:t>
      </w:r>
      <w:r w:rsidR="00994CB1">
        <w:t>appreciative tokens</w:t>
      </w:r>
      <w:r>
        <w:t xml:space="preserve">, survey respondents were more likely to be white, college-educated, employed full-time, and from the highest income category compared to average across the sampled communities. After several months of data collection without </w:t>
      </w:r>
      <w:r w:rsidR="00E16269">
        <w:t>tokens of appreciation</w:t>
      </w:r>
      <w:r w:rsidR="008F1709">
        <w:t xml:space="preserve"> </w:t>
      </w:r>
      <w:r>
        <w:t xml:space="preserve">led to a response bias in the survey data (respondents were more likely to be white, college-educated, </w:t>
      </w:r>
      <w:r w:rsidRPr="001B593B">
        <w:t>employed full-time, and from the highest-income category</w:t>
      </w:r>
      <w:r>
        <w:t xml:space="preserve">), the research team received approval from OMB to </w:t>
      </w:r>
      <w:r w:rsidR="00FB029E">
        <w:t xml:space="preserve">provide a token of appreciation to </w:t>
      </w:r>
      <w:r>
        <w:t>survey respondents.</w:t>
      </w:r>
      <w:r w:rsidR="00160FB2">
        <w:rPr>
          <w:rStyle w:val="EndnoteReference"/>
        </w:rPr>
        <w:endnoteReference w:id="19"/>
      </w:r>
      <w:r>
        <w:t xml:space="preserve"> </w:t>
      </w:r>
    </w:p>
    <w:p w14:paraId="29FAF613" w14:textId="5CC6A06F" w:rsidR="00543C43" w:rsidRDefault="00543C43" w:rsidP="002D260B">
      <w:pPr>
        <w:pStyle w:val="BodyText"/>
      </w:pPr>
      <w:r>
        <w:t xml:space="preserve">We will provide </w:t>
      </w:r>
      <w:r w:rsidR="002929B9">
        <w:t>a</w:t>
      </w:r>
      <w:r>
        <w:t xml:space="preserve"> token of appreciation to </w:t>
      </w:r>
      <w:r w:rsidR="00944CC6">
        <w:t xml:space="preserve">all </w:t>
      </w:r>
      <w:r>
        <w:t xml:space="preserve">study participants. </w:t>
      </w:r>
      <w:r w:rsidR="00D31375">
        <w:t xml:space="preserve">Other non-monetary </w:t>
      </w:r>
      <w:r w:rsidR="00994CB1">
        <w:t xml:space="preserve">tokens </w:t>
      </w:r>
      <w:r w:rsidR="00D31375">
        <w:t xml:space="preserve">are not appropriate for this study because it is not logistically feasible to provide a non-monetary </w:t>
      </w:r>
      <w:r w:rsidR="00994CB1">
        <w:t xml:space="preserve">token </w:t>
      </w:r>
      <w:r w:rsidR="00D31375">
        <w:t xml:space="preserve">to individuals who complete a telephone interview. </w:t>
      </w:r>
    </w:p>
    <w:p w14:paraId="3DA571E1" w14:textId="74E822D6" w:rsidR="002D260B" w:rsidRDefault="002929B9" w:rsidP="002D260B">
      <w:pPr>
        <w:pStyle w:val="BodyText"/>
      </w:pPr>
      <w:r>
        <w:t>Each focus group will be 90 minutes in duration and will be conducted in-person. Following recent guidance from OMB, f</w:t>
      </w:r>
      <w:r w:rsidR="00FA6F72">
        <w:t xml:space="preserve">ocus group participants will receive a token of appreciation of $50 </w:t>
      </w:r>
      <w:r>
        <w:t xml:space="preserve">as token of appreciation </w:t>
      </w:r>
      <w:r w:rsidR="00FA6F72">
        <w:t>($33.34 per hour</w:t>
      </w:r>
      <w:r w:rsidR="00EE47E1">
        <w:t>, for a</w:t>
      </w:r>
      <w:r>
        <w:t xml:space="preserve"> total of $50 for the 90 minutes</w:t>
      </w:r>
      <w:r w:rsidR="00FA6F72">
        <w:t>).</w:t>
      </w:r>
      <w:r w:rsidR="00605778">
        <w:t xml:space="preserve"> </w:t>
      </w:r>
      <w:r w:rsidR="002D260B">
        <w:t xml:space="preserve">We will provide each participant with the </w:t>
      </w:r>
      <w:r w:rsidR="00B7446F">
        <w:t xml:space="preserve">token </w:t>
      </w:r>
      <w:r w:rsidR="002D260B">
        <w:t>at the conclusion of the focus group</w:t>
      </w:r>
      <w:r w:rsidR="00DE77EA">
        <w:t xml:space="preserve">. </w:t>
      </w:r>
      <w:r w:rsidR="00FA6F72">
        <w:t>Interview participants will receive a token of appreciation of $10. Each</w:t>
      </w:r>
      <w:r w:rsidR="002D260B">
        <w:t xml:space="preserve"> interview will </w:t>
      </w:r>
      <w:r w:rsidR="00543C43">
        <w:t>be</w:t>
      </w:r>
      <w:r w:rsidR="002D260B">
        <w:t xml:space="preserve"> 20 minutes in duration and conducted via telephone. </w:t>
      </w:r>
      <w:r w:rsidR="00710118">
        <w:t xml:space="preserve">We will provide the </w:t>
      </w:r>
      <w:r w:rsidR="00B7446F">
        <w:t xml:space="preserve">token of appreciation </w:t>
      </w:r>
      <w:r w:rsidR="00710118">
        <w:t xml:space="preserve">in the form of a check, issued to each respondent. Focus group participants will receive the check at </w:t>
      </w:r>
      <w:r w:rsidR="00C35091">
        <w:t>the conclusion of the focus group</w:t>
      </w:r>
      <w:r w:rsidR="00710118">
        <w:t xml:space="preserve">. Interview participants will receive the check via mail, following the conclusion of the interview. </w:t>
      </w:r>
      <w:r w:rsidR="008F1709">
        <w:t xml:space="preserve">All individuals who demonstrate a good faith effort to participate in the study will receive the token of appreciation. </w:t>
      </w:r>
    </w:p>
    <w:p w14:paraId="0D393EDF" w14:textId="0BD3AFB1" w:rsidR="008A1A86" w:rsidRPr="00691454" w:rsidRDefault="00B210E1" w:rsidP="0006739E">
      <w:pPr>
        <w:pStyle w:val="Heading2"/>
      </w:pPr>
      <w:bookmarkStart w:id="14" w:name="_Toc511121637"/>
      <w:r>
        <w:t xml:space="preserve">A.10. </w:t>
      </w:r>
      <w:r>
        <w:tab/>
      </w:r>
      <w:r w:rsidR="00053C31" w:rsidRPr="00053C31">
        <w:t>Protection of the Privacy</w:t>
      </w:r>
      <w:r w:rsidR="00395775">
        <w:t xml:space="preserve"> </w:t>
      </w:r>
      <w:r w:rsidR="00053C31" w:rsidRPr="00053C31">
        <w:t>and Confidentiality</w:t>
      </w:r>
      <w:r w:rsidR="0071123A">
        <w:t xml:space="preserve"> </w:t>
      </w:r>
      <w:r w:rsidR="00053C31" w:rsidRPr="00053C31">
        <w:t>of</w:t>
      </w:r>
      <w:r w:rsidR="0071123A">
        <w:t xml:space="preserve"> </w:t>
      </w:r>
      <w:r w:rsidR="00053C31" w:rsidRPr="00053C31">
        <w:t>Information</w:t>
      </w:r>
      <w:r w:rsidR="0071123A">
        <w:t xml:space="preserve"> </w:t>
      </w:r>
      <w:r w:rsidR="00053C31" w:rsidRPr="00053C31">
        <w:t>Provided</w:t>
      </w:r>
      <w:r w:rsidR="0071123A">
        <w:t xml:space="preserve"> </w:t>
      </w:r>
      <w:r w:rsidR="00053C31" w:rsidRPr="00053C31">
        <w:t>by</w:t>
      </w:r>
      <w:r w:rsidR="00395775">
        <w:t xml:space="preserve"> </w:t>
      </w:r>
      <w:r w:rsidR="00053C31" w:rsidRPr="00053C31">
        <w:t>Respondents</w:t>
      </w:r>
      <w:bookmarkEnd w:id="14"/>
    </w:p>
    <w:p w14:paraId="0FC9F3F9" w14:textId="1D24C02A" w:rsidR="007F2193" w:rsidRDefault="0058553B" w:rsidP="00DA2195">
      <w:pPr>
        <w:pStyle w:val="BodyText"/>
      </w:pPr>
      <w:r>
        <w:t>T</w:t>
      </w:r>
      <w:r w:rsidRPr="0058553B">
        <w:t>his submission has been reviewed by the NCIPC</w:t>
      </w:r>
      <w:r w:rsidR="00B54325">
        <w:t>'</w:t>
      </w:r>
      <w:r w:rsidRPr="0058553B">
        <w:t>s Information Systems Security Officer, who has determined that the Privacy Act does apply</w:t>
      </w:r>
      <w:r w:rsidR="00796022" w:rsidRPr="002D260B">
        <w:t xml:space="preserve">. </w:t>
      </w:r>
      <w:r w:rsidR="002D260B" w:rsidRPr="002D260B">
        <w:t>The</w:t>
      </w:r>
      <w:r w:rsidR="00796022" w:rsidRPr="002D260B">
        <w:t xml:space="preserve"> reasons for the determination</w:t>
      </w:r>
      <w:r w:rsidR="002D260B" w:rsidRPr="002D260B">
        <w:t xml:space="preserve"> are </w:t>
      </w:r>
      <w:r w:rsidR="00780642">
        <w:t>because the information collection includes personally identifiable information</w:t>
      </w:r>
      <w:r w:rsidR="00EB1508">
        <w:t xml:space="preserve">, specifically, </w:t>
      </w:r>
      <w:r w:rsidR="00780642">
        <w:t>name, phone</w:t>
      </w:r>
      <w:r w:rsidR="00710118">
        <w:t xml:space="preserve"> number, mailing address, and e</w:t>
      </w:r>
      <w:r w:rsidR="00780642">
        <w:t>mail address</w:t>
      </w:r>
      <w:r w:rsidR="00DE2B19">
        <w:t xml:space="preserve"> (focus group participants only)</w:t>
      </w:r>
      <w:r w:rsidR="00780642">
        <w:t>.</w:t>
      </w:r>
      <w:r w:rsidR="00EE37AB">
        <w:t xml:space="preserve"> The Privacy Impact Assessment (PIA) is provided </w:t>
      </w:r>
      <w:r>
        <w:t>(</w:t>
      </w:r>
      <w:r w:rsidR="00EE37AB">
        <w:t xml:space="preserve">Attachment </w:t>
      </w:r>
      <w:r w:rsidR="00D5761B">
        <w:t>M</w:t>
      </w:r>
      <w:r>
        <w:t>)</w:t>
      </w:r>
      <w:r w:rsidR="00EE37AB">
        <w:t xml:space="preserve">. </w:t>
      </w:r>
    </w:p>
    <w:p w14:paraId="7A47CC83" w14:textId="61B1FE8C" w:rsidR="008A4F36" w:rsidRDefault="00DA2195" w:rsidP="00CF0B3F">
      <w:pPr>
        <w:pStyle w:val="BodyText"/>
      </w:pPr>
      <w:r w:rsidRPr="00DA2195">
        <w:t xml:space="preserve">CDC is contracting with NORC at the University of Chicago to </w:t>
      </w:r>
      <w:r w:rsidR="00F129F6">
        <w:t xml:space="preserve">conduct this study. </w:t>
      </w:r>
      <w:r w:rsidRPr="00DA2195">
        <w:t>NORC staff will oversee the implementation of the study</w:t>
      </w:r>
      <w:r w:rsidR="00B54325">
        <w:t>'</w:t>
      </w:r>
      <w:r w:rsidRPr="00DA2195">
        <w:t xml:space="preserve">s protocols and conduct all data collection and analysis activities. </w:t>
      </w:r>
      <w:r w:rsidR="00CF0B3F">
        <w:t>NORC will collect personally identifiable information</w:t>
      </w:r>
      <w:r w:rsidR="00A97B8D">
        <w:t xml:space="preserve"> (PII)</w:t>
      </w:r>
      <w:r w:rsidR="00676FCE">
        <w:t xml:space="preserve">—specifically, name, </w:t>
      </w:r>
      <w:r w:rsidR="00DC26E8">
        <w:t xml:space="preserve">mailing </w:t>
      </w:r>
      <w:r w:rsidR="00676FCE">
        <w:t>address, email address</w:t>
      </w:r>
      <w:r w:rsidR="00DE2B19">
        <w:t xml:space="preserve"> (focus group participants only)</w:t>
      </w:r>
      <w:r w:rsidR="008A4F36">
        <w:t>, and phone number</w:t>
      </w:r>
      <w:r w:rsidR="00676FCE">
        <w:t>—</w:t>
      </w:r>
      <w:r w:rsidR="00CF0B3F">
        <w:t xml:space="preserve">when recruiting the sample of older and younger adults. </w:t>
      </w:r>
      <w:r w:rsidR="00EF52BD">
        <w:t xml:space="preserve">However, </w:t>
      </w:r>
      <w:r w:rsidR="008A4F36">
        <w:t xml:space="preserve">a member of the NORC research team will assign </w:t>
      </w:r>
      <w:r w:rsidR="00EF52BD">
        <w:t xml:space="preserve">respondents </w:t>
      </w:r>
      <w:r w:rsidR="008A4F36">
        <w:t xml:space="preserve">to a </w:t>
      </w:r>
      <w:r w:rsidR="00EF52BD">
        <w:t>study ID for use on data collection instruments</w:t>
      </w:r>
      <w:r w:rsidR="008A4F36">
        <w:t>.</w:t>
      </w:r>
      <w:r w:rsidR="00EF52BD">
        <w:t xml:space="preserve"> </w:t>
      </w:r>
      <w:r w:rsidR="008A4F36">
        <w:t xml:space="preserve">The NORC research team will maintain the study IDs and linking information throughout the duration of the study. </w:t>
      </w:r>
    </w:p>
    <w:p w14:paraId="6E32B5E7" w14:textId="3C45EFF9" w:rsidR="00320DC6" w:rsidRDefault="00320DC6" w:rsidP="00CF0B3F">
      <w:pPr>
        <w:pStyle w:val="BodyText"/>
      </w:pPr>
      <w:r w:rsidRPr="00320DC6">
        <w:t xml:space="preserve">Audio recordings of data collected will be securely transmitted to a </w:t>
      </w:r>
      <w:r>
        <w:t xml:space="preserve">third </w:t>
      </w:r>
      <w:r w:rsidRPr="00320DC6">
        <w:t>party transcription service.</w:t>
      </w:r>
      <w:r>
        <w:t xml:space="preserve"> </w:t>
      </w:r>
      <w:r w:rsidR="008A4F36">
        <w:t>All data files shared with CDC will be stripped of identifying information to maintain the privacy of those who participated in the study. CDC will ultimately own the de-identified interview and focus group transcripts.</w:t>
      </w:r>
      <w:r w:rsidR="008A4F36" w:rsidRPr="00DA2195">
        <w:t xml:space="preserve"> </w:t>
      </w:r>
      <w:r>
        <w:t>D</w:t>
      </w:r>
      <w:r w:rsidR="00EF52BD">
        <w:t xml:space="preserve">ata will be treated in a secure manner and will not be disclosed, unless otherwise compelled by law. </w:t>
      </w:r>
    </w:p>
    <w:p w14:paraId="799FBF3C" w14:textId="34FD11DE" w:rsidR="00EF52BD" w:rsidRPr="008A4F36" w:rsidRDefault="00C770D0" w:rsidP="00CF0B3F">
      <w:pPr>
        <w:pStyle w:val="BodyText"/>
        <w:rPr>
          <w:rFonts w:eastAsiaTheme="minorEastAsia"/>
        </w:rPr>
      </w:pPr>
      <w:r>
        <w:t xml:space="preserve">We </w:t>
      </w:r>
      <w:r w:rsidR="008A4F36">
        <w:t>will use t</w:t>
      </w:r>
      <w:r w:rsidR="008A4F36" w:rsidRPr="008A4F36">
        <w:t xml:space="preserve">he PII </w:t>
      </w:r>
      <w:r w:rsidR="00EF52BD" w:rsidRPr="008A4F36">
        <w:rPr>
          <w:rFonts w:eastAsiaTheme="minorEastAsia"/>
        </w:rPr>
        <w:t xml:space="preserve">to contact </w:t>
      </w:r>
      <w:r w:rsidR="008A4F36" w:rsidRPr="008A4F36">
        <w:rPr>
          <w:rFonts w:eastAsiaTheme="minorEastAsia"/>
        </w:rPr>
        <w:t>respondents</w:t>
      </w:r>
      <w:r w:rsidR="00EF52BD" w:rsidRPr="008A4F36">
        <w:rPr>
          <w:rFonts w:eastAsiaTheme="minorEastAsia"/>
        </w:rPr>
        <w:t xml:space="preserve"> to invite them to participate in </w:t>
      </w:r>
      <w:r w:rsidR="008A4F36" w:rsidRPr="008A4F36">
        <w:rPr>
          <w:rFonts w:eastAsiaTheme="minorEastAsia"/>
        </w:rPr>
        <w:t>a focus group or interview,</w:t>
      </w:r>
      <w:r w:rsidR="00EF52BD" w:rsidRPr="008A4F36">
        <w:rPr>
          <w:rFonts w:eastAsiaTheme="minorEastAsia"/>
        </w:rPr>
        <w:t xml:space="preserve"> and for follow-up. </w:t>
      </w:r>
      <w:r>
        <w:rPr>
          <w:rFonts w:eastAsiaTheme="minorEastAsia"/>
        </w:rPr>
        <w:t>We</w:t>
      </w:r>
      <w:r w:rsidRPr="008A4F36">
        <w:rPr>
          <w:rFonts w:eastAsiaTheme="minorEastAsia"/>
        </w:rPr>
        <w:t xml:space="preserve"> </w:t>
      </w:r>
      <w:r w:rsidR="00EF52BD" w:rsidRPr="008A4F36">
        <w:rPr>
          <w:rFonts w:eastAsiaTheme="minorEastAsia"/>
        </w:rPr>
        <w:t xml:space="preserve">will </w:t>
      </w:r>
      <w:r w:rsidR="008A4F36" w:rsidRPr="008A4F36">
        <w:rPr>
          <w:rFonts w:eastAsiaTheme="minorEastAsia"/>
        </w:rPr>
        <w:t>also use</w:t>
      </w:r>
      <w:r w:rsidR="008A4F36">
        <w:rPr>
          <w:rFonts w:eastAsiaTheme="minorEastAsia"/>
        </w:rPr>
        <w:t xml:space="preserve"> the</w:t>
      </w:r>
      <w:r w:rsidR="008A4F36" w:rsidRPr="008A4F36">
        <w:rPr>
          <w:rFonts w:eastAsiaTheme="minorEastAsia"/>
        </w:rPr>
        <w:t xml:space="preserve"> PII to </w:t>
      </w:r>
      <w:r w:rsidR="00A97B8D">
        <w:rPr>
          <w:rFonts w:eastAsiaTheme="minorEastAsia"/>
        </w:rPr>
        <w:t xml:space="preserve">mail </w:t>
      </w:r>
      <w:r w:rsidR="00FA6F19">
        <w:rPr>
          <w:rFonts w:eastAsiaTheme="minorEastAsia"/>
        </w:rPr>
        <w:t>tokens of appreciation</w:t>
      </w:r>
      <w:r w:rsidR="00EF52BD" w:rsidRPr="008A4F36">
        <w:rPr>
          <w:rFonts w:eastAsiaTheme="minorEastAsia"/>
        </w:rPr>
        <w:t xml:space="preserve"> </w:t>
      </w:r>
      <w:r w:rsidR="008A4F36" w:rsidRPr="008A4F36">
        <w:rPr>
          <w:rFonts w:eastAsiaTheme="minorEastAsia"/>
        </w:rPr>
        <w:t xml:space="preserve">to interview respondents </w:t>
      </w:r>
      <w:r w:rsidR="00EF52BD" w:rsidRPr="008A4F36">
        <w:rPr>
          <w:rFonts w:eastAsiaTheme="minorEastAsia"/>
        </w:rPr>
        <w:t xml:space="preserve">upon their completion of the </w:t>
      </w:r>
      <w:r w:rsidR="008A4F36" w:rsidRPr="008A4F36">
        <w:rPr>
          <w:rFonts w:eastAsiaTheme="minorEastAsia"/>
        </w:rPr>
        <w:t>interview</w:t>
      </w:r>
      <w:r w:rsidR="00EF52BD" w:rsidRPr="008A4F36">
        <w:rPr>
          <w:rFonts w:eastAsiaTheme="minorEastAsia"/>
        </w:rPr>
        <w:t xml:space="preserve">. </w:t>
      </w:r>
      <w:r w:rsidR="008A4F36" w:rsidRPr="008A4F36">
        <w:rPr>
          <w:rFonts w:eastAsiaTheme="minorEastAsia"/>
        </w:rPr>
        <w:t xml:space="preserve"> </w:t>
      </w:r>
    </w:p>
    <w:p w14:paraId="71E60304" w14:textId="73E25B74" w:rsidR="00320DC6" w:rsidRDefault="00C770D0" w:rsidP="004D60AC">
      <w:pPr>
        <w:pStyle w:val="BodyText"/>
        <w:rPr>
          <w:rFonts w:eastAsiaTheme="minorEastAsia"/>
        </w:rPr>
      </w:pPr>
      <w:r>
        <w:rPr>
          <w:rFonts w:eastAsiaTheme="minorEastAsia"/>
        </w:rPr>
        <w:t>P</w:t>
      </w:r>
      <w:r w:rsidR="004D60AC" w:rsidRPr="00337B2F">
        <w:rPr>
          <w:rFonts w:eastAsiaTheme="minorEastAsia"/>
        </w:rPr>
        <w:t xml:space="preserve">rotections for privacy </w:t>
      </w:r>
      <w:r>
        <w:rPr>
          <w:rFonts w:eastAsiaTheme="minorEastAsia"/>
        </w:rPr>
        <w:t xml:space="preserve">are embedded </w:t>
      </w:r>
      <w:r w:rsidR="004D60AC" w:rsidRPr="00337B2F">
        <w:rPr>
          <w:rFonts w:eastAsiaTheme="minorEastAsia"/>
        </w:rPr>
        <w:t>in the study design. The</w:t>
      </w:r>
      <w:r w:rsidR="004D60AC">
        <w:rPr>
          <w:rFonts w:eastAsiaTheme="minorEastAsia"/>
        </w:rPr>
        <w:t xml:space="preserve"> proposed</w:t>
      </w:r>
      <w:r w:rsidR="004D60AC" w:rsidRPr="00337B2F">
        <w:rPr>
          <w:rFonts w:eastAsiaTheme="minorEastAsia"/>
        </w:rPr>
        <w:t xml:space="preserve"> information collection will fully comply with all aspects of the Privacy Act. </w:t>
      </w:r>
      <w:r w:rsidR="00256350">
        <w:rPr>
          <w:rFonts w:eastAsiaTheme="minorEastAsia"/>
        </w:rPr>
        <w:t xml:space="preserve">The consent process </w:t>
      </w:r>
      <w:r w:rsidR="00C35091">
        <w:rPr>
          <w:rFonts w:eastAsiaTheme="minorEastAsia"/>
        </w:rPr>
        <w:t xml:space="preserve">for all study participants </w:t>
      </w:r>
      <w:r w:rsidR="00256350">
        <w:rPr>
          <w:rFonts w:eastAsiaTheme="minorEastAsia"/>
        </w:rPr>
        <w:t xml:space="preserve">will include the following information: explanation of the purposes of the research and description of research procedures; explanation that their participation is voluntary, and that they may refuse to answer questions and stop at any time without consequences; that there are no risks to participating beyond those experienced in daily life; the length of time required for the information collection; explanation of </w:t>
      </w:r>
      <w:r w:rsidR="00FA6F19">
        <w:rPr>
          <w:rFonts w:eastAsiaTheme="minorEastAsia"/>
        </w:rPr>
        <w:t xml:space="preserve">tokens of appreciation </w:t>
      </w:r>
      <w:r w:rsidR="00256350">
        <w:rPr>
          <w:rFonts w:eastAsiaTheme="minorEastAsia"/>
        </w:rPr>
        <w:t xml:space="preserve">that will be provided; explanation and permission to create an audio recording; and the name and contact information for individuals if there are questions about the study or their rights as a research participant. </w:t>
      </w:r>
      <w:r w:rsidR="008A4F36">
        <w:rPr>
          <w:rFonts w:eastAsiaTheme="minorEastAsia"/>
        </w:rPr>
        <w:t xml:space="preserve">During the consent process, </w:t>
      </w:r>
      <w:r>
        <w:rPr>
          <w:rFonts w:eastAsiaTheme="minorEastAsia"/>
        </w:rPr>
        <w:t xml:space="preserve">we </w:t>
      </w:r>
      <w:r w:rsidR="004D60AC">
        <w:rPr>
          <w:rFonts w:eastAsiaTheme="minorEastAsia"/>
        </w:rPr>
        <w:t xml:space="preserve">will </w:t>
      </w:r>
      <w:r w:rsidR="00256350">
        <w:rPr>
          <w:rFonts w:eastAsiaTheme="minorEastAsia"/>
        </w:rPr>
        <w:t xml:space="preserve">also </w:t>
      </w:r>
      <w:r w:rsidR="004D60AC">
        <w:rPr>
          <w:rFonts w:eastAsiaTheme="minorEastAsia"/>
        </w:rPr>
        <w:t>inform all study participants that the data they provide will be treated in a secure manner</w:t>
      </w:r>
      <w:r w:rsidR="00485838">
        <w:rPr>
          <w:rFonts w:eastAsiaTheme="minorEastAsia"/>
        </w:rPr>
        <w:t>,</w:t>
      </w:r>
      <w:r w:rsidR="00587AFF">
        <w:rPr>
          <w:rFonts w:eastAsiaTheme="minorEastAsia"/>
        </w:rPr>
        <w:t xml:space="preserve"> and that respondents will not be identified by name in reports of study findings</w:t>
      </w:r>
      <w:r w:rsidR="004D60AC">
        <w:rPr>
          <w:rFonts w:eastAsiaTheme="minorEastAsia"/>
        </w:rPr>
        <w:t xml:space="preserve">. </w:t>
      </w:r>
    </w:p>
    <w:p w14:paraId="4523BCD9" w14:textId="032D92C1" w:rsidR="001F5018" w:rsidRDefault="00320DC6" w:rsidP="001F5018">
      <w:pPr>
        <w:pStyle w:val="BodyText"/>
        <w:rPr>
          <w:rFonts w:eastAsiaTheme="minorEastAsia"/>
        </w:rPr>
      </w:pPr>
      <w:r>
        <w:rPr>
          <w:rFonts w:eastAsiaTheme="minorEastAsia"/>
        </w:rPr>
        <w:t xml:space="preserve">Below is an overview of the steps taken to ensure the privacy of respondents for each of the two data collection efforts under this request for OMB clearance, including the mode of data collection and targeted respondents; identifiable information to be collected; parties responsible for data collection, transmission, and storage; and parties with access to the data and uses for the data. </w:t>
      </w:r>
      <w:r w:rsidR="008A4F36">
        <w:rPr>
          <w:rFonts w:eastAsiaTheme="minorEastAsia"/>
        </w:rPr>
        <w:t xml:space="preserve"> </w:t>
      </w:r>
    </w:p>
    <w:p w14:paraId="3D25D68E" w14:textId="76E5AB4C" w:rsidR="00CF4DD2" w:rsidRDefault="001F5018" w:rsidP="00AB1142">
      <w:pPr>
        <w:pStyle w:val="BodyText"/>
        <w:numPr>
          <w:ilvl w:val="0"/>
          <w:numId w:val="11"/>
        </w:numPr>
      </w:pPr>
      <w:r w:rsidRPr="003C191E">
        <w:rPr>
          <w:rFonts w:eastAsiaTheme="minorEastAsia"/>
          <w:b/>
        </w:rPr>
        <w:t>The Focu</w:t>
      </w:r>
      <w:r w:rsidR="00EE37AB">
        <w:rPr>
          <w:rFonts w:eastAsiaTheme="minorEastAsia"/>
          <w:b/>
        </w:rPr>
        <w:t xml:space="preserve">s Group Protocols (Attachments </w:t>
      </w:r>
      <w:r w:rsidR="00EB7B79">
        <w:rPr>
          <w:rFonts w:eastAsiaTheme="minorEastAsia"/>
          <w:b/>
        </w:rPr>
        <w:t xml:space="preserve">C and </w:t>
      </w:r>
      <w:r w:rsidR="00EE37AB">
        <w:rPr>
          <w:rFonts w:eastAsiaTheme="minorEastAsia"/>
          <w:b/>
        </w:rPr>
        <w:t>D</w:t>
      </w:r>
      <w:r w:rsidRPr="003C191E">
        <w:rPr>
          <w:rFonts w:eastAsiaTheme="minorEastAsia"/>
          <w:b/>
        </w:rPr>
        <w:t xml:space="preserve">) </w:t>
      </w:r>
      <w:r w:rsidRPr="003C191E">
        <w:rPr>
          <w:rFonts w:eastAsiaTheme="minorEastAsia"/>
        </w:rPr>
        <w:t>are facilitator guides that will be used to conduct focus groups with users and non-users of ride share services. NORC staff will conduct the focus groups. Focus group respondents will provide written informed consent</w:t>
      </w:r>
      <w:r w:rsidR="00EE37AB">
        <w:rPr>
          <w:rFonts w:eastAsiaTheme="minorEastAsia"/>
        </w:rPr>
        <w:t xml:space="preserve"> (Attachment </w:t>
      </w:r>
      <w:r w:rsidR="00D5761B">
        <w:rPr>
          <w:rFonts w:eastAsiaTheme="minorEastAsia"/>
        </w:rPr>
        <w:t>G</w:t>
      </w:r>
      <w:r w:rsidR="003C191E" w:rsidRPr="003C191E">
        <w:rPr>
          <w:rFonts w:eastAsiaTheme="minorEastAsia"/>
        </w:rPr>
        <w:t>)</w:t>
      </w:r>
      <w:r w:rsidRPr="003C191E">
        <w:rPr>
          <w:rFonts w:eastAsiaTheme="minorEastAsia"/>
        </w:rPr>
        <w:t xml:space="preserve"> to participate in the focus group and to be recorded. </w:t>
      </w:r>
      <w:r w:rsidR="003C191E" w:rsidRPr="003C191E">
        <w:rPr>
          <w:rFonts w:eastAsiaTheme="minorEastAsia"/>
        </w:rPr>
        <w:t>The informed consent will provide respondents with a complete understanding of the purposes of the study, the uses for the data, and their rights as study participants.</w:t>
      </w:r>
      <w:r w:rsidR="003C191E">
        <w:rPr>
          <w:rFonts w:eastAsiaTheme="minorEastAsia"/>
        </w:rPr>
        <w:t xml:space="preserve"> </w:t>
      </w:r>
      <w:r w:rsidR="00C770D0">
        <w:rPr>
          <w:rFonts w:eastAsiaTheme="minorEastAsia"/>
        </w:rPr>
        <w:t>We</w:t>
      </w:r>
      <w:r w:rsidR="00C770D0" w:rsidRPr="005D1CF4">
        <w:t xml:space="preserve"> </w:t>
      </w:r>
      <w:r w:rsidRPr="005D1CF4">
        <w:t xml:space="preserve">will create a </w:t>
      </w:r>
      <w:r w:rsidR="00CF4DD2">
        <w:t xml:space="preserve">digital audio recording and work with a third party transcription vendor to prepare de-identified transcripts. During the focus groups, </w:t>
      </w:r>
      <w:r w:rsidRPr="005D1CF4">
        <w:t xml:space="preserve">only first names of respondents will be </w:t>
      </w:r>
      <w:r w:rsidR="00CF4DD2">
        <w:t>used to establish rapport</w:t>
      </w:r>
      <w:r w:rsidRPr="005D1CF4">
        <w:t xml:space="preserve">. </w:t>
      </w:r>
      <w:r w:rsidR="00CF4DD2">
        <w:t xml:space="preserve">Focus groups </w:t>
      </w:r>
      <w:r w:rsidRPr="005D1CF4">
        <w:t>transcript</w:t>
      </w:r>
      <w:r w:rsidR="00CF4DD2">
        <w:t>s</w:t>
      </w:r>
      <w:r w:rsidRPr="003C191E">
        <w:rPr>
          <w:rFonts w:eastAsiaTheme="minorEastAsia"/>
        </w:rPr>
        <w:t xml:space="preserve"> will be coded and uploaded into NVivo software</w:t>
      </w:r>
      <w:r w:rsidR="00CF4DD2" w:rsidRPr="003C191E">
        <w:rPr>
          <w:rFonts w:eastAsiaTheme="minorEastAsia"/>
        </w:rPr>
        <w:t xml:space="preserve"> for qualitative data analysis</w:t>
      </w:r>
      <w:r w:rsidRPr="003C191E">
        <w:rPr>
          <w:rFonts w:eastAsiaTheme="minorEastAsia"/>
        </w:rPr>
        <w:t xml:space="preserve">. Key themes will be developed based on the qualitative data analysis. </w:t>
      </w:r>
      <w:r w:rsidR="003C191E" w:rsidRPr="003C191E">
        <w:rPr>
          <w:rFonts w:eastAsiaTheme="minorEastAsia"/>
        </w:rPr>
        <w:t xml:space="preserve">The information provided by respondents will be analyzed and reported in aggregate form. </w:t>
      </w:r>
      <w:r w:rsidR="00CF4DD2" w:rsidRPr="003C191E">
        <w:rPr>
          <w:rFonts w:eastAsiaTheme="minorEastAsia"/>
        </w:rPr>
        <w:t>T</w:t>
      </w:r>
      <w:r w:rsidRPr="003C191E">
        <w:rPr>
          <w:rFonts w:eastAsiaTheme="minorEastAsia"/>
        </w:rPr>
        <w:t>hemes and quotes may be included in reports; specific quotes will not be attributed to any single person in any reports.</w:t>
      </w:r>
      <w:r w:rsidR="00CF4DD2" w:rsidRPr="003C191E">
        <w:rPr>
          <w:rFonts w:eastAsiaTheme="minorEastAsia"/>
        </w:rPr>
        <w:t xml:space="preserve"> At the end of data collection and analysis, NORC will securely transmit the de-identified focus group transcripts to CDC. </w:t>
      </w:r>
    </w:p>
    <w:p w14:paraId="066399B5" w14:textId="4BAB56A7" w:rsidR="001F5018" w:rsidRPr="00CF4DD2" w:rsidRDefault="00CF4DD2" w:rsidP="00AB1142">
      <w:pPr>
        <w:pStyle w:val="BodyText"/>
        <w:numPr>
          <w:ilvl w:val="0"/>
          <w:numId w:val="11"/>
        </w:numPr>
      </w:pPr>
      <w:r w:rsidRPr="003C191E">
        <w:rPr>
          <w:rFonts w:eastAsiaTheme="minorEastAsia"/>
          <w:b/>
        </w:rPr>
        <w:t xml:space="preserve">The Interview Protocols (Attachments </w:t>
      </w:r>
      <w:r w:rsidR="00EB7B79">
        <w:rPr>
          <w:rFonts w:eastAsiaTheme="minorEastAsia"/>
          <w:b/>
        </w:rPr>
        <w:t xml:space="preserve">E and </w:t>
      </w:r>
      <w:r w:rsidR="00EE37AB">
        <w:rPr>
          <w:rFonts w:eastAsiaTheme="minorEastAsia"/>
          <w:b/>
        </w:rPr>
        <w:t>F</w:t>
      </w:r>
      <w:r w:rsidRPr="003C191E">
        <w:rPr>
          <w:rFonts w:eastAsiaTheme="minorEastAsia"/>
          <w:b/>
        </w:rPr>
        <w:t xml:space="preserve">) </w:t>
      </w:r>
      <w:r w:rsidRPr="003C191E">
        <w:rPr>
          <w:rFonts w:eastAsiaTheme="minorEastAsia"/>
        </w:rPr>
        <w:t>are interview guides that</w:t>
      </w:r>
      <w:r w:rsidR="001F5018" w:rsidRPr="003C191E">
        <w:rPr>
          <w:rFonts w:eastAsiaTheme="minorEastAsia"/>
        </w:rPr>
        <w:t xml:space="preserve"> will </w:t>
      </w:r>
      <w:r w:rsidRPr="003C191E">
        <w:rPr>
          <w:rFonts w:eastAsiaTheme="minorEastAsia"/>
        </w:rPr>
        <w:t xml:space="preserve">be used to conduct telephone interviews with users and non-users of ride share services. </w:t>
      </w:r>
      <w:r w:rsidR="001F5018" w:rsidRPr="003C191E">
        <w:rPr>
          <w:rFonts w:eastAsiaTheme="minorEastAsia"/>
        </w:rPr>
        <w:t>NORC staff will conduct the interviews.</w:t>
      </w:r>
      <w:r w:rsidR="001F5018" w:rsidRPr="005D1CF4">
        <w:t xml:space="preserve"> </w:t>
      </w:r>
      <w:r w:rsidR="00C770D0">
        <w:t xml:space="preserve">We </w:t>
      </w:r>
      <w:r>
        <w:t xml:space="preserve">will ask interview respondents for verbal informed consent </w:t>
      </w:r>
      <w:r w:rsidR="00587AFF">
        <w:t>as part of the interview protocol</w:t>
      </w:r>
      <w:r w:rsidR="00EE37AB">
        <w:t>s</w:t>
      </w:r>
      <w:r w:rsidR="00587AFF">
        <w:t xml:space="preserve"> </w:t>
      </w:r>
      <w:r w:rsidR="003C191E">
        <w:t>(</w:t>
      </w:r>
      <w:r w:rsidR="003C191E" w:rsidRPr="003C191E">
        <w:rPr>
          <w:rFonts w:eastAsiaTheme="minorEastAsia"/>
        </w:rPr>
        <w:t>Attachment</w:t>
      </w:r>
      <w:r w:rsidR="00EE37AB">
        <w:rPr>
          <w:rFonts w:eastAsiaTheme="minorEastAsia"/>
        </w:rPr>
        <w:t>s</w:t>
      </w:r>
      <w:r w:rsidR="003C191E" w:rsidRPr="003C191E">
        <w:rPr>
          <w:rFonts w:eastAsiaTheme="minorEastAsia"/>
        </w:rPr>
        <w:t xml:space="preserve"> </w:t>
      </w:r>
      <w:r w:rsidR="00EB7B79">
        <w:rPr>
          <w:rFonts w:eastAsiaTheme="minorEastAsia"/>
        </w:rPr>
        <w:t xml:space="preserve">E and </w:t>
      </w:r>
      <w:r w:rsidR="00EE37AB">
        <w:rPr>
          <w:rFonts w:eastAsiaTheme="minorEastAsia"/>
        </w:rPr>
        <w:t>F</w:t>
      </w:r>
      <w:r w:rsidR="003C191E">
        <w:t xml:space="preserve">) </w:t>
      </w:r>
      <w:r>
        <w:t xml:space="preserve">to participate in the interview and to be </w:t>
      </w:r>
      <w:r w:rsidR="00587AFF">
        <w:t xml:space="preserve">audio </w:t>
      </w:r>
      <w:r>
        <w:t xml:space="preserve">recorded. </w:t>
      </w:r>
      <w:r w:rsidR="003C191E" w:rsidRPr="003C191E">
        <w:rPr>
          <w:rFonts w:eastAsiaTheme="minorEastAsia"/>
        </w:rPr>
        <w:t xml:space="preserve">The </w:t>
      </w:r>
      <w:r w:rsidR="00587AFF">
        <w:rPr>
          <w:rFonts w:eastAsiaTheme="minorEastAsia"/>
        </w:rPr>
        <w:t xml:space="preserve">verbal </w:t>
      </w:r>
      <w:r w:rsidR="003C191E" w:rsidRPr="003C191E">
        <w:rPr>
          <w:rFonts w:eastAsiaTheme="minorEastAsia"/>
        </w:rPr>
        <w:t xml:space="preserve">informed consent will provide respondents with a complete understanding of the purposes of the study, the uses for the data, and their rights as study participants. </w:t>
      </w:r>
      <w:r w:rsidR="00C770D0">
        <w:t xml:space="preserve">We </w:t>
      </w:r>
      <w:r>
        <w:t>will create a digital audio recording and work with a third party transcription vendor to prepare de-identified transcripts. During the interviews, names of respondents will be used to establish rapport. Interview transcriptions wi</w:t>
      </w:r>
      <w:r w:rsidR="001F5018" w:rsidRPr="003C191E">
        <w:rPr>
          <w:rFonts w:eastAsiaTheme="minorEastAsia"/>
        </w:rPr>
        <w:t>ll be</w:t>
      </w:r>
      <w:r w:rsidRPr="003C191E">
        <w:rPr>
          <w:rFonts w:eastAsiaTheme="minorEastAsia"/>
        </w:rPr>
        <w:t xml:space="preserve"> coded and</w:t>
      </w:r>
      <w:r w:rsidR="001F5018" w:rsidRPr="003C191E">
        <w:rPr>
          <w:rFonts w:eastAsiaTheme="minorEastAsia"/>
        </w:rPr>
        <w:t xml:space="preserve"> </w:t>
      </w:r>
      <w:r w:rsidRPr="003C191E">
        <w:rPr>
          <w:rFonts w:eastAsiaTheme="minorEastAsia"/>
        </w:rPr>
        <w:t xml:space="preserve">uploaded into NVivo software for qualitative data analysis. Key themes will be developed based on the qualitative data analysis. </w:t>
      </w:r>
      <w:r w:rsidR="003C191E" w:rsidRPr="003C191E">
        <w:rPr>
          <w:rFonts w:eastAsiaTheme="minorEastAsia"/>
        </w:rPr>
        <w:t xml:space="preserve">The information provided by respondents will be analyzed and reported in aggregate form. </w:t>
      </w:r>
      <w:r w:rsidRPr="003C191E">
        <w:rPr>
          <w:rFonts w:eastAsiaTheme="minorEastAsia"/>
        </w:rPr>
        <w:t>Themes and quotes may be included in reports; specific quotes will not be attributed to any single person in any reports. At the end of data collection and analysis, NORC will securely transmit the de-identified focus group transcripts to CDC.</w:t>
      </w:r>
    </w:p>
    <w:p w14:paraId="5AB17B3B" w14:textId="07281478" w:rsidR="00CF4DD2" w:rsidRPr="00CF4DD2" w:rsidRDefault="00320DC6" w:rsidP="00CF4DD2">
      <w:pPr>
        <w:pStyle w:val="NormalSS"/>
        <w:ind w:firstLine="0"/>
        <w:rPr>
          <w:sz w:val="22"/>
          <w:szCs w:val="22"/>
        </w:rPr>
      </w:pPr>
      <w:r w:rsidRPr="005D1CF4">
        <w:rPr>
          <w:rFonts w:eastAsiaTheme="minorEastAsia"/>
        </w:rPr>
        <w:t>All data will be stored within the internal NORC secured file server and will be maintained by NORC on</w:t>
      </w:r>
      <w:r w:rsidRPr="006731AD">
        <w:rPr>
          <w:rFonts w:eastAsiaTheme="minorEastAsia"/>
        </w:rPr>
        <w:t xml:space="preserve"> behalf of CDC. Only approved members of the project team will have</w:t>
      </w:r>
      <w:r w:rsidR="000B5AC1">
        <w:rPr>
          <w:rFonts w:eastAsiaTheme="minorEastAsia"/>
        </w:rPr>
        <w:t xml:space="preserve"> access to the data collected. R</w:t>
      </w:r>
      <w:r w:rsidRPr="006731AD">
        <w:rPr>
          <w:rFonts w:eastAsiaTheme="minorEastAsia"/>
        </w:rPr>
        <w:t xml:space="preserve">ecordings will not be shared with CDC. </w:t>
      </w:r>
      <w:r w:rsidR="00CF4DD2">
        <w:t>Upon contract termination and per the terms of the contract, NORC will archive any data collected as part of the study. </w:t>
      </w:r>
    </w:p>
    <w:p w14:paraId="0D393EE3" w14:textId="4AA80420" w:rsidR="00972DEF" w:rsidRDefault="00B210E1" w:rsidP="0006739E">
      <w:pPr>
        <w:pStyle w:val="Heading2"/>
      </w:pPr>
      <w:bookmarkStart w:id="15" w:name="_Toc511121638"/>
      <w:r>
        <w:t xml:space="preserve">A.11. </w:t>
      </w:r>
      <w:r>
        <w:tab/>
      </w:r>
      <w:r w:rsidR="00CA5DC1" w:rsidRPr="00CA5DC1">
        <w:t>Institutional Review Board (IRB) and</w:t>
      </w:r>
      <w:r w:rsidR="00395775">
        <w:t xml:space="preserve"> </w:t>
      </w:r>
      <w:r w:rsidR="00CA5DC1" w:rsidRPr="00CA5DC1">
        <w:t>Justification for Sensitive Questions</w:t>
      </w:r>
      <w:bookmarkEnd w:id="15"/>
      <w:r w:rsidR="00972DEF" w:rsidRPr="00691454">
        <w:tab/>
      </w:r>
    </w:p>
    <w:p w14:paraId="0D393EE5" w14:textId="77777777" w:rsidR="0073187D" w:rsidRPr="00DA2195" w:rsidRDefault="0073187D" w:rsidP="00EF504E">
      <w:pPr>
        <w:pStyle w:val="BodyText"/>
        <w:spacing w:before="360"/>
        <w:rPr>
          <w:u w:val="single"/>
        </w:rPr>
      </w:pPr>
      <w:r w:rsidRPr="00DA2195">
        <w:rPr>
          <w:u w:val="single"/>
        </w:rPr>
        <w:t>IRB Approval</w:t>
      </w:r>
    </w:p>
    <w:p w14:paraId="1BC5D709" w14:textId="71816E2A" w:rsidR="00DA2195" w:rsidRPr="00DA2195" w:rsidRDefault="00CD4599" w:rsidP="00DA2195">
      <w:pPr>
        <w:pStyle w:val="BodyText"/>
      </w:pPr>
      <w:r w:rsidRPr="00CD4599">
        <w:t>CDC has r</w:t>
      </w:r>
      <w:r>
        <w:t>eceived IRB approval through NORC</w:t>
      </w:r>
      <w:r w:rsidR="00B54325">
        <w:t>'</w:t>
      </w:r>
      <w:r w:rsidRPr="00CD4599">
        <w:t>s independent IRB</w:t>
      </w:r>
      <w:r>
        <w:t xml:space="preserve">. </w:t>
      </w:r>
      <w:r w:rsidR="00DA2195" w:rsidRPr="00463728">
        <w:t>NORC</w:t>
      </w:r>
      <w:r w:rsidR="00B54325">
        <w:t>'</w:t>
      </w:r>
      <w:r w:rsidR="00DA2195" w:rsidRPr="00463728">
        <w:t xml:space="preserve">s IRB is registered with the HHS Office of Human Research Protection (FWA 00000142). The NORC IRB reviewed all study protocols and </w:t>
      </w:r>
      <w:r w:rsidR="008A202E" w:rsidRPr="00463728">
        <w:t xml:space="preserve">determined </w:t>
      </w:r>
      <w:r w:rsidR="00463728">
        <w:t>the study to be exempt under exemption category 2</w:t>
      </w:r>
      <w:r w:rsidR="00EE37AB" w:rsidRPr="00463728">
        <w:t xml:space="preserve"> (Attachment </w:t>
      </w:r>
      <w:r w:rsidR="00DD29CB">
        <w:t>N</w:t>
      </w:r>
      <w:r w:rsidR="00587AFF" w:rsidRPr="00463728">
        <w:t>)</w:t>
      </w:r>
      <w:r w:rsidR="008A202E" w:rsidRPr="00463728">
        <w:t>.</w:t>
      </w:r>
    </w:p>
    <w:p w14:paraId="0D393EE8" w14:textId="77777777" w:rsidR="00972DEF" w:rsidRPr="00EF504E" w:rsidRDefault="00CA5DC1" w:rsidP="00EF504E">
      <w:pPr>
        <w:pStyle w:val="BodyText"/>
        <w:spacing w:before="360"/>
        <w:rPr>
          <w:u w:val="single"/>
        </w:rPr>
      </w:pPr>
      <w:r w:rsidRPr="00EF504E">
        <w:rPr>
          <w:u w:val="single"/>
        </w:rPr>
        <w:t>Sensitive Questions</w:t>
      </w:r>
    </w:p>
    <w:p w14:paraId="6DCB11DE" w14:textId="76BCCCD6" w:rsidR="00DE35AC" w:rsidRDefault="00060CF6" w:rsidP="00060CF6">
      <w:pPr>
        <w:pStyle w:val="BodyText"/>
        <w:rPr>
          <w:rFonts w:eastAsiaTheme="minorEastAsia"/>
        </w:rPr>
      </w:pPr>
      <w:r>
        <w:rPr>
          <w:rFonts w:eastAsiaTheme="minorEastAsia"/>
        </w:rPr>
        <w:t>During the recruitment phase, we will use telephone screeners (Attachment</w:t>
      </w:r>
      <w:r w:rsidR="00EE37AB">
        <w:rPr>
          <w:rFonts w:eastAsiaTheme="minorEastAsia"/>
        </w:rPr>
        <w:t xml:space="preserve">s </w:t>
      </w:r>
      <w:r w:rsidR="00EB7B79">
        <w:rPr>
          <w:rFonts w:eastAsiaTheme="minorEastAsia"/>
        </w:rPr>
        <w:t xml:space="preserve">J and </w:t>
      </w:r>
      <w:r w:rsidR="00EE37AB">
        <w:rPr>
          <w:rFonts w:eastAsiaTheme="minorEastAsia"/>
        </w:rPr>
        <w:t>K</w:t>
      </w:r>
      <w:r>
        <w:rPr>
          <w:rFonts w:eastAsiaTheme="minorEastAsia"/>
        </w:rPr>
        <w:t xml:space="preserve">) to ask prospective participants if they are </w:t>
      </w:r>
      <w:r w:rsidR="0075490C">
        <w:rPr>
          <w:rFonts w:eastAsiaTheme="minorEastAsia"/>
        </w:rPr>
        <w:t xml:space="preserve">a </w:t>
      </w:r>
      <w:r>
        <w:rPr>
          <w:rFonts w:eastAsiaTheme="minorEastAsia"/>
        </w:rPr>
        <w:t>user or non-user of ride share services</w:t>
      </w:r>
      <w:r w:rsidR="0075490C">
        <w:rPr>
          <w:rFonts w:eastAsiaTheme="minorEastAsia"/>
        </w:rPr>
        <w:t>, current or former employee of a ride share service company/organization,</w:t>
      </w:r>
      <w:r>
        <w:rPr>
          <w:rFonts w:eastAsiaTheme="minorEastAsia"/>
        </w:rPr>
        <w:t xml:space="preserve"> and their age. It is necessary to ask </w:t>
      </w:r>
      <w:r w:rsidR="000B5AC1">
        <w:rPr>
          <w:rFonts w:eastAsiaTheme="minorEastAsia"/>
        </w:rPr>
        <w:t xml:space="preserve">for </w:t>
      </w:r>
      <w:r>
        <w:rPr>
          <w:rFonts w:eastAsiaTheme="minorEastAsia"/>
        </w:rPr>
        <w:t xml:space="preserve">this information to determine </w:t>
      </w:r>
      <w:r w:rsidR="000B5AC1">
        <w:rPr>
          <w:rFonts w:eastAsiaTheme="minorEastAsia"/>
        </w:rPr>
        <w:t>eligibility</w:t>
      </w:r>
      <w:r>
        <w:rPr>
          <w:rFonts w:eastAsiaTheme="minorEastAsia"/>
        </w:rPr>
        <w:t xml:space="preserve"> to participate, based on their age (older or younger adult based on the defined study populations)</w:t>
      </w:r>
      <w:r w:rsidR="0075490C">
        <w:rPr>
          <w:rFonts w:eastAsiaTheme="minorEastAsia"/>
        </w:rPr>
        <w:t>,</w:t>
      </w:r>
      <w:r>
        <w:rPr>
          <w:rFonts w:eastAsiaTheme="minorEastAsia"/>
        </w:rPr>
        <w:t xml:space="preserve"> </w:t>
      </w:r>
      <w:r w:rsidR="0075490C">
        <w:rPr>
          <w:rFonts w:eastAsiaTheme="minorEastAsia"/>
        </w:rPr>
        <w:t xml:space="preserve">if they </w:t>
      </w:r>
      <w:r w:rsidR="00BD60C0">
        <w:rPr>
          <w:rFonts w:eastAsiaTheme="minorEastAsia"/>
        </w:rPr>
        <w:t>have ever been a ride-share services driver (</w:t>
      </w:r>
      <w:r w:rsidR="00D2063D">
        <w:rPr>
          <w:rFonts w:eastAsiaTheme="minorEastAsia"/>
        </w:rPr>
        <w:t>rid</w:t>
      </w:r>
      <w:r w:rsidR="0078318B">
        <w:rPr>
          <w:rFonts w:eastAsiaTheme="minorEastAsia"/>
        </w:rPr>
        <w:t>e</w:t>
      </w:r>
      <w:r w:rsidR="00D2063D">
        <w:rPr>
          <w:rFonts w:eastAsiaTheme="minorEastAsia"/>
        </w:rPr>
        <w:t xml:space="preserve">-share service </w:t>
      </w:r>
      <w:r w:rsidR="00BD60C0">
        <w:rPr>
          <w:rFonts w:eastAsiaTheme="minorEastAsia"/>
        </w:rPr>
        <w:t>drivers are excluded from the study population)</w:t>
      </w:r>
      <w:r w:rsidR="0075490C">
        <w:rPr>
          <w:rFonts w:eastAsiaTheme="minorEastAsia"/>
        </w:rPr>
        <w:t xml:space="preserve">, </w:t>
      </w:r>
      <w:r>
        <w:rPr>
          <w:rFonts w:eastAsiaTheme="minorEastAsia"/>
        </w:rPr>
        <w:t xml:space="preserve">and if they are a user or non-user of ride share services. The </w:t>
      </w:r>
      <w:r w:rsidR="00A97B8D">
        <w:rPr>
          <w:rFonts w:eastAsiaTheme="minorEastAsia"/>
        </w:rPr>
        <w:t xml:space="preserve">focus group </w:t>
      </w:r>
      <w:r>
        <w:rPr>
          <w:rFonts w:eastAsiaTheme="minorEastAsia"/>
        </w:rPr>
        <w:t xml:space="preserve">screener also includes </w:t>
      </w:r>
      <w:r w:rsidR="00DE35AC">
        <w:rPr>
          <w:rFonts w:eastAsiaTheme="minorEastAsia"/>
        </w:rPr>
        <w:t>a</w:t>
      </w:r>
      <w:r>
        <w:rPr>
          <w:rFonts w:eastAsiaTheme="minorEastAsia"/>
        </w:rPr>
        <w:t xml:space="preserve"> question about city and state of residence</w:t>
      </w:r>
      <w:r w:rsidR="00A97B8D">
        <w:rPr>
          <w:rFonts w:eastAsiaTheme="minorEastAsia"/>
        </w:rPr>
        <w:t xml:space="preserve"> because </w:t>
      </w:r>
      <w:r>
        <w:rPr>
          <w:rFonts w:eastAsiaTheme="minorEastAsia"/>
        </w:rPr>
        <w:t xml:space="preserve">we will recruit people from two specific communities (locations TBD). </w:t>
      </w:r>
    </w:p>
    <w:p w14:paraId="660F102F" w14:textId="0949A962" w:rsidR="00A97B8D" w:rsidRDefault="00E648E4" w:rsidP="00060CF6">
      <w:pPr>
        <w:pStyle w:val="BodyText"/>
        <w:rPr>
          <w:rFonts w:eastAsiaTheme="minorEastAsia"/>
        </w:rPr>
      </w:pPr>
      <w:r>
        <w:rPr>
          <w:rFonts w:eastAsiaTheme="minorEastAsia"/>
        </w:rPr>
        <w:t>During the interviews</w:t>
      </w:r>
      <w:r w:rsidR="00060CF6">
        <w:rPr>
          <w:rFonts w:eastAsiaTheme="minorEastAsia"/>
        </w:rPr>
        <w:t xml:space="preserve">, we will </w:t>
      </w:r>
      <w:r w:rsidR="00DE35AC">
        <w:rPr>
          <w:rFonts w:eastAsiaTheme="minorEastAsia"/>
        </w:rPr>
        <w:t>ask several demographic questions that are potentially sensitive in nature. These questions are:</w:t>
      </w:r>
      <w:r>
        <w:rPr>
          <w:rFonts w:eastAsiaTheme="minorEastAsia"/>
        </w:rPr>
        <w:t xml:space="preserve"> </w:t>
      </w:r>
      <w:r w:rsidR="00DE35AC">
        <w:rPr>
          <w:rFonts w:eastAsiaTheme="minorEastAsia"/>
        </w:rPr>
        <w:t>race, ethnicity</w:t>
      </w:r>
      <w:r>
        <w:rPr>
          <w:rFonts w:eastAsiaTheme="minorEastAsia"/>
        </w:rPr>
        <w:t>, and sex</w:t>
      </w:r>
      <w:r w:rsidR="00DE35AC">
        <w:rPr>
          <w:rFonts w:eastAsiaTheme="minorEastAsia"/>
        </w:rPr>
        <w:t xml:space="preserve">. </w:t>
      </w:r>
      <w:r w:rsidR="00A97B8D">
        <w:rPr>
          <w:rFonts w:eastAsiaTheme="minorEastAsia"/>
        </w:rPr>
        <w:t xml:space="preserve">Additionally, as part of the demographic questions, the interview </w:t>
      </w:r>
      <w:r>
        <w:rPr>
          <w:rFonts w:eastAsiaTheme="minorEastAsia"/>
        </w:rPr>
        <w:t xml:space="preserve">protocol </w:t>
      </w:r>
      <w:r w:rsidR="00A97B8D">
        <w:rPr>
          <w:rFonts w:eastAsiaTheme="minorEastAsia"/>
        </w:rPr>
        <w:t xml:space="preserve">will </w:t>
      </w:r>
      <w:r>
        <w:rPr>
          <w:rFonts w:eastAsiaTheme="minorEastAsia"/>
        </w:rPr>
        <w:t>include a question about</w:t>
      </w:r>
      <w:r w:rsidR="00A97B8D">
        <w:rPr>
          <w:rFonts w:eastAsiaTheme="minorEastAsia"/>
        </w:rPr>
        <w:t xml:space="preserve"> the participant</w:t>
      </w:r>
      <w:r w:rsidR="00B54325">
        <w:rPr>
          <w:rFonts w:eastAsiaTheme="minorEastAsia"/>
        </w:rPr>
        <w:t>'</w:t>
      </w:r>
      <w:r w:rsidR="00A97B8D">
        <w:rPr>
          <w:rFonts w:eastAsiaTheme="minorEastAsia"/>
        </w:rPr>
        <w:t xml:space="preserve">s city and state of residence. </w:t>
      </w:r>
      <w:r w:rsidR="00DE35AC">
        <w:rPr>
          <w:rFonts w:eastAsiaTheme="minorEastAsia"/>
        </w:rPr>
        <w:t xml:space="preserve">These questions are necessary because we intend to explore themes in the qualitative data by age, </w:t>
      </w:r>
      <w:r w:rsidR="00E16269">
        <w:rPr>
          <w:rFonts w:eastAsiaTheme="minorEastAsia"/>
        </w:rPr>
        <w:t>sex</w:t>
      </w:r>
      <w:r w:rsidR="00DE35AC">
        <w:rPr>
          <w:rFonts w:eastAsiaTheme="minorEastAsia"/>
        </w:rPr>
        <w:t xml:space="preserve">, race, ethnicity, and geographic location. </w:t>
      </w:r>
      <w:r>
        <w:rPr>
          <w:rFonts w:eastAsiaTheme="minorEastAsia"/>
        </w:rPr>
        <w:t xml:space="preserve">The demographic questions of race, ethnicity, and sex will also be asked of focus group participants via the focus group participant questionnaire. </w:t>
      </w:r>
    </w:p>
    <w:p w14:paraId="13BEE629" w14:textId="3ADDF65F" w:rsidR="00060CF6" w:rsidRDefault="00DE35AC" w:rsidP="00060CF6">
      <w:pPr>
        <w:pStyle w:val="BodyText"/>
        <w:rPr>
          <w:rFonts w:eastAsiaTheme="minorEastAsia"/>
        </w:rPr>
      </w:pPr>
      <w:r>
        <w:rPr>
          <w:rFonts w:eastAsiaTheme="minorEastAsia"/>
        </w:rPr>
        <w:t xml:space="preserve">This information will help CDC to explore if barriers and facilitators of ride share service utilization differ based on these characteristics. We will use this information to code the qualitative data from the interviews and focus groups, to the extent possible, by age, </w:t>
      </w:r>
      <w:r w:rsidR="00E16269">
        <w:rPr>
          <w:rFonts w:eastAsiaTheme="minorEastAsia"/>
        </w:rPr>
        <w:t>sex</w:t>
      </w:r>
      <w:r>
        <w:rPr>
          <w:rFonts w:eastAsiaTheme="minorEastAsia"/>
        </w:rPr>
        <w:t xml:space="preserve">, race, ethnicity, and geographic location. We will explain to study participants that these questions are asked for analysis purposes only. Participants may decline to respond to the questions, and they will still be able to participate in the study. </w:t>
      </w:r>
    </w:p>
    <w:p w14:paraId="30C6A28B" w14:textId="2BF80310" w:rsidR="00856C0C" w:rsidRPr="0068446C" w:rsidRDefault="0068446C" w:rsidP="00587AFF">
      <w:pPr>
        <w:pStyle w:val="BodyText"/>
        <w:rPr>
          <w:rFonts w:eastAsiaTheme="minorEastAsia"/>
        </w:rPr>
      </w:pPr>
      <w:r w:rsidRPr="0068446C">
        <w:rPr>
          <w:rFonts w:eastAsiaTheme="minorEastAsia"/>
        </w:rPr>
        <w:t xml:space="preserve">The informed consent for both the focus groups and the interviews explains that participants can </w:t>
      </w:r>
      <w:r w:rsidRPr="0068446C">
        <w:rPr>
          <w:color w:val="000000"/>
        </w:rPr>
        <w:t xml:space="preserve">refrain from answering any questions. </w:t>
      </w:r>
      <w:r w:rsidR="00772315" w:rsidRPr="0068446C">
        <w:rPr>
          <w:rFonts w:eastAsiaTheme="minorEastAsia"/>
        </w:rPr>
        <w:t xml:space="preserve">All questions, including sensitive questions, are voluntary in nature. </w:t>
      </w:r>
      <w:r w:rsidR="00856C0C" w:rsidRPr="0068446C">
        <w:rPr>
          <w:rFonts w:eastAsiaTheme="minorEastAsia"/>
        </w:rPr>
        <w:t xml:space="preserve">There will be no negative consequences to any </w:t>
      </w:r>
      <w:r w:rsidR="00772315" w:rsidRPr="0068446C">
        <w:rPr>
          <w:rFonts w:eastAsiaTheme="minorEastAsia"/>
        </w:rPr>
        <w:t>respondent</w:t>
      </w:r>
      <w:r w:rsidR="00856C0C" w:rsidRPr="0068446C">
        <w:rPr>
          <w:rFonts w:eastAsiaTheme="minorEastAsia"/>
        </w:rPr>
        <w:t xml:space="preserve">, should they choose not to answer to one or all of the questions. </w:t>
      </w:r>
      <w:r w:rsidR="00A97B8D">
        <w:rPr>
          <w:rFonts w:eastAsiaTheme="minorEastAsia"/>
        </w:rPr>
        <w:t>In the informed consent, w</w:t>
      </w:r>
      <w:r w:rsidR="00060CF6">
        <w:rPr>
          <w:rFonts w:eastAsiaTheme="minorEastAsia"/>
        </w:rPr>
        <w:t xml:space="preserve">e will inform all study participants that all data collected will be treated in a secure manner. </w:t>
      </w:r>
    </w:p>
    <w:p w14:paraId="0D393EEA" w14:textId="103EDEA0" w:rsidR="00972DEF" w:rsidRPr="00691454" w:rsidRDefault="00B210E1" w:rsidP="0006739E">
      <w:pPr>
        <w:pStyle w:val="Heading2"/>
      </w:pPr>
      <w:bookmarkStart w:id="16" w:name="_Toc511121639"/>
      <w:r>
        <w:t xml:space="preserve">A.12. </w:t>
      </w:r>
      <w:r>
        <w:tab/>
      </w:r>
      <w:r w:rsidR="00972DEF" w:rsidRPr="00691454">
        <w:t>Estimates of Annualized Burden Hours and Costs</w:t>
      </w:r>
      <w:bookmarkEnd w:id="16"/>
      <w:r w:rsidR="00972DEF" w:rsidRPr="00691454">
        <w:t xml:space="preserve"> </w:t>
      </w:r>
    </w:p>
    <w:p w14:paraId="76037BE2" w14:textId="738BDF9A" w:rsidR="003975DF" w:rsidRDefault="00471051" w:rsidP="00F9339A">
      <w:pPr>
        <w:pStyle w:val="BodyText"/>
      </w:pPr>
      <w:r>
        <w:t xml:space="preserve">The focus groups will include up to 90 respondents. </w:t>
      </w:r>
      <w:r w:rsidR="003975DF">
        <w:t>The focus groups will require 90 minutes of each respondent</w:t>
      </w:r>
      <w:r w:rsidR="00B54325">
        <w:t>'</w:t>
      </w:r>
      <w:r w:rsidR="003975DF">
        <w:t xml:space="preserve">s time. </w:t>
      </w:r>
      <w:r w:rsidR="00C11388">
        <w:t>We will use a telephone screener to determine respondents</w:t>
      </w:r>
      <w:r w:rsidR="00B54325">
        <w:t>'</w:t>
      </w:r>
      <w:r w:rsidR="00C11388">
        <w:t xml:space="preserve"> eligibility to participate </w:t>
      </w:r>
      <w:r w:rsidR="00EE37AB">
        <w:t xml:space="preserve">in the focus group (Attachment </w:t>
      </w:r>
      <w:r w:rsidR="00EB7B79">
        <w:t>J</w:t>
      </w:r>
      <w:r w:rsidR="00C11388">
        <w:t xml:space="preserve">). </w:t>
      </w:r>
      <w:r w:rsidR="003975DF">
        <w:t xml:space="preserve">The </w:t>
      </w:r>
      <w:r w:rsidR="00A97B8D">
        <w:t xml:space="preserve">10 </w:t>
      </w:r>
      <w:r w:rsidR="003975DF">
        <w:t>focus groups are a one-time effort. Respondents will only participate in one data collection activity;</w:t>
      </w:r>
      <w:r w:rsidR="002D14D2">
        <w:t xml:space="preserve"> they will not </w:t>
      </w:r>
      <w:r w:rsidR="003975DF">
        <w:t xml:space="preserve">participate in an interview. </w:t>
      </w:r>
    </w:p>
    <w:p w14:paraId="6E4CE703" w14:textId="286B277B" w:rsidR="00471051" w:rsidRDefault="00471051" w:rsidP="00F9339A">
      <w:pPr>
        <w:pStyle w:val="BodyText"/>
      </w:pPr>
      <w:r>
        <w:t xml:space="preserve">The interviews will include up to 95 respondents. </w:t>
      </w:r>
      <w:r w:rsidR="002D14D2">
        <w:t>The interviews will require 20 minutes of each respondent</w:t>
      </w:r>
      <w:r w:rsidR="00B54325">
        <w:t>'</w:t>
      </w:r>
      <w:r w:rsidR="002D14D2">
        <w:t>s time. We will use a telephone screener to determine respondents</w:t>
      </w:r>
      <w:r w:rsidR="00B54325">
        <w:t>'</w:t>
      </w:r>
      <w:r w:rsidR="002D14D2">
        <w:t xml:space="preserve"> eligibility to participate in the interview (Attachment </w:t>
      </w:r>
      <w:r w:rsidR="00EB7B79">
        <w:t>K</w:t>
      </w:r>
      <w:r w:rsidR="002D14D2">
        <w:t xml:space="preserve">). The interviews are a one-time effort. Respondents will only participate in one data collection activity; they will not participate in a focus group. </w:t>
      </w:r>
    </w:p>
    <w:p w14:paraId="42D25610" w14:textId="7C1FE366" w:rsidR="007F2193" w:rsidRDefault="007F2193" w:rsidP="00EF504E">
      <w:pPr>
        <w:pStyle w:val="BodyText"/>
        <w:spacing w:before="240"/>
      </w:pPr>
      <w:r w:rsidRPr="00EF504E">
        <w:rPr>
          <w:rStyle w:val="NORCCaption-Color"/>
        </w:rPr>
        <w:t xml:space="preserve">Table 3. </w:t>
      </w:r>
      <w:r w:rsidRPr="00EF504E">
        <w:rPr>
          <w:rStyle w:val="NORCCaption-Color"/>
        </w:rPr>
        <w:tab/>
      </w:r>
      <w:r w:rsidRPr="00EF504E">
        <w:rPr>
          <w:rFonts w:ascii="Arial" w:hAnsi="Arial" w:cs="Arial"/>
          <w:color w:val="000000" w:themeColor="text1"/>
          <w:sz w:val="22"/>
        </w:rPr>
        <w:t>Estimated Annualized Burden Hours</w:t>
      </w:r>
      <w:r w:rsidRPr="00EF504E">
        <w:t xml:space="preserve"> </w:t>
      </w:r>
    </w:p>
    <w:tbl>
      <w:tblPr>
        <w:tblW w:w="9412" w:type="dxa"/>
        <w:tblInd w:w="-72" w:type="dxa"/>
        <w:tblCellMar>
          <w:left w:w="0" w:type="dxa"/>
          <w:right w:w="0" w:type="dxa"/>
        </w:tblCellMar>
        <w:tblLook w:val="04A0" w:firstRow="1" w:lastRow="0" w:firstColumn="1" w:lastColumn="0" w:noHBand="0" w:noVBand="1"/>
      </w:tblPr>
      <w:tblGrid>
        <w:gridCol w:w="1592"/>
        <w:gridCol w:w="2734"/>
        <w:gridCol w:w="1396"/>
        <w:gridCol w:w="1387"/>
        <w:gridCol w:w="1335"/>
        <w:gridCol w:w="968"/>
      </w:tblGrid>
      <w:tr w:rsidR="00B54325" w14:paraId="634885E0" w14:textId="77777777" w:rsidTr="00B54325">
        <w:trPr>
          <w:trHeight w:val="70"/>
        </w:trPr>
        <w:tc>
          <w:tcPr>
            <w:tcW w:w="1592" w:type="dxa"/>
            <w:tcBorders>
              <w:top w:val="single" w:sz="8" w:space="0" w:color="auto"/>
              <w:left w:val="single" w:sz="8" w:space="0" w:color="auto"/>
              <w:bottom w:val="single" w:sz="8" w:space="0" w:color="auto"/>
              <w:right w:val="single" w:sz="8" w:space="0" w:color="auto"/>
            </w:tcBorders>
            <w:shd w:val="clear" w:color="auto" w:fill="BFB6AC"/>
            <w:tcMar>
              <w:top w:w="0" w:type="dxa"/>
              <w:left w:w="108" w:type="dxa"/>
              <w:bottom w:w="0" w:type="dxa"/>
              <w:right w:w="108" w:type="dxa"/>
            </w:tcMar>
            <w:vAlign w:val="center"/>
            <w:hideMark/>
          </w:tcPr>
          <w:p w14:paraId="25F1203E" w14:textId="77777777" w:rsidR="00B54325" w:rsidRDefault="00B54325" w:rsidP="00B54325">
            <w:pPr>
              <w:rPr>
                <w:rFonts w:ascii="Arial" w:hAnsi="Arial" w:cs="Arial"/>
                <w:b/>
                <w:bCs/>
                <w:sz w:val="18"/>
                <w:szCs w:val="18"/>
              </w:rPr>
            </w:pPr>
            <w:r>
              <w:rPr>
                <w:rFonts w:ascii="Arial" w:hAnsi="Arial" w:cs="Arial"/>
                <w:b/>
                <w:bCs/>
                <w:sz w:val="18"/>
                <w:szCs w:val="18"/>
              </w:rPr>
              <w:t>Type of Respondent</w:t>
            </w:r>
          </w:p>
        </w:tc>
        <w:tc>
          <w:tcPr>
            <w:tcW w:w="2734"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tcPr>
          <w:p w14:paraId="2E6EBAC6" w14:textId="77777777" w:rsidR="00B54325" w:rsidRDefault="00B54325" w:rsidP="00B54325">
            <w:pPr>
              <w:rPr>
                <w:rFonts w:ascii="Arial" w:hAnsi="Arial" w:cs="Arial"/>
                <w:b/>
                <w:bCs/>
                <w:sz w:val="18"/>
                <w:szCs w:val="18"/>
              </w:rPr>
            </w:pPr>
          </w:p>
          <w:p w14:paraId="69000602" w14:textId="77777777" w:rsidR="00B54325" w:rsidRDefault="00B54325" w:rsidP="00B54325">
            <w:pPr>
              <w:rPr>
                <w:rFonts w:ascii="Arial" w:hAnsi="Arial" w:cs="Arial"/>
                <w:b/>
                <w:bCs/>
                <w:sz w:val="18"/>
                <w:szCs w:val="18"/>
              </w:rPr>
            </w:pPr>
            <w:r>
              <w:rPr>
                <w:rFonts w:ascii="Arial" w:hAnsi="Arial" w:cs="Arial"/>
                <w:b/>
                <w:bCs/>
                <w:sz w:val="18"/>
                <w:szCs w:val="18"/>
              </w:rPr>
              <w:t>Form Name</w:t>
            </w:r>
          </w:p>
        </w:tc>
        <w:tc>
          <w:tcPr>
            <w:tcW w:w="1396"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40F370E4" w14:textId="77777777" w:rsidR="00B54325" w:rsidRDefault="00B54325" w:rsidP="00B54325">
            <w:pPr>
              <w:rPr>
                <w:rFonts w:ascii="Arial" w:hAnsi="Arial" w:cs="Arial"/>
                <w:b/>
                <w:bCs/>
                <w:sz w:val="18"/>
                <w:szCs w:val="18"/>
              </w:rPr>
            </w:pPr>
            <w:r>
              <w:rPr>
                <w:rFonts w:ascii="Arial" w:hAnsi="Arial" w:cs="Arial"/>
                <w:b/>
                <w:bCs/>
                <w:sz w:val="18"/>
                <w:szCs w:val="18"/>
              </w:rPr>
              <w:t>Number of Respondents</w:t>
            </w:r>
          </w:p>
        </w:tc>
        <w:tc>
          <w:tcPr>
            <w:tcW w:w="1387"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563E9F76" w14:textId="77777777" w:rsidR="00B54325" w:rsidRDefault="00B54325" w:rsidP="00B54325">
            <w:pPr>
              <w:rPr>
                <w:rFonts w:ascii="Arial" w:hAnsi="Arial" w:cs="Arial"/>
                <w:b/>
                <w:bCs/>
                <w:sz w:val="18"/>
                <w:szCs w:val="18"/>
              </w:rPr>
            </w:pPr>
            <w:r>
              <w:rPr>
                <w:rFonts w:ascii="Arial" w:hAnsi="Arial" w:cs="Arial"/>
                <w:b/>
                <w:bCs/>
                <w:sz w:val="18"/>
                <w:szCs w:val="18"/>
              </w:rPr>
              <w:t>Number of Responses per Respondent</w:t>
            </w:r>
          </w:p>
        </w:tc>
        <w:tc>
          <w:tcPr>
            <w:tcW w:w="1335"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3B785A65" w14:textId="77777777" w:rsidR="00B54325" w:rsidRDefault="00B54325" w:rsidP="00B54325">
            <w:pPr>
              <w:rPr>
                <w:rFonts w:ascii="Arial" w:hAnsi="Arial" w:cs="Arial"/>
                <w:b/>
                <w:bCs/>
                <w:sz w:val="18"/>
                <w:szCs w:val="18"/>
              </w:rPr>
            </w:pPr>
            <w:r>
              <w:rPr>
                <w:rFonts w:ascii="Arial" w:hAnsi="Arial" w:cs="Arial"/>
                <w:b/>
                <w:bCs/>
                <w:sz w:val="18"/>
                <w:szCs w:val="18"/>
              </w:rPr>
              <w:t>Average Burden per Response</w:t>
            </w:r>
          </w:p>
          <w:p w14:paraId="13309715" w14:textId="77777777" w:rsidR="00B54325" w:rsidRDefault="00B54325" w:rsidP="00B54325">
            <w:pPr>
              <w:rPr>
                <w:rFonts w:ascii="Arial" w:hAnsi="Arial" w:cs="Arial"/>
                <w:b/>
                <w:bCs/>
                <w:sz w:val="18"/>
                <w:szCs w:val="18"/>
              </w:rPr>
            </w:pPr>
            <w:r>
              <w:rPr>
                <w:rFonts w:ascii="Arial" w:hAnsi="Arial" w:cs="Arial"/>
                <w:b/>
                <w:bCs/>
                <w:sz w:val="18"/>
                <w:szCs w:val="18"/>
              </w:rPr>
              <w:t>(in hours)</w:t>
            </w:r>
          </w:p>
        </w:tc>
        <w:tc>
          <w:tcPr>
            <w:tcW w:w="968"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4A20B18F" w14:textId="77777777" w:rsidR="00B54325" w:rsidRDefault="00B54325" w:rsidP="00B54325">
            <w:pPr>
              <w:rPr>
                <w:rFonts w:ascii="Arial" w:hAnsi="Arial" w:cs="Arial"/>
                <w:b/>
                <w:bCs/>
                <w:sz w:val="18"/>
                <w:szCs w:val="18"/>
              </w:rPr>
            </w:pPr>
            <w:r>
              <w:rPr>
                <w:rFonts w:ascii="Arial" w:hAnsi="Arial" w:cs="Arial"/>
                <w:b/>
                <w:bCs/>
                <w:sz w:val="18"/>
                <w:szCs w:val="18"/>
              </w:rPr>
              <w:t>Total Burden (in hours)</w:t>
            </w:r>
          </w:p>
        </w:tc>
      </w:tr>
      <w:tr w:rsidR="00A30F01" w14:paraId="4DC214DA" w14:textId="77777777" w:rsidTr="00142C8E">
        <w:trPr>
          <w:trHeight w:val="70"/>
        </w:trPr>
        <w:tc>
          <w:tcPr>
            <w:tcW w:w="159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00E3DCE9" w14:textId="64C41378" w:rsidR="00A30F01" w:rsidRPr="00142C8E" w:rsidRDefault="00A30F01" w:rsidP="00B54325">
            <w:pPr>
              <w:rPr>
                <w:rFonts w:ascii="Arial" w:hAnsi="Arial" w:cs="Arial"/>
                <w:bCs/>
                <w:sz w:val="18"/>
                <w:szCs w:val="18"/>
              </w:rPr>
            </w:pPr>
            <w:r w:rsidRPr="00142C8E">
              <w:rPr>
                <w:rFonts w:ascii="Arial" w:hAnsi="Arial" w:cs="Arial"/>
                <w:bCs/>
                <w:sz w:val="18"/>
                <w:szCs w:val="18"/>
              </w:rPr>
              <w:t>Focus Group Respondents (Adults aged 18-65+)</w:t>
            </w: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9E9609" w14:textId="1C1D91A9" w:rsidR="00A30F01" w:rsidRDefault="00A30F01" w:rsidP="00B54325">
            <w:pPr>
              <w:rPr>
                <w:rFonts w:ascii="Arial" w:hAnsi="Arial" w:cs="Arial"/>
                <w:b/>
                <w:bCs/>
                <w:sz w:val="18"/>
                <w:szCs w:val="18"/>
              </w:rPr>
            </w:pPr>
            <w:r>
              <w:rPr>
                <w:rFonts w:ascii="Arial" w:hAnsi="Arial" w:cs="Arial"/>
                <w:sz w:val="18"/>
                <w:szCs w:val="18"/>
              </w:rPr>
              <w:t>Screener Focus Group (Att. J)</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EEA460" w14:textId="3E40E3DD" w:rsidR="00A30F01" w:rsidRDefault="000910E6" w:rsidP="00B54325">
            <w:pPr>
              <w:jc w:val="center"/>
              <w:rPr>
                <w:rFonts w:ascii="Arial" w:hAnsi="Arial" w:cs="Arial"/>
                <w:b/>
                <w:bCs/>
                <w:sz w:val="18"/>
                <w:szCs w:val="18"/>
              </w:rPr>
            </w:pPr>
            <w:r>
              <w:rPr>
                <w:rFonts w:ascii="Arial" w:hAnsi="Arial" w:cs="Arial"/>
                <w:sz w:val="18"/>
                <w:szCs w:val="18"/>
              </w:rPr>
              <w:t>120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24B24B" w14:textId="049F382D" w:rsidR="00A30F01" w:rsidRDefault="00A30F01" w:rsidP="00B54325">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D8C2A8" w14:textId="6B3AB8E3" w:rsidR="00A30F01" w:rsidRDefault="00A30F01" w:rsidP="00B54325">
            <w:pPr>
              <w:jc w:val="center"/>
              <w:rPr>
                <w:rFonts w:ascii="Arial" w:hAnsi="Arial" w:cs="Arial"/>
                <w:b/>
                <w:bCs/>
                <w:sz w:val="18"/>
                <w:szCs w:val="18"/>
              </w:rPr>
            </w:pPr>
            <w:r>
              <w:rPr>
                <w:rFonts w:ascii="Arial" w:hAnsi="Arial" w:cs="Arial"/>
                <w:sz w:val="18"/>
                <w:szCs w:val="18"/>
              </w:rPr>
              <w:t>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B097F2" w14:textId="46FC3982" w:rsidR="00A30F01" w:rsidRDefault="000910E6" w:rsidP="00B54325">
            <w:pPr>
              <w:jc w:val="center"/>
              <w:rPr>
                <w:rFonts w:ascii="Arial" w:hAnsi="Arial" w:cs="Arial"/>
                <w:b/>
                <w:bCs/>
                <w:sz w:val="18"/>
                <w:szCs w:val="18"/>
              </w:rPr>
            </w:pPr>
            <w:r>
              <w:rPr>
                <w:rFonts w:ascii="Arial" w:hAnsi="Arial" w:cs="Arial"/>
                <w:sz w:val="18"/>
                <w:szCs w:val="18"/>
              </w:rPr>
              <w:t>10</w:t>
            </w:r>
          </w:p>
        </w:tc>
      </w:tr>
      <w:tr w:rsidR="00A30F01" w14:paraId="760B4598" w14:textId="77777777" w:rsidTr="00142C8E">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4D8942FD" w14:textId="77777777" w:rsidR="00A30F01" w:rsidRPr="00142C8E" w:rsidRDefault="00A30F01" w:rsidP="00B54325">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DBBD14" w14:textId="44364F05" w:rsidR="00A30F01" w:rsidRDefault="00A30F01" w:rsidP="00B54325">
            <w:pPr>
              <w:rPr>
                <w:rFonts w:ascii="Arial" w:hAnsi="Arial" w:cs="Arial"/>
                <w:b/>
                <w:bCs/>
                <w:sz w:val="18"/>
                <w:szCs w:val="18"/>
              </w:rPr>
            </w:pPr>
            <w:r>
              <w:rPr>
                <w:rFonts w:ascii="Arial" w:hAnsi="Arial" w:cs="Arial"/>
                <w:sz w:val="18"/>
                <w:szCs w:val="18"/>
              </w:rPr>
              <w:t>Written Questionnaire Focus Group (Att. B)</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F16195" w14:textId="47414F40" w:rsidR="00A30F01" w:rsidRDefault="00A30F01" w:rsidP="00B54325">
            <w:pPr>
              <w:jc w:val="center"/>
              <w:rPr>
                <w:rFonts w:ascii="Arial" w:hAnsi="Arial" w:cs="Arial"/>
                <w:b/>
                <w:bCs/>
                <w:sz w:val="18"/>
                <w:szCs w:val="18"/>
              </w:rPr>
            </w:pPr>
            <w:r>
              <w:rPr>
                <w:rFonts w:ascii="Arial" w:hAnsi="Arial" w:cs="Arial"/>
                <w:sz w:val="18"/>
                <w:szCs w:val="18"/>
              </w:rPr>
              <w:t>90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398F9C" w14:textId="2F8A36E6" w:rsidR="00A30F01" w:rsidRDefault="00A30F01" w:rsidP="00B54325">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471E87" w14:textId="6468D791" w:rsidR="00A30F01" w:rsidRDefault="00A30F01" w:rsidP="00B54325">
            <w:pPr>
              <w:jc w:val="center"/>
              <w:rPr>
                <w:rFonts w:ascii="Arial" w:hAnsi="Arial" w:cs="Arial"/>
                <w:b/>
                <w:bCs/>
                <w:sz w:val="18"/>
                <w:szCs w:val="18"/>
              </w:rPr>
            </w:pPr>
            <w:r>
              <w:rPr>
                <w:rFonts w:ascii="Arial" w:hAnsi="Arial" w:cs="Arial"/>
                <w:sz w:val="18"/>
                <w:szCs w:val="18"/>
              </w:rPr>
              <w:t>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6AE620" w14:textId="136CDF48" w:rsidR="00A30F01" w:rsidRDefault="00C8547D" w:rsidP="00B54325">
            <w:pPr>
              <w:jc w:val="center"/>
              <w:rPr>
                <w:rFonts w:ascii="Arial" w:hAnsi="Arial" w:cs="Arial"/>
                <w:b/>
                <w:bCs/>
                <w:sz w:val="18"/>
                <w:szCs w:val="18"/>
              </w:rPr>
            </w:pPr>
            <w:r>
              <w:rPr>
                <w:rFonts w:ascii="Arial" w:hAnsi="Arial" w:cs="Arial"/>
                <w:sz w:val="18"/>
                <w:szCs w:val="18"/>
              </w:rPr>
              <w:t>8</w:t>
            </w:r>
          </w:p>
        </w:tc>
      </w:tr>
      <w:tr w:rsidR="00A30F01" w14:paraId="20727352" w14:textId="77777777" w:rsidTr="00142C8E">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40810EDC" w14:textId="77777777" w:rsidR="00A30F01" w:rsidRPr="00142C8E" w:rsidRDefault="00A30F01" w:rsidP="00B54325">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23D8C7" w14:textId="6CD4A68D" w:rsidR="00A30F01" w:rsidRDefault="00A30F01" w:rsidP="00B54325">
            <w:pPr>
              <w:rPr>
                <w:rFonts w:ascii="Arial" w:hAnsi="Arial" w:cs="Arial"/>
                <w:b/>
                <w:bCs/>
                <w:sz w:val="18"/>
                <w:szCs w:val="18"/>
              </w:rPr>
            </w:pPr>
            <w:r>
              <w:rPr>
                <w:rFonts w:ascii="Arial" w:hAnsi="Arial" w:cs="Arial"/>
                <w:sz w:val="18"/>
                <w:szCs w:val="18"/>
              </w:rPr>
              <w:t>Focus Group Protocol – Users (Att. C)</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400F61" w14:textId="3ED98AF2" w:rsidR="00A30F01" w:rsidRDefault="00A30F01" w:rsidP="00B54325">
            <w:pPr>
              <w:jc w:val="center"/>
              <w:rPr>
                <w:rFonts w:ascii="Arial" w:hAnsi="Arial" w:cs="Arial"/>
                <w:b/>
                <w:bCs/>
                <w:sz w:val="18"/>
                <w:szCs w:val="18"/>
              </w:rPr>
            </w:pPr>
            <w:r>
              <w:rPr>
                <w:rFonts w:ascii="Arial" w:hAnsi="Arial" w:cs="Arial"/>
                <w:sz w:val="18"/>
                <w:szCs w:val="18"/>
              </w:rPr>
              <w:t>72</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9AC1D9" w14:textId="3AB43018" w:rsidR="00A30F01" w:rsidRDefault="00A30F01" w:rsidP="00B54325">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0B71DA" w14:textId="2DA5DBD1" w:rsidR="00A30F01" w:rsidRDefault="00A30F01" w:rsidP="00B54325">
            <w:pPr>
              <w:jc w:val="center"/>
              <w:rPr>
                <w:rFonts w:ascii="Arial" w:hAnsi="Arial" w:cs="Arial"/>
                <w:b/>
                <w:bCs/>
                <w:sz w:val="18"/>
                <w:szCs w:val="18"/>
              </w:rPr>
            </w:pPr>
            <w:r>
              <w:rPr>
                <w:rFonts w:ascii="Arial" w:hAnsi="Arial" w:cs="Arial"/>
                <w:sz w:val="18"/>
                <w:szCs w:val="18"/>
              </w:rPr>
              <w:t>85/60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1BB818" w14:textId="4EEEA543" w:rsidR="00A30F01" w:rsidRDefault="00A30F01" w:rsidP="00B54325">
            <w:pPr>
              <w:jc w:val="center"/>
              <w:rPr>
                <w:rFonts w:ascii="Arial" w:hAnsi="Arial" w:cs="Arial"/>
                <w:b/>
                <w:bCs/>
                <w:sz w:val="18"/>
                <w:szCs w:val="18"/>
              </w:rPr>
            </w:pPr>
            <w:r>
              <w:rPr>
                <w:rFonts w:ascii="Arial" w:hAnsi="Arial" w:cs="Arial"/>
                <w:sz w:val="18"/>
                <w:szCs w:val="18"/>
              </w:rPr>
              <w:t>102</w:t>
            </w:r>
          </w:p>
        </w:tc>
      </w:tr>
      <w:tr w:rsidR="00A30F01" w14:paraId="7E0835A5" w14:textId="77777777" w:rsidTr="000910E6">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7682F2A9" w14:textId="77777777" w:rsidR="00A30F01" w:rsidRPr="00142C8E" w:rsidRDefault="00A30F01" w:rsidP="00B54325">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A426AC" w14:textId="6EFC8C29" w:rsidR="00A30F01" w:rsidRDefault="00A30F01" w:rsidP="00B54325">
            <w:pPr>
              <w:rPr>
                <w:rFonts w:ascii="Arial" w:hAnsi="Arial" w:cs="Arial"/>
                <w:b/>
                <w:bCs/>
                <w:sz w:val="18"/>
                <w:szCs w:val="18"/>
              </w:rPr>
            </w:pPr>
            <w:r>
              <w:rPr>
                <w:rFonts w:ascii="Arial" w:hAnsi="Arial" w:cs="Arial"/>
                <w:sz w:val="18"/>
                <w:szCs w:val="18"/>
              </w:rPr>
              <w:t>Focus Group Protocol – Non-users (Att. D)</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6C4FE6" w14:textId="3446C7FE" w:rsidR="00A30F01" w:rsidRDefault="00A30F01" w:rsidP="00B54325">
            <w:pPr>
              <w:jc w:val="center"/>
              <w:rPr>
                <w:rFonts w:ascii="Arial" w:hAnsi="Arial" w:cs="Arial"/>
                <w:b/>
                <w:bCs/>
                <w:sz w:val="18"/>
                <w:szCs w:val="18"/>
              </w:rPr>
            </w:pPr>
            <w:r>
              <w:rPr>
                <w:rFonts w:ascii="Arial" w:hAnsi="Arial" w:cs="Arial"/>
                <w:sz w:val="18"/>
                <w:szCs w:val="18"/>
              </w:rPr>
              <w:t>18</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422C55" w14:textId="1A732E26" w:rsidR="00A30F01" w:rsidRDefault="00A30F01" w:rsidP="00B54325">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AB8370" w14:textId="4FBE173C" w:rsidR="00A30F01" w:rsidRDefault="00A30F01" w:rsidP="00B54325">
            <w:pPr>
              <w:jc w:val="center"/>
              <w:rPr>
                <w:rFonts w:ascii="Arial" w:hAnsi="Arial" w:cs="Arial"/>
                <w:b/>
                <w:bCs/>
                <w:sz w:val="18"/>
                <w:szCs w:val="18"/>
              </w:rPr>
            </w:pPr>
            <w:r>
              <w:rPr>
                <w:rFonts w:ascii="Arial" w:hAnsi="Arial" w:cs="Arial"/>
                <w:sz w:val="18"/>
                <w:szCs w:val="18"/>
              </w:rPr>
              <w:t>85/60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DE08E6" w14:textId="4014B6CA" w:rsidR="00A30F01" w:rsidRDefault="00C8547D" w:rsidP="00B54325">
            <w:pPr>
              <w:jc w:val="center"/>
              <w:rPr>
                <w:rFonts w:ascii="Arial" w:hAnsi="Arial" w:cs="Arial"/>
                <w:b/>
                <w:bCs/>
                <w:sz w:val="18"/>
                <w:szCs w:val="18"/>
              </w:rPr>
            </w:pPr>
            <w:r>
              <w:rPr>
                <w:rFonts w:ascii="Arial" w:hAnsi="Arial" w:cs="Arial"/>
                <w:sz w:val="18"/>
                <w:szCs w:val="18"/>
              </w:rPr>
              <w:t>26</w:t>
            </w:r>
          </w:p>
        </w:tc>
      </w:tr>
      <w:tr w:rsidR="00A30F01" w14:paraId="6C83A88F" w14:textId="77777777" w:rsidTr="000910E6">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70C34788" w14:textId="44330153" w:rsidR="00A30F01" w:rsidRPr="00142C8E" w:rsidRDefault="00A30F01" w:rsidP="00B54325">
            <w:pPr>
              <w:rPr>
                <w:rFonts w:ascii="Arial" w:hAnsi="Arial" w:cs="Arial"/>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9C3335" w14:textId="6BE81C7D" w:rsidR="00A30F01" w:rsidRDefault="00A30F01" w:rsidP="00B54325">
            <w:pPr>
              <w:rPr>
                <w:rFonts w:ascii="Arial" w:hAnsi="Arial" w:cs="Arial"/>
                <w:b/>
                <w:bCs/>
                <w:sz w:val="18"/>
                <w:szCs w:val="18"/>
              </w:rPr>
            </w:pPr>
            <w:r>
              <w:rPr>
                <w:rFonts w:ascii="Arial" w:hAnsi="Arial" w:cs="Arial"/>
                <w:sz w:val="18"/>
                <w:szCs w:val="18"/>
              </w:rPr>
              <w:t>Screener Telephone Interview (Att. K)</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7777F5" w14:textId="77777777" w:rsidR="00A30F01" w:rsidRDefault="00A30F01" w:rsidP="00B54325">
            <w:pPr>
              <w:jc w:val="center"/>
              <w:rPr>
                <w:rFonts w:ascii="Arial" w:hAnsi="Arial" w:cs="Arial"/>
                <w:sz w:val="18"/>
                <w:szCs w:val="18"/>
              </w:rPr>
            </w:pPr>
          </w:p>
          <w:p w14:paraId="1965230A" w14:textId="38B62FD9" w:rsidR="00A30F01" w:rsidRDefault="000910E6" w:rsidP="00B54325">
            <w:pPr>
              <w:jc w:val="center"/>
              <w:rPr>
                <w:rFonts w:ascii="Arial" w:hAnsi="Arial" w:cs="Arial"/>
                <w:b/>
                <w:bCs/>
                <w:sz w:val="18"/>
                <w:szCs w:val="18"/>
              </w:rPr>
            </w:pPr>
            <w:r>
              <w:rPr>
                <w:rFonts w:ascii="Arial" w:hAnsi="Arial" w:cs="Arial"/>
                <w:sz w:val="18"/>
                <w:szCs w:val="18"/>
              </w:rPr>
              <w:t>140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C34B56" w14:textId="77777777" w:rsidR="00A30F01" w:rsidRDefault="00A30F01" w:rsidP="00B54325">
            <w:pPr>
              <w:jc w:val="center"/>
              <w:rPr>
                <w:rFonts w:ascii="Arial" w:hAnsi="Arial" w:cs="Arial"/>
                <w:sz w:val="18"/>
                <w:szCs w:val="18"/>
              </w:rPr>
            </w:pPr>
          </w:p>
          <w:p w14:paraId="57FE059B" w14:textId="512DE54D" w:rsidR="00A30F01" w:rsidRDefault="00A30F01" w:rsidP="00B54325">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C2AA9D" w14:textId="77777777" w:rsidR="00A30F01" w:rsidRDefault="00A30F01" w:rsidP="00B54325">
            <w:pPr>
              <w:jc w:val="center"/>
              <w:rPr>
                <w:rFonts w:ascii="Arial" w:hAnsi="Arial" w:cs="Arial"/>
                <w:sz w:val="18"/>
                <w:szCs w:val="18"/>
              </w:rPr>
            </w:pPr>
          </w:p>
          <w:p w14:paraId="4729F662" w14:textId="0F183B9B" w:rsidR="00A30F01" w:rsidRDefault="00A30F01" w:rsidP="00B54325">
            <w:pPr>
              <w:jc w:val="center"/>
              <w:rPr>
                <w:rFonts w:ascii="Arial" w:hAnsi="Arial" w:cs="Arial"/>
                <w:b/>
                <w:bCs/>
                <w:sz w:val="18"/>
                <w:szCs w:val="18"/>
              </w:rPr>
            </w:pPr>
            <w:r>
              <w:rPr>
                <w:rFonts w:ascii="Arial" w:hAnsi="Arial" w:cs="Arial"/>
                <w:sz w:val="18"/>
                <w:szCs w:val="18"/>
              </w:rPr>
              <w:t>5/60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B3525F" w14:textId="77777777" w:rsidR="00A30F01" w:rsidRDefault="00A30F01" w:rsidP="00B54325">
            <w:pPr>
              <w:jc w:val="center"/>
              <w:rPr>
                <w:rFonts w:ascii="Arial" w:hAnsi="Arial" w:cs="Arial"/>
                <w:sz w:val="18"/>
                <w:szCs w:val="18"/>
              </w:rPr>
            </w:pPr>
          </w:p>
          <w:p w14:paraId="2FDDD6BC" w14:textId="3412B593" w:rsidR="00A30F01" w:rsidRDefault="000910E6" w:rsidP="00B54325">
            <w:pPr>
              <w:jc w:val="center"/>
              <w:rPr>
                <w:rFonts w:ascii="Arial" w:hAnsi="Arial" w:cs="Arial"/>
                <w:b/>
                <w:bCs/>
                <w:sz w:val="18"/>
                <w:szCs w:val="18"/>
              </w:rPr>
            </w:pPr>
            <w:r>
              <w:rPr>
                <w:rFonts w:ascii="Arial" w:hAnsi="Arial" w:cs="Arial"/>
                <w:sz w:val="18"/>
                <w:szCs w:val="18"/>
              </w:rPr>
              <w:t>12</w:t>
            </w:r>
          </w:p>
        </w:tc>
      </w:tr>
      <w:tr w:rsidR="00A30F01" w14:paraId="0D13ED87" w14:textId="77777777" w:rsidTr="00142C8E">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2F534D27" w14:textId="77777777" w:rsidR="00A30F01" w:rsidRDefault="00A30F01" w:rsidP="00B54325">
            <w:pPr>
              <w:rPr>
                <w:rFonts w:ascii="Arial" w:hAnsi="Arial" w:cs="Arial"/>
                <w:b/>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C38B3D" w14:textId="4D040C3F" w:rsidR="00A30F01" w:rsidRDefault="00A30F01" w:rsidP="00B54325">
            <w:pPr>
              <w:rPr>
                <w:rFonts w:ascii="Arial" w:hAnsi="Arial" w:cs="Arial"/>
                <w:b/>
                <w:bCs/>
                <w:sz w:val="18"/>
                <w:szCs w:val="18"/>
              </w:rPr>
            </w:pPr>
            <w:r>
              <w:rPr>
                <w:rFonts w:ascii="Arial" w:hAnsi="Arial" w:cs="Arial"/>
                <w:sz w:val="18"/>
                <w:szCs w:val="18"/>
              </w:rPr>
              <w:t>Interview Protocol – Users (Att. E)</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C1743B" w14:textId="7BE44CE2" w:rsidR="00A30F01" w:rsidRDefault="00A30F01" w:rsidP="00B54325">
            <w:pPr>
              <w:jc w:val="center"/>
              <w:rPr>
                <w:rFonts w:ascii="Arial" w:hAnsi="Arial" w:cs="Arial"/>
                <w:b/>
                <w:bCs/>
                <w:sz w:val="18"/>
                <w:szCs w:val="18"/>
              </w:rPr>
            </w:pPr>
            <w:r>
              <w:rPr>
                <w:rFonts w:ascii="Arial" w:hAnsi="Arial" w:cs="Arial"/>
                <w:sz w:val="18"/>
                <w:szCs w:val="18"/>
              </w:rPr>
              <w:t>75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94E9CE" w14:textId="00668758" w:rsidR="00A30F01" w:rsidRDefault="00A30F01" w:rsidP="00B54325">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DA4CAB" w14:textId="7862FD94" w:rsidR="00A30F01" w:rsidRDefault="00A30F01" w:rsidP="00B54325">
            <w:pPr>
              <w:jc w:val="center"/>
              <w:rPr>
                <w:rFonts w:ascii="Arial" w:hAnsi="Arial" w:cs="Arial"/>
                <w:b/>
                <w:bCs/>
                <w:sz w:val="18"/>
                <w:szCs w:val="18"/>
              </w:rPr>
            </w:pPr>
            <w:r>
              <w:rPr>
                <w:rFonts w:ascii="Arial" w:hAnsi="Arial" w:cs="Arial"/>
                <w:sz w:val="18"/>
                <w:szCs w:val="18"/>
              </w:rPr>
              <w:t>20/60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BC04E1" w14:textId="08A702F8" w:rsidR="00A30F01" w:rsidRDefault="00A30F01" w:rsidP="00B54325">
            <w:pPr>
              <w:jc w:val="center"/>
              <w:rPr>
                <w:rFonts w:ascii="Arial" w:hAnsi="Arial" w:cs="Arial"/>
                <w:b/>
                <w:bCs/>
                <w:sz w:val="18"/>
                <w:szCs w:val="18"/>
              </w:rPr>
            </w:pPr>
            <w:r>
              <w:rPr>
                <w:rFonts w:ascii="Arial" w:hAnsi="Arial" w:cs="Arial"/>
                <w:sz w:val="18"/>
                <w:szCs w:val="18"/>
              </w:rPr>
              <w:t>25</w:t>
            </w:r>
          </w:p>
        </w:tc>
      </w:tr>
      <w:tr w:rsidR="00A30F01" w14:paraId="53C28AE3" w14:textId="77777777" w:rsidTr="00142C8E">
        <w:trPr>
          <w:trHeight w:val="70"/>
        </w:trPr>
        <w:tc>
          <w:tcPr>
            <w:tcW w:w="1592"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A57A3A" w14:textId="77777777" w:rsidR="00A30F01" w:rsidRDefault="00A30F01" w:rsidP="00B54325">
            <w:pPr>
              <w:rPr>
                <w:rFonts w:ascii="Arial" w:hAnsi="Arial" w:cs="Arial"/>
                <w:b/>
                <w:bCs/>
                <w:sz w:val="18"/>
                <w:szCs w:val="18"/>
              </w:rPr>
            </w:pPr>
          </w:p>
        </w:tc>
        <w:tc>
          <w:tcPr>
            <w:tcW w:w="27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4F0166" w14:textId="2DF314A4" w:rsidR="00A30F01" w:rsidRDefault="00A30F01" w:rsidP="00B54325">
            <w:pPr>
              <w:rPr>
                <w:rFonts w:ascii="Arial" w:hAnsi="Arial" w:cs="Arial"/>
                <w:b/>
                <w:bCs/>
                <w:sz w:val="18"/>
                <w:szCs w:val="18"/>
              </w:rPr>
            </w:pPr>
            <w:r>
              <w:rPr>
                <w:rFonts w:ascii="Arial" w:hAnsi="Arial" w:cs="Arial"/>
                <w:sz w:val="18"/>
                <w:szCs w:val="18"/>
              </w:rPr>
              <w:t>Interview Protocol – Non-users (Att. F)</w:t>
            </w:r>
          </w:p>
        </w:tc>
        <w:tc>
          <w:tcPr>
            <w:tcW w:w="13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F5897C" w14:textId="0A298AAF" w:rsidR="00A30F01" w:rsidRDefault="00A30F01" w:rsidP="00B54325">
            <w:pPr>
              <w:jc w:val="center"/>
              <w:rPr>
                <w:rFonts w:ascii="Arial" w:hAnsi="Arial" w:cs="Arial"/>
                <w:b/>
                <w:bCs/>
                <w:sz w:val="18"/>
                <w:szCs w:val="18"/>
              </w:rPr>
            </w:pPr>
            <w:r>
              <w:rPr>
                <w:rFonts w:ascii="Arial" w:hAnsi="Arial" w:cs="Arial"/>
                <w:sz w:val="18"/>
                <w:szCs w:val="18"/>
              </w:rPr>
              <w:t>20</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A83550" w14:textId="76BA23F4" w:rsidR="00A30F01" w:rsidRDefault="00A30F01" w:rsidP="00B54325">
            <w:pPr>
              <w:jc w:val="center"/>
              <w:rPr>
                <w:rFonts w:ascii="Arial" w:hAnsi="Arial" w:cs="Arial"/>
                <w:b/>
                <w:bCs/>
                <w:sz w:val="18"/>
                <w:szCs w:val="18"/>
              </w:rPr>
            </w:pPr>
            <w:r>
              <w:rPr>
                <w:rFonts w:ascii="Arial" w:hAnsi="Arial" w:cs="Arial"/>
                <w:sz w:val="18"/>
                <w:szCs w:val="18"/>
              </w:rPr>
              <w:t>1</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11FAAD" w14:textId="5E023350" w:rsidR="00A30F01" w:rsidRDefault="00A30F01" w:rsidP="00B54325">
            <w:pPr>
              <w:jc w:val="center"/>
              <w:rPr>
                <w:rFonts w:ascii="Arial" w:hAnsi="Arial" w:cs="Arial"/>
                <w:b/>
                <w:bCs/>
                <w:sz w:val="18"/>
                <w:szCs w:val="18"/>
              </w:rPr>
            </w:pPr>
            <w:r>
              <w:rPr>
                <w:rFonts w:ascii="Arial" w:hAnsi="Arial" w:cs="Arial"/>
                <w:sz w:val="18"/>
                <w:szCs w:val="18"/>
              </w:rPr>
              <w:t>20/60</w:t>
            </w:r>
          </w:p>
        </w:tc>
        <w:tc>
          <w:tcPr>
            <w:tcW w:w="9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CABD07" w14:textId="163CA1B6" w:rsidR="00A30F01" w:rsidRDefault="00C8547D" w:rsidP="00B54325">
            <w:pPr>
              <w:jc w:val="center"/>
              <w:rPr>
                <w:rFonts w:ascii="Arial" w:hAnsi="Arial" w:cs="Arial"/>
                <w:b/>
                <w:bCs/>
                <w:sz w:val="18"/>
                <w:szCs w:val="18"/>
              </w:rPr>
            </w:pPr>
            <w:r>
              <w:rPr>
                <w:rFonts w:ascii="Arial" w:hAnsi="Arial" w:cs="Arial"/>
                <w:sz w:val="18"/>
                <w:szCs w:val="18"/>
              </w:rPr>
              <w:t>7</w:t>
            </w:r>
          </w:p>
        </w:tc>
      </w:tr>
      <w:tr w:rsidR="00B54325" w14:paraId="67443EC5" w14:textId="77777777" w:rsidTr="00B54325">
        <w:trPr>
          <w:trHeight w:val="276"/>
        </w:trPr>
        <w:tc>
          <w:tcPr>
            <w:tcW w:w="844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A80D3A" w14:textId="77777777" w:rsidR="00B54325" w:rsidRDefault="00B54325" w:rsidP="00B54325">
            <w:pPr>
              <w:jc w:val="right"/>
              <w:rPr>
                <w:rFonts w:ascii="Arial" w:hAnsi="Arial" w:cs="Arial"/>
                <w:b/>
                <w:bCs/>
                <w:sz w:val="18"/>
                <w:szCs w:val="18"/>
              </w:rPr>
            </w:pPr>
            <w:r>
              <w:rPr>
                <w:rFonts w:ascii="Arial" w:hAnsi="Arial" w:cs="Arial"/>
                <w:b/>
                <w:bCs/>
                <w:sz w:val="18"/>
                <w:szCs w:val="18"/>
              </w:rPr>
              <w:t>Total</w:t>
            </w: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02ABB" w14:textId="48F8FC52" w:rsidR="00B54325" w:rsidRDefault="00C8547D" w:rsidP="000910E6">
            <w:pPr>
              <w:jc w:val="center"/>
              <w:rPr>
                <w:rFonts w:ascii="Arial" w:hAnsi="Arial" w:cs="Arial"/>
                <w:sz w:val="18"/>
                <w:szCs w:val="18"/>
              </w:rPr>
            </w:pPr>
            <w:r>
              <w:rPr>
                <w:rFonts w:ascii="Arial" w:hAnsi="Arial" w:cs="Arial"/>
                <w:sz w:val="18"/>
                <w:szCs w:val="18"/>
              </w:rPr>
              <w:t>1</w:t>
            </w:r>
            <w:r w:rsidR="000910E6">
              <w:rPr>
                <w:rFonts w:ascii="Arial" w:hAnsi="Arial" w:cs="Arial"/>
                <w:sz w:val="18"/>
                <w:szCs w:val="18"/>
              </w:rPr>
              <w:t>90</w:t>
            </w:r>
          </w:p>
        </w:tc>
      </w:tr>
    </w:tbl>
    <w:p w14:paraId="598EF524" w14:textId="77777777" w:rsidR="00B54325" w:rsidRDefault="00B54325" w:rsidP="00B54325">
      <w:pPr>
        <w:pStyle w:val="BodyText"/>
      </w:pPr>
    </w:p>
    <w:p w14:paraId="62F68C0B" w14:textId="5058B2F5" w:rsidR="007F2193" w:rsidRPr="00142C8E" w:rsidRDefault="007F2193" w:rsidP="007F2193">
      <w:pPr>
        <w:pStyle w:val="NORCCaption-Exhibit"/>
      </w:pPr>
      <w:r w:rsidRPr="00142C8E">
        <w:rPr>
          <w:rStyle w:val="NORCCaption-Color"/>
        </w:rPr>
        <w:t xml:space="preserve">Table 4. </w:t>
      </w:r>
      <w:r w:rsidRPr="00142C8E">
        <w:rPr>
          <w:rStyle w:val="NORCCaption-Color"/>
        </w:rPr>
        <w:tab/>
      </w:r>
      <w:r w:rsidRPr="00142C8E">
        <w:t>Estimated Annualized Burden Costs</w:t>
      </w:r>
    </w:p>
    <w:tbl>
      <w:tblPr>
        <w:tblW w:w="9512" w:type="dxa"/>
        <w:tblInd w:w="-72" w:type="dxa"/>
        <w:tblCellMar>
          <w:left w:w="0" w:type="dxa"/>
          <w:right w:w="0" w:type="dxa"/>
        </w:tblCellMar>
        <w:tblLook w:val="04A0" w:firstRow="1" w:lastRow="0" w:firstColumn="1" w:lastColumn="0" w:noHBand="0" w:noVBand="1"/>
      </w:tblPr>
      <w:tblGrid>
        <w:gridCol w:w="1592"/>
        <w:gridCol w:w="2700"/>
        <w:gridCol w:w="1530"/>
        <w:gridCol w:w="1980"/>
        <w:gridCol w:w="1710"/>
      </w:tblGrid>
      <w:tr w:rsidR="006C5BD8" w14:paraId="0BE1A738" w14:textId="77777777" w:rsidTr="00142C8E">
        <w:trPr>
          <w:trHeight w:val="70"/>
        </w:trPr>
        <w:tc>
          <w:tcPr>
            <w:tcW w:w="1592" w:type="dxa"/>
            <w:tcBorders>
              <w:top w:val="single" w:sz="8" w:space="0" w:color="auto"/>
              <w:left w:val="single" w:sz="8" w:space="0" w:color="auto"/>
              <w:bottom w:val="single" w:sz="8" w:space="0" w:color="auto"/>
              <w:right w:val="single" w:sz="8" w:space="0" w:color="auto"/>
            </w:tcBorders>
            <w:shd w:val="clear" w:color="auto" w:fill="BFB6AC"/>
            <w:tcMar>
              <w:top w:w="0" w:type="dxa"/>
              <w:left w:w="108" w:type="dxa"/>
              <w:bottom w:w="0" w:type="dxa"/>
              <w:right w:w="108" w:type="dxa"/>
            </w:tcMar>
            <w:vAlign w:val="center"/>
            <w:hideMark/>
          </w:tcPr>
          <w:p w14:paraId="5BB7B3D0" w14:textId="77777777" w:rsidR="006C5BD8" w:rsidRDefault="006C5BD8" w:rsidP="00FC2D47">
            <w:pPr>
              <w:rPr>
                <w:rFonts w:ascii="Arial" w:hAnsi="Arial" w:cs="Arial"/>
                <w:b/>
                <w:bCs/>
                <w:sz w:val="18"/>
                <w:szCs w:val="18"/>
              </w:rPr>
            </w:pPr>
            <w:r>
              <w:rPr>
                <w:rFonts w:ascii="Arial" w:hAnsi="Arial" w:cs="Arial"/>
                <w:b/>
                <w:bCs/>
                <w:sz w:val="18"/>
                <w:szCs w:val="18"/>
              </w:rPr>
              <w:t>Type of Respondent</w:t>
            </w:r>
          </w:p>
        </w:tc>
        <w:tc>
          <w:tcPr>
            <w:tcW w:w="2700"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tcPr>
          <w:p w14:paraId="317A2547" w14:textId="77777777" w:rsidR="006C5BD8" w:rsidRDefault="006C5BD8" w:rsidP="00FC2D47">
            <w:pPr>
              <w:rPr>
                <w:rFonts w:ascii="Arial" w:hAnsi="Arial" w:cs="Arial"/>
                <w:b/>
                <w:bCs/>
                <w:sz w:val="18"/>
                <w:szCs w:val="18"/>
              </w:rPr>
            </w:pPr>
          </w:p>
          <w:p w14:paraId="35F4F228" w14:textId="77777777" w:rsidR="006C5BD8" w:rsidRDefault="006C5BD8" w:rsidP="00FC2D47">
            <w:pPr>
              <w:rPr>
                <w:rFonts w:ascii="Arial" w:hAnsi="Arial" w:cs="Arial"/>
                <w:b/>
                <w:bCs/>
                <w:sz w:val="18"/>
                <w:szCs w:val="18"/>
              </w:rPr>
            </w:pPr>
            <w:r>
              <w:rPr>
                <w:rFonts w:ascii="Arial" w:hAnsi="Arial" w:cs="Arial"/>
                <w:b/>
                <w:bCs/>
                <w:sz w:val="18"/>
                <w:szCs w:val="18"/>
              </w:rPr>
              <w:t>Form Name</w:t>
            </w:r>
          </w:p>
        </w:tc>
        <w:tc>
          <w:tcPr>
            <w:tcW w:w="1530"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10FAA873" w14:textId="3F91AC30" w:rsidR="006C5BD8" w:rsidRDefault="006C5BD8" w:rsidP="00FC2D47">
            <w:pPr>
              <w:rPr>
                <w:rFonts w:ascii="Arial" w:hAnsi="Arial" w:cs="Arial"/>
                <w:b/>
                <w:bCs/>
                <w:sz w:val="18"/>
                <w:szCs w:val="18"/>
              </w:rPr>
            </w:pPr>
            <w:r>
              <w:rPr>
                <w:rFonts w:ascii="Arial" w:hAnsi="Arial" w:cs="Arial"/>
                <w:b/>
                <w:bCs/>
                <w:sz w:val="18"/>
                <w:szCs w:val="18"/>
              </w:rPr>
              <w:t>Total Burden (in hours)</w:t>
            </w:r>
          </w:p>
        </w:tc>
        <w:tc>
          <w:tcPr>
            <w:tcW w:w="1980"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7B1CF4ED" w14:textId="346B5704" w:rsidR="006C5BD8" w:rsidRPr="00142C8E" w:rsidRDefault="006C5BD8" w:rsidP="00FC2D47">
            <w:pPr>
              <w:rPr>
                <w:rFonts w:ascii="Arial" w:hAnsi="Arial" w:cs="Arial"/>
                <w:b/>
                <w:bCs/>
                <w:sz w:val="18"/>
                <w:szCs w:val="18"/>
                <w:vertAlign w:val="superscript"/>
              </w:rPr>
            </w:pPr>
            <w:r>
              <w:rPr>
                <w:rFonts w:ascii="Arial" w:hAnsi="Arial" w:cs="Arial"/>
                <w:b/>
                <w:bCs/>
                <w:sz w:val="18"/>
                <w:szCs w:val="18"/>
              </w:rPr>
              <w:t>Hourly Wage Rate</w:t>
            </w:r>
            <w:r w:rsidR="00142C8E">
              <w:rPr>
                <w:rFonts w:ascii="Arial" w:hAnsi="Arial" w:cs="Arial"/>
                <w:b/>
                <w:bCs/>
                <w:sz w:val="18"/>
                <w:szCs w:val="18"/>
                <w:vertAlign w:val="superscript"/>
              </w:rPr>
              <w:t>1</w:t>
            </w:r>
          </w:p>
        </w:tc>
        <w:tc>
          <w:tcPr>
            <w:tcW w:w="1710"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4615D960" w14:textId="6A0DA5D8" w:rsidR="006C5BD8" w:rsidRDefault="006C5BD8" w:rsidP="00FC2D47">
            <w:pPr>
              <w:rPr>
                <w:rFonts w:ascii="Arial" w:hAnsi="Arial" w:cs="Arial"/>
                <w:b/>
                <w:bCs/>
                <w:sz w:val="18"/>
                <w:szCs w:val="18"/>
              </w:rPr>
            </w:pPr>
            <w:r>
              <w:rPr>
                <w:rFonts w:ascii="Arial" w:hAnsi="Arial" w:cs="Arial"/>
                <w:b/>
                <w:bCs/>
                <w:sz w:val="18"/>
                <w:szCs w:val="18"/>
              </w:rPr>
              <w:t>Total Cost</w:t>
            </w:r>
          </w:p>
        </w:tc>
      </w:tr>
      <w:tr w:rsidR="00A30F01" w14:paraId="4A2AD8B8" w14:textId="77777777" w:rsidTr="00142C8E">
        <w:trPr>
          <w:trHeight w:val="70"/>
        </w:trPr>
        <w:tc>
          <w:tcPr>
            <w:tcW w:w="1592"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63672536" w14:textId="3767361B" w:rsidR="00A30F01" w:rsidRPr="00142C8E" w:rsidRDefault="00A30F01" w:rsidP="00142C8E">
            <w:pPr>
              <w:rPr>
                <w:rFonts w:ascii="Arial" w:hAnsi="Arial" w:cs="Arial"/>
                <w:bCs/>
                <w:sz w:val="18"/>
                <w:szCs w:val="18"/>
              </w:rPr>
            </w:pPr>
            <w:r w:rsidRPr="00142C8E">
              <w:rPr>
                <w:rFonts w:ascii="Arial" w:hAnsi="Arial" w:cs="Arial"/>
                <w:bCs/>
                <w:sz w:val="18"/>
                <w:szCs w:val="18"/>
              </w:rPr>
              <w:t>Focus Group Respondents (Adults aged 18-65+)</w:t>
            </w:r>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0B77AA" w14:textId="74C66B38" w:rsidR="00A30F01" w:rsidRDefault="00A30F01" w:rsidP="00142C8E">
            <w:pPr>
              <w:rPr>
                <w:rFonts w:ascii="Arial" w:hAnsi="Arial" w:cs="Arial"/>
                <w:b/>
                <w:bCs/>
                <w:sz w:val="18"/>
                <w:szCs w:val="18"/>
              </w:rPr>
            </w:pPr>
            <w:r>
              <w:rPr>
                <w:rFonts w:ascii="Arial" w:hAnsi="Arial" w:cs="Arial"/>
                <w:sz w:val="18"/>
                <w:szCs w:val="18"/>
              </w:rPr>
              <w:t>Screener Focus Group</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FA6F93" w14:textId="5F17B731" w:rsidR="00A30F01" w:rsidRDefault="007501FB" w:rsidP="00142C8E">
            <w:pPr>
              <w:jc w:val="center"/>
              <w:rPr>
                <w:rFonts w:ascii="Arial" w:hAnsi="Arial" w:cs="Arial"/>
                <w:b/>
                <w:bCs/>
                <w:sz w:val="18"/>
                <w:szCs w:val="18"/>
              </w:rPr>
            </w:pPr>
            <w:r>
              <w:rPr>
                <w:rFonts w:ascii="Arial" w:hAnsi="Arial" w:cs="Arial"/>
                <w:sz w:val="18"/>
                <w:szCs w:val="18"/>
              </w:rPr>
              <w:t>10</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974ACB" w14:textId="53B26408" w:rsidR="00A30F01" w:rsidRDefault="00A30F01" w:rsidP="00142C8E">
            <w:pPr>
              <w:jc w:val="center"/>
              <w:rPr>
                <w:rFonts w:ascii="Arial" w:hAnsi="Arial" w:cs="Arial"/>
                <w:b/>
                <w:bCs/>
                <w:sz w:val="18"/>
                <w:szCs w:val="18"/>
              </w:rPr>
            </w:pPr>
            <w:r w:rsidRPr="001767EA">
              <w:rPr>
                <w:rFonts w:ascii="Arial" w:hAnsi="Arial" w:cs="Arial"/>
                <w:sz w:val="18"/>
                <w:szCs w:val="18"/>
              </w:rPr>
              <w:t>$17.81</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1D3945" w14:textId="68DAF098" w:rsidR="00A30F01" w:rsidRDefault="00A30F01" w:rsidP="007501FB">
            <w:pPr>
              <w:jc w:val="center"/>
              <w:rPr>
                <w:rFonts w:ascii="Arial" w:hAnsi="Arial" w:cs="Arial"/>
                <w:b/>
                <w:bCs/>
                <w:sz w:val="18"/>
                <w:szCs w:val="18"/>
              </w:rPr>
            </w:pPr>
            <w:r w:rsidRPr="001767EA">
              <w:rPr>
                <w:rFonts w:ascii="Arial" w:hAnsi="Arial" w:cs="Arial"/>
                <w:sz w:val="18"/>
                <w:szCs w:val="18"/>
              </w:rPr>
              <w:t>$</w:t>
            </w:r>
            <w:r w:rsidR="00C8547D">
              <w:rPr>
                <w:rFonts w:ascii="Arial" w:hAnsi="Arial" w:cs="Arial"/>
                <w:sz w:val="18"/>
                <w:szCs w:val="18"/>
              </w:rPr>
              <w:t>1</w:t>
            </w:r>
            <w:r w:rsidR="007501FB">
              <w:rPr>
                <w:rFonts w:ascii="Arial" w:hAnsi="Arial" w:cs="Arial"/>
                <w:sz w:val="18"/>
                <w:szCs w:val="18"/>
              </w:rPr>
              <w:t>78</w:t>
            </w:r>
            <w:r w:rsidR="00C8547D">
              <w:rPr>
                <w:rFonts w:ascii="Arial" w:hAnsi="Arial" w:cs="Arial"/>
                <w:sz w:val="18"/>
                <w:szCs w:val="18"/>
              </w:rPr>
              <w:t>.</w:t>
            </w:r>
            <w:r w:rsidR="007501FB">
              <w:rPr>
                <w:rFonts w:ascii="Arial" w:hAnsi="Arial" w:cs="Arial"/>
                <w:sz w:val="18"/>
                <w:szCs w:val="18"/>
              </w:rPr>
              <w:t>10</w:t>
            </w:r>
          </w:p>
        </w:tc>
      </w:tr>
      <w:tr w:rsidR="00A30F01" w14:paraId="3549059E" w14:textId="77777777" w:rsidTr="00142C8E">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7813E0B7" w14:textId="77777777" w:rsidR="00A30F01" w:rsidRPr="00142C8E" w:rsidRDefault="00A30F01" w:rsidP="00142C8E">
            <w:pPr>
              <w:rPr>
                <w:rFonts w:ascii="Arial" w:hAnsi="Arial" w:cs="Arial"/>
                <w:bCs/>
                <w:sz w:val="18"/>
                <w:szCs w:val="18"/>
              </w:rPr>
            </w:pPr>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A0BF0C" w14:textId="77E019C5" w:rsidR="00A30F01" w:rsidRDefault="00A30F01" w:rsidP="00142C8E">
            <w:pPr>
              <w:rPr>
                <w:rFonts w:ascii="Arial" w:hAnsi="Arial" w:cs="Arial"/>
                <w:b/>
                <w:bCs/>
                <w:sz w:val="18"/>
                <w:szCs w:val="18"/>
              </w:rPr>
            </w:pPr>
            <w:r>
              <w:rPr>
                <w:rFonts w:ascii="Arial" w:hAnsi="Arial" w:cs="Arial"/>
                <w:sz w:val="18"/>
                <w:szCs w:val="18"/>
              </w:rPr>
              <w:t>Written Questionnaire Focus Group</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CDFEDD" w14:textId="385E0F6B" w:rsidR="00A30F01" w:rsidRDefault="00C8547D" w:rsidP="00142C8E">
            <w:pPr>
              <w:jc w:val="center"/>
              <w:rPr>
                <w:rFonts w:ascii="Arial" w:hAnsi="Arial" w:cs="Arial"/>
                <w:b/>
                <w:bCs/>
                <w:sz w:val="18"/>
                <w:szCs w:val="18"/>
              </w:rPr>
            </w:pPr>
            <w:r>
              <w:rPr>
                <w:rFonts w:ascii="Arial" w:hAnsi="Arial" w:cs="Arial"/>
                <w:sz w:val="18"/>
                <w:szCs w:val="18"/>
              </w:rPr>
              <w:t>8</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B70D0C" w14:textId="0EF2AE67" w:rsidR="00A30F01" w:rsidRDefault="00A30F01" w:rsidP="00142C8E">
            <w:pPr>
              <w:jc w:val="center"/>
              <w:rPr>
                <w:rFonts w:ascii="Arial" w:hAnsi="Arial" w:cs="Arial"/>
                <w:b/>
                <w:bCs/>
                <w:sz w:val="18"/>
                <w:szCs w:val="18"/>
              </w:rPr>
            </w:pPr>
            <w:r w:rsidRPr="001767EA">
              <w:rPr>
                <w:rFonts w:ascii="Arial" w:hAnsi="Arial" w:cs="Arial"/>
                <w:sz w:val="18"/>
                <w:szCs w:val="18"/>
              </w:rPr>
              <w:t>$17.81</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7C5801" w14:textId="6ECEC872" w:rsidR="00A30F01" w:rsidRDefault="00A30F01" w:rsidP="00C8547D">
            <w:pPr>
              <w:jc w:val="center"/>
              <w:rPr>
                <w:rFonts w:ascii="Arial" w:hAnsi="Arial" w:cs="Arial"/>
                <w:b/>
                <w:bCs/>
                <w:sz w:val="18"/>
                <w:szCs w:val="18"/>
              </w:rPr>
            </w:pPr>
            <w:r w:rsidRPr="001767EA">
              <w:rPr>
                <w:rFonts w:ascii="Arial" w:hAnsi="Arial" w:cs="Arial"/>
                <w:sz w:val="18"/>
                <w:szCs w:val="18"/>
              </w:rPr>
              <w:t>$</w:t>
            </w:r>
            <w:r w:rsidR="00C8547D">
              <w:rPr>
                <w:rFonts w:ascii="Arial" w:hAnsi="Arial" w:cs="Arial"/>
                <w:sz w:val="18"/>
                <w:szCs w:val="18"/>
              </w:rPr>
              <w:t>142.48</w:t>
            </w:r>
          </w:p>
        </w:tc>
      </w:tr>
      <w:tr w:rsidR="00A30F01" w14:paraId="4903EAA8" w14:textId="77777777" w:rsidTr="00142C8E">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1C23E0F9" w14:textId="77777777" w:rsidR="00A30F01" w:rsidRPr="00142C8E" w:rsidRDefault="00A30F01" w:rsidP="00142C8E">
            <w:pPr>
              <w:rPr>
                <w:rFonts w:ascii="Arial" w:hAnsi="Arial" w:cs="Arial"/>
                <w:bCs/>
                <w:sz w:val="18"/>
                <w:szCs w:val="18"/>
              </w:rPr>
            </w:pPr>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7A7EE9" w14:textId="0166EFBB" w:rsidR="00A30F01" w:rsidRDefault="00A30F01" w:rsidP="00142C8E">
            <w:pPr>
              <w:rPr>
                <w:rFonts w:ascii="Arial" w:hAnsi="Arial" w:cs="Arial"/>
                <w:b/>
                <w:bCs/>
                <w:sz w:val="18"/>
                <w:szCs w:val="18"/>
              </w:rPr>
            </w:pPr>
            <w:r>
              <w:rPr>
                <w:rFonts w:ascii="Arial" w:hAnsi="Arial" w:cs="Arial"/>
                <w:sz w:val="18"/>
                <w:szCs w:val="18"/>
              </w:rPr>
              <w:t>Focus Group Protocol - Users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636AF1" w14:textId="36F39A79" w:rsidR="00A30F01" w:rsidRDefault="00A30F01" w:rsidP="00142C8E">
            <w:pPr>
              <w:jc w:val="center"/>
              <w:rPr>
                <w:rFonts w:ascii="Arial" w:hAnsi="Arial" w:cs="Arial"/>
                <w:b/>
                <w:bCs/>
                <w:sz w:val="18"/>
                <w:szCs w:val="18"/>
              </w:rPr>
            </w:pPr>
            <w:r>
              <w:rPr>
                <w:rFonts w:ascii="Arial" w:hAnsi="Arial" w:cs="Arial"/>
                <w:sz w:val="18"/>
                <w:szCs w:val="18"/>
              </w:rPr>
              <w:t>102</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0A5F29" w14:textId="5B9F0D69" w:rsidR="00A30F01" w:rsidRDefault="00A30F01" w:rsidP="00142C8E">
            <w:pPr>
              <w:jc w:val="center"/>
              <w:rPr>
                <w:rFonts w:ascii="Arial" w:hAnsi="Arial" w:cs="Arial"/>
                <w:b/>
                <w:bCs/>
                <w:sz w:val="18"/>
                <w:szCs w:val="18"/>
              </w:rPr>
            </w:pPr>
            <w:r w:rsidRPr="001767EA">
              <w:rPr>
                <w:rFonts w:ascii="Arial" w:hAnsi="Arial" w:cs="Arial"/>
                <w:sz w:val="18"/>
                <w:szCs w:val="18"/>
              </w:rPr>
              <w:t>$17.81</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F1B043" w14:textId="0A508F9C" w:rsidR="00A30F01" w:rsidRDefault="00A30F01" w:rsidP="00142C8E">
            <w:pPr>
              <w:jc w:val="center"/>
              <w:rPr>
                <w:rFonts w:ascii="Arial" w:hAnsi="Arial" w:cs="Arial"/>
                <w:b/>
                <w:bCs/>
                <w:sz w:val="18"/>
                <w:szCs w:val="18"/>
              </w:rPr>
            </w:pPr>
            <w:r w:rsidRPr="001767EA">
              <w:rPr>
                <w:rFonts w:ascii="Arial" w:hAnsi="Arial" w:cs="Arial"/>
                <w:sz w:val="18"/>
                <w:szCs w:val="18"/>
              </w:rPr>
              <w:t>$</w:t>
            </w:r>
            <w:r>
              <w:rPr>
                <w:rFonts w:ascii="Arial" w:hAnsi="Arial" w:cs="Arial"/>
                <w:sz w:val="18"/>
                <w:szCs w:val="18"/>
              </w:rPr>
              <w:t>1,816.62</w:t>
            </w:r>
          </w:p>
        </w:tc>
      </w:tr>
      <w:tr w:rsidR="00A30F01" w14:paraId="28B0C300" w14:textId="77777777" w:rsidTr="000910E6">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407BFBDF" w14:textId="77777777" w:rsidR="00A30F01" w:rsidRPr="00142C8E" w:rsidRDefault="00A30F01" w:rsidP="00142C8E">
            <w:pPr>
              <w:rPr>
                <w:rFonts w:ascii="Arial" w:hAnsi="Arial" w:cs="Arial"/>
                <w:bCs/>
                <w:sz w:val="18"/>
                <w:szCs w:val="18"/>
              </w:rPr>
            </w:pPr>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7A7C77" w14:textId="7EB618C3" w:rsidR="00A30F01" w:rsidRDefault="00A30F01" w:rsidP="00142C8E">
            <w:pPr>
              <w:rPr>
                <w:rFonts w:ascii="Arial" w:hAnsi="Arial" w:cs="Arial"/>
                <w:b/>
                <w:bCs/>
                <w:sz w:val="18"/>
                <w:szCs w:val="18"/>
              </w:rPr>
            </w:pPr>
            <w:r>
              <w:rPr>
                <w:rFonts w:ascii="Arial" w:hAnsi="Arial" w:cs="Arial"/>
                <w:sz w:val="18"/>
                <w:szCs w:val="18"/>
              </w:rPr>
              <w:t>Focus Group Protocol – Non-users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05D4FF" w14:textId="3131CDF3" w:rsidR="00A30F01" w:rsidRDefault="00C8547D" w:rsidP="00142C8E">
            <w:pPr>
              <w:jc w:val="center"/>
              <w:rPr>
                <w:rFonts w:ascii="Arial" w:hAnsi="Arial" w:cs="Arial"/>
                <w:b/>
                <w:bCs/>
                <w:sz w:val="18"/>
                <w:szCs w:val="18"/>
              </w:rPr>
            </w:pPr>
            <w:r>
              <w:rPr>
                <w:rFonts w:ascii="Arial" w:hAnsi="Arial" w:cs="Arial"/>
                <w:sz w:val="18"/>
                <w:szCs w:val="18"/>
              </w:rPr>
              <w:t>26</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C90689" w14:textId="46DE7529" w:rsidR="00A30F01" w:rsidRDefault="00A30F01" w:rsidP="00142C8E">
            <w:pPr>
              <w:jc w:val="center"/>
              <w:rPr>
                <w:rFonts w:ascii="Arial" w:hAnsi="Arial" w:cs="Arial"/>
                <w:b/>
                <w:bCs/>
                <w:sz w:val="18"/>
                <w:szCs w:val="18"/>
              </w:rPr>
            </w:pPr>
            <w:r w:rsidRPr="001767EA">
              <w:rPr>
                <w:rFonts w:ascii="Arial" w:hAnsi="Arial" w:cs="Arial"/>
                <w:sz w:val="18"/>
                <w:szCs w:val="18"/>
              </w:rPr>
              <w:t>$17.81</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0CB60C" w14:textId="74AEFF9A" w:rsidR="00A30F01" w:rsidRDefault="00A30F01" w:rsidP="00C8547D">
            <w:pPr>
              <w:jc w:val="center"/>
              <w:rPr>
                <w:rFonts w:ascii="Arial" w:hAnsi="Arial" w:cs="Arial"/>
                <w:b/>
                <w:bCs/>
                <w:sz w:val="18"/>
                <w:szCs w:val="18"/>
              </w:rPr>
            </w:pPr>
            <w:r w:rsidRPr="001767EA">
              <w:rPr>
                <w:rFonts w:ascii="Arial" w:hAnsi="Arial" w:cs="Arial"/>
                <w:sz w:val="18"/>
                <w:szCs w:val="18"/>
              </w:rPr>
              <w:t>$</w:t>
            </w:r>
            <w:r w:rsidR="00C8547D">
              <w:rPr>
                <w:rFonts w:ascii="Arial" w:hAnsi="Arial" w:cs="Arial"/>
                <w:sz w:val="18"/>
                <w:szCs w:val="18"/>
              </w:rPr>
              <w:t>463.06</w:t>
            </w:r>
          </w:p>
        </w:tc>
      </w:tr>
      <w:tr w:rsidR="00A30F01" w14:paraId="73BD3875" w14:textId="77777777" w:rsidTr="000910E6">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25B29EE8" w14:textId="4C6FB279" w:rsidR="00A30F01" w:rsidRPr="00142C8E" w:rsidRDefault="00A30F01" w:rsidP="00142C8E">
            <w:pPr>
              <w:rPr>
                <w:rFonts w:ascii="Arial" w:hAnsi="Arial" w:cs="Arial"/>
                <w:bCs/>
                <w:sz w:val="18"/>
                <w:szCs w:val="18"/>
              </w:rPr>
            </w:pPr>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86F38F" w14:textId="1BF2D99F" w:rsidR="00A30F01" w:rsidRDefault="00A30F01" w:rsidP="00142C8E">
            <w:pPr>
              <w:rPr>
                <w:rFonts w:ascii="Arial" w:hAnsi="Arial" w:cs="Arial"/>
                <w:b/>
                <w:bCs/>
                <w:sz w:val="18"/>
                <w:szCs w:val="18"/>
              </w:rPr>
            </w:pPr>
            <w:r>
              <w:rPr>
                <w:rFonts w:ascii="Arial" w:hAnsi="Arial" w:cs="Arial"/>
                <w:sz w:val="18"/>
                <w:szCs w:val="18"/>
              </w:rPr>
              <w:t>Screener Telephone Interview</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C9AF96" w14:textId="77777777" w:rsidR="00A30F01" w:rsidRDefault="00A30F01" w:rsidP="00142C8E">
            <w:pPr>
              <w:jc w:val="center"/>
              <w:rPr>
                <w:rFonts w:ascii="Arial" w:hAnsi="Arial" w:cs="Arial"/>
                <w:sz w:val="18"/>
                <w:szCs w:val="18"/>
              </w:rPr>
            </w:pPr>
          </w:p>
          <w:p w14:paraId="643AA783" w14:textId="628D5159" w:rsidR="00A30F01" w:rsidRDefault="007501FB" w:rsidP="00142C8E">
            <w:pPr>
              <w:jc w:val="center"/>
              <w:rPr>
                <w:rFonts w:ascii="Arial" w:hAnsi="Arial" w:cs="Arial"/>
                <w:b/>
                <w:bCs/>
                <w:sz w:val="18"/>
                <w:szCs w:val="18"/>
              </w:rPr>
            </w:pPr>
            <w:r>
              <w:rPr>
                <w:rFonts w:ascii="Arial" w:hAnsi="Arial" w:cs="Arial"/>
                <w:sz w:val="18"/>
                <w:szCs w:val="18"/>
              </w:rPr>
              <w:t>12</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394261" w14:textId="6F4C9B47" w:rsidR="00A30F01" w:rsidRDefault="00A30F01" w:rsidP="00142C8E">
            <w:pPr>
              <w:jc w:val="center"/>
              <w:rPr>
                <w:rFonts w:ascii="Arial" w:hAnsi="Arial" w:cs="Arial"/>
                <w:b/>
                <w:bCs/>
                <w:sz w:val="18"/>
                <w:szCs w:val="18"/>
              </w:rPr>
            </w:pPr>
            <w:r w:rsidRPr="001767EA">
              <w:rPr>
                <w:rFonts w:ascii="Arial" w:hAnsi="Arial" w:cs="Arial"/>
                <w:sz w:val="18"/>
                <w:szCs w:val="18"/>
              </w:rPr>
              <w:t>$17.81</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B44B64" w14:textId="1FAC098A" w:rsidR="00A30F01" w:rsidRDefault="00A30F01" w:rsidP="007501FB">
            <w:pPr>
              <w:jc w:val="center"/>
              <w:rPr>
                <w:rFonts w:ascii="Arial" w:hAnsi="Arial" w:cs="Arial"/>
                <w:b/>
                <w:bCs/>
                <w:sz w:val="18"/>
                <w:szCs w:val="18"/>
              </w:rPr>
            </w:pPr>
            <w:r w:rsidRPr="001767EA">
              <w:rPr>
                <w:rFonts w:ascii="Arial" w:hAnsi="Arial" w:cs="Arial"/>
                <w:sz w:val="18"/>
                <w:szCs w:val="18"/>
              </w:rPr>
              <w:t>$</w:t>
            </w:r>
            <w:r w:rsidR="007501FB">
              <w:rPr>
                <w:rFonts w:ascii="Arial" w:hAnsi="Arial" w:cs="Arial"/>
                <w:sz w:val="18"/>
                <w:szCs w:val="18"/>
              </w:rPr>
              <w:t>213.72</w:t>
            </w:r>
          </w:p>
        </w:tc>
      </w:tr>
      <w:tr w:rsidR="00A30F01" w14:paraId="4A768C79" w14:textId="77777777" w:rsidTr="00142C8E">
        <w:trPr>
          <w:trHeight w:val="70"/>
        </w:trPr>
        <w:tc>
          <w:tcPr>
            <w:tcW w:w="1592" w:type="dxa"/>
            <w:vMerge/>
            <w:tcBorders>
              <w:left w:val="single" w:sz="8" w:space="0" w:color="auto"/>
              <w:right w:val="single" w:sz="8" w:space="0" w:color="auto"/>
            </w:tcBorders>
            <w:shd w:val="clear" w:color="auto" w:fill="auto"/>
            <w:tcMar>
              <w:top w:w="0" w:type="dxa"/>
              <w:left w:w="108" w:type="dxa"/>
              <w:bottom w:w="0" w:type="dxa"/>
              <w:right w:w="108" w:type="dxa"/>
            </w:tcMar>
            <w:vAlign w:val="center"/>
          </w:tcPr>
          <w:p w14:paraId="57A26990" w14:textId="77777777" w:rsidR="00A30F01" w:rsidRDefault="00A30F01" w:rsidP="00142C8E">
            <w:pPr>
              <w:rPr>
                <w:rFonts w:ascii="Arial" w:hAnsi="Arial" w:cs="Arial"/>
                <w:b/>
                <w:bCs/>
                <w:sz w:val="18"/>
                <w:szCs w:val="18"/>
              </w:rPr>
            </w:pPr>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B898A0" w14:textId="0A1F9CE7" w:rsidR="00A30F01" w:rsidRDefault="00A30F01" w:rsidP="00142C8E">
            <w:pPr>
              <w:rPr>
                <w:rFonts w:ascii="Arial" w:hAnsi="Arial" w:cs="Arial"/>
                <w:b/>
                <w:bCs/>
                <w:sz w:val="18"/>
                <w:szCs w:val="18"/>
              </w:rPr>
            </w:pPr>
            <w:r>
              <w:rPr>
                <w:rFonts w:ascii="Arial" w:hAnsi="Arial" w:cs="Arial"/>
                <w:sz w:val="18"/>
                <w:szCs w:val="18"/>
              </w:rPr>
              <w:t>Interview Protocol – Users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C3E767" w14:textId="1BE23558" w:rsidR="00A30F01" w:rsidRDefault="00A30F01" w:rsidP="00142C8E">
            <w:pPr>
              <w:jc w:val="center"/>
              <w:rPr>
                <w:rFonts w:ascii="Arial" w:hAnsi="Arial" w:cs="Arial"/>
                <w:b/>
                <w:bCs/>
                <w:sz w:val="18"/>
                <w:szCs w:val="18"/>
              </w:rPr>
            </w:pPr>
            <w:r>
              <w:rPr>
                <w:rFonts w:ascii="Arial" w:hAnsi="Arial" w:cs="Arial"/>
                <w:sz w:val="18"/>
                <w:szCs w:val="18"/>
              </w:rPr>
              <w:t>25</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911384" w14:textId="07516346" w:rsidR="00A30F01" w:rsidRDefault="00A30F01" w:rsidP="00142C8E">
            <w:pPr>
              <w:jc w:val="center"/>
              <w:rPr>
                <w:rFonts w:ascii="Arial" w:hAnsi="Arial" w:cs="Arial"/>
                <w:b/>
                <w:bCs/>
                <w:sz w:val="18"/>
                <w:szCs w:val="18"/>
              </w:rPr>
            </w:pPr>
            <w:r w:rsidRPr="001767EA">
              <w:rPr>
                <w:rFonts w:ascii="Arial" w:hAnsi="Arial" w:cs="Arial"/>
                <w:sz w:val="18"/>
                <w:szCs w:val="18"/>
              </w:rPr>
              <w:t>$17.81</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A6722A" w14:textId="585A1F4A" w:rsidR="00A30F01" w:rsidRDefault="00A30F01" w:rsidP="00142C8E">
            <w:pPr>
              <w:jc w:val="center"/>
              <w:rPr>
                <w:rFonts w:ascii="Arial" w:hAnsi="Arial" w:cs="Arial"/>
                <w:b/>
                <w:bCs/>
                <w:sz w:val="18"/>
                <w:szCs w:val="18"/>
              </w:rPr>
            </w:pPr>
            <w:r>
              <w:rPr>
                <w:rFonts w:ascii="Arial" w:hAnsi="Arial" w:cs="Arial"/>
                <w:sz w:val="18"/>
                <w:szCs w:val="18"/>
              </w:rPr>
              <w:t>$445.25</w:t>
            </w:r>
          </w:p>
        </w:tc>
      </w:tr>
      <w:tr w:rsidR="00A30F01" w14:paraId="1132F4D2" w14:textId="77777777" w:rsidTr="00142C8E">
        <w:trPr>
          <w:trHeight w:val="70"/>
        </w:trPr>
        <w:tc>
          <w:tcPr>
            <w:tcW w:w="1592"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8B488B" w14:textId="77777777" w:rsidR="00A30F01" w:rsidRDefault="00A30F01" w:rsidP="00142C8E">
            <w:pPr>
              <w:rPr>
                <w:rFonts w:ascii="Arial" w:hAnsi="Arial" w:cs="Arial"/>
                <w:b/>
                <w:bCs/>
                <w:sz w:val="18"/>
                <w:szCs w:val="18"/>
              </w:rPr>
            </w:pPr>
          </w:p>
        </w:tc>
        <w:tc>
          <w:tcPr>
            <w:tcW w:w="27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6ACB2B" w14:textId="1C6E76E3" w:rsidR="00A30F01" w:rsidRDefault="00A30F01" w:rsidP="00142C8E">
            <w:pPr>
              <w:rPr>
                <w:rFonts w:ascii="Arial" w:hAnsi="Arial" w:cs="Arial"/>
                <w:b/>
                <w:bCs/>
                <w:sz w:val="18"/>
                <w:szCs w:val="18"/>
              </w:rPr>
            </w:pPr>
            <w:r>
              <w:rPr>
                <w:rFonts w:ascii="Arial" w:hAnsi="Arial" w:cs="Arial"/>
                <w:sz w:val="18"/>
                <w:szCs w:val="18"/>
              </w:rPr>
              <w:t>Interview Protocol – Non-users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012630" w14:textId="0A9D101A" w:rsidR="00A30F01" w:rsidRDefault="00C8547D" w:rsidP="00142C8E">
            <w:pPr>
              <w:jc w:val="center"/>
              <w:rPr>
                <w:rFonts w:ascii="Arial" w:hAnsi="Arial" w:cs="Arial"/>
                <w:b/>
                <w:bCs/>
                <w:sz w:val="18"/>
                <w:szCs w:val="18"/>
              </w:rPr>
            </w:pPr>
            <w:r>
              <w:rPr>
                <w:rFonts w:ascii="Arial" w:hAnsi="Arial" w:cs="Arial"/>
                <w:sz w:val="18"/>
                <w:szCs w:val="18"/>
              </w:rPr>
              <w:t>7</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22B2C3" w14:textId="146F2FD4" w:rsidR="00A30F01" w:rsidRDefault="00A30F01" w:rsidP="00142C8E">
            <w:pPr>
              <w:jc w:val="center"/>
              <w:rPr>
                <w:rFonts w:ascii="Arial" w:hAnsi="Arial" w:cs="Arial"/>
                <w:b/>
                <w:bCs/>
                <w:sz w:val="18"/>
                <w:szCs w:val="18"/>
              </w:rPr>
            </w:pPr>
            <w:r w:rsidRPr="001767EA">
              <w:rPr>
                <w:rFonts w:ascii="Arial" w:hAnsi="Arial" w:cs="Arial"/>
                <w:sz w:val="18"/>
                <w:szCs w:val="18"/>
              </w:rPr>
              <w:t>$17.81</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30CCF0" w14:textId="6EE19E91" w:rsidR="00A30F01" w:rsidRDefault="00A30F01" w:rsidP="00C8547D">
            <w:pPr>
              <w:jc w:val="center"/>
              <w:rPr>
                <w:rFonts w:ascii="Arial" w:hAnsi="Arial" w:cs="Arial"/>
                <w:b/>
                <w:bCs/>
                <w:sz w:val="18"/>
                <w:szCs w:val="18"/>
              </w:rPr>
            </w:pPr>
            <w:r>
              <w:rPr>
                <w:rFonts w:ascii="Arial" w:hAnsi="Arial" w:cs="Arial"/>
                <w:sz w:val="18"/>
                <w:szCs w:val="18"/>
              </w:rPr>
              <w:t>$</w:t>
            </w:r>
            <w:r w:rsidR="00C8547D">
              <w:rPr>
                <w:rFonts w:ascii="Arial" w:hAnsi="Arial" w:cs="Arial"/>
                <w:sz w:val="18"/>
                <w:szCs w:val="18"/>
              </w:rPr>
              <w:t>124.67</w:t>
            </w:r>
          </w:p>
        </w:tc>
      </w:tr>
      <w:tr w:rsidR="00142C8E" w14:paraId="017CF5B3" w14:textId="77777777" w:rsidTr="00142C8E">
        <w:trPr>
          <w:trHeight w:val="276"/>
        </w:trPr>
        <w:tc>
          <w:tcPr>
            <w:tcW w:w="78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566295" w14:textId="1C12D1DD" w:rsidR="00142C8E" w:rsidRDefault="00142C8E" w:rsidP="00142C8E">
            <w:pPr>
              <w:jc w:val="right"/>
              <w:rPr>
                <w:rFonts w:ascii="Arial" w:hAnsi="Arial" w:cs="Arial"/>
                <w:b/>
                <w:bCs/>
                <w:sz w:val="18"/>
                <w:szCs w:val="18"/>
              </w:rPr>
            </w:pPr>
            <w:r>
              <w:rPr>
                <w:rFonts w:ascii="Arial" w:hAnsi="Arial" w:cs="Arial"/>
                <w:b/>
                <w:bCs/>
                <w:sz w:val="18"/>
                <w:szCs w:val="18"/>
              </w:rPr>
              <w:t xml:space="preserve">Total </w:t>
            </w:r>
          </w:p>
        </w:tc>
        <w:tc>
          <w:tcPr>
            <w:tcW w:w="1710" w:type="dxa"/>
            <w:tcBorders>
              <w:top w:val="nil"/>
              <w:left w:val="single" w:sz="8" w:space="0" w:color="auto"/>
              <w:bottom w:val="single" w:sz="8" w:space="0" w:color="auto"/>
              <w:right w:val="single" w:sz="8" w:space="0" w:color="auto"/>
            </w:tcBorders>
            <w:vAlign w:val="center"/>
          </w:tcPr>
          <w:p w14:paraId="7B020A31" w14:textId="5A8E485D" w:rsidR="00142C8E" w:rsidRDefault="00C8547D" w:rsidP="007501FB">
            <w:pPr>
              <w:jc w:val="center"/>
              <w:rPr>
                <w:rFonts w:ascii="Arial" w:hAnsi="Arial" w:cs="Arial"/>
                <w:b/>
                <w:bCs/>
                <w:sz w:val="18"/>
                <w:szCs w:val="18"/>
              </w:rPr>
            </w:pPr>
            <w:r>
              <w:rPr>
                <w:rFonts w:ascii="Arial" w:hAnsi="Arial" w:cs="Arial"/>
                <w:sz w:val="18"/>
                <w:szCs w:val="18"/>
              </w:rPr>
              <w:t>$3,</w:t>
            </w:r>
            <w:r w:rsidR="007501FB">
              <w:rPr>
                <w:rFonts w:ascii="Arial" w:hAnsi="Arial" w:cs="Arial"/>
                <w:sz w:val="18"/>
                <w:szCs w:val="18"/>
              </w:rPr>
              <w:t>383.90</w:t>
            </w:r>
          </w:p>
        </w:tc>
      </w:tr>
    </w:tbl>
    <w:p w14:paraId="43C79BFB" w14:textId="28ED5890" w:rsidR="006C5BD8" w:rsidRDefault="00142C8E" w:rsidP="007F2193">
      <w:r w:rsidRPr="00471051">
        <w:rPr>
          <w:rFonts w:ascii="Arial" w:hAnsi="Arial" w:cs="Arial"/>
          <w:sz w:val="18"/>
          <w:szCs w:val="18"/>
          <w:vertAlign w:val="superscript"/>
        </w:rPr>
        <w:t xml:space="preserve">1 </w:t>
      </w:r>
      <w:r>
        <w:rPr>
          <w:rFonts w:ascii="Arial" w:hAnsi="Arial" w:cs="Arial"/>
          <w:sz w:val="18"/>
          <w:szCs w:val="18"/>
        </w:rPr>
        <w:t xml:space="preserve">Median Hourly Wage for All Occupations. From </w:t>
      </w:r>
      <w:r w:rsidRPr="00F641D1">
        <w:rPr>
          <w:rFonts w:ascii="Arial" w:hAnsi="Arial" w:cs="Arial"/>
          <w:i/>
          <w:sz w:val="18"/>
          <w:szCs w:val="18"/>
        </w:rPr>
        <w:t>May 2016 National Occupational Employment and Wage Estimates, United States</w:t>
      </w:r>
      <w:r>
        <w:rPr>
          <w:rFonts w:ascii="Arial" w:hAnsi="Arial" w:cs="Arial"/>
          <w:sz w:val="18"/>
          <w:szCs w:val="18"/>
        </w:rPr>
        <w:t xml:space="preserve">. United States Department of Labor, Bureau of Labor Statistics. </w:t>
      </w:r>
      <w:r w:rsidRPr="00471051">
        <w:rPr>
          <w:rFonts w:ascii="Arial" w:hAnsi="Arial" w:cs="Arial"/>
          <w:sz w:val="18"/>
          <w:szCs w:val="18"/>
        </w:rPr>
        <w:t xml:space="preserve">Retrieved from: </w:t>
      </w:r>
      <w:hyperlink r:id="rId14" w:anchor="00-0000" w:history="1">
        <w:r w:rsidRPr="00471051">
          <w:rPr>
            <w:rStyle w:val="Hyperlink"/>
            <w:rFonts w:ascii="Arial" w:hAnsi="Arial" w:cs="Arial"/>
            <w:sz w:val="18"/>
            <w:szCs w:val="18"/>
          </w:rPr>
          <w:t>https://www.bls.gov/oes/current/oes_nat.htm#00-0000</w:t>
        </w:r>
      </w:hyperlink>
      <w:r w:rsidRPr="00471051">
        <w:rPr>
          <w:rFonts w:ascii="Arial" w:hAnsi="Arial" w:cs="Arial"/>
          <w:sz w:val="18"/>
          <w:szCs w:val="18"/>
        </w:rPr>
        <w:t xml:space="preserve">. </w:t>
      </w:r>
      <w:r>
        <w:rPr>
          <w:rFonts w:ascii="Arial" w:hAnsi="Arial" w:cs="Arial"/>
          <w:sz w:val="18"/>
          <w:szCs w:val="18"/>
        </w:rPr>
        <w:t>Accessed December 5, 2017.</w:t>
      </w:r>
    </w:p>
    <w:p w14:paraId="0D393F20" w14:textId="56EF60A3" w:rsidR="00972DEF" w:rsidRDefault="00B210E1" w:rsidP="009C573D">
      <w:pPr>
        <w:pStyle w:val="Heading2"/>
      </w:pPr>
      <w:bookmarkStart w:id="17" w:name="_Toc511121640"/>
      <w:r>
        <w:t xml:space="preserve">A.13. </w:t>
      </w:r>
      <w:r>
        <w:tab/>
      </w:r>
      <w:r w:rsidR="00972DEF" w:rsidRPr="00691454">
        <w:t>Estimates of Other Total Annual Cost Burden to Respondents or Record Keepers</w:t>
      </w:r>
      <w:bookmarkEnd w:id="17"/>
    </w:p>
    <w:p w14:paraId="65AC54DB" w14:textId="77777777" w:rsidR="00C27E07" w:rsidRPr="00291CC9" w:rsidRDefault="00C27E07" w:rsidP="00C27E07">
      <w:pPr>
        <w:pStyle w:val="BodyText"/>
        <w:rPr>
          <w:rFonts w:eastAsiaTheme="minorEastAsia"/>
        </w:rPr>
      </w:pPr>
      <w:r w:rsidRPr="002E45E6">
        <w:rPr>
          <w:rFonts w:eastAsiaTheme="minorEastAsia"/>
        </w:rPr>
        <w:t xml:space="preserve">There are no capital or start-up costs to respondents associated with this data collection. </w:t>
      </w:r>
    </w:p>
    <w:p w14:paraId="5AC4EABF" w14:textId="58B91142" w:rsidR="002F786A" w:rsidRDefault="00497BA3" w:rsidP="002F786A">
      <w:pPr>
        <w:pStyle w:val="Heading2"/>
        <w:rPr>
          <w:szCs w:val="24"/>
        </w:rPr>
      </w:pPr>
      <w:bookmarkStart w:id="18" w:name="_Toc511121641"/>
      <w:r>
        <w:t xml:space="preserve">A.14. </w:t>
      </w:r>
      <w:r>
        <w:tab/>
      </w:r>
      <w:r w:rsidR="002F786A">
        <w:t>Annualized Cost to the Government</w:t>
      </w:r>
      <w:bookmarkEnd w:id="18"/>
      <w:r w:rsidR="002F786A">
        <w:t xml:space="preserve"> </w:t>
      </w:r>
    </w:p>
    <w:p w14:paraId="5D7CE61A" w14:textId="6DA8F1AE" w:rsidR="002F786A" w:rsidRDefault="002F786A" w:rsidP="002F786A">
      <w:pPr>
        <w:pStyle w:val="BodyText"/>
      </w:pPr>
      <w:r>
        <w:t>The total cost of the contract awarded to NORC has been determined to be $116,535 per year</w:t>
      </w:r>
      <w:r w:rsidR="000839F1">
        <w:t>.</w:t>
      </w:r>
    </w:p>
    <w:p w14:paraId="1B945993" w14:textId="3D45DBCC" w:rsidR="002F786A" w:rsidRDefault="002F786A" w:rsidP="002F786A">
      <w:pPr>
        <w:pStyle w:val="NORCCaption-Exhibit"/>
      </w:pPr>
      <w:r>
        <w:rPr>
          <w:rStyle w:val="NORCCaption-Color"/>
        </w:rPr>
        <w:t xml:space="preserve">Table 5.       </w:t>
      </w:r>
      <w:r>
        <w:t xml:space="preserve">Estimated Annualized Costs to the Government </w:t>
      </w:r>
    </w:p>
    <w:tbl>
      <w:tblPr>
        <w:tblW w:w="9598" w:type="dxa"/>
        <w:tblInd w:w="80" w:type="dxa"/>
        <w:tblCellMar>
          <w:left w:w="0" w:type="dxa"/>
          <w:right w:w="0" w:type="dxa"/>
        </w:tblCellMar>
        <w:tblLook w:val="04A0" w:firstRow="1" w:lastRow="0" w:firstColumn="1" w:lastColumn="0" w:noHBand="0" w:noVBand="1"/>
      </w:tblPr>
      <w:tblGrid>
        <w:gridCol w:w="1266"/>
        <w:gridCol w:w="6688"/>
        <w:gridCol w:w="1644"/>
      </w:tblGrid>
      <w:tr w:rsidR="002F786A" w14:paraId="3429BED0" w14:textId="3F14BB32" w:rsidTr="00856C0C">
        <w:trPr>
          <w:trHeight w:val="70"/>
        </w:trPr>
        <w:tc>
          <w:tcPr>
            <w:tcW w:w="1266" w:type="dxa"/>
            <w:tcBorders>
              <w:top w:val="single" w:sz="8" w:space="0" w:color="auto"/>
              <w:left w:val="single" w:sz="8" w:space="0" w:color="auto"/>
              <w:bottom w:val="single" w:sz="8" w:space="0" w:color="auto"/>
              <w:right w:val="single" w:sz="8" w:space="0" w:color="auto"/>
            </w:tcBorders>
            <w:shd w:val="clear" w:color="auto" w:fill="BFB6AC"/>
            <w:tcMar>
              <w:top w:w="0" w:type="dxa"/>
              <w:left w:w="108" w:type="dxa"/>
              <w:bottom w:w="0" w:type="dxa"/>
              <w:right w:w="108" w:type="dxa"/>
            </w:tcMar>
            <w:vAlign w:val="center"/>
            <w:hideMark/>
          </w:tcPr>
          <w:p w14:paraId="253D25FC" w14:textId="3C0E0716" w:rsidR="002F786A" w:rsidRDefault="002F786A">
            <w:pPr>
              <w:spacing w:line="252" w:lineRule="auto"/>
              <w:rPr>
                <w:rFonts w:ascii="Arial" w:hAnsi="Arial" w:cs="Arial"/>
                <w:b/>
                <w:bCs/>
                <w:sz w:val="18"/>
                <w:szCs w:val="18"/>
              </w:rPr>
            </w:pPr>
            <w:r>
              <w:rPr>
                <w:rFonts w:ascii="Arial" w:hAnsi="Arial" w:cs="Arial"/>
                <w:b/>
                <w:bCs/>
                <w:sz w:val="18"/>
                <w:szCs w:val="18"/>
              </w:rPr>
              <w:t>Type of Cost</w:t>
            </w:r>
          </w:p>
        </w:tc>
        <w:tc>
          <w:tcPr>
            <w:tcW w:w="6688"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35E6F643" w14:textId="0132B901" w:rsidR="002F786A" w:rsidRDefault="002F786A">
            <w:pPr>
              <w:spacing w:line="252" w:lineRule="auto"/>
              <w:rPr>
                <w:rFonts w:ascii="Arial" w:hAnsi="Arial" w:cs="Arial"/>
                <w:b/>
                <w:bCs/>
                <w:sz w:val="18"/>
                <w:szCs w:val="18"/>
              </w:rPr>
            </w:pPr>
            <w:r>
              <w:rPr>
                <w:rFonts w:ascii="Arial" w:hAnsi="Arial" w:cs="Arial"/>
                <w:b/>
                <w:bCs/>
                <w:sz w:val="18"/>
                <w:szCs w:val="18"/>
              </w:rPr>
              <w:t>Description of Services</w:t>
            </w:r>
          </w:p>
        </w:tc>
        <w:tc>
          <w:tcPr>
            <w:tcW w:w="1644" w:type="dxa"/>
            <w:tcBorders>
              <w:top w:val="single" w:sz="8" w:space="0" w:color="auto"/>
              <w:left w:val="nil"/>
              <w:bottom w:val="single" w:sz="8" w:space="0" w:color="auto"/>
              <w:right w:val="single" w:sz="8" w:space="0" w:color="auto"/>
            </w:tcBorders>
            <w:shd w:val="clear" w:color="auto" w:fill="BFB6AC"/>
            <w:tcMar>
              <w:top w:w="0" w:type="dxa"/>
              <w:left w:w="108" w:type="dxa"/>
              <w:bottom w:w="0" w:type="dxa"/>
              <w:right w:w="108" w:type="dxa"/>
            </w:tcMar>
            <w:vAlign w:val="center"/>
            <w:hideMark/>
          </w:tcPr>
          <w:p w14:paraId="78822747" w14:textId="11EFFEF5" w:rsidR="002F786A" w:rsidRDefault="002F786A">
            <w:pPr>
              <w:spacing w:line="252" w:lineRule="auto"/>
              <w:rPr>
                <w:rFonts w:ascii="Arial" w:hAnsi="Arial" w:cs="Arial"/>
                <w:b/>
                <w:bCs/>
                <w:sz w:val="18"/>
                <w:szCs w:val="18"/>
              </w:rPr>
            </w:pPr>
            <w:r>
              <w:rPr>
                <w:rFonts w:ascii="Arial" w:hAnsi="Arial" w:cs="Arial"/>
                <w:b/>
                <w:bCs/>
                <w:sz w:val="18"/>
                <w:szCs w:val="18"/>
              </w:rPr>
              <w:t>Annual Cost</w:t>
            </w:r>
          </w:p>
        </w:tc>
      </w:tr>
      <w:tr w:rsidR="002F786A" w14:paraId="3BB57E62" w14:textId="6D5779F3" w:rsidTr="00856C0C">
        <w:trPr>
          <w:trHeight w:val="620"/>
        </w:trPr>
        <w:tc>
          <w:tcPr>
            <w:tcW w:w="12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9FA51" w14:textId="195E495E" w:rsidR="002F786A" w:rsidRDefault="002F786A">
            <w:pPr>
              <w:spacing w:line="252" w:lineRule="auto"/>
              <w:rPr>
                <w:rFonts w:ascii="Arial" w:hAnsi="Arial" w:cs="Arial"/>
                <w:sz w:val="18"/>
                <w:szCs w:val="18"/>
              </w:rPr>
            </w:pPr>
            <w:r>
              <w:rPr>
                <w:rFonts w:ascii="Arial" w:hAnsi="Arial" w:cs="Arial"/>
                <w:sz w:val="18"/>
                <w:szCs w:val="18"/>
              </w:rPr>
              <w:t>Labor</w:t>
            </w:r>
          </w:p>
        </w:tc>
        <w:tc>
          <w:tcPr>
            <w:tcW w:w="6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4DD94" w14:textId="51314F00" w:rsidR="002F786A" w:rsidRDefault="002F786A">
            <w:pPr>
              <w:pStyle w:val="Default"/>
              <w:spacing w:line="252" w:lineRule="auto"/>
              <w:rPr>
                <w:rFonts w:ascii="Arial" w:hAnsi="Arial" w:cs="Arial"/>
                <w:sz w:val="18"/>
                <w:szCs w:val="18"/>
              </w:rPr>
            </w:pPr>
            <w:r>
              <w:rPr>
                <w:rFonts w:ascii="Arial" w:hAnsi="Arial" w:cs="Arial"/>
                <w:sz w:val="18"/>
                <w:szCs w:val="18"/>
              </w:rPr>
              <w:t>Contractor costs for labor, support from a contractor, data collection, travel, telephone charts, and other overhead costs, per contract year</w:t>
            </w:r>
          </w:p>
        </w:tc>
        <w:tc>
          <w:tcPr>
            <w:tcW w:w="16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53CAD" w14:textId="6BB08126" w:rsidR="002F786A" w:rsidRDefault="002F786A">
            <w:pPr>
              <w:spacing w:line="252" w:lineRule="auto"/>
              <w:rPr>
                <w:rFonts w:ascii="Arial" w:hAnsi="Arial" w:cs="Arial"/>
                <w:sz w:val="18"/>
                <w:szCs w:val="18"/>
              </w:rPr>
            </w:pPr>
            <w:r>
              <w:rPr>
                <w:rFonts w:ascii="Arial" w:hAnsi="Arial" w:cs="Arial"/>
                <w:sz w:val="18"/>
                <w:szCs w:val="18"/>
              </w:rPr>
              <w:t>$116,535</w:t>
            </w:r>
          </w:p>
        </w:tc>
      </w:tr>
      <w:tr w:rsidR="002F786A" w14:paraId="0499B218" w14:textId="321B6017" w:rsidTr="00856C0C">
        <w:trPr>
          <w:trHeight w:val="276"/>
        </w:trPr>
        <w:tc>
          <w:tcPr>
            <w:tcW w:w="79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E3EA8" w14:textId="150E4151" w:rsidR="002F786A" w:rsidRDefault="002F786A">
            <w:pPr>
              <w:spacing w:line="252" w:lineRule="auto"/>
              <w:jc w:val="right"/>
              <w:rPr>
                <w:rFonts w:ascii="Arial" w:hAnsi="Arial" w:cs="Arial"/>
                <w:sz w:val="18"/>
                <w:szCs w:val="18"/>
              </w:rPr>
            </w:pPr>
            <w:r>
              <w:rPr>
                <w:rFonts w:ascii="Arial" w:hAnsi="Arial" w:cs="Arial"/>
                <w:b/>
                <w:bCs/>
                <w:sz w:val="18"/>
                <w:szCs w:val="18"/>
              </w:rPr>
              <w:t>Total Annual Estimated Costs</w:t>
            </w:r>
          </w:p>
        </w:tc>
        <w:tc>
          <w:tcPr>
            <w:tcW w:w="1644" w:type="dxa"/>
            <w:tcBorders>
              <w:top w:val="nil"/>
              <w:left w:val="nil"/>
              <w:bottom w:val="single" w:sz="8" w:space="0" w:color="auto"/>
              <w:right w:val="single" w:sz="8" w:space="0" w:color="auto"/>
            </w:tcBorders>
            <w:tcMar>
              <w:top w:w="0" w:type="dxa"/>
              <w:left w:w="108" w:type="dxa"/>
              <w:bottom w:w="0" w:type="dxa"/>
              <w:right w:w="108" w:type="dxa"/>
            </w:tcMar>
            <w:hideMark/>
          </w:tcPr>
          <w:p w14:paraId="697690B0" w14:textId="5EEC80F0" w:rsidR="002F786A" w:rsidRDefault="002F786A">
            <w:pPr>
              <w:spacing w:line="252" w:lineRule="auto"/>
              <w:jc w:val="right"/>
              <w:rPr>
                <w:rFonts w:ascii="Arial" w:hAnsi="Arial" w:cs="Arial"/>
                <w:sz w:val="18"/>
                <w:szCs w:val="18"/>
              </w:rPr>
            </w:pPr>
            <w:r>
              <w:rPr>
                <w:rFonts w:ascii="Arial" w:hAnsi="Arial" w:cs="Arial"/>
                <w:sz w:val="18"/>
                <w:szCs w:val="18"/>
              </w:rPr>
              <w:t>$116,535</w:t>
            </w:r>
          </w:p>
        </w:tc>
      </w:tr>
    </w:tbl>
    <w:p w14:paraId="0D393F32" w14:textId="1E37DBC4" w:rsidR="00972DEF" w:rsidRPr="00691454" w:rsidRDefault="00B210E1" w:rsidP="009C573D">
      <w:pPr>
        <w:pStyle w:val="Heading2"/>
      </w:pPr>
      <w:bookmarkStart w:id="19" w:name="_Toc511121642"/>
      <w:r>
        <w:t xml:space="preserve">A.15. </w:t>
      </w:r>
      <w:r>
        <w:tab/>
      </w:r>
      <w:r w:rsidR="00972DEF" w:rsidRPr="00691454">
        <w:t>Explanation for Program Changes or Adjustments</w:t>
      </w:r>
      <w:bookmarkEnd w:id="19"/>
      <w:r w:rsidR="00972DEF" w:rsidRPr="00691454">
        <w:t xml:space="preserve"> </w:t>
      </w:r>
    </w:p>
    <w:p w14:paraId="0D393F33" w14:textId="3624987E" w:rsidR="00C55DD2" w:rsidRPr="00691454" w:rsidRDefault="00C27E07" w:rsidP="00C27E07">
      <w:pPr>
        <w:pStyle w:val="BodyText"/>
      </w:pPr>
      <w:r>
        <w:t xml:space="preserve">This is a new information collection. </w:t>
      </w:r>
    </w:p>
    <w:p w14:paraId="0D393F34" w14:textId="5FF6B0E3" w:rsidR="00972DEF" w:rsidRPr="00691454" w:rsidRDefault="00B210E1" w:rsidP="009C573D">
      <w:pPr>
        <w:pStyle w:val="Heading2"/>
      </w:pPr>
      <w:bookmarkStart w:id="20" w:name="_Toc511121643"/>
      <w:r>
        <w:t xml:space="preserve">A.16. </w:t>
      </w:r>
      <w:r>
        <w:tab/>
      </w:r>
      <w:r w:rsidR="00972DEF" w:rsidRPr="00691454">
        <w:t>Plans for Tabulation</w:t>
      </w:r>
      <w:r w:rsidR="00203955" w:rsidRPr="00691454">
        <w:t xml:space="preserve"> and </w:t>
      </w:r>
      <w:r w:rsidR="00972DEF" w:rsidRPr="00691454">
        <w:t>Publication and Project Time Schedule</w:t>
      </w:r>
      <w:bookmarkEnd w:id="20"/>
      <w:r w:rsidR="00972DEF" w:rsidRPr="00691454">
        <w:t xml:space="preserve"> </w:t>
      </w:r>
    </w:p>
    <w:p w14:paraId="42A14359" w14:textId="5C5ED914" w:rsidR="00CE1259" w:rsidRDefault="00C27E07" w:rsidP="00C27E07">
      <w:pPr>
        <w:pStyle w:val="BodyText"/>
      </w:pPr>
      <w:r w:rsidRPr="001271D0">
        <w:t xml:space="preserve">We will utilize NVivo qualitative analysis software (QSR International Pty Ltd., Melbourne, Australia) to </w:t>
      </w:r>
      <w:r w:rsidR="00E93BE5">
        <w:t xml:space="preserve">organize and </w:t>
      </w:r>
      <w:r w:rsidRPr="001271D0">
        <w:t xml:space="preserve">code the focus group and interview data. </w:t>
      </w:r>
    </w:p>
    <w:p w14:paraId="25ECB209" w14:textId="6D42E8D1" w:rsidR="00CE1259" w:rsidRDefault="00CE1259" w:rsidP="00C27E07">
      <w:pPr>
        <w:pStyle w:val="BodyText"/>
      </w:pPr>
      <w:r>
        <w:t xml:space="preserve">We will develop a preliminary list of codes along with </w:t>
      </w:r>
      <w:r w:rsidR="00C27E07" w:rsidRPr="00CD406F">
        <w:t>a</w:t>
      </w:r>
      <w:r w:rsidR="00C27E07">
        <w:t xml:space="preserve"> short</w:t>
      </w:r>
      <w:r w:rsidR="00C27E07" w:rsidRPr="00CD406F">
        <w:t xml:space="preserve"> codebook that describes the definition, inclusion and exclusion criteria, example(s) of code application, and source of each code. </w:t>
      </w:r>
      <w:r>
        <w:t xml:space="preserve">We will code </w:t>
      </w:r>
      <w:r w:rsidR="00E93BE5">
        <w:t xml:space="preserve">a small subset of the </w:t>
      </w:r>
      <w:r>
        <w:t>qualitative</w:t>
      </w:r>
      <w:r w:rsidR="00C27E07" w:rsidRPr="00CD406F">
        <w:t xml:space="preserve"> data</w:t>
      </w:r>
      <w:r>
        <w:t xml:space="preserve"> </w:t>
      </w:r>
      <w:r w:rsidR="00C27E07" w:rsidRPr="00CD406F">
        <w:t>to identify emergent key themes</w:t>
      </w:r>
      <w:r>
        <w:t>. We will refine and update the codebook to include any new codes.</w:t>
      </w:r>
      <w:r w:rsidR="00C27E07" w:rsidRPr="00CD406F">
        <w:t xml:space="preserve"> </w:t>
      </w:r>
    </w:p>
    <w:p w14:paraId="2F52D981" w14:textId="7D21B734" w:rsidR="00CE1259" w:rsidRDefault="00C27E07" w:rsidP="00C27E07">
      <w:pPr>
        <w:pStyle w:val="BodyText"/>
      </w:pPr>
      <w:r w:rsidRPr="00CD406F">
        <w:t xml:space="preserve">Upon </w:t>
      </w:r>
      <w:r>
        <w:t>finalizing</w:t>
      </w:r>
      <w:r w:rsidRPr="00CD406F">
        <w:t xml:space="preserve"> the codebook, we will </w:t>
      </w:r>
      <w:r>
        <w:t>utilize</w:t>
      </w:r>
      <w:r w:rsidRPr="00CD406F">
        <w:t xml:space="preserve"> NVivo to code the qualitative data. The qualitative coding process will allow us to highlight key themes and recommendations</w:t>
      </w:r>
      <w:r w:rsidR="00E93BE5">
        <w:t xml:space="preserve"> and identify illustrative quotes from respondents</w:t>
      </w:r>
      <w:r w:rsidRPr="00CD406F">
        <w:t xml:space="preserve">. </w:t>
      </w:r>
      <w:r w:rsidR="00CE1259">
        <w:t>Sample codes and subcodes that we may use include:</w:t>
      </w:r>
    </w:p>
    <w:p w14:paraId="087474A2" w14:textId="0A916850" w:rsidR="00C27E07" w:rsidRDefault="00CE1259" w:rsidP="00AB1142">
      <w:pPr>
        <w:pStyle w:val="BodyText"/>
        <w:numPr>
          <w:ilvl w:val="0"/>
          <w:numId w:val="14"/>
        </w:numPr>
      </w:pPr>
      <w:r>
        <w:t>Barriers</w:t>
      </w:r>
      <w:r w:rsidR="005E5644">
        <w:t xml:space="preserve"> of</w:t>
      </w:r>
      <w:r>
        <w:t xml:space="preserve"> ride share use (physical</w:t>
      </w:r>
      <w:r w:rsidR="00AE6047">
        <w:t xml:space="preserve"> health</w:t>
      </w:r>
      <w:r>
        <w:t>, technological, safety concerns, awareness of services, cost, availability, other barriers)</w:t>
      </w:r>
    </w:p>
    <w:p w14:paraId="77CD4A12" w14:textId="4C6F7B6E" w:rsidR="00CE1259" w:rsidRDefault="00CE1259" w:rsidP="00AB1142">
      <w:pPr>
        <w:pStyle w:val="BodyText"/>
        <w:numPr>
          <w:ilvl w:val="0"/>
          <w:numId w:val="14"/>
        </w:numPr>
      </w:pPr>
      <w:r>
        <w:t xml:space="preserve">Facilitators </w:t>
      </w:r>
      <w:r w:rsidR="005E5644">
        <w:t>of</w:t>
      </w:r>
      <w:r>
        <w:t xml:space="preserve"> ride share use (physical</w:t>
      </w:r>
      <w:r w:rsidR="00AE6047">
        <w:t xml:space="preserve"> health</w:t>
      </w:r>
      <w:r>
        <w:t>, technological, safety concerns, awareness of services, cost, availability, other facilitators)</w:t>
      </w:r>
    </w:p>
    <w:p w14:paraId="56A18C13" w14:textId="6BDF10F0" w:rsidR="00CE1259" w:rsidRDefault="00CE1259" w:rsidP="00AB1142">
      <w:pPr>
        <w:pStyle w:val="BodyText"/>
        <w:numPr>
          <w:ilvl w:val="0"/>
          <w:numId w:val="14"/>
        </w:numPr>
      </w:pPr>
      <w:r>
        <w:t>Non-ride share transportation (barriers, facilitators, decision-making factors, other characteristics)</w:t>
      </w:r>
    </w:p>
    <w:p w14:paraId="605A7F9F" w14:textId="6799A931" w:rsidR="00CE1259" w:rsidRDefault="00CE1259" w:rsidP="00AB1142">
      <w:pPr>
        <w:pStyle w:val="BodyText"/>
        <w:numPr>
          <w:ilvl w:val="0"/>
          <w:numId w:val="14"/>
        </w:numPr>
      </w:pPr>
      <w:r>
        <w:t>Unmet transportation needs (improvements, recommendations)</w:t>
      </w:r>
    </w:p>
    <w:p w14:paraId="0ADEEDFA" w14:textId="548A3C74" w:rsidR="00CE1259" w:rsidRDefault="00CE1259" w:rsidP="00AB1142">
      <w:pPr>
        <w:pStyle w:val="BodyText"/>
        <w:numPr>
          <w:ilvl w:val="0"/>
          <w:numId w:val="14"/>
        </w:numPr>
      </w:pPr>
      <w:r>
        <w:t xml:space="preserve">Driver characteristics </w:t>
      </w:r>
    </w:p>
    <w:p w14:paraId="12D111AC" w14:textId="1E7B1243" w:rsidR="00E93BE5" w:rsidRDefault="00450DC9" w:rsidP="00C27E07">
      <w:pPr>
        <w:pStyle w:val="BodyText"/>
      </w:pPr>
      <w:r>
        <w:t xml:space="preserve">We will </w:t>
      </w:r>
      <w:r w:rsidR="00E93BE5">
        <w:t xml:space="preserve">develop a </w:t>
      </w:r>
      <w:r w:rsidR="00CE1259">
        <w:t>final qualitative report</w:t>
      </w:r>
      <w:r w:rsidR="00E93BE5">
        <w:t xml:space="preserve"> summarizing findings</w:t>
      </w:r>
      <w:r w:rsidR="00205C18">
        <w:t xml:space="preserve">. </w:t>
      </w:r>
      <w:r w:rsidR="00CE1259">
        <w:t>The qualitative paper will describe t</w:t>
      </w:r>
      <w:r w:rsidR="00C27E07" w:rsidRPr="00B91A1C">
        <w:t>he results from the interviews and focus groups</w:t>
      </w:r>
      <w:r w:rsidR="00CE1259">
        <w:t xml:space="preserve">, addressing each study research question and focusing </w:t>
      </w:r>
      <w:r w:rsidR="00C27E07" w:rsidRPr="00B91A1C">
        <w:t xml:space="preserve">on the barriers and facilitators </w:t>
      </w:r>
      <w:r w:rsidR="005E5644">
        <w:t>of</w:t>
      </w:r>
      <w:r w:rsidR="00C27E07" w:rsidRPr="00B91A1C">
        <w:t xml:space="preserve"> older adult use of ride share services and comparisons between individuals who have utilized ride share services designed for older adults, individuals who have utilized ride share services designed for all ages, and individuals who have not utilized a ride share service. </w:t>
      </w:r>
      <w:r w:rsidR="00DA6473">
        <w:t>We will also conduct analyses to assess differences based on respondent characteristics (i.e., sex, ethnicity, race, geography).</w:t>
      </w:r>
    </w:p>
    <w:p w14:paraId="14A622FD" w14:textId="637DE214" w:rsidR="00E93BE5" w:rsidRDefault="00C27E07" w:rsidP="00C27E07">
      <w:pPr>
        <w:pStyle w:val="BodyText"/>
      </w:pPr>
      <w:r w:rsidRPr="00B91A1C">
        <w:t>Th</w:t>
      </w:r>
      <w:r w:rsidR="00CE1259">
        <w:t>e</w:t>
      </w:r>
      <w:r w:rsidR="00E93BE5">
        <w:t xml:space="preserve"> paper will also compare use and non-use of ride share services by study population, and explore</w:t>
      </w:r>
      <w:r w:rsidRPr="00B91A1C">
        <w:t xml:space="preserve"> unmet transportation needs, alternate modes of transportation utilized by older adults, and driver attributes that influence decision making. Additionally, in this paper</w:t>
      </w:r>
      <w:r>
        <w:t>,</w:t>
      </w:r>
      <w:r w:rsidR="00E93BE5">
        <w:t xml:space="preserve"> we may draw</w:t>
      </w:r>
      <w:r w:rsidRPr="00B91A1C">
        <w:t xml:space="preserve"> comparisons based on respondent characteristics, such as </w:t>
      </w:r>
      <w:r w:rsidR="00E93BE5">
        <w:t xml:space="preserve">age, </w:t>
      </w:r>
      <w:r w:rsidR="00E16269">
        <w:t>sex</w:t>
      </w:r>
      <w:r w:rsidR="00E93BE5">
        <w:t xml:space="preserve">, </w:t>
      </w:r>
      <w:r w:rsidRPr="00B91A1C">
        <w:t>race</w:t>
      </w:r>
      <w:r>
        <w:t xml:space="preserve"> and </w:t>
      </w:r>
      <w:r w:rsidRPr="00B91A1C">
        <w:t xml:space="preserve">ethnicity, </w:t>
      </w:r>
      <w:r>
        <w:t xml:space="preserve">geography, </w:t>
      </w:r>
      <w:r w:rsidR="00E93BE5">
        <w:t xml:space="preserve">and </w:t>
      </w:r>
      <w:r>
        <w:t>driving status</w:t>
      </w:r>
      <w:r w:rsidRPr="00B91A1C">
        <w:t xml:space="preserve">. </w:t>
      </w:r>
    </w:p>
    <w:p w14:paraId="1DB2927E" w14:textId="78156FF4" w:rsidR="003F1A39" w:rsidRDefault="00C27E07" w:rsidP="0012450E">
      <w:r w:rsidRPr="00B91A1C">
        <w:t xml:space="preserve">The paper will </w:t>
      </w:r>
      <w:r w:rsidR="00DA6473">
        <w:t>be delivered to CDC and will present</w:t>
      </w:r>
      <w:r w:rsidRPr="00B91A1C">
        <w:t xml:space="preserve"> actionable recommendations for future research and practice and </w:t>
      </w:r>
      <w:r w:rsidR="00E93BE5">
        <w:t>recommendations for addressing</w:t>
      </w:r>
      <w:r w:rsidRPr="00B91A1C">
        <w:t xml:space="preserve"> barriers to ride share </w:t>
      </w:r>
      <w:r>
        <w:t>utilization</w:t>
      </w:r>
      <w:r w:rsidR="00E93BE5">
        <w:t xml:space="preserve"> among older adults</w:t>
      </w:r>
      <w:r w:rsidR="00450DC9">
        <w:t xml:space="preserve">. </w:t>
      </w:r>
    </w:p>
    <w:p w14:paraId="5E07FFF2" w14:textId="77777777" w:rsidR="003F1A39" w:rsidRDefault="003F1A39" w:rsidP="0012450E">
      <w:pPr>
        <w:rPr>
          <w:u w:val="single"/>
        </w:rPr>
      </w:pPr>
    </w:p>
    <w:p w14:paraId="48B21FDC" w14:textId="3DC5883A" w:rsidR="00CE1259" w:rsidRPr="00AE6047" w:rsidRDefault="00CE1259" w:rsidP="0012450E">
      <w:pPr>
        <w:rPr>
          <w:u w:val="single"/>
        </w:rPr>
      </w:pPr>
      <w:r w:rsidRPr="00AE6047">
        <w:rPr>
          <w:u w:val="single"/>
        </w:rPr>
        <w:t xml:space="preserve">Project </w:t>
      </w:r>
      <w:r w:rsidR="00205C18" w:rsidRPr="00AE6047">
        <w:rPr>
          <w:u w:val="single"/>
        </w:rPr>
        <w:t>Timeline</w:t>
      </w:r>
    </w:p>
    <w:p w14:paraId="16CF1B06" w14:textId="77777777" w:rsidR="00CB539D" w:rsidRPr="0012450E" w:rsidRDefault="00CB539D" w:rsidP="0012450E">
      <w:pPr>
        <w:rPr>
          <w:u w:val="single"/>
        </w:rPr>
      </w:pPr>
    </w:p>
    <w:p w14:paraId="444E694F" w14:textId="451B43CA" w:rsidR="00CE1259" w:rsidRPr="0012450E" w:rsidRDefault="00205C18" w:rsidP="0012450E">
      <w:pPr>
        <w:tabs>
          <w:tab w:val="right" w:leader="dot" w:pos="9360"/>
        </w:tabs>
        <w:ind w:firstLine="360"/>
      </w:pPr>
      <w:r>
        <w:t xml:space="preserve">Study </w:t>
      </w:r>
      <w:r w:rsidR="00DC35DD">
        <w:t>r</w:t>
      </w:r>
      <w:r w:rsidR="0012450E">
        <w:t>ecruitment</w:t>
      </w:r>
      <w:r w:rsidR="00CE1259" w:rsidRPr="0012450E">
        <w:tab/>
      </w:r>
      <w:r w:rsidR="00837361">
        <w:t>Begin within 1 month of</w:t>
      </w:r>
      <w:r w:rsidR="00D5761B">
        <w:t xml:space="preserve"> </w:t>
      </w:r>
      <w:r w:rsidR="00837361">
        <w:t>OMB approval</w:t>
      </w:r>
    </w:p>
    <w:p w14:paraId="0F2ADFA8" w14:textId="49DC0CF5" w:rsidR="00CE1259" w:rsidRPr="0012450E" w:rsidRDefault="0012450E" w:rsidP="0012450E">
      <w:pPr>
        <w:tabs>
          <w:tab w:val="right" w:leader="dot" w:pos="9360"/>
        </w:tabs>
        <w:ind w:firstLine="360"/>
      </w:pPr>
      <w:r>
        <w:t>Conduct focus groups</w:t>
      </w:r>
      <w:r w:rsidR="00CE1259" w:rsidRPr="0012450E">
        <w:tab/>
      </w:r>
      <w:r w:rsidR="00837361">
        <w:t>Complete within 12 months of OMB approval</w:t>
      </w:r>
    </w:p>
    <w:p w14:paraId="7AD2EF58" w14:textId="576F3CBC" w:rsidR="00CE1259" w:rsidRPr="0012450E" w:rsidRDefault="0012450E" w:rsidP="0012450E">
      <w:pPr>
        <w:tabs>
          <w:tab w:val="right" w:leader="dot" w:pos="9360"/>
        </w:tabs>
        <w:ind w:firstLine="360"/>
      </w:pPr>
      <w:r>
        <w:t>Conduct interviews</w:t>
      </w:r>
      <w:r w:rsidR="00CE1259" w:rsidRPr="0012450E">
        <w:tab/>
      </w:r>
      <w:r w:rsidR="00837361">
        <w:t>Complete within 12 months of OMB approval</w:t>
      </w:r>
    </w:p>
    <w:p w14:paraId="0934EF78" w14:textId="34D0BA28" w:rsidR="00CE1259" w:rsidRPr="0012450E" w:rsidRDefault="00837361" w:rsidP="0012450E">
      <w:pPr>
        <w:tabs>
          <w:tab w:val="right" w:leader="dot" w:pos="9360"/>
        </w:tabs>
        <w:ind w:firstLine="360"/>
      </w:pPr>
      <w:r>
        <w:t>Prepare codebooks and conduct</w:t>
      </w:r>
      <w:r w:rsidR="0012450E">
        <w:t xml:space="preserve"> analysis</w:t>
      </w:r>
      <w:r w:rsidR="00CE1259" w:rsidRPr="0012450E">
        <w:tab/>
      </w:r>
      <w:r>
        <w:t xml:space="preserve">Begin within 12 months of OMB approval </w:t>
      </w:r>
    </w:p>
    <w:p w14:paraId="5FC1E8DB" w14:textId="4C316365" w:rsidR="00837361" w:rsidRDefault="00837361" w:rsidP="00837361">
      <w:pPr>
        <w:tabs>
          <w:tab w:val="right" w:leader="dot" w:pos="9360"/>
        </w:tabs>
        <w:ind w:firstLine="360"/>
      </w:pPr>
      <w:r>
        <w:t xml:space="preserve">Prepare </w:t>
      </w:r>
      <w:r w:rsidR="00DC35DD">
        <w:t xml:space="preserve">de-identified </w:t>
      </w:r>
      <w:r>
        <w:t>transcripts</w:t>
      </w:r>
      <w:r>
        <w:tab/>
        <w:t>Begin within 12 months of OMB approval</w:t>
      </w:r>
    </w:p>
    <w:p w14:paraId="079477FE" w14:textId="5FD73218" w:rsidR="00837361" w:rsidRPr="0012450E" w:rsidRDefault="00837361" w:rsidP="00837361">
      <w:pPr>
        <w:tabs>
          <w:tab w:val="right" w:leader="dot" w:pos="9360"/>
        </w:tabs>
        <w:ind w:firstLine="360"/>
      </w:pPr>
      <w:r>
        <w:t xml:space="preserve">Deliver </w:t>
      </w:r>
      <w:r w:rsidR="00DC35DD">
        <w:t xml:space="preserve">de-identified </w:t>
      </w:r>
      <w:r>
        <w:t>transcripts</w:t>
      </w:r>
      <w:r>
        <w:tab/>
        <w:t>Complete within 14 months of OMB approval</w:t>
      </w:r>
    </w:p>
    <w:p w14:paraId="4ED382AB" w14:textId="6A05AA71" w:rsidR="00CE1259" w:rsidRDefault="00CE1259" w:rsidP="0012450E">
      <w:pPr>
        <w:tabs>
          <w:tab w:val="right" w:leader="dot" w:pos="9360"/>
        </w:tabs>
        <w:ind w:firstLine="360"/>
      </w:pPr>
      <w:r w:rsidRPr="0012450E">
        <w:t xml:space="preserve">Prepare final </w:t>
      </w:r>
      <w:r w:rsidR="0012450E">
        <w:t xml:space="preserve">qualitative </w:t>
      </w:r>
      <w:r w:rsidRPr="0012450E">
        <w:t>report</w:t>
      </w:r>
      <w:r w:rsidRPr="0012450E">
        <w:tab/>
      </w:r>
      <w:r w:rsidR="00837361">
        <w:t>Begin within 12 months of OMB approval</w:t>
      </w:r>
    </w:p>
    <w:p w14:paraId="2348BD2E" w14:textId="4F0A2CBF" w:rsidR="00CE1259" w:rsidRDefault="00CE1259" w:rsidP="0012450E">
      <w:pPr>
        <w:tabs>
          <w:tab w:val="right" w:leader="dot" w:pos="9360"/>
        </w:tabs>
        <w:ind w:firstLine="360"/>
      </w:pPr>
      <w:r w:rsidRPr="0012450E">
        <w:t xml:space="preserve">Deliver </w:t>
      </w:r>
      <w:r w:rsidR="0012450E">
        <w:t>final</w:t>
      </w:r>
      <w:r w:rsidR="00837361">
        <w:t xml:space="preserve"> qualitative</w:t>
      </w:r>
      <w:r w:rsidR="0012450E">
        <w:t xml:space="preserve"> report</w:t>
      </w:r>
      <w:r w:rsidR="00837361">
        <w:tab/>
        <w:t>Complete within 18 months of OMB approval</w:t>
      </w:r>
    </w:p>
    <w:p w14:paraId="6B5A5412" w14:textId="77777777" w:rsidR="00DC35DD" w:rsidRPr="0012450E" w:rsidRDefault="00DC35DD" w:rsidP="0012450E">
      <w:pPr>
        <w:tabs>
          <w:tab w:val="right" w:leader="dot" w:pos="9360"/>
        </w:tabs>
        <w:ind w:firstLine="360"/>
      </w:pPr>
    </w:p>
    <w:p w14:paraId="0D393F36" w14:textId="15ECE7A2" w:rsidR="00972DEF" w:rsidRPr="00691454" w:rsidRDefault="00B210E1" w:rsidP="009C573D">
      <w:pPr>
        <w:pStyle w:val="Heading2"/>
      </w:pPr>
      <w:bookmarkStart w:id="21" w:name="_Toc511121644"/>
      <w:r>
        <w:t xml:space="preserve">A.17. </w:t>
      </w:r>
      <w:r>
        <w:tab/>
      </w:r>
      <w:r w:rsidR="00972DEF" w:rsidRPr="00691454">
        <w:t>Reason(s) Display of OMB Expiration Date is Inappropriate</w:t>
      </w:r>
      <w:bookmarkEnd w:id="21"/>
      <w:r w:rsidR="00972DEF" w:rsidRPr="00691454">
        <w:t xml:space="preserve"> </w:t>
      </w:r>
    </w:p>
    <w:p w14:paraId="0D393F38" w14:textId="479CAC51" w:rsidR="00972DEF" w:rsidRPr="00691454" w:rsidRDefault="00C27E07" w:rsidP="00C27E07">
      <w:pPr>
        <w:pStyle w:val="BodyText"/>
      </w:pPr>
      <w:r>
        <w:t>We are not requesting an exemption; t</w:t>
      </w:r>
      <w:r w:rsidR="008429DD" w:rsidRPr="00691454">
        <w:t>he display of the OMB expiration date is not inappropriate</w:t>
      </w:r>
      <w:r w:rsidR="00D11EEB" w:rsidRPr="00691454">
        <w:t>.</w:t>
      </w:r>
    </w:p>
    <w:p w14:paraId="0D393F3A" w14:textId="3C7EEC4C" w:rsidR="00972DEF" w:rsidRPr="00691454" w:rsidRDefault="00B210E1" w:rsidP="009C573D">
      <w:pPr>
        <w:pStyle w:val="Heading2"/>
      </w:pPr>
      <w:bookmarkStart w:id="22" w:name="_Toc511121645"/>
      <w:r>
        <w:t xml:space="preserve">A.18. </w:t>
      </w:r>
      <w:r>
        <w:tab/>
      </w:r>
      <w:r w:rsidR="00972DEF" w:rsidRPr="00691454">
        <w:t>Exceptions to Certification for Paperwork Reduction Act Submissions</w:t>
      </w:r>
      <w:bookmarkEnd w:id="22"/>
      <w:r w:rsidR="00972DEF" w:rsidRPr="00691454">
        <w:t xml:space="preserve"> </w:t>
      </w:r>
    </w:p>
    <w:p w14:paraId="3BED2624" w14:textId="65799A1F" w:rsidR="007B5603" w:rsidRDefault="00972DEF" w:rsidP="008A053C">
      <w:pPr>
        <w:autoSpaceDE w:val="0"/>
        <w:autoSpaceDN w:val="0"/>
        <w:adjustRightInd w:val="0"/>
      </w:pPr>
      <w:r w:rsidRPr="00691454">
        <w:t>There are no exceptions to the certification.</w:t>
      </w:r>
    </w:p>
    <w:p w14:paraId="13DD13F7" w14:textId="67FA4C78" w:rsidR="007B5603" w:rsidRDefault="007B5603" w:rsidP="00B210E1">
      <w:r>
        <w:br w:type="page"/>
      </w:r>
    </w:p>
    <w:p w14:paraId="26109EBC" w14:textId="77777777" w:rsidR="00E43DA8" w:rsidRPr="00B210E1" w:rsidRDefault="00E43DA8" w:rsidP="005B5DC8">
      <w:pPr>
        <w:pStyle w:val="Heading1"/>
        <w:spacing w:before="0" w:after="0"/>
        <w:rPr>
          <w:smallCaps/>
        </w:rPr>
      </w:pPr>
      <w:bookmarkStart w:id="23" w:name="_Toc511121646"/>
      <w:r w:rsidRPr="00B210E1">
        <w:rPr>
          <w:smallCaps/>
        </w:rPr>
        <w:t>References</w:t>
      </w:r>
      <w:bookmarkEnd w:id="23"/>
    </w:p>
    <w:sectPr w:rsidR="00E43DA8" w:rsidRPr="00B210E1" w:rsidSect="001A0A8C">
      <w:footerReference w:type="even" r:id="rId15"/>
      <w:footerReference w:type="default" r:id="rId16"/>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CFEE2" w14:textId="77777777" w:rsidR="000910E6" w:rsidRPr="00C87DF3" w:rsidRDefault="000910E6" w:rsidP="00C87DF3">
      <w:pPr>
        <w:pStyle w:val="Footer"/>
      </w:pPr>
    </w:p>
  </w:endnote>
  <w:endnote w:type="continuationSeparator" w:id="0">
    <w:p w14:paraId="22B7422B" w14:textId="77777777" w:rsidR="000910E6" w:rsidRDefault="000910E6">
      <w:r>
        <w:continuationSeparator/>
      </w:r>
    </w:p>
  </w:endnote>
  <w:endnote w:id="1">
    <w:p w14:paraId="1ACA820D" w14:textId="172C7E2D"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Powers BW, Rinefort S, Jain SH. Nonemergency medical transportation. Delivering care in the era of Lyft and Uber. </w:t>
      </w:r>
      <w:r w:rsidRPr="003D15D7">
        <w:rPr>
          <w:i/>
          <w:sz w:val="22"/>
          <w:szCs w:val="22"/>
        </w:rPr>
        <w:t xml:space="preserve">JAMA. </w:t>
      </w:r>
      <w:r w:rsidRPr="003D15D7">
        <w:rPr>
          <w:sz w:val="22"/>
          <w:szCs w:val="22"/>
        </w:rPr>
        <w:t>2016;316(9):921-922.</w:t>
      </w:r>
    </w:p>
  </w:endnote>
  <w:endnote w:id="2">
    <w:p w14:paraId="65EBF8B3" w14:textId="62202DBE"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Oxley J and Whelan M. It cannot be all about safety: the benefits of prolonged mobility. </w:t>
      </w:r>
      <w:r w:rsidRPr="003D15D7">
        <w:rPr>
          <w:i/>
          <w:sz w:val="22"/>
          <w:szCs w:val="22"/>
        </w:rPr>
        <w:t xml:space="preserve">Traffic Injury Prevention. </w:t>
      </w:r>
      <w:r w:rsidRPr="003D15D7">
        <w:rPr>
          <w:sz w:val="22"/>
          <w:szCs w:val="22"/>
        </w:rPr>
        <w:t>2008;9(4):367-378.</w:t>
      </w:r>
    </w:p>
  </w:endnote>
  <w:endnote w:id="3">
    <w:p w14:paraId="5FC6EC62" w14:textId="3131392E" w:rsidR="000910E6" w:rsidRPr="003D15D7" w:rsidRDefault="000910E6" w:rsidP="00EF504E">
      <w:pPr>
        <w:pStyle w:val="EndnoteText"/>
        <w:ind w:left="360" w:hanging="360"/>
        <w:rPr>
          <w:sz w:val="22"/>
          <w:szCs w:val="22"/>
        </w:rPr>
      </w:pPr>
      <w:r w:rsidRPr="003D15D7">
        <w:rPr>
          <w:rStyle w:val="EndnoteReference"/>
          <w:sz w:val="22"/>
          <w:szCs w:val="22"/>
        </w:rPr>
        <w:endnoteRef/>
      </w:r>
      <w:r>
        <w:rPr>
          <w:sz w:val="22"/>
          <w:szCs w:val="22"/>
        </w:rPr>
        <w:t xml:space="preserve"> Oxley and Whelan, 2008.</w:t>
      </w:r>
      <w:r w:rsidRPr="003D15D7">
        <w:rPr>
          <w:sz w:val="22"/>
          <w:szCs w:val="22"/>
        </w:rPr>
        <w:t xml:space="preserve"> </w:t>
      </w:r>
    </w:p>
  </w:endnote>
  <w:endnote w:id="4">
    <w:p w14:paraId="08CA75A4" w14:textId="1A4F85AC" w:rsidR="000910E6" w:rsidRPr="003D15D7" w:rsidRDefault="000910E6" w:rsidP="00EF504E">
      <w:pPr>
        <w:pStyle w:val="EndnoteText"/>
        <w:ind w:left="360" w:hanging="360"/>
        <w:rPr>
          <w:sz w:val="22"/>
          <w:szCs w:val="22"/>
        </w:rPr>
      </w:pPr>
      <w:r w:rsidRPr="003D15D7">
        <w:rPr>
          <w:rStyle w:val="EndnoteReference"/>
          <w:sz w:val="22"/>
          <w:szCs w:val="22"/>
        </w:rPr>
        <w:endnoteRef/>
      </w:r>
      <w:r>
        <w:rPr>
          <w:sz w:val="22"/>
          <w:szCs w:val="22"/>
        </w:rPr>
        <w:t xml:space="preserve"> Oxley and Whelan, 2008.</w:t>
      </w:r>
    </w:p>
  </w:endnote>
  <w:endnote w:id="5">
    <w:p w14:paraId="141F88C9" w14:textId="16A460FA"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Bailey L. Aging Americans: Stranded without options. </w:t>
      </w:r>
      <w:r w:rsidRPr="003D15D7">
        <w:rPr>
          <w:i/>
          <w:sz w:val="22"/>
          <w:szCs w:val="22"/>
        </w:rPr>
        <w:t>Surface Transportation Policy Project</w:t>
      </w:r>
      <w:r w:rsidRPr="003D15D7">
        <w:rPr>
          <w:sz w:val="22"/>
          <w:szCs w:val="22"/>
        </w:rPr>
        <w:t xml:space="preserve">. 2004. Retrieved from: </w:t>
      </w:r>
      <w:r w:rsidRPr="003D15D7">
        <w:rPr>
          <w:sz w:val="22"/>
          <w:szCs w:val="22"/>
          <w:shd w:val="clear" w:color="auto" w:fill="F8F8F8"/>
        </w:rPr>
        <w:t>http://www.apta.com/resources/reportsandpublications/Documents/aging_stranded.pdf</w:t>
      </w:r>
      <w:r w:rsidRPr="003D15D7">
        <w:rPr>
          <w:sz w:val="22"/>
          <w:szCs w:val="22"/>
        </w:rPr>
        <w:t xml:space="preserve">. </w:t>
      </w:r>
    </w:p>
  </w:endnote>
  <w:endnote w:id="6">
    <w:p w14:paraId="1C0B8F7A" w14:textId="67F941F1"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Dawes M. </w:t>
      </w:r>
      <w:r w:rsidRPr="003D15D7">
        <w:rPr>
          <w:i/>
          <w:sz w:val="22"/>
          <w:szCs w:val="22"/>
        </w:rPr>
        <w:t xml:space="preserve">Perspectives on the ridesourcing revolution: Surveying individual attitudes toward Uber and Lyft to inform urban transportation policymaking. </w:t>
      </w:r>
      <w:r w:rsidRPr="003D15D7">
        <w:rPr>
          <w:sz w:val="22"/>
          <w:szCs w:val="22"/>
        </w:rPr>
        <w:t xml:space="preserve">2016. Retrieved from:  https://dspace.mit.edu/bitstream/handle/1721.1/104994/960048423-MIT.pdf?sequence=1. </w:t>
      </w:r>
    </w:p>
  </w:endnote>
  <w:endnote w:id="7">
    <w:p w14:paraId="028C043B" w14:textId="4D50659D"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Ortman JK, Velkoff VA, Hogan H. </w:t>
      </w:r>
      <w:r w:rsidRPr="003D15D7">
        <w:rPr>
          <w:i/>
          <w:sz w:val="22"/>
          <w:szCs w:val="22"/>
        </w:rPr>
        <w:t>An aging nation: the older population in the United States</w:t>
      </w:r>
      <w:r w:rsidRPr="003D15D7">
        <w:rPr>
          <w:sz w:val="22"/>
          <w:szCs w:val="22"/>
        </w:rPr>
        <w:t xml:space="preserve">. United States Census Bureau. 2014. Retrieved from: https://www.census.gov/prod/2014pubs/p25-1140.pdf. </w:t>
      </w:r>
    </w:p>
  </w:endnote>
  <w:endnote w:id="8">
    <w:p w14:paraId="77C5A55C" w14:textId="77777777" w:rsidR="000910E6" w:rsidRPr="00236EF1" w:rsidRDefault="000910E6" w:rsidP="00EF504E">
      <w:pPr>
        <w:pStyle w:val="FootnoteText"/>
        <w:ind w:left="360" w:hanging="360"/>
        <w:rPr>
          <w:sz w:val="22"/>
          <w:szCs w:val="22"/>
        </w:rPr>
      </w:pPr>
      <w:r w:rsidRPr="00236EF1">
        <w:rPr>
          <w:rStyle w:val="EndnoteReference"/>
          <w:sz w:val="22"/>
          <w:szCs w:val="22"/>
        </w:rPr>
        <w:endnoteRef/>
      </w:r>
      <w:r w:rsidRPr="00236EF1">
        <w:rPr>
          <w:sz w:val="22"/>
          <w:szCs w:val="22"/>
        </w:rPr>
        <w:t xml:space="preserve"> Bailey, Linda (2004) ―Aging Americans: Stranded without Options‖ Surface Transportation Policy Project,</w:t>
      </w:r>
      <w:r>
        <w:rPr>
          <w:sz w:val="22"/>
          <w:szCs w:val="22"/>
        </w:rPr>
        <w:t xml:space="preserve"> </w:t>
      </w:r>
      <w:r w:rsidRPr="00236EF1">
        <w:rPr>
          <w:sz w:val="22"/>
          <w:szCs w:val="22"/>
        </w:rPr>
        <w:t xml:space="preserve">Washington, D.C. </w:t>
      </w:r>
      <w:r>
        <w:rPr>
          <w:sz w:val="22"/>
          <w:szCs w:val="22"/>
        </w:rPr>
        <w:t xml:space="preserve">Available at: </w:t>
      </w:r>
      <w:hyperlink r:id="rId1" w:history="1">
        <w:r w:rsidRPr="00236EF1">
          <w:rPr>
            <w:rStyle w:val="Hyperlink"/>
            <w:sz w:val="22"/>
            <w:szCs w:val="22"/>
          </w:rPr>
          <w:t>http://www.apta.com/resources/reportsandpublications/Documents/aging_stranded.pdf</w:t>
        </w:r>
      </w:hyperlink>
      <w:r>
        <w:rPr>
          <w:sz w:val="22"/>
          <w:szCs w:val="22"/>
        </w:rPr>
        <w:t xml:space="preserve">. </w:t>
      </w:r>
    </w:p>
  </w:endnote>
  <w:endnote w:id="9">
    <w:p w14:paraId="5A87C81B" w14:textId="77777777" w:rsidR="000910E6" w:rsidRPr="00236EF1" w:rsidRDefault="000910E6" w:rsidP="00EF504E">
      <w:pPr>
        <w:pStyle w:val="EndnoteText"/>
        <w:ind w:left="360" w:hanging="360"/>
        <w:rPr>
          <w:sz w:val="22"/>
          <w:szCs w:val="22"/>
        </w:rPr>
      </w:pPr>
      <w:r w:rsidRPr="00236EF1">
        <w:rPr>
          <w:rStyle w:val="EndnoteReference"/>
          <w:sz w:val="22"/>
          <w:szCs w:val="22"/>
        </w:rPr>
        <w:endnoteRef/>
      </w:r>
      <w:r w:rsidRPr="00236EF1">
        <w:rPr>
          <w:sz w:val="22"/>
          <w:szCs w:val="22"/>
        </w:rPr>
        <w:t xml:space="preserve"> Insurance Institute for Highway Safety, Highway Loss Data Institute. Older drivers. </w:t>
      </w:r>
      <w:r>
        <w:rPr>
          <w:sz w:val="22"/>
          <w:szCs w:val="22"/>
        </w:rPr>
        <w:t xml:space="preserve">Available at: </w:t>
      </w:r>
      <w:r w:rsidRPr="00236EF1">
        <w:rPr>
          <w:sz w:val="22"/>
          <w:szCs w:val="22"/>
        </w:rPr>
        <w:t>http://www.iihs.org/iihs/topics/t/older-drivers/fatalityfacts/older-people/2015. Accessed November 27, 2017.</w:t>
      </w:r>
    </w:p>
  </w:endnote>
  <w:endnote w:id="10">
    <w:p w14:paraId="33E0A96A" w14:textId="4154D163" w:rsidR="000910E6" w:rsidRPr="00236EF1" w:rsidRDefault="000910E6" w:rsidP="00EF504E">
      <w:pPr>
        <w:pStyle w:val="EndnoteText"/>
        <w:ind w:left="360" w:hanging="360"/>
        <w:rPr>
          <w:sz w:val="22"/>
          <w:szCs w:val="22"/>
        </w:rPr>
      </w:pPr>
      <w:r w:rsidRPr="00236EF1">
        <w:rPr>
          <w:rStyle w:val="EndnoteReference"/>
          <w:sz w:val="22"/>
          <w:szCs w:val="22"/>
        </w:rPr>
        <w:endnoteRef/>
      </w:r>
      <w:r w:rsidRPr="00236EF1">
        <w:rPr>
          <w:sz w:val="22"/>
          <w:szCs w:val="22"/>
        </w:rPr>
        <w:t xml:space="preserve"> </w:t>
      </w:r>
      <w:r w:rsidRPr="00236EF1">
        <w:rPr>
          <w:rStyle w:val="EndnoteReference"/>
          <w:bCs/>
          <w:sz w:val="22"/>
          <w:szCs w:val="22"/>
          <w:vertAlign w:val="baseline"/>
        </w:rPr>
        <w:t>Vugo. Ride Share Passenger Demographics. Published January 8, 2017. Retrieved from: https://govugo.com/rideshare-passenger-demographics/. Accessed November 6, 2017.</w:t>
      </w:r>
    </w:p>
  </w:endnote>
  <w:endnote w:id="11">
    <w:p w14:paraId="0F0EAC71" w14:textId="322198FC" w:rsidR="000910E6" w:rsidRPr="00236EF1" w:rsidRDefault="000910E6" w:rsidP="00EF504E">
      <w:pPr>
        <w:pStyle w:val="Style5"/>
        <w:spacing w:after="0"/>
        <w:rPr>
          <w:sz w:val="22"/>
          <w:szCs w:val="22"/>
        </w:rPr>
      </w:pPr>
      <w:r w:rsidRPr="00236EF1">
        <w:rPr>
          <w:rStyle w:val="EndnoteReference"/>
          <w:sz w:val="22"/>
          <w:szCs w:val="22"/>
        </w:rPr>
        <w:endnoteRef/>
      </w:r>
      <w:r w:rsidRPr="00236EF1">
        <w:rPr>
          <w:sz w:val="22"/>
          <w:szCs w:val="22"/>
        </w:rPr>
        <w:t xml:space="preserve"> Shaghagi A, Bhopal RS, Sheikh A. Approaches to recruiting </w:t>
      </w:r>
      <w:r>
        <w:rPr>
          <w:sz w:val="22"/>
          <w:szCs w:val="22"/>
        </w:rPr>
        <w:t>'</w:t>
      </w:r>
      <w:r w:rsidRPr="00236EF1">
        <w:rPr>
          <w:sz w:val="22"/>
          <w:szCs w:val="22"/>
        </w:rPr>
        <w:t>hard-to-reach</w:t>
      </w:r>
      <w:r>
        <w:rPr>
          <w:sz w:val="22"/>
          <w:szCs w:val="22"/>
        </w:rPr>
        <w:t>'</w:t>
      </w:r>
      <w:r w:rsidRPr="00236EF1">
        <w:rPr>
          <w:sz w:val="22"/>
          <w:szCs w:val="22"/>
        </w:rPr>
        <w:t xml:space="preserve"> populations into research: A review of the literature. </w:t>
      </w:r>
      <w:r w:rsidRPr="00236EF1">
        <w:rPr>
          <w:i/>
          <w:sz w:val="22"/>
          <w:szCs w:val="22"/>
        </w:rPr>
        <w:t xml:space="preserve">Health Promot Perspect. </w:t>
      </w:r>
      <w:r w:rsidRPr="00236EF1">
        <w:rPr>
          <w:sz w:val="22"/>
          <w:szCs w:val="22"/>
        </w:rPr>
        <w:t>2011;1(2):86-94.</w:t>
      </w:r>
    </w:p>
  </w:endnote>
  <w:endnote w:id="12">
    <w:p w14:paraId="40FA2D83" w14:textId="2791735B" w:rsidR="000910E6" w:rsidRPr="003D15D7" w:rsidRDefault="000910E6" w:rsidP="00EF504E">
      <w:pPr>
        <w:pStyle w:val="Style5"/>
        <w:spacing w:after="0"/>
        <w:rPr>
          <w:sz w:val="22"/>
          <w:szCs w:val="22"/>
        </w:rPr>
      </w:pPr>
      <w:r w:rsidRPr="00236EF1">
        <w:rPr>
          <w:rStyle w:val="EndnoteReference"/>
          <w:sz w:val="22"/>
          <w:szCs w:val="22"/>
        </w:rPr>
        <w:endnoteRef/>
      </w:r>
      <w:r w:rsidRPr="00236EF1">
        <w:rPr>
          <w:sz w:val="22"/>
          <w:szCs w:val="22"/>
        </w:rPr>
        <w:t xml:space="preserve"> Mack S, Huggins</w:t>
      </w:r>
      <w:r w:rsidRPr="003D15D7">
        <w:rPr>
          <w:sz w:val="22"/>
          <w:szCs w:val="22"/>
        </w:rPr>
        <w:t xml:space="preserve"> V, Keathley D, Sudukehi M. Do Monetary Incentives Improve Response Rates in the Survey of Income and Program Participation? U.S. Bureau of the Census, Demographic Statistical Methods Division, Washington D.C. 20233. 1998. Retrieved from:  http://www.amstat.org/sections/srms/Proceedings/papers/1998_089.pdf. </w:t>
      </w:r>
    </w:p>
  </w:endnote>
  <w:endnote w:id="13">
    <w:p w14:paraId="58B0D8D9" w14:textId="7268B65F"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Beebe TJ, Davern ME, McAlpine DD, Call KT, Rockwood TH. Increasing response rates in a survey of Medicaid enrollees: the effect of a prepaid monetary incentive and mixed modes (mail and telephone). </w:t>
      </w:r>
      <w:r w:rsidRPr="003D15D7">
        <w:rPr>
          <w:i/>
          <w:sz w:val="22"/>
          <w:szCs w:val="22"/>
        </w:rPr>
        <w:t>Med Care.</w:t>
      </w:r>
      <w:r w:rsidRPr="003D15D7">
        <w:rPr>
          <w:sz w:val="22"/>
          <w:szCs w:val="22"/>
        </w:rPr>
        <w:t xml:space="preserve"> 2005;43(4):411-4</w:t>
      </w:r>
    </w:p>
  </w:endnote>
  <w:endnote w:id="14">
    <w:p w14:paraId="137BEA01" w14:textId="74C242AA"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Martinez-Ebers V. Using Monetary Incentives with Hard-To-Reach Populations in Panel Surveys. </w:t>
      </w:r>
      <w:r w:rsidRPr="003D15D7">
        <w:rPr>
          <w:i/>
          <w:iCs/>
          <w:sz w:val="22"/>
          <w:szCs w:val="22"/>
        </w:rPr>
        <w:t>Int J Public Opin Res</w:t>
      </w:r>
      <w:r w:rsidRPr="003D15D7">
        <w:rPr>
          <w:sz w:val="22"/>
          <w:szCs w:val="22"/>
        </w:rPr>
        <w:t>. 1997;99(1):77-86.</w:t>
      </w:r>
    </w:p>
  </w:endnote>
  <w:endnote w:id="15">
    <w:p w14:paraId="13CCF4CB" w14:textId="329876F6"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Dykema J, Stevenson J, Kniss C, et al. Use of monetary and nonmonetary incentives to increase response rates among African Americans in the Wisconsin Pregnancy Risk Assessment Monitoring System. </w:t>
      </w:r>
      <w:r w:rsidRPr="003D15D7">
        <w:rPr>
          <w:i/>
          <w:iCs/>
          <w:sz w:val="22"/>
          <w:szCs w:val="22"/>
        </w:rPr>
        <w:t>Matern Child Health J</w:t>
      </w:r>
      <w:r w:rsidRPr="003D15D7">
        <w:rPr>
          <w:sz w:val="22"/>
          <w:szCs w:val="22"/>
        </w:rPr>
        <w:t xml:space="preserve">, 2012;16(4):785-791. </w:t>
      </w:r>
    </w:p>
  </w:endnote>
  <w:endnote w:id="16">
    <w:p w14:paraId="38D7CDB6" w14:textId="7B89FED0"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w:t>
      </w:r>
      <w:r w:rsidRPr="003D15D7">
        <w:rPr>
          <w:color w:val="000000"/>
          <w:sz w:val="22"/>
          <w:szCs w:val="22"/>
          <w:shd w:val="clear" w:color="auto" w:fill="FFFFFF"/>
        </w:rPr>
        <w:t>Singer E, van Hoewyk J, Maher MP. Experiments with incentives in telephone surveys.</w:t>
      </w:r>
      <w:r w:rsidRPr="003D15D7">
        <w:rPr>
          <w:rStyle w:val="apple-converted-space"/>
          <w:color w:val="000000"/>
          <w:sz w:val="22"/>
          <w:szCs w:val="22"/>
          <w:shd w:val="clear" w:color="auto" w:fill="FFFFFF"/>
        </w:rPr>
        <w:t> </w:t>
      </w:r>
      <w:r w:rsidRPr="003D15D7">
        <w:rPr>
          <w:rStyle w:val="ref-journal"/>
          <w:i/>
          <w:color w:val="000000"/>
          <w:sz w:val="22"/>
          <w:szCs w:val="22"/>
          <w:shd w:val="clear" w:color="auto" w:fill="FFFFFF"/>
        </w:rPr>
        <w:t>Public Opin Q.</w:t>
      </w:r>
      <w:r w:rsidRPr="003D15D7">
        <w:rPr>
          <w:rStyle w:val="apple-converted-space"/>
          <w:color w:val="000000"/>
          <w:sz w:val="22"/>
          <w:szCs w:val="22"/>
          <w:shd w:val="clear" w:color="auto" w:fill="FFFFFF"/>
        </w:rPr>
        <w:t xml:space="preserve"> 2000;</w:t>
      </w:r>
      <w:r w:rsidRPr="003D15D7">
        <w:rPr>
          <w:rStyle w:val="ref-vol"/>
          <w:color w:val="000000"/>
          <w:sz w:val="22"/>
          <w:szCs w:val="22"/>
          <w:shd w:val="clear" w:color="auto" w:fill="FFFFFF"/>
        </w:rPr>
        <w:t>64</w:t>
      </w:r>
      <w:r w:rsidRPr="003D15D7">
        <w:rPr>
          <w:color w:val="000000"/>
          <w:sz w:val="22"/>
          <w:szCs w:val="22"/>
          <w:shd w:val="clear" w:color="auto" w:fill="FFFFFF"/>
        </w:rPr>
        <w:t>:171–188.</w:t>
      </w:r>
    </w:p>
  </w:endnote>
  <w:endnote w:id="17">
    <w:p w14:paraId="49FBA146" w14:textId="4284944C"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Mack S, Huggins V, Keathley D, Sudukehi M. Do Monetary Incentives Improve Response Rates in the Survey of Income and Program Participation? U.S. Bureau of the Census, Demographic Statistical Methods Division, Washington D.C. 20233. 1998. Retrieved from: http://www.amstat.org/sections/srms/Proceedings/papers/1998_089.pdf. </w:t>
      </w:r>
    </w:p>
  </w:endnote>
  <w:endnote w:id="18">
    <w:p w14:paraId="34D2BBC2" w14:textId="57A861A1" w:rsidR="000910E6" w:rsidRPr="003D15D7" w:rsidRDefault="000910E6" w:rsidP="00EF504E">
      <w:pPr>
        <w:pStyle w:val="Style5"/>
        <w:spacing w:after="0"/>
        <w:rPr>
          <w:sz w:val="22"/>
          <w:szCs w:val="22"/>
        </w:rPr>
      </w:pPr>
      <w:r w:rsidRPr="003D15D7">
        <w:rPr>
          <w:rStyle w:val="EndnoteReference"/>
          <w:sz w:val="22"/>
          <w:szCs w:val="22"/>
        </w:rPr>
        <w:endnoteRef/>
      </w:r>
      <w:r w:rsidRPr="003D15D7">
        <w:rPr>
          <w:sz w:val="22"/>
          <w:szCs w:val="22"/>
        </w:rPr>
        <w:t xml:space="preserve"> S</w:t>
      </w:r>
      <w:r w:rsidRPr="003D15D7">
        <w:rPr>
          <w:color w:val="000000"/>
          <w:sz w:val="22"/>
          <w:szCs w:val="22"/>
          <w:shd w:val="clear" w:color="auto" w:fill="FFFFFF"/>
        </w:rPr>
        <w:t>inger E, et al., 2008, op cit.</w:t>
      </w:r>
    </w:p>
  </w:endnote>
  <w:endnote w:id="19">
    <w:p w14:paraId="3D76848C" w14:textId="6033189E" w:rsidR="000910E6" w:rsidRDefault="000910E6" w:rsidP="00EF504E">
      <w:pPr>
        <w:pStyle w:val="Style5"/>
        <w:spacing w:after="0"/>
      </w:pPr>
      <w:r w:rsidRPr="003D15D7">
        <w:rPr>
          <w:rStyle w:val="EndnoteReference"/>
          <w:sz w:val="22"/>
          <w:szCs w:val="22"/>
        </w:rPr>
        <w:endnoteRef/>
      </w:r>
      <w:r w:rsidRPr="003D15D7">
        <w:rPr>
          <w:sz w:val="22"/>
          <w:szCs w:val="22"/>
        </w:rPr>
        <w:t xml:space="preserve"> Office of Information and Regulatory Affairs, Office of Management and Budget. Project LAUNCH Nonsubstantative Change Request – Request for Incentives. Memo dated September 27, 2017. Retrieved from: https://www.reginfo.gov/public/do/DownloadDocument?objectID=77462701. Accessed December 5,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93F46" w14:textId="77777777" w:rsidR="000910E6" w:rsidRDefault="000910E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93F47" w14:textId="77777777" w:rsidR="000910E6" w:rsidRDefault="000910E6"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93F48" w14:textId="1DCDE6D1" w:rsidR="000910E6" w:rsidRDefault="000910E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4776">
      <w:rPr>
        <w:rStyle w:val="PageNumber"/>
        <w:noProof/>
      </w:rPr>
      <w:t>2</w:t>
    </w:r>
    <w:r>
      <w:rPr>
        <w:rStyle w:val="PageNumber"/>
      </w:rPr>
      <w:fldChar w:fldCharType="end"/>
    </w:r>
  </w:p>
  <w:p w14:paraId="0D393F49" w14:textId="77777777" w:rsidR="000910E6" w:rsidRPr="00BB4559" w:rsidRDefault="000910E6"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49B73" w14:textId="77777777" w:rsidR="000910E6" w:rsidRDefault="000910E6">
      <w:r>
        <w:separator/>
      </w:r>
    </w:p>
  </w:footnote>
  <w:footnote w:type="continuationSeparator" w:id="0">
    <w:p w14:paraId="0D706723" w14:textId="77777777" w:rsidR="000910E6" w:rsidRDefault="000910E6">
      <w:r>
        <w:continuationSeparator/>
      </w:r>
    </w:p>
  </w:footnote>
  <w:footnote w:id="1">
    <w:p w14:paraId="29C4790E" w14:textId="05F388DE" w:rsidR="000910E6" w:rsidRPr="00F62EED" w:rsidRDefault="000910E6" w:rsidP="007D3F80">
      <w:pPr>
        <w:pStyle w:val="FootnoteText"/>
        <w:rPr>
          <w:sz w:val="20"/>
          <w:szCs w:val="20"/>
        </w:rPr>
      </w:pPr>
      <w:r w:rsidRPr="00F62EED">
        <w:rPr>
          <w:rStyle w:val="FootnoteReference"/>
          <w:sz w:val="20"/>
          <w:szCs w:val="20"/>
        </w:rPr>
        <w:footnoteRef/>
      </w:r>
      <w:r w:rsidRPr="00F62EED">
        <w:rPr>
          <w:sz w:val="20"/>
          <w:szCs w:val="20"/>
        </w:rPr>
        <w:t xml:space="preserve"> One exception is that some </w:t>
      </w:r>
      <w:r>
        <w:rPr>
          <w:sz w:val="20"/>
          <w:szCs w:val="20"/>
        </w:rPr>
        <w:t xml:space="preserve">ride share </w:t>
      </w:r>
      <w:r w:rsidRPr="00F62EED">
        <w:rPr>
          <w:sz w:val="20"/>
          <w:szCs w:val="20"/>
        </w:rPr>
        <w:t xml:space="preserve">services have paid drivers who provide transportation services using vehicles owned by the company. These vehicles were previously privately owned and donated.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485"/>
    <w:multiLevelType w:val="hybridMultilevel"/>
    <w:tmpl w:val="CDA85278"/>
    <w:lvl w:ilvl="0" w:tplc="25A0B5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31CB2"/>
    <w:multiLevelType w:val="hybridMultilevel"/>
    <w:tmpl w:val="F99A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76CED"/>
    <w:multiLevelType w:val="hybridMultilevel"/>
    <w:tmpl w:val="AA980150"/>
    <w:lvl w:ilvl="0" w:tplc="0409000F">
      <w:start w:val="1"/>
      <w:numFmt w:val="decimal"/>
      <w:lvlText w:val="%1."/>
      <w:lvlJc w:val="left"/>
      <w:pPr>
        <w:ind w:left="720" w:hanging="360"/>
      </w:pPr>
    </w:lvl>
    <w:lvl w:ilvl="1" w:tplc="92E283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DB14F78"/>
    <w:multiLevelType w:val="hybridMultilevel"/>
    <w:tmpl w:val="9DE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nsid w:val="299274D0"/>
    <w:multiLevelType w:val="hybridMultilevel"/>
    <w:tmpl w:val="36D4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450F15FD"/>
    <w:multiLevelType w:val="hybridMultilevel"/>
    <w:tmpl w:val="5DC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E4BFD"/>
    <w:multiLevelType w:val="hybridMultilevel"/>
    <w:tmpl w:val="D12E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677708"/>
    <w:multiLevelType w:val="hybridMultilevel"/>
    <w:tmpl w:val="8B166AC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55DB7B84"/>
    <w:multiLevelType w:val="hybridMultilevel"/>
    <w:tmpl w:val="25F0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F7AE1"/>
    <w:multiLevelType w:val="hybridMultilevel"/>
    <w:tmpl w:val="B9BA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D3382"/>
    <w:multiLevelType w:val="hybridMultilevel"/>
    <w:tmpl w:val="9DE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B5ADE"/>
    <w:multiLevelType w:val="hybridMultilevel"/>
    <w:tmpl w:val="7DA8F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3F4EE2"/>
    <w:multiLevelType w:val="hybridMultilevel"/>
    <w:tmpl w:val="0A142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20478C"/>
    <w:multiLevelType w:val="hybridMultilevel"/>
    <w:tmpl w:val="A0288AC6"/>
    <w:lvl w:ilvl="0" w:tplc="B6882E88">
      <w:start w:val="1"/>
      <w:numFmt w:val="bullet"/>
      <w:pStyle w:val="Bullet"/>
      <w:lvlText w:val=""/>
      <w:lvlJc w:val="left"/>
      <w:pPr>
        <w:ind w:left="720" w:hanging="360"/>
      </w:pPr>
      <w:rPr>
        <w:rFonts w:ascii="Symbol" w:hAnsi="Symbol" w:hint="default"/>
      </w:rPr>
    </w:lvl>
    <w:lvl w:ilvl="1" w:tplc="677427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880B14"/>
    <w:multiLevelType w:val="hybridMultilevel"/>
    <w:tmpl w:val="FDA8E34C"/>
    <w:lvl w:ilvl="0" w:tplc="0409000F">
      <w:start w:val="1"/>
      <w:numFmt w:val="decimal"/>
      <w:lvlText w:val="%1."/>
      <w:lvlJc w:val="left"/>
      <w:pPr>
        <w:ind w:left="720" w:hanging="360"/>
      </w:pPr>
    </w:lvl>
    <w:lvl w:ilvl="1" w:tplc="0409000F">
      <w:start w:val="1"/>
      <w:numFmt w:val="decimal"/>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3D24C4"/>
    <w:multiLevelType w:val="hybridMultilevel"/>
    <w:tmpl w:val="33C217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3"/>
  </w:num>
  <w:num w:numId="2">
    <w:abstractNumId w:val="21"/>
  </w:num>
  <w:num w:numId="3">
    <w:abstractNumId w:val="5"/>
  </w:num>
  <w:num w:numId="4">
    <w:abstractNumId w:val="6"/>
  </w:num>
  <w:num w:numId="5">
    <w:abstractNumId w:val="8"/>
  </w:num>
  <w:num w:numId="6">
    <w:abstractNumId w:val="9"/>
  </w:num>
  <w:num w:numId="7">
    <w:abstractNumId w:val="15"/>
  </w:num>
  <w:num w:numId="8">
    <w:abstractNumId w:val="13"/>
  </w:num>
  <w:num w:numId="9">
    <w:abstractNumId w:val="11"/>
  </w:num>
  <w:num w:numId="10">
    <w:abstractNumId w:val="18"/>
  </w:num>
  <w:num w:numId="11">
    <w:abstractNumId w:val="14"/>
  </w:num>
  <w:num w:numId="12">
    <w:abstractNumId w:val="10"/>
  </w:num>
  <w:num w:numId="13">
    <w:abstractNumId w:val="1"/>
  </w:num>
  <w:num w:numId="14">
    <w:abstractNumId w:val="20"/>
  </w:num>
  <w:num w:numId="15">
    <w:abstractNumId w:val="16"/>
  </w:num>
  <w:num w:numId="16">
    <w:abstractNumId w:val="4"/>
  </w:num>
  <w:num w:numId="17">
    <w:abstractNumId w:val="2"/>
  </w:num>
  <w:num w:numId="18">
    <w:abstractNumId w:val="0"/>
  </w:num>
  <w:num w:numId="19">
    <w:abstractNumId w:val="19"/>
  </w:num>
  <w:num w:numId="20">
    <w:abstractNumId w:val="12"/>
  </w:num>
  <w:num w:numId="21">
    <w:abstractNumId w:val="17"/>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1ACE"/>
    <w:rsid w:val="00002669"/>
    <w:rsid w:val="00002CB2"/>
    <w:rsid w:val="00003B90"/>
    <w:rsid w:val="00003D0C"/>
    <w:rsid w:val="00003D32"/>
    <w:rsid w:val="00005DB1"/>
    <w:rsid w:val="000068D5"/>
    <w:rsid w:val="00006CD4"/>
    <w:rsid w:val="00012596"/>
    <w:rsid w:val="00013F0A"/>
    <w:rsid w:val="00014066"/>
    <w:rsid w:val="0001452F"/>
    <w:rsid w:val="00014C5D"/>
    <w:rsid w:val="000151A9"/>
    <w:rsid w:val="00017ECC"/>
    <w:rsid w:val="000236D9"/>
    <w:rsid w:val="00023780"/>
    <w:rsid w:val="00024097"/>
    <w:rsid w:val="00026C55"/>
    <w:rsid w:val="00030B06"/>
    <w:rsid w:val="00032EAB"/>
    <w:rsid w:val="00034D66"/>
    <w:rsid w:val="00037139"/>
    <w:rsid w:val="00040551"/>
    <w:rsid w:val="00043C49"/>
    <w:rsid w:val="00045BC8"/>
    <w:rsid w:val="000462CE"/>
    <w:rsid w:val="00046631"/>
    <w:rsid w:val="00046D69"/>
    <w:rsid w:val="00047243"/>
    <w:rsid w:val="00047A3B"/>
    <w:rsid w:val="00050BDA"/>
    <w:rsid w:val="000523C9"/>
    <w:rsid w:val="00052C06"/>
    <w:rsid w:val="0005319C"/>
    <w:rsid w:val="00053C31"/>
    <w:rsid w:val="00054F7E"/>
    <w:rsid w:val="0005567A"/>
    <w:rsid w:val="00060CF6"/>
    <w:rsid w:val="000630F3"/>
    <w:rsid w:val="00063389"/>
    <w:rsid w:val="00063B71"/>
    <w:rsid w:val="00063EA6"/>
    <w:rsid w:val="000642F2"/>
    <w:rsid w:val="000663CC"/>
    <w:rsid w:val="0006739E"/>
    <w:rsid w:val="000711CD"/>
    <w:rsid w:val="000715FA"/>
    <w:rsid w:val="00081BDB"/>
    <w:rsid w:val="00082FB9"/>
    <w:rsid w:val="000839F1"/>
    <w:rsid w:val="000847B7"/>
    <w:rsid w:val="00084F1E"/>
    <w:rsid w:val="00085277"/>
    <w:rsid w:val="000858FA"/>
    <w:rsid w:val="0009080F"/>
    <w:rsid w:val="000910E6"/>
    <w:rsid w:val="000925D2"/>
    <w:rsid w:val="00092DE4"/>
    <w:rsid w:val="00093851"/>
    <w:rsid w:val="00094BF2"/>
    <w:rsid w:val="00095AF9"/>
    <w:rsid w:val="00096849"/>
    <w:rsid w:val="00097DC6"/>
    <w:rsid w:val="000A0F71"/>
    <w:rsid w:val="000B5AC1"/>
    <w:rsid w:val="000B7303"/>
    <w:rsid w:val="000C13FC"/>
    <w:rsid w:val="000C274B"/>
    <w:rsid w:val="000C2EFC"/>
    <w:rsid w:val="000C3B79"/>
    <w:rsid w:val="000C4150"/>
    <w:rsid w:val="000C4CAF"/>
    <w:rsid w:val="000C6419"/>
    <w:rsid w:val="000D05A0"/>
    <w:rsid w:val="000D0892"/>
    <w:rsid w:val="000D31C0"/>
    <w:rsid w:val="000D4D34"/>
    <w:rsid w:val="000D7284"/>
    <w:rsid w:val="000E3608"/>
    <w:rsid w:val="000E3BC9"/>
    <w:rsid w:val="000F0EE6"/>
    <w:rsid w:val="000F1766"/>
    <w:rsid w:val="000F19A7"/>
    <w:rsid w:val="000F50B9"/>
    <w:rsid w:val="000F50EC"/>
    <w:rsid w:val="000F55B5"/>
    <w:rsid w:val="00100D30"/>
    <w:rsid w:val="00102734"/>
    <w:rsid w:val="00103D59"/>
    <w:rsid w:val="00113121"/>
    <w:rsid w:val="001134E9"/>
    <w:rsid w:val="00115D62"/>
    <w:rsid w:val="00117092"/>
    <w:rsid w:val="00121556"/>
    <w:rsid w:val="00122751"/>
    <w:rsid w:val="00124412"/>
    <w:rsid w:val="0012450E"/>
    <w:rsid w:val="001245D1"/>
    <w:rsid w:val="00124797"/>
    <w:rsid w:val="00124EB1"/>
    <w:rsid w:val="00124F7A"/>
    <w:rsid w:val="0012575C"/>
    <w:rsid w:val="00125D25"/>
    <w:rsid w:val="001271D0"/>
    <w:rsid w:val="0013185D"/>
    <w:rsid w:val="00133154"/>
    <w:rsid w:val="00133289"/>
    <w:rsid w:val="00133BCB"/>
    <w:rsid w:val="001355B4"/>
    <w:rsid w:val="00135823"/>
    <w:rsid w:val="00140AD2"/>
    <w:rsid w:val="00141F78"/>
    <w:rsid w:val="0014237E"/>
    <w:rsid w:val="00142C8E"/>
    <w:rsid w:val="00143326"/>
    <w:rsid w:val="00143A97"/>
    <w:rsid w:val="00143BF1"/>
    <w:rsid w:val="001440C5"/>
    <w:rsid w:val="00144640"/>
    <w:rsid w:val="00147660"/>
    <w:rsid w:val="00147F0D"/>
    <w:rsid w:val="00152324"/>
    <w:rsid w:val="001525A8"/>
    <w:rsid w:val="001528DE"/>
    <w:rsid w:val="00153B43"/>
    <w:rsid w:val="001543AF"/>
    <w:rsid w:val="001553BF"/>
    <w:rsid w:val="00155D39"/>
    <w:rsid w:val="00160FB2"/>
    <w:rsid w:val="00162CE1"/>
    <w:rsid w:val="0016565B"/>
    <w:rsid w:val="00166105"/>
    <w:rsid w:val="001668C4"/>
    <w:rsid w:val="00174139"/>
    <w:rsid w:val="001767EA"/>
    <w:rsid w:val="00177F19"/>
    <w:rsid w:val="0018364C"/>
    <w:rsid w:val="00183655"/>
    <w:rsid w:val="001838E3"/>
    <w:rsid w:val="001849B8"/>
    <w:rsid w:val="001874CC"/>
    <w:rsid w:val="00190B66"/>
    <w:rsid w:val="00190E6C"/>
    <w:rsid w:val="00191682"/>
    <w:rsid w:val="0019427F"/>
    <w:rsid w:val="00195C2D"/>
    <w:rsid w:val="0019616B"/>
    <w:rsid w:val="001A05F9"/>
    <w:rsid w:val="001A0A8C"/>
    <w:rsid w:val="001A1970"/>
    <w:rsid w:val="001A25A8"/>
    <w:rsid w:val="001A4E71"/>
    <w:rsid w:val="001A569A"/>
    <w:rsid w:val="001A5E9F"/>
    <w:rsid w:val="001A6157"/>
    <w:rsid w:val="001A77D0"/>
    <w:rsid w:val="001A7C5C"/>
    <w:rsid w:val="001B218A"/>
    <w:rsid w:val="001B2979"/>
    <w:rsid w:val="001B43C7"/>
    <w:rsid w:val="001B495A"/>
    <w:rsid w:val="001C03CC"/>
    <w:rsid w:val="001C0E4A"/>
    <w:rsid w:val="001C4949"/>
    <w:rsid w:val="001C4D29"/>
    <w:rsid w:val="001C7212"/>
    <w:rsid w:val="001C7245"/>
    <w:rsid w:val="001C79EF"/>
    <w:rsid w:val="001D230B"/>
    <w:rsid w:val="001D3733"/>
    <w:rsid w:val="001D3AB8"/>
    <w:rsid w:val="001D3CE3"/>
    <w:rsid w:val="001D55A6"/>
    <w:rsid w:val="001E07EB"/>
    <w:rsid w:val="001E1A5D"/>
    <w:rsid w:val="001E30A0"/>
    <w:rsid w:val="001E7051"/>
    <w:rsid w:val="001F1FDA"/>
    <w:rsid w:val="001F2730"/>
    <w:rsid w:val="001F2E0D"/>
    <w:rsid w:val="001F3081"/>
    <w:rsid w:val="001F4E47"/>
    <w:rsid w:val="001F5018"/>
    <w:rsid w:val="001F5B26"/>
    <w:rsid w:val="001F6EB7"/>
    <w:rsid w:val="00200EF9"/>
    <w:rsid w:val="0020133D"/>
    <w:rsid w:val="0020149B"/>
    <w:rsid w:val="00202616"/>
    <w:rsid w:val="00203779"/>
    <w:rsid w:val="00203955"/>
    <w:rsid w:val="00205C18"/>
    <w:rsid w:val="00205CBA"/>
    <w:rsid w:val="00205D79"/>
    <w:rsid w:val="002063D1"/>
    <w:rsid w:val="00211543"/>
    <w:rsid w:val="00211558"/>
    <w:rsid w:val="002121A0"/>
    <w:rsid w:val="00212621"/>
    <w:rsid w:val="00212983"/>
    <w:rsid w:val="00215ED9"/>
    <w:rsid w:val="002174E2"/>
    <w:rsid w:val="00220898"/>
    <w:rsid w:val="002208B5"/>
    <w:rsid w:val="00222B5F"/>
    <w:rsid w:val="00222E65"/>
    <w:rsid w:val="002254E6"/>
    <w:rsid w:val="00227662"/>
    <w:rsid w:val="0023078B"/>
    <w:rsid w:val="00233FB1"/>
    <w:rsid w:val="00234AED"/>
    <w:rsid w:val="00234FD5"/>
    <w:rsid w:val="0023596F"/>
    <w:rsid w:val="00236E15"/>
    <w:rsid w:val="00236EF1"/>
    <w:rsid w:val="00237911"/>
    <w:rsid w:val="00240805"/>
    <w:rsid w:val="002414FF"/>
    <w:rsid w:val="002420E6"/>
    <w:rsid w:val="0024247A"/>
    <w:rsid w:val="00242B38"/>
    <w:rsid w:val="00253F44"/>
    <w:rsid w:val="0025574D"/>
    <w:rsid w:val="00256350"/>
    <w:rsid w:val="00263928"/>
    <w:rsid w:val="00264D9E"/>
    <w:rsid w:val="0026518B"/>
    <w:rsid w:val="00265796"/>
    <w:rsid w:val="00267068"/>
    <w:rsid w:val="00267102"/>
    <w:rsid w:val="00271322"/>
    <w:rsid w:val="0027160A"/>
    <w:rsid w:val="00271E8F"/>
    <w:rsid w:val="00272190"/>
    <w:rsid w:val="00272BD1"/>
    <w:rsid w:val="00274D73"/>
    <w:rsid w:val="0027700E"/>
    <w:rsid w:val="0027701C"/>
    <w:rsid w:val="00277131"/>
    <w:rsid w:val="00280B7A"/>
    <w:rsid w:val="00282E91"/>
    <w:rsid w:val="00283B6F"/>
    <w:rsid w:val="002868D1"/>
    <w:rsid w:val="00286B9B"/>
    <w:rsid w:val="00287302"/>
    <w:rsid w:val="0028778D"/>
    <w:rsid w:val="00287B54"/>
    <w:rsid w:val="002929B9"/>
    <w:rsid w:val="00293622"/>
    <w:rsid w:val="00295BB7"/>
    <w:rsid w:val="00295EB7"/>
    <w:rsid w:val="002963A8"/>
    <w:rsid w:val="0029651F"/>
    <w:rsid w:val="00296EA7"/>
    <w:rsid w:val="002A161B"/>
    <w:rsid w:val="002A25C6"/>
    <w:rsid w:val="002A285F"/>
    <w:rsid w:val="002A42A3"/>
    <w:rsid w:val="002A5BB3"/>
    <w:rsid w:val="002A71C6"/>
    <w:rsid w:val="002A7BE0"/>
    <w:rsid w:val="002B1046"/>
    <w:rsid w:val="002B1F00"/>
    <w:rsid w:val="002B1FD3"/>
    <w:rsid w:val="002B4943"/>
    <w:rsid w:val="002B686F"/>
    <w:rsid w:val="002B6A07"/>
    <w:rsid w:val="002B7441"/>
    <w:rsid w:val="002B7F79"/>
    <w:rsid w:val="002C0813"/>
    <w:rsid w:val="002C3BEA"/>
    <w:rsid w:val="002C5DEA"/>
    <w:rsid w:val="002D1314"/>
    <w:rsid w:val="002D14D2"/>
    <w:rsid w:val="002D1936"/>
    <w:rsid w:val="002D260B"/>
    <w:rsid w:val="002D3676"/>
    <w:rsid w:val="002D5113"/>
    <w:rsid w:val="002D626B"/>
    <w:rsid w:val="002E2B98"/>
    <w:rsid w:val="002E3A2A"/>
    <w:rsid w:val="002E447A"/>
    <w:rsid w:val="002E45B2"/>
    <w:rsid w:val="002F0D3D"/>
    <w:rsid w:val="002F27F4"/>
    <w:rsid w:val="002F55BA"/>
    <w:rsid w:val="002F658C"/>
    <w:rsid w:val="002F7686"/>
    <w:rsid w:val="002F786A"/>
    <w:rsid w:val="0030062F"/>
    <w:rsid w:val="00300922"/>
    <w:rsid w:val="0030186F"/>
    <w:rsid w:val="00303D69"/>
    <w:rsid w:val="00305166"/>
    <w:rsid w:val="003056EB"/>
    <w:rsid w:val="00305748"/>
    <w:rsid w:val="00305806"/>
    <w:rsid w:val="00307CE5"/>
    <w:rsid w:val="00307DC2"/>
    <w:rsid w:val="00307F89"/>
    <w:rsid w:val="003108FE"/>
    <w:rsid w:val="00313C77"/>
    <w:rsid w:val="00317A2B"/>
    <w:rsid w:val="00317FF8"/>
    <w:rsid w:val="00320DC6"/>
    <w:rsid w:val="00321103"/>
    <w:rsid w:val="003213FB"/>
    <w:rsid w:val="0032281D"/>
    <w:rsid w:val="00322A75"/>
    <w:rsid w:val="0032357F"/>
    <w:rsid w:val="003245AD"/>
    <w:rsid w:val="00330867"/>
    <w:rsid w:val="00330C43"/>
    <w:rsid w:val="00332732"/>
    <w:rsid w:val="00334B07"/>
    <w:rsid w:val="00335D3D"/>
    <w:rsid w:val="00336388"/>
    <w:rsid w:val="003369F1"/>
    <w:rsid w:val="003379A2"/>
    <w:rsid w:val="00337C4A"/>
    <w:rsid w:val="00337E44"/>
    <w:rsid w:val="00337FCD"/>
    <w:rsid w:val="003404F1"/>
    <w:rsid w:val="003467B9"/>
    <w:rsid w:val="003474F1"/>
    <w:rsid w:val="00351B4A"/>
    <w:rsid w:val="00352DA4"/>
    <w:rsid w:val="003544B9"/>
    <w:rsid w:val="00360C3E"/>
    <w:rsid w:val="00360F81"/>
    <w:rsid w:val="00361659"/>
    <w:rsid w:val="00362CAD"/>
    <w:rsid w:val="0037022F"/>
    <w:rsid w:val="00373237"/>
    <w:rsid w:val="00374C24"/>
    <w:rsid w:val="00377B8E"/>
    <w:rsid w:val="00380E1B"/>
    <w:rsid w:val="00380F63"/>
    <w:rsid w:val="0038124B"/>
    <w:rsid w:val="00382642"/>
    <w:rsid w:val="0038374C"/>
    <w:rsid w:val="00384074"/>
    <w:rsid w:val="00386D2B"/>
    <w:rsid w:val="00386DC7"/>
    <w:rsid w:val="003901C4"/>
    <w:rsid w:val="00390B26"/>
    <w:rsid w:val="00390B3E"/>
    <w:rsid w:val="00391604"/>
    <w:rsid w:val="0039296A"/>
    <w:rsid w:val="00392A36"/>
    <w:rsid w:val="00393820"/>
    <w:rsid w:val="00395139"/>
    <w:rsid w:val="00395775"/>
    <w:rsid w:val="0039709E"/>
    <w:rsid w:val="003975DF"/>
    <w:rsid w:val="003A236F"/>
    <w:rsid w:val="003A2B0D"/>
    <w:rsid w:val="003A2CED"/>
    <w:rsid w:val="003A517B"/>
    <w:rsid w:val="003A5968"/>
    <w:rsid w:val="003A6381"/>
    <w:rsid w:val="003B1062"/>
    <w:rsid w:val="003B14A4"/>
    <w:rsid w:val="003B1FC1"/>
    <w:rsid w:val="003B3C8F"/>
    <w:rsid w:val="003B4D2D"/>
    <w:rsid w:val="003B54A2"/>
    <w:rsid w:val="003B5CFC"/>
    <w:rsid w:val="003B62E6"/>
    <w:rsid w:val="003B6AB5"/>
    <w:rsid w:val="003B6E8E"/>
    <w:rsid w:val="003C191E"/>
    <w:rsid w:val="003C2C6C"/>
    <w:rsid w:val="003C2F65"/>
    <w:rsid w:val="003C5105"/>
    <w:rsid w:val="003C6134"/>
    <w:rsid w:val="003C61ED"/>
    <w:rsid w:val="003C657F"/>
    <w:rsid w:val="003D01BA"/>
    <w:rsid w:val="003D0E3E"/>
    <w:rsid w:val="003D15D7"/>
    <w:rsid w:val="003D29AA"/>
    <w:rsid w:val="003E1523"/>
    <w:rsid w:val="003E4E04"/>
    <w:rsid w:val="003F1A39"/>
    <w:rsid w:val="003F2103"/>
    <w:rsid w:val="003F24FB"/>
    <w:rsid w:val="003F2567"/>
    <w:rsid w:val="003F39D3"/>
    <w:rsid w:val="003F4612"/>
    <w:rsid w:val="003F4EDC"/>
    <w:rsid w:val="003F4F2D"/>
    <w:rsid w:val="003F647A"/>
    <w:rsid w:val="003F77E5"/>
    <w:rsid w:val="004016E1"/>
    <w:rsid w:val="00401926"/>
    <w:rsid w:val="0040417C"/>
    <w:rsid w:val="00404FA5"/>
    <w:rsid w:val="004055ED"/>
    <w:rsid w:val="00405CC1"/>
    <w:rsid w:val="00410DE1"/>
    <w:rsid w:val="00413799"/>
    <w:rsid w:val="00414129"/>
    <w:rsid w:val="00414F4D"/>
    <w:rsid w:val="00420226"/>
    <w:rsid w:val="004270FA"/>
    <w:rsid w:val="004308C9"/>
    <w:rsid w:val="0043129A"/>
    <w:rsid w:val="0043245D"/>
    <w:rsid w:val="00432895"/>
    <w:rsid w:val="00433F96"/>
    <w:rsid w:val="00434AC6"/>
    <w:rsid w:val="00435F41"/>
    <w:rsid w:val="004361D3"/>
    <w:rsid w:val="00440CAA"/>
    <w:rsid w:val="00444062"/>
    <w:rsid w:val="004463FB"/>
    <w:rsid w:val="004467D7"/>
    <w:rsid w:val="00447B2A"/>
    <w:rsid w:val="00450DC9"/>
    <w:rsid w:val="0045133E"/>
    <w:rsid w:val="0045156A"/>
    <w:rsid w:val="00452D20"/>
    <w:rsid w:val="004557D8"/>
    <w:rsid w:val="00457A05"/>
    <w:rsid w:val="004629C8"/>
    <w:rsid w:val="00462A10"/>
    <w:rsid w:val="00462C2C"/>
    <w:rsid w:val="00463728"/>
    <w:rsid w:val="00463838"/>
    <w:rsid w:val="00463909"/>
    <w:rsid w:val="0046461B"/>
    <w:rsid w:val="004652C6"/>
    <w:rsid w:val="00465E5A"/>
    <w:rsid w:val="00466850"/>
    <w:rsid w:val="00466B57"/>
    <w:rsid w:val="00467698"/>
    <w:rsid w:val="00467DF4"/>
    <w:rsid w:val="004707F4"/>
    <w:rsid w:val="00470F4E"/>
    <w:rsid w:val="00471051"/>
    <w:rsid w:val="004711E7"/>
    <w:rsid w:val="004712A2"/>
    <w:rsid w:val="0047487F"/>
    <w:rsid w:val="0047522A"/>
    <w:rsid w:val="0047702E"/>
    <w:rsid w:val="00477041"/>
    <w:rsid w:val="00480944"/>
    <w:rsid w:val="00481497"/>
    <w:rsid w:val="00483754"/>
    <w:rsid w:val="00483ACE"/>
    <w:rsid w:val="00484997"/>
    <w:rsid w:val="00485838"/>
    <w:rsid w:val="00486B82"/>
    <w:rsid w:val="00486BF8"/>
    <w:rsid w:val="0049057C"/>
    <w:rsid w:val="00490F99"/>
    <w:rsid w:val="004930E9"/>
    <w:rsid w:val="004941DD"/>
    <w:rsid w:val="00495DF8"/>
    <w:rsid w:val="004964BB"/>
    <w:rsid w:val="004966A9"/>
    <w:rsid w:val="004970E0"/>
    <w:rsid w:val="00497BA3"/>
    <w:rsid w:val="004A33B3"/>
    <w:rsid w:val="004A3A24"/>
    <w:rsid w:val="004A4436"/>
    <w:rsid w:val="004A5382"/>
    <w:rsid w:val="004A5E1E"/>
    <w:rsid w:val="004B1AD2"/>
    <w:rsid w:val="004B1F55"/>
    <w:rsid w:val="004B43E5"/>
    <w:rsid w:val="004B4E1A"/>
    <w:rsid w:val="004B4F9A"/>
    <w:rsid w:val="004B65A1"/>
    <w:rsid w:val="004C382C"/>
    <w:rsid w:val="004C3842"/>
    <w:rsid w:val="004C4BBD"/>
    <w:rsid w:val="004C7230"/>
    <w:rsid w:val="004D01B3"/>
    <w:rsid w:val="004D0582"/>
    <w:rsid w:val="004D098F"/>
    <w:rsid w:val="004D15BB"/>
    <w:rsid w:val="004D3458"/>
    <w:rsid w:val="004D5948"/>
    <w:rsid w:val="004D60AC"/>
    <w:rsid w:val="004D6211"/>
    <w:rsid w:val="004D6274"/>
    <w:rsid w:val="004D6379"/>
    <w:rsid w:val="004D6D75"/>
    <w:rsid w:val="004D709D"/>
    <w:rsid w:val="004D7884"/>
    <w:rsid w:val="004E1B7B"/>
    <w:rsid w:val="004E35BD"/>
    <w:rsid w:val="004E39C0"/>
    <w:rsid w:val="004E3D74"/>
    <w:rsid w:val="004E4A64"/>
    <w:rsid w:val="004F0F79"/>
    <w:rsid w:val="004F1B4B"/>
    <w:rsid w:val="004F2F1A"/>
    <w:rsid w:val="004F39CA"/>
    <w:rsid w:val="004F5AAA"/>
    <w:rsid w:val="004F6FBE"/>
    <w:rsid w:val="004F7D4D"/>
    <w:rsid w:val="00501904"/>
    <w:rsid w:val="00502A59"/>
    <w:rsid w:val="005031BF"/>
    <w:rsid w:val="005040E3"/>
    <w:rsid w:val="00506507"/>
    <w:rsid w:val="005068B0"/>
    <w:rsid w:val="00510566"/>
    <w:rsid w:val="00511650"/>
    <w:rsid w:val="00514E0A"/>
    <w:rsid w:val="005160E4"/>
    <w:rsid w:val="00516C4D"/>
    <w:rsid w:val="005170B6"/>
    <w:rsid w:val="00522741"/>
    <w:rsid w:val="005228D2"/>
    <w:rsid w:val="00527146"/>
    <w:rsid w:val="0052776C"/>
    <w:rsid w:val="00530866"/>
    <w:rsid w:val="00530A86"/>
    <w:rsid w:val="00532988"/>
    <w:rsid w:val="00532DEA"/>
    <w:rsid w:val="00534D79"/>
    <w:rsid w:val="00537652"/>
    <w:rsid w:val="00537F19"/>
    <w:rsid w:val="00541B70"/>
    <w:rsid w:val="00541D30"/>
    <w:rsid w:val="00542D10"/>
    <w:rsid w:val="00543913"/>
    <w:rsid w:val="00543C43"/>
    <w:rsid w:val="005441D4"/>
    <w:rsid w:val="00544246"/>
    <w:rsid w:val="00546310"/>
    <w:rsid w:val="005463B7"/>
    <w:rsid w:val="00546EDE"/>
    <w:rsid w:val="00547510"/>
    <w:rsid w:val="00550417"/>
    <w:rsid w:val="00550DCA"/>
    <w:rsid w:val="00551816"/>
    <w:rsid w:val="0055218E"/>
    <w:rsid w:val="00553C3C"/>
    <w:rsid w:val="00557028"/>
    <w:rsid w:val="00560DD5"/>
    <w:rsid w:val="0056138E"/>
    <w:rsid w:val="00562428"/>
    <w:rsid w:val="00562BC1"/>
    <w:rsid w:val="005657B2"/>
    <w:rsid w:val="0057192D"/>
    <w:rsid w:val="00571B88"/>
    <w:rsid w:val="00572127"/>
    <w:rsid w:val="00572D0A"/>
    <w:rsid w:val="005745B3"/>
    <w:rsid w:val="00575DCB"/>
    <w:rsid w:val="00575E20"/>
    <w:rsid w:val="00576748"/>
    <w:rsid w:val="005826C4"/>
    <w:rsid w:val="00584D31"/>
    <w:rsid w:val="0058553B"/>
    <w:rsid w:val="00585B96"/>
    <w:rsid w:val="00587AFF"/>
    <w:rsid w:val="005901DE"/>
    <w:rsid w:val="00590795"/>
    <w:rsid w:val="00590EAA"/>
    <w:rsid w:val="005937DA"/>
    <w:rsid w:val="0059448A"/>
    <w:rsid w:val="00595BDF"/>
    <w:rsid w:val="00596733"/>
    <w:rsid w:val="00597261"/>
    <w:rsid w:val="005A406C"/>
    <w:rsid w:val="005A4E67"/>
    <w:rsid w:val="005A53E2"/>
    <w:rsid w:val="005A58AE"/>
    <w:rsid w:val="005B1431"/>
    <w:rsid w:val="005B23E0"/>
    <w:rsid w:val="005B2CD6"/>
    <w:rsid w:val="005B5DC8"/>
    <w:rsid w:val="005B665D"/>
    <w:rsid w:val="005B6942"/>
    <w:rsid w:val="005C0B15"/>
    <w:rsid w:val="005C20AE"/>
    <w:rsid w:val="005C2FCC"/>
    <w:rsid w:val="005C3B6D"/>
    <w:rsid w:val="005C420B"/>
    <w:rsid w:val="005C49C9"/>
    <w:rsid w:val="005C53C4"/>
    <w:rsid w:val="005C5B05"/>
    <w:rsid w:val="005C6A4D"/>
    <w:rsid w:val="005D017B"/>
    <w:rsid w:val="005D065E"/>
    <w:rsid w:val="005D1CF4"/>
    <w:rsid w:val="005D4291"/>
    <w:rsid w:val="005D4786"/>
    <w:rsid w:val="005D5551"/>
    <w:rsid w:val="005D5E45"/>
    <w:rsid w:val="005E012C"/>
    <w:rsid w:val="005E0216"/>
    <w:rsid w:val="005E4C8D"/>
    <w:rsid w:val="005E5644"/>
    <w:rsid w:val="005E72AB"/>
    <w:rsid w:val="005F3F4E"/>
    <w:rsid w:val="005F4116"/>
    <w:rsid w:val="005F6891"/>
    <w:rsid w:val="006045B1"/>
    <w:rsid w:val="00605778"/>
    <w:rsid w:val="00606950"/>
    <w:rsid w:val="00615F2A"/>
    <w:rsid w:val="006164A2"/>
    <w:rsid w:val="006167A0"/>
    <w:rsid w:val="0062245E"/>
    <w:rsid w:val="00623BF8"/>
    <w:rsid w:val="006260B2"/>
    <w:rsid w:val="006274BE"/>
    <w:rsid w:val="006304DB"/>
    <w:rsid w:val="00631896"/>
    <w:rsid w:val="00631B18"/>
    <w:rsid w:val="00631F91"/>
    <w:rsid w:val="00633591"/>
    <w:rsid w:val="006340BB"/>
    <w:rsid w:val="00634EFA"/>
    <w:rsid w:val="00635389"/>
    <w:rsid w:val="00637802"/>
    <w:rsid w:val="00637B29"/>
    <w:rsid w:val="00637FBE"/>
    <w:rsid w:val="00643AD7"/>
    <w:rsid w:val="00651A8D"/>
    <w:rsid w:val="00651F6F"/>
    <w:rsid w:val="006536FC"/>
    <w:rsid w:val="006604C6"/>
    <w:rsid w:val="00660600"/>
    <w:rsid w:val="00660ED8"/>
    <w:rsid w:val="00661B1D"/>
    <w:rsid w:val="00661C83"/>
    <w:rsid w:val="00663508"/>
    <w:rsid w:val="00664077"/>
    <w:rsid w:val="0066469F"/>
    <w:rsid w:val="006700B5"/>
    <w:rsid w:val="006731AD"/>
    <w:rsid w:val="00674F65"/>
    <w:rsid w:val="00676FCE"/>
    <w:rsid w:val="00677BBC"/>
    <w:rsid w:val="00680642"/>
    <w:rsid w:val="0068446C"/>
    <w:rsid w:val="006846BF"/>
    <w:rsid w:val="00686C0D"/>
    <w:rsid w:val="00686CCB"/>
    <w:rsid w:val="00690CAD"/>
    <w:rsid w:val="00691384"/>
    <w:rsid w:val="00691454"/>
    <w:rsid w:val="0069204F"/>
    <w:rsid w:val="0069426C"/>
    <w:rsid w:val="0069469E"/>
    <w:rsid w:val="00694A0F"/>
    <w:rsid w:val="00694C3F"/>
    <w:rsid w:val="006A10F2"/>
    <w:rsid w:val="006A3D91"/>
    <w:rsid w:val="006A43AB"/>
    <w:rsid w:val="006A4D7F"/>
    <w:rsid w:val="006A4DC2"/>
    <w:rsid w:val="006A52E7"/>
    <w:rsid w:val="006A7A53"/>
    <w:rsid w:val="006B08B0"/>
    <w:rsid w:val="006B1164"/>
    <w:rsid w:val="006B11C8"/>
    <w:rsid w:val="006B204A"/>
    <w:rsid w:val="006B3C55"/>
    <w:rsid w:val="006B54AF"/>
    <w:rsid w:val="006B71C5"/>
    <w:rsid w:val="006C1464"/>
    <w:rsid w:val="006C279D"/>
    <w:rsid w:val="006C41DB"/>
    <w:rsid w:val="006C5BD8"/>
    <w:rsid w:val="006C6E10"/>
    <w:rsid w:val="006D010B"/>
    <w:rsid w:val="006D375D"/>
    <w:rsid w:val="006D5759"/>
    <w:rsid w:val="006D7764"/>
    <w:rsid w:val="006D7A23"/>
    <w:rsid w:val="006D7CBF"/>
    <w:rsid w:val="006E22AC"/>
    <w:rsid w:val="006E52A2"/>
    <w:rsid w:val="006E54B7"/>
    <w:rsid w:val="006E668B"/>
    <w:rsid w:val="006F0679"/>
    <w:rsid w:val="006F1DA6"/>
    <w:rsid w:val="006F20DA"/>
    <w:rsid w:val="006F4776"/>
    <w:rsid w:val="006F49BF"/>
    <w:rsid w:val="006F66A9"/>
    <w:rsid w:val="006F6C70"/>
    <w:rsid w:val="00700B1F"/>
    <w:rsid w:val="007018C5"/>
    <w:rsid w:val="00703113"/>
    <w:rsid w:val="00704C1A"/>
    <w:rsid w:val="00704CC1"/>
    <w:rsid w:val="00706094"/>
    <w:rsid w:val="00710118"/>
    <w:rsid w:val="007105CF"/>
    <w:rsid w:val="0071123A"/>
    <w:rsid w:val="00711C57"/>
    <w:rsid w:val="00713376"/>
    <w:rsid w:val="00714750"/>
    <w:rsid w:val="0071578C"/>
    <w:rsid w:val="00723EE4"/>
    <w:rsid w:val="007245ED"/>
    <w:rsid w:val="00724D25"/>
    <w:rsid w:val="00726CE9"/>
    <w:rsid w:val="007274B4"/>
    <w:rsid w:val="00727F68"/>
    <w:rsid w:val="007306D6"/>
    <w:rsid w:val="007310C0"/>
    <w:rsid w:val="0073187D"/>
    <w:rsid w:val="007346CC"/>
    <w:rsid w:val="00734D2F"/>
    <w:rsid w:val="00736BB3"/>
    <w:rsid w:val="0073707A"/>
    <w:rsid w:val="007379BF"/>
    <w:rsid w:val="0074187A"/>
    <w:rsid w:val="00742897"/>
    <w:rsid w:val="00743E43"/>
    <w:rsid w:val="007458D4"/>
    <w:rsid w:val="00745DE6"/>
    <w:rsid w:val="00747468"/>
    <w:rsid w:val="007475AC"/>
    <w:rsid w:val="007478DD"/>
    <w:rsid w:val="00747954"/>
    <w:rsid w:val="007479AD"/>
    <w:rsid w:val="007501FB"/>
    <w:rsid w:val="007503A7"/>
    <w:rsid w:val="00751B1F"/>
    <w:rsid w:val="00753C4E"/>
    <w:rsid w:val="0075490C"/>
    <w:rsid w:val="00754B26"/>
    <w:rsid w:val="00756792"/>
    <w:rsid w:val="00760067"/>
    <w:rsid w:val="00760946"/>
    <w:rsid w:val="00760CBB"/>
    <w:rsid w:val="00762A56"/>
    <w:rsid w:val="00764618"/>
    <w:rsid w:val="00765642"/>
    <w:rsid w:val="00765EEB"/>
    <w:rsid w:val="00766D63"/>
    <w:rsid w:val="00770A7D"/>
    <w:rsid w:val="00770B65"/>
    <w:rsid w:val="00771B3A"/>
    <w:rsid w:val="00772315"/>
    <w:rsid w:val="007733AE"/>
    <w:rsid w:val="007740B4"/>
    <w:rsid w:val="00774741"/>
    <w:rsid w:val="00774DE9"/>
    <w:rsid w:val="007800FF"/>
    <w:rsid w:val="00780642"/>
    <w:rsid w:val="007813F5"/>
    <w:rsid w:val="00781D75"/>
    <w:rsid w:val="0078318B"/>
    <w:rsid w:val="0079212E"/>
    <w:rsid w:val="007932AC"/>
    <w:rsid w:val="0079357C"/>
    <w:rsid w:val="0079382B"/>
    <w:rsid w:val="00796022"/>
    <w:rsid w:val="0079760C"/>
    <w:rsid w:val="007A1B80"/>
    <w:rsid w:val="007A2C77"/>
    <w:rsid w:val="007B046D"/>
    <w:rsid w:val="007B0D9F"/>
    <w:rsid w:val="007B12FC"/>
    <w:rsid w:val="007B2E53"/>
    <w:rsid w:val="007B2F29"/>
    <w:rsid w:val="007B3A6F"/>
    <w:rsid w:val="007B5603"/>
    <w:rsid w:val="007B5F29"/>
    <w:rsid w:val="007B6550"/>
    <w:rsid w:val="007B6DE7"/>
    <w:rsid w:val="007B6FF1"/>
    <w:rsid w:val="007C5FF4"/>
    <w:rsid w:val="007C742D"/>
    <w:rsid w:val="007C7714"/>
    <w:rsid w:val="007D2420"/>
    <w:rsid w:val="007D3F80"/>
    <w:rsid w:val="007D5AE0"/>
    <w:rsid w:val="007D65EF"/>
    <w:rsid w:val="007E077E"/>
    <w:rsid w:val="007E1057"/>
    <w:rsid w:val="007E1F3E"/>
    <w:rsid w:val="007E4CD5"/>
    <w:rsid w:val="007E4E6B"/>
    <w:rsid w:val="007E5D14"/>
    <w:rsid w:val="007E66EC"/>
    <w:rsid w:val="007E73B7"/>
    <w:rsid w:val="007E749D"/>
    <w:rsid w:val="007E7C28"/>
    <w:rsid w:val="007E7ECC"/>
    <w:rsid w:val="007F2193"/>
    <w:rsid w:val="007F327B"/>
    <w:rsid w:val="007F5BED"/>
    <w:rsid w:val="0080270A"/>
    <w:rsid w:val="008050C2"/>
    <w:rsid w:val="00807160"/>
    <w:rsid w:val="00807B32"/>
    <w:rsid w:val="00810DF9"/>
    <w:rsid w:val="00812EDE"/>
    <w:rsid w:val="00813278"/>
    <w:rsid w:val="008140E5"/>
    <w:rsid w:val="00815F1F"/>
    <w:rsid w:val="008211F0"/>
    <w:rsid w:val="00822164"/>
    <w:rsid w:val="008228DF"/>
    <w:rsid w:val="00823DD1"/>
    <w:rsid w:val="0082457E"/>
    <w:rsid w:val="008245FB"/>
    <w:rsid w:val="008256F6"/>
    <w:rsid w:val="00826A47"/>
    <w:rsid w:val="008309D9"/>
    <w:rsid w:val="0083236C"/>
    <w:rsid w:val="00833CB3"/>
    <w:rsid w:val="00834F55"/>
    <w:rsid w:val="008352A2"/>
    <w:rsid w:val="00837361"/>
    <w:rsid w:val="00840F38"/>
    <w:rsid w:val="008429DD"/>
    <w:rsid w:val="00843107"/>
    <w:rsid w:val="00843F9D"/>
    <w:rsid w:val="0084469A"/>
    <w:rsid w:val="00845B62"/>
    <w:rsid w:val="008478B1"/>
    <w:rsid w:val="008503EA"/>
    <w:rsid w:val="00850889"/>
    <w:rsid w:val="00854468"/>
    <w:rsid w:val="00855014"/>
    <w:rsid w:val="00855324"/>
    <w:rsid w:val="008559F4"/>
    <w:rsid w:val="00856C0C"/>
    <w:rsid w:val="00857DB7"/>
    <w:rsid w:val="0086059F"/>
    <w:rsid w:val="00860D56"/>
    <w:rsid w:val="008615EB"/>
    <w:rsid w:val="00865E81"/>
    <w:rsid w:val="0086721B"/>
    <w:rsid w:val="00867F51"/>
    <w:rsid w:val="00870F16"/>
    <w:rsid w:val="0087371B"/>
    <w:rsid w:val="00873CA2"/>
    <w:rsid w:val="00875095"/>
    <w:rsid w:val="00877201"/>
    <w:rsid w:val="00885A4B"/>
    <w:rsid w:val="00886469"/>
    <w:rsid w:val="008907BD"/>
    <w:rsid w:val="00895DB5"/>
    <w:rsid w:val="008A02C8"/>
    <w:rsid w:val="008A053C"/>
    <w:rsid w:val="008A1866"/>
    <w:rsid w:val="008A1A86"/>
    <w:rsid w:val="008A1E86"/>
    <w:rsid w:val="008A202E"/>
    <w:rsid w:val="008A4F36"/>
    <w:rsid w:val="008A663C"/>
    <w:rsid w:val="008A7362"/>
    <w:rsid w:val="008A7B07"/>
    <w:rsid w:val="008A7D48"/>
    <w:rsid w:val="008B0908"/>
    <w:rsid w:val="008B4890"/>
    <w:rsid w:val="008B6133"/>
    <w:rsid w:val="008B6E27"/>
    <w:rsid w:val="008C26EC"/>
    <w:rsid w:val="008C4045"/>
    <w:rsid w:val="008C54DC"/>
    <w:rsid w:val="008D0B72"/>
    <w:rsid w:val="008D1EBA"/>
    <w:rsid w:val="008D2085"/>
    <w:rsid w:val="008D2CE4"/>
    <w:rsid w:val="008D2E86"/>
    <w:rsid w:val="008D48F1"/>
    <w:rsid w:val="008E0680"/>
    <w:rsid w:val="008E3293"/>
    <w:rsid w:val="008E402E"/>
    <w:rsid w:val="008E4BC7"/>
    <w:rsid w:val="008E4D36"/>
    <w:rsid w:val="008E50D4"/>
    <w:rsid w:val="008E556D"/>
    <w:rsid w:val="008E6245"/>
    <w:rsid w:val="008E6A0F"/>
    <w:rsid w:val="008E6B08"/>
    <w:rsid w:val="008E6E95"/>
    <w:rsid w:val="008E75D8"/>
    <w:rsid w:val="008E766D"/>
    <w:rsid w:val="008E78B9"/>
    <w:rsid w:val="008E7B62"/>
    <w:rsid w:val="008F1709"/>
    <w:rsid w:val="008F25C5"/>
    <w:rsid w:val="008F2E8D"/>
    <w:rsid w:val="008F4441"/>
    <w:rsid w:val="008F4F79"/>
    <w:rsid w:val="008F50D0"/>
    <w:rsid w:val="00900B33"/>
    <w:rsid w:val="00902C24"/>
    <w:rsid w:val="00904484"/>
    <w:rsid w:val="00905AEB"/>
    <w:rsid w:val="00907E75"/>
    <w:rsid w:val="00910583"/>
    <w:rsid w:val="00913EDB"/>
    <w:rsid w:val="00913F8A"/>
    <w:rsid w:val="00915AD4"/>
    <w:rsid w:val="0091648D"/>
    <w:rsid w:val="0092047B"/>
    <w:rsid w:val="0092167B"/>
    <w:rsid w:val="009233AC"/>
    <w:rsid w:val="009237C1"/>
    <w:rsid w:val="009253F9"/>
    <w:rsid w:val="009259B3"/>
    <w:rsid w:val="00926756"/>
    <w:rsid w:val="0092793E"/>
    <w:rsid w:val="00931CA6"/>
    <w:rsid w:val="00932DFA"/>
    <w:rsid w:val="00934709"/>
    <w:rsid w:val="0093547E"/>
    <w:rsid w:val="0093739D"/>
    <w:rsid w:val="00944CC6"/>
    <w:rsid w:val="00945D3D"/>
    <w:rsid w:val="00945F58"/>
    <w:rsid w:val="00946BB2"/>
    <w:rsid w:val="00950F2B"/>
    <w:rsid w:val="00953BD9"/>
    <w:rsid w:val="00953D4F"/>
    <w:rsid w:val="009559E8"/>
    <w:rsid w:val="00956D43"/>
    <w:rsid w:val="00957059"/>
    <w:rsid w:val="009622A8"/>
    <w:rsid w:val="00962F21"/>
    <w:rsid w:val="009704AE"/>
    <w:rsid w:val="009721F9"/>
    <w:rsid w:val="00972DEF"/>
    <w:rsid w:val="009743C5"/>
    <w:rsid w:val="00974FB7"/>
    <w:rsid w:val="0097678A"/>
    <w:rsid w:val="00976FEE"/>
    <w:rsid w:val="00977034"/>
    <w:rsid w:val="00981677"/>
    <w:rsid w:val="00981F16"/>
    <w:rsid w:val="00985407"/>
    <w:rsid w:val="009854E8"/>
    <w:rsid w:val="0098565D"/>
    <w:rsid w:val="00985817"/>
    <w:rsid w:val="009901D4"/>
    <w:rsid w:val="009926F2"/>
    <w:rsid w:val="009942F1"/>
    <w:rsid w:val="00994CB1"/>
    <w:rsid w:val="009971A3"/>
    <w:rsid w:val="009A1445"/>
    <w:rsid w:val="009A1588"/>
    <w:rsid w:val="009A275B"/>
    <w:rsid w:val="009A2D3C"/>
    <w:rsid w:val="009A3A64"/>
    <w:rsid w:val="009A41BA"/>
    <w:rsid w:val="009A48D5"/>
    <w:rsid w:val="009A71AB"/>
    <w:rsid w:val="009B1429"/>
    <w:rsid w:val="009B3D7B"/>
    <w:rsid w:val="009B4439"/>
    <w:rsid w:val="009B46F2"/>
    <w:rsid w:val="009B4AA0"/>
    <w:rsid w:val="009B638F"/>
    <w:rsid w:val="009B6981"/>
    <w:rsid w:val="009C0C82"/>
    <w:rsid w:val="009C1939"/>
    <w:rsid w:val="009C573D"/>
    <w:rsid w:val="009C68CB"/>
    <w:rsid w:val="009D1CE7"/>
    <w:rsid w:val="009D2C2C"/>
    <w:rsid w:val="009D36B5"/>
    <w:rsid w:val="009D47A8"/>
    <w:rsid w:val="009D76EF"/>
    <w:rsid w:val="009E4871"/>
    <w:rsid w:val="009E5E02"/>
    <w:rsid w:val="009E631C"/>
    <w:rsid w:val="009F0B8B"/>
    <w:rsid w:val="009F0B98"/>
    <w:rsid w:val="009F1B49"/>
    <w:rsid w:val="009F22FB"/>
    <w:rsid w:val="009F418D"/>
    <w:rsid w:val="009F53D3"/>
    <w:rsid w:val="009F5B32"/>
    <w:rsid w:val="00A01353"/>
    <w:rsid w:val="00A02695"/>
    <w:rsid w:val="00A0791A"/>
    <w:rsid w:val="00A10C8B"/>
    <w:rsid w:val="00A1201A"/>
    <w:rsid w:val="00A1346B"/>
    <w:rsid w:val="00A1379C"/>
    <w:rsid w:val="00A13FC9"/>
    <w:rsid w:val="00A14032"/>
    <w:rsid w:val="00A160CB"/>
    <w:rsid w:val="00A17697"/>
    <w:rsid w:val="00A203A1"/>
    <w:rsid w:val="00A21B94"/>
    <w:rsid w:val="00A21E6D"/>
    <w:rsid w:val="00A257E4"/>
    <w:rsid w:val="00A26B90"/>
    <w:rsid w:val="00A2748B"/>
    <w:rsid w:val="00A27ECD"/>
    <w:rsid w:val="00A30F01"/>
    <w:rsid w:val="00A311F6"/>
    <w:rsid w:val="00A318DF"/>
    <w:rsid w:val="00A324BA"/>
    <w:rsid w:val="00A33DC6"/>
    <w:rsid w:val="00A34DE3"/>
    <w:rsid w:val="00A365A1"/>
    <w:rsid w:val="00A37553"/>
    <w:rsid w:val="00A40C98"/>
    <w:rsid w:val="00A42F11"/>
    <w:rsid w:val="00A43960"/>
    <w:rsid w:val="00A4439E"/>
    <w:rsid w:val="00A4616C"/>
    <w:rsid w:val="00A50A56"/>
    <w:rsid w:val="00A50E9E"/>
    <w:rsid w:val="00A514D9"/>
    <w:rsid w:val="00A539ED"/>
    <w:rsid w:val="00A5643E"/>
    <w:rsid w:val="00A5757E"/>
    <w:rsid w:val="00A57A11"/>
    <w:rsid w:val="00A6056D"/>
    <w:rsid w:val="00A6099B"/>
    <w:rsid w:val="00A6200C"/>
    <w:rsid w:val="00A62E88"/>
    <w:rsid w:val="00A62F9F"/>
    <w:rsid w:val="00A65CA1"/>
    <w:rsid w:val="00A67EF3"/>
    <w:rsid w:val="00A707DC"/>
    <w:rsid w:val="00A72024"/>
    <w:rsid w:val="00A753EB"/>
    <w:rsid w:val="00A779A2"/>
    <w:rsid w:val="00A8069C"/>
    <w:rsid w:val="00A80DEC"/>
    <w:rsid w:val="00A80F16"/>
    <w:rsid w:val="00A818BC"/>
    <w:rsid w:val="00A818C7"/>
    <w:rsid w:val="00A82C8B"/>
    <w:rsid w:val="00A834FD"/>
    <w:rsid w:val="00A844D0"/>
    <w:rsid w:val="00A90D95"/>
    <w:rsid w:val="00A90E1C"/>
    <w:rsid w:val="00A92A25"/>
    <w:rsid w:val="00A954B6"/>
    <w:rsid w:val="00A959DF"/>
    <w:rsid w:val="00A97B8D"/>
    <w:rsid w:val="00AA0FEF"/>
    <w:rsid w:val="00AA2182"/>
    <w:rsid w:val="00AA22EF"/>
    <w:rsid w:val="00AA33C9"/>
    <w:rsid w:val="00AA56AA"/>
    <w:rsid w:val="00AA5E12"/>
    <w:rsid w:val="00AA78AE"/>
    <w:rsid w:val="00AB0B57"/>
    <w:rsid w:val="00AB1142"/>
    <w:rsid w:val="00AB2A94"/>
    <w:rsid w:val="00AB4552"/>
    <w:rsid w:val="00AB466D"/>
    <w:rsid w:val="00AB4CD3"/>
    <w:rsid w:val="00AB5AB4"/>
    <w:rsid w:val="00AC0910"/>
    <w:rsid w:val="00AC1D1F"/>
    <w:rsid w:val="00AC33DF"/>
    <w:rsid w:val="00AC4434"/>
    <w:rsid w:val="00AC448C"/>
    <w:rsid w:val="00AC513E"/>
    <w:rsid w:val="00AC58D1"/>
    <w:rsid w:val="00AC6B44"/>
    <w:rsid w:val="00AC6FA8"/>
    <w:rsid w:val="00AD0BB8"/>
    <w:rsid w:val="00AD7887"/>
    <w:rsid w:val="00AE00DD"/>
    <w:rsid w:val="00AE3644"/>
    <w:rsid w:val="00AE4DB7"/>
    <w:rsid w:val="00AE6047"/>
    <w:rsid w:val="00AF0404"/>
    <w:rsid w:val="00AF1D25"/>
    <w:rsid w:val="00AF2AE4"/>
    <w:rsid w:val="00AF39E7"/>
    <w:rsid w:val="00AF3DA4"/>
    <w:rsid w:val="00AF415A"/>
    <w:rsid w:val="00AF63D0"/>
    <w:rsid w:val="00B016AC"/>
    <w:rsid w:val="00B02772"/>
    <w:rsid w:val="00B027F4"/>
    <w:rsid w:val="00B05574"/>
    <w:rsid w:val="00B062EC"/>
    <w:rsid w:val="00B12610"/>
    <w:rsid w:val="00B12635"/>
    <w:rsid w:val="00B17729"/>
    <w:rsid w:val="00B210E1"/>
    <w:rsid w:val="00B216C1"/>
    <w:rsid w:val="00B2280E"/>
    <w:rsid w:val="00B22BB7"/>
    <w:rsid w:val="00B230CB"/>
    <w:rsid w:val="00B23B53"/>
    <w:rsid w:val="00B2459F"/>
    <w:rsid w:val="00B24E98"/>
    <w:rsid w:val="00B26D61"/>
    <w:rsid w:val="00B2733B"/>
    <w:rsid w:val="00B27D1D"/>
    <w:rsid w:val="00B3035E"/>
    <w:rsid w:val="00B33817"/>
    <w:rsid w:val="00B35F0D"/>
    <w:rsid w:val="00B371D2"/>
    <w:rsid w:val="00B42744"/>
    <w:rsid w:val="00B43061"/>
    <w:rsid w:val="00B44490"/>
    <w:rsid w:val="00B45969"/>
    <w:rsid w:val="00B51CB3"/>
    <w:rsid w:val="00B5303A"/>
    <w:rsid w:val="00B54182"/>
    <w:rsid w:val="00B54325"/>
    <w:rsid w:val="00B566C6"/>
    <w:rsid w:val="00B56752"/>
    <w:rsid w:val="00B6005C"/>
    <w:rsid w:val="00B6065C"/>
    <w:rsid w:val="00B61F7B"/>
    <w:rsid w:val="00B63808"/>
    <w:rsid w:val="00B65413"/>
    <w:rsid w:val="00B70D67"/>
    <w:rsid w:val="00B70FA9"/>
    <w:rsid w:val="00B7145E"/>
    <w:rsid w:val="00B71834"/>
    <w:rsid w:val="00B7446F"/>
    <w:rsid w:val="00B75542"/>
    <w:rsid w:val="00B75A46"/>
    <w:rsid w:val="00B80C8C"/>
    <w:rsid w:val="00B8190C"/>
    <w:rsid w:val="00B81C3E"/>
    <w:rsid w:val="00B820F5"/>
    <w:rsid w:val="00B823F2"/>
    <w:rsid w:val="00B83935"/>
    <w:rsid w:val="00B85E24"/>
    <w:rsid w:val="00B87B74"/>
    <w:rsid w:val="00B909D9"/>
    <w:rsid w:val="00B91F61"/>
    <w:rsid w:val="00B93FC0"/>
    <w:rsid w:val="00B944AE"/>
    <w:rsid w:val="00B95FE7"/>
    <w:rsid w:val="00B9616A"/>
    <w:rsid w:val="00BA0A8C"/>
    <w:rsid w:val="00BA0A94"/>
    <w:rsid w:val="00BA234F"/>
    <w:rsid w:val="00BA4EDA"/>
    <w:rsid w:val="00BA4F60"/>
    <w:rsid w:val="00BA5009"/>
    <w:rsid w:val="00BA6705"/>
    <w:rsid w:val="00BA751C"/>
    <w:rsid w:val="00BA77B6"/>
    <w:rsid w:val="00BB127E"/>
    <w:rsid w:val="00BB1F82"/>
    <w:rsid w:val="00BB22CD"/>
    <w:rsid w:val="00BB25A1"/>
    <w:rsid w:val="00BB3299"/>
    <w:rsid w:val="00BB32A6"/>
    <w:rsid w:val="00BC04D3"/>
    <w:rsid w:val="00BC08D2"/>
    <w:rsid w:val="00BC140B"/>
    <w:rsid w:val="00BC1721"/>
    <w:rsid w:val="00BC1D56"/>
    <w:rsid w:val="00BC3B20"/>
    <w:rsid w:val="00BC5183"/>
    <w:rsid w:val="00BD0D8B"/>
    <w:rsid w:val="00BD1896"/>
    <w:rsid w:val="00BD2281"/>
    <w:rsid w:val="00BD267E"/>
    <w:rsid w:val="00BD42F2"/>
    <w:rsid w:val="00BD4E91"/>
    <w:rsid w:val="00BD599B"/>
    <w:rsid w:val="00BD60C0"/>
    <w:rsid w:val="00BD65BE"/>
    <w:rsid w:val="00BD6CC5"/>
    <w:rsid w:val="00BD7C4E"/>
    <w:rsid w:val="00BE1D00"/>
    <w:rsid w:val="00BE2065"/>
    <w:rsid w:val="00BE2319"/>
    <w:rsid w:val="00BE3D50"/>
    <w:rsid w:val="00BE49E1"/>
    <w:rsid w:val="00BF069C"/>
    <w:rsid w:val="00BF189E"/>
    <w:rsid w:val="00BF18F4"/>
    <w:rsid w:val="00BF6F40"/>
    <w:rsid w:val="00BF7C04"/>
    <w:rsid w:val="00C00E0A"/>
    <w:rsid w:val="00C019B7"/>
    <w:rsid w:val="00C057BC"/>
    <w:rsid w:val="00C06097"/>
    <w:rsid w:val="00C0679A"/>
    <w:rsid w:val="00C11388"/>
    <w:rsid w:val="00C14890"/>
    <w:rsid w:val="00C159CF"/>
    <w:rsid w:val="00C1738D"/>
    <w:rsid w:val="00C174AE"/>
    <w:rsid w:val="00C21F3E"/>
    <w:rsid w:val="00C23DD0"/>
    <w:rsid w:val="00C278D1"/>
    <w:rsid w:val="00C27E07"/>
    <w:rsid w:val="00C322EF"/>
    <w:rsid w:val="00C32CEA"/>
    <w:rsid w:val="00C3389F"/>
    <w:rsid w:val="00C3436A"/>
    <w:rsid w:val="00C35091"/>
    <w:rsid w:val="00C35C82"/>
    <w:rsid w:val="00C361DF"/>
    <w:rsid w:val="00C37846"/>
    <w:rsid w:val="00C40904"/>
    <w:rsid w:val="00C40BB2"/>
    <w:rsid w:val="00C43FE6"/>
    <w:rsid w:val="00C45252"/>
    <w:rsid w:val="00C45646"/>
    <w:rsid w:val="00C462C7"/>
    <w:rsid w:val="00C50317"/>
    <w:rsid w:val="00C50992"/>
    <w:rsid w:val="00C533F9"/>
    <w:rsid w:val="00C55DD2"/>
    <w:rsid w:val="00C57CF8"/>
    <w:rsid w:val="00C57D56"/>
    <w:rsid w:val="00C60005"/>
    <w:rsid w:val="00C621FB"/>
    <w:rsid w:val="00C6270C"/>
    <w:rsid w:val="00C63172"/>
    <w:rsid w:val="00C6606D"/>
    <w:rsid w:val="00C6649E"/>
    <w:rsid w:val="00C668E8"/>
    <w:rsid w:val="00C67DE9"/>
    <w:rsid w:val="00C719E2"/>
    <w:rsid w:val="00C722B8"/>
    <w:rsid w:val="00C7327F"/>
    <w:rsid w:val="00C73634"/>
    <w:rsid w:val="00C73F1A"/>
    <w:rsid w:val="00C751CD"/>
    <w:rsid w:val="00C770D0"/>
    <w:rsid w:val="00C778EC"/>
    <w:rsid w:val="00C816F0"/>
    <w:rsid w:val="00C81ECE"/>
    <w:rsid w:val="00C831F1"/>
    <w:rsid w:val="00C84155"/>
    <w:rsid w:val="00C8547D"/>
    <w:rsid w:val="00C86DB1"/>
    <w:rsid w:val="00C870A2"/>
    <w:rsid w:val="00C87DF3"/>
    <w:rsid w:val="00C90187"/>
    <w:rsid w:val="00C90B6C"/>
    <w:rsid w:val="00C91433"/>
    <w:rsid w:val="00C93B2B"/>
    <w:rsid w:val="00C94885"/>
    <w:rsid w:val="00C9591D"/>
    <w:rsid w:val="00C95B1E"/>
    <w:rsid w:val="00C963F0"/>
    <w:rsid w:val="00C96496"/>
    <w:rsid w:val="00C97AAA"/>
    <w:rsid w:val="00C97B6C"/>
    <w:rsid w:val="00C97E8B"/>
    <w:rsid w:val="00CA0176"/>
    <w:rsid w:val="00CA1CEB"/>
    <w:rsid w:val="00CA1DF2"/>
    <w:rsid w:val="00CA3F4B"/>
    <w:rsid w:val="00CA462A"/>
    <w:rsid w:val="00CA5A00"/>
    <w:rsid w:val="00CA5DC1"/>
    <w:rsid w:val="00CA6C66"/>
    <w:rsid w:val="00CA7A60"/>
    <w:rsid w:val="00CB20C3"/>
    <w:rsid w:val="00CB41C1"/>
    <w:rsid w:val="00CB539D"/>
    <w:rsid w:val="00CB545E"/>
    <w:rsid w:val="00CC0E79"/>
    <w:rsid w:val="00CC1F5A"/>
    <w:rsid w:val="00CC2624"/>
    <w:rsid w:val="00CC2A7D"/>
    <w:rsid w:val="00CC6BDA"/>
    <w:rsid w:val="00CC6CB6"/>
    <w:rsid w:val="00CD0101"/>
    <w:rsid w:val="00CD0ED5"/>
    <w:rsid w:val="00CD395F"/>
    <w:rsid w:val="00CD425C"/>
    <w:rsid w:val="00CD4599"/>
    <w:rsid w:val="00CD722B"/>
    <w:rsid w:val="00CE072A"/>
    <w:rsid w:val="00CE0733"/>
    <w:rsid w:val="00CE08B4"/>
    <w:rsid w:val="00CE1259"/>
    <w:rsid w:val="00CE3C7B"/>
    <w:rsid w:val="00CE3DC4"/>
    <w:rsid w:val="00CE59CA"/>
    <w:rsid w:val="00CE71A2"/>
    <w:rsid w:val="00CF0B3F"/>
    <w:rsid w:val="00CF1009"/>
    <w:rsid w:val="00CF14B9"/>
    <w:rsid w:val="00CF18B0"/>
    <w:rsid w:val="00CF1FF8"/>
    <w:rsid w:val="00CF324A"/>
    <w:rsid w:val="00CF4520"/>
    <w:rsid w:val="00CF4DD2"/>
    <w:rsid w:val="00CF50F0"/>
    <w:rsid w:val="00CF780C"/>
    <w:rsid w:val="00D02902"/>
    <w:rsid w:val="00D041FC"/>
    <w:rsid w:val="00D0486A"/>
    <w:rsid w:val="00D07554"/>
    <w:rsid w:val="00D07A64"/>
    <w:rsid w:val="00D10B87"/>
    <w:rsid w:val="00D11EEB"/>
    <w:rsid w:val="00D14840"/>
    <w:rsid w:val="00D14990"/>
    <w:rsid w:val="00D16005"/>
    <w:rsid w:val="00D16D40"/>
    <w:rsid w:val="00D2063D"/>
    <w:rsid w:val="00D20F53"/>
    <w:rsid w:val="00D2504B"/>
    <w:rsid w:val="00D265DD"/>
    <w:rsid w:val="00D31375"/>
    <w:rsid w:val="00D323FA"/>
    <w:rsid w:val="00D343C7"/>
    <w:rsid w:val="00D35575"/>
    <w:rsid w:val="00D36B60"/>
    <w:rsid w:val="00D4425C"/>
    <w:rsid w:val="00D44442"/>
    <w:rsid w:val="00D44A75"/>
    <w:rsid w:val="00D44EB9"/>
    <w:rsid w:val="00D45288"/>
    <w:rsid w:val="00D4557C"/>
    <w:rsid w:val="00D4728E"/>
    <w:rsid w:val="00D505A4"/>
    <w:rsid w:val="00D51DE7"/>
    <w:rsid w:val="00D5287D"/>
    <w:rsid w:val="00D54862"/>
    <w:rsid w:val="00D54DA7"/>
    <w:rsid w:val="00D5761B"/>
    <w:rsid w:val="00D60159"/>
    <w:rsid w:val="00D6018C"/>
    <w:rsid w:val="00D60469"/>
    <w:rsid w:val="00D60D00"/>
    <w:rsid w:val="00D629FE"/>
    <w:rsid w:val="00D641FA"/>
    <w:rsid w:val="00D672EB"/>
    <w:rsid w:val="00D701BA"/>
    <w:rsid w:val="00D725B6"/>
    <w:rsid w:val="00D7593E"/>
    <w:rsid w:val="00D80044"/>
    <w:rsid w:val="00D80137"/>
    <w:rsid w:val="00D81867"/>
    <w:rsid w:val="00D821F4"/>
    <w:rsid w:val="00D82ACE"/>
    <w:rsid w:val="00D83D56"/>
    <w:rsid w:val="00D86D58"/>
    <w:rsid w:val="00D87C3E"/>
    <w:rsid w:val="00D92A41"/>
    <w:rsid w:val="00D9326F"/>
    <w:rsid w:val="00D9465E"/>
    <w:rsid w:val="00D95286"/>
    <w:rsid w:val="00D968E6"/>
    <w:rsid w:val="00DA082A"/>
    <w:rsid w:val="00DA2195"/>
    <w:rsid w:val="00DA3C59"/>
    <w:rsid w:val="00DA4076"/>
    <w:rsid w:val="00DA5359"/>
    <w:rsid w:val="00DA6473"/>
    <w:rsid w:val="00DB2435"/>
    <w:rsid w:val="00DB30B3"/>
    <w:rsid w:val="00DB434F"/>
    <w:rsid w:val="00DB678B"/>
    <w:rsid w:val="00DC26E8"/>
    <w:rsid w:val="00DC283E"/>
    <w:rsid w:val="00DC34EE"/>
    <w:rsid w:val="00DC35DD"/>
    <w:rsid w:val="00DC3BBA"/>
    <w:rsid w:val="00DC3C0C"/>
    <w:rsid w:val="00DC47D3"/>
    <w:rsid w:val="00DC5094"/>
    <w:rsid w:val="00DD163C"/>
    <w:rsid w:val="00DD17B0"/>
    <w:rsid w:val="00DD1855"/>
    <w:rsid w:val="00DD29CB"/>
    <w:rsid w:val="00DD30CC"/>
    <w:rsid w:val="00DE0088"/>
    <w:rsid w:val="00DE03CC"/>
    <w:rsid w:val="00DE2126"/>
    <w:rsid w:val="00DE2B19"/>
    <w:rsid w:val="00DE35AC"/>
    <w:rsid w:val="00DE521C"/>
    <w:rsid w:val="00DE59A9"/>
    <w:rsid w:val="00DE6B0F"/>
    <w:rsid w:val="00DE77EA"/>
    <w:rsid w:val="00DE7CB0"/>
    <w:rsid w:val="00DE7DF3"/>
    <w:rsid w:val="00DF0404"/>
    <w:rsid w:val="00DF16CB"/>
    <w:rsid w:val="00DF1B64"/>
    <w:rsid w:val="00DF2999"/>
    <w:rsid w:val="00DF41A2"/>
    <w:rsid w:val="00DF42AA"/>
    <w:rsid w:val="00DF6608"/>
    <w:rsid w:val="00DF676A"/>
    <w:rsid w:val="00DF73BE"/>
    <w:rsid w:val="00E00033"/>
    <w:rsid w:val="00E01A13"/>
    <w:rsid w:val="00E046DE"/>
    <w:rsid w:val="00E04BF4"/>
    <w:rsid w:val="00E11B62"/>
    <w:rsid w:val="00E13469"/>
    <w:rsid w:val="00E14B37"/>
    <w:rsid w:val="00E15081"/>
    <w:rsid w:val="00E150BD"/>
    <w:rsid w:val="00E16269"/>
    <w:rsid w:val="00E20963"/>
    <w:rsid w:val="00E2145B"/>
    <w:rsid w:val="00E21D29"/>
    <w:rsid w:val="00E22065"/>
    <w:rsid w:val="00E2294D"/>
    <w:rsid w:val="00E24861"/>
    <w:rsid w:val="00E254B8"/>
    <w:rsid w:val="00E272BA"/>
    <w:rsid w:val="00E275FE"/>
    <w:rsid w:val="00E27E98"/>
    <w:rsid w:val="00E27F7B"/>
    <w:rsid w:val="00E305D2"/>
    <w:rsid w:val="00E3090A"/>
    <w:rsid w:val="00E43DA8"/>
    <w:rsid w:val="00E52AA2"/>
    <w:rsid w:val="00E5312C"/>
    <w:rsid w:val="00E53861"/>
    <w:rsid w:val="00E54EC7"/>
    <w:rsid w:val="00E62DE5"/>
    <w:rsid w:val="00E63E38"/>
    <w:rsid w:val="00E648E4"/>
    <w:rsid w:val="00E64F39"/>
    <w:rsid w:val="00E65825"/>
    <w:rsid w:val="00E6740E"/>
    <w:rsid w:val="00E704DE"/>
    <w:rsid w:val="00E70823"/>
    <w:rsid w:val="00E727D2"/>
    <w:rsid w:val="00E73253"/>
    <w:rsid w:val="00E73B77"/>
    <w:rsid w:val="00E753B4"/>
    <w:rsid w:val="00E75EC8"/>
    <w:rsid w:val="00E769A5"/>
    <w:rsid w:val="00E7712D"/>
    <w:rsid w:val="00E81A4B"/>
    <w:rsid w:val="00E81E34"/>
    <w:rsid w:val="00E821B0"/>
    <w:rsid w:val="00E826F0"/>
    <w:rsid w:val="00E828B2"/>
    <w:rsid w:val="00E829BC"/>
    <w:rsid w:val="00E832AB"/>
    <w:rsid w:val="00E903BC"/>
    <w:rsid w:val="00E90D02"/>
    <w:rsid w:val="00E929DE"/>
    <w:rsid w:val="00E93BE5"/>
    <w:rsid w:val="00E95BFE"/>
    <w:rsid w:val="00EA0266"/>
    <w:rsid w:val="00EA04B8"/>
    <w:rsid w:val="00EA05DC"/>
    <w:rsid w:val="00EA1662"/>
    <w:rsid w:val="00EA1845"/>
    <w:rsid w:val="00EA204C"/>
    <w:rsid w:val="00EA2681"/>
    <w:rsid w:val="00EA3700"/>
    <w:rsid w:val="00EA3B42"/>
    <w:rsid w:val="00EA3C65"/>
    <w:rsid w:val="00EB00D9"/>
    <w:rsid w:val="00EB1508"/>
    <w:rsid w:val="00EB356F"/>
    <w:rsid w:val="00EB39C1"/>
    <w:rsid w:val="00EB4376"/>
    <w:rsid w:val="00EB48CA"/>
    <w:rsid w:val="00EB6736"/>
    <w:rsid w:val="00EB7B79"/>
    <w:rsid w:val="00EB7ED6"/>
    <w:rsid w:val="00EC0DE3"/>
    <w:rsid w:val="00EC18B4"/>
    <w:rsid w:val="00EC214B"/>
    <w:rsid w:val="00EC4381"/>
    <w:rsid w:val="00EC490B"/>
    <w:rsid w:val="00EC5D64"/>
    <w:rsid w:val="00EC6258"/>
    <w:rsid w:val="00EC7FC5"/>
    <w:rsid w:val="00ED01D9"/>
    <w:rsid w:val="00ED39A8"/>
    <w:rsid w:val="00EE37AB"/>
    <w:rsid w:val="00EE3987"/>
    <w:rsid w:val="00EE40C4"/>
    <w:rsid w:val="00EE47E1"/>
    <w:rsid w:val="00EE5316"/>
    <w:rsid w:val="00EE57D6"/>
    <w:rsid w:val="00EE5C86"/>
    <w:rsid w:val="00EF2F61"/>
    <w:rsid w:val="00EF4F67"/>
    <w:rsid w:val="00EF504E"/>
    <w:rsid w:val="00EF52BD"/>
    <w:rsid w:val="00EF579A"/>
    <w:rsid w:val="00EF6CD8"/>
    <w:rsid w:val="00F02D91"/>
    <w:rsid w:val="00F040E7"/>
    <w:rsid w:val="00F04959"/>
    <w:rsid w:val="00F05A7B"/>
    <w:rsid w:val="00F05BBF"/>
    <w:rsid w:val="00F07608"/>
    <w:rsid w:val="00F077CB"/>
    <w:rsid w:val="00F129F6"/>
    <w:rsid w:val="00F14D34"/>
    <w:rsid w:val="00F16BBB"/>
    <w:rsid w:val="00F16E29"/>
    <w:rsid w:val="00F16F32"/>
    <w:rsid w:val="00F20EAE"/>
    <w:rsid w:val="00F217F5"/>
    <w:rsid w:val="00F21DFA"/>
    <w:rsid w:val="00F220DE"/>
    <w:rsid w:val="00F22D16"/>
    <w:rsid w:val="00F235C3"/>
    <w:rsid w:val="00F23EE2"/>
    <w:rsid w:val="00F2484F"/>
    <w:rsid w:val="00F24B5D"/>
    <w:rsid w:val="00F30023"/>
    <w:rsid w:val="00F30CC1"/>
    <w:rsid w:val="00F30D8D"/>
    <w:rsid w:val="00F31437"/>
    <w:rsid w:val="00F31B74"/>
    <w:rsid w:val="00F3289E"/>
    <w:rsid w:val="00F32A42"/>
    <w:rsid w:val="00F331B3"/>
    <w:rsid w:val="00F344AA"/>
    <w:rsid w:val="00F34F02"/>
    <w:rsid w:val="00F34F24"/>
    <w:rsid w:val="00F35BE5"/>
    <w:rsid w:val="00F365B6"/>
    <w:rsid w:val="00F36634"/>
    <w:rsid w:val="00F41367"/>
    <w:rsid w:val="00F42619"/>
    <w:rsid w:val="00F429D1"/>
    <w:rsid w:val="00F42AB1"/>
    <w:rsid w:val="00F438C4"/>
    <w:rsid w:val="00F43D9A"/>
    <w:rsid w:val="00F446D8"/>
    <w:rsid w:val="00F45522"/>
    <w:rsid w:val="00F46390"/>
    <w:rsid w:val="00F52257"/>
    <w:rsid w:val="00F535D8"/>
    <w:rsid w:val="00F54F16"/>
    <w:rsid w:val="00F574C1"/>
    <w:rsid w:val="00F6243C"/>
    <w:rsid w:val="00F6319C"/>
    <w:rsid w:val="00F63E8B"/>
    <w:rsid w:val="00F64FA1"/>
    <w:rsid w:val="00F66B81"/>
    <w:rsid w:val="00F67B03"/>
    <w:rsid w:val="00F7286B"/>
    <w:rsid w:val="00F736C8"/>
    <w:rsid w:val="00F76502"/>
    <w:rsid w:val="00F816E7"/>
    <w:rsid w:val="00F819F3"/>
    <w:rsid w:val="00F81B3E"/>
    <w:rsid w:val="00F820FE"/>
    <w:rsid w:val="00F823D6"/>
    <w:rsid w:val="00F83514"/>
    <w:rsid w:val="00F84BA7"/>
    <w:rsid w:val="00F860BF"/>
    <w:rsid w:val="00F87933"/>
    <w:rsid w:val="00F90C18"/>
    <w:rsid w:val="00F9110C"/>
    <w:rsid w:val="00F91F55"/>
    <w:rsid w:val="00F9339A"/>
    <w:rsid w:val="00F96CFF"/>
    <w:rsid w:val="00F97375"/>
    <w:rsid w:val="00F97935"/>
    <w:rsid w:val="00FA0A50"/>
    <w:rsid w:val="00FA2049"/>
    <w:rsid w:val="00FA348A"/>
    <w:rsid w:val="00FA5530"/>
    <w:rsid w:val="00FA6F19"/>
    <w:rsid w:val="00FA6F72"/>
    <w:rsid w:val="00FA7664"/>
    <w:rsid w:val="00FB029E"/>
    <w:rsid w:val="00FB0DC0"/>
    <w:rsid w:val="00FB1045"/>
    <w:rsid w:val="00FB17A6"/>
    <w:rsid w:val="00FB37C8"/>
    <w:rsid w:val="00FB39D9"/>
    <w:rsid w:val="00FB39F3"/>
    <w:rsid w:val="00FB432B"/>
    <w:rsid w:val="00FB4D21"/>
    <w:rsid w:val="00FB5227"/>
    <w:rsid w:val="00FB6EE8"/>
    <w:rsid w:val="00FC0FF6"/>
    <w:rsid w:val="00FC16D4"/>
    <w:rsid w:val="00FC1A21"/>
    <w:rsid w:val="00FC2D47"/>
    <w:rsid w:val="00FC41C9"/>
    <w:rsid w:val="00FC4A3F"/>
    <w:rsid w:val="00FC4D4D"/>
    <w:rsid w:val="00FD3B17"/>
    <w:rsid w:val="00FD3CA2"/>
    <w:rsid w:val="00FD40C5"/>
    <w:rsid w:val="00FD6D53"/>
    <w:rsid w:val="00FE25DD"/>
    <w:rsid w:val="00FE41B7"/>
    <w:rsid w:val="00FE5E19"/>
    <w:rsid w:val="00FF33CE"/>
    <w:rsid w:val="00FF383C"/>
    <w:rsid w:val="00FF548E"/>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9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95775"/>
    <w:pPr>
      <w:keepNext/>
      <w:pBdr>
        <w:bottom w:val="single" w:sz="4" w:space="1" w:color="auto"/>
      </w:pBdr>
      <w:tabs>
        <w:tab w:val="left" w:pos="1152"/>
      </w:tabs>
      <w:spacing w:before="120" w:after="240"/>
      <w:ind w:left="1152" w:hanging="1152"/>
      <w:jc w:val="both"/>
      <w:outlineLvl w:val="0"/>
    </w:pPr>
    <w:rPr>
      <w:rFonts w:ascii="Arial" w:hAnsi="Arial" w:cs="Cambria"/>
      <w:b/>
      <w:bCs/>
      <w:kern w:val="32"/>
      <w:sz w:val="28"/>
      <w:szCs w:val="32"/>
    </w:rPr>
  </w:style>
  <w:style w:type="paragraph" w:styleId="Heading2">
    <w:name w:val="heading 2"/>
    <w:basedOn w:val="Normal"/>
    <w:next w:val="Normal"/>
    <w:link w:val="Heading2Char"/>
    <w:qFormat/>
    <w:rsid w:val="00EF504E"/>
    <w:pPr>
      <w:keepNext/>
      <w:spacing w:before="360" w:after="120"/>
      <w:outlineLvl w:val="1"/>
    </w:pPr>
    <w:rPr>
      <w:rFonts w:ascii="Arial" w:hAnsi="Arial" w:cs="Cambria"/>
      <w:b/>
      <w:bCs/>
      <w:iCs/>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775"/>
    <w:rPr>
      <w:rFonts w:ascii="Arial" w:hAnsi="Arial" w:cs="Cambria"/>
      <w:b/>
      <w:bCs/>
      <w:kern w:val="32"/>
      <w:sz w:val="28"/>
      <w:szCs w:val="32"/>
    </w:rPr>
  </w:style>
  <w:style w:type="character" w:customStyle="1" w:styleId="Heading2Char">
    <w:name w:val="Heading 2 Char"/>
    <w:link w:val="Heading2"/>
    <w:rsid w:val="00EF504E"/>
    <w:rPr>
      <w:rFonts w:ascii="Arial" w:hAnsi="Arial" w:cs="Cambria"/>
      <w:b/>
      <w:bCs/>
      <w:iCs/>
      <w:sz w:val="24"/>
      <w:szCs w:val="28"/>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aliases w:val="F1,ft,footnote text"/>
    <w:basedOn w:val="Normal"/>
    <w:link w:val="FootnoteTextChar"/>
    <w:uiPriority w:val="99"/>
    <w:qFormat/>
    <w:rsid w:val="00972DEF"/>
  </w:style>
  <w:style w:type="character" w:customStyle="1" w:styleId="FootnoteTextChar">
    <w:name w:val="Footnote Text Char"/>
    <w:aliases w:val="F1 Char,ft Char,footnote text Char"/>
    <w:link w:val="FootnoteText"/>
    <w:uiPriority w:val="99"/>
    <w:rsid w:val="00972DEF"/>
    <w:rPr>
      <w:sz w:val="24"/>
      <w:szCs w:val="24"/>
      <w:lang w:val="en-US" w:eastAsia="en-US" w:bidi="ar-SA"/>
    </w:rPr>
  </w:style>
  <w:style w:type="character" w:styleId="FootnoteReference">
    <w:name w:val="footnote reference"/>
    <w:aliases w:val="fr,footnote reference"/>
    <w:uiPriority w:val="99"/>
    <w:qFormat/>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uiPriority w:val="99"/>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FF548E"/>
    <w:pPr>
      <w:tabs>
        <w:tab w:val="right" w:leader="dot" w:pos="9350"/>
      </w:tabs>
      <w:spacing w:before="120" w:after="120"/>
    </w:pPr>
    <w:rPr>
      <w:rFonts w:asciiTheme="minorHAnsi" w:hAnsiTheme="minorHAnsi"/>
      <w:b/>
      <w:bCs/>
      <w:caps/>
      <w:noProof/>
      <w:sz w:val="20"/>
      <w:szCs w:val="20"/>
    </w:rPr>
  </w:style>
  <w:style w:type="paragraph" w:styleId="TOC2">
    <w:name w:val="toc 2"/>
    <w:basedOn w:val="Normal"/>
    <w:autoRedefine/>
    <w:uiPriority w:val="39"/>
    <w:rsid w:val="00972DEF"/>
    <w:pPr>
      <w:ind w:left="240"/>
    </w:pPr>
    <w:rPr>
      <w:rFonts w:asciiTheme="minorHAnsi" w:hAnsiTheme="minorHAnsi"/>
      <w:smallCaps/>
      <w:sz w:val="20"/>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coverdate">
    <w:name w:val="cover date"/>
    <w:qFormat/>
    <w:rsid w:val="00395775"/>
    <w:pPr>
      <w:spacing w:line="440" w:lineRule="exact"/>
    </w:pPr>
    <w:rPr>
      <w:rFonts w:ascii="Arial" w:hAnsi="Arial"/>
      <w:sz w:val="34"/>
      <w:szCs w:val="26"/>
    </w:rPr>
  </w:style>
  <w:style w:type="paragraph" w:styleId="TOCHeading">
    <w:name w:val="TOC Heading"/>
    <w:basedOn w:val="Heading1"/>
    <w:next w:val="Normal"/>
    <w:uiPriority w:val="39"/>
    <w:unhideWhenUsed/>
    <w:qFormat/>
    <w:rsid w:val="00395775"/>
    <w:pPr>
      <w:keepLines/>
      <w:tabs>
        <w:tab w:val="clear" w:pos="1152"/>
      </w:tabs>
      <w:spacing w:before="240" w:after="0" w:line="259" w:lineRule="auto"/>
      <w:ind w:left="0" w:firstLine="0"/>
      <w:jc w:val="left"/>
      <w:outlineLvl w:val="9"/>
    </w:pPr>
    <w:rPr>
      <w:rFonts w:eastAsiaTheme="majorEastAsia" w:cstheme="majorBidi"/>
      <w:bCs w:val="0"/>
      <w:kern w:val="0"/>
    </w:rPr>
  </w:style>
  <w:style w:type="paragraph" w:styleId="BodyText">
    <w:name w:val="Body Text"/>
    <w:basedOn w:val="Normal"/>
    <w:link w:val="BodyTextChar"/>
    <w:unhideWhenUsed/>
    <w:rsid w:val="00FE25DD"/>
    <w:pPr>
      <w:spacing w:after="120"/>
    </w:pPr>
  </w:style>
  <w:style w:type="character" w:customStyle="1" w:styleId="BodyTextChar">
    <w:name w:val="Body Text Char"/>
    <w:basedOn w:val="DefaultParagraphFont"/>
    <w:link w:val="BodyText"/>
    <w:rsid w:val="00FE25DD"/>
    <w:rPr>
      <w:sz w:val="24"/>
      <w:szCs w:val="24"/>
    </w:rPr>
  </w:style>
  <w:style w:type="paragraph" w:customStyle="1" w:styleId="NORCCaption-Exhibit">
    <w:name w:val="NORC Caption - Exhibit"/>
    <w:basedOn w:val="Normal"/>
    <w:qFormat/>
    <w:rsid w:val="00F05A7B"/>
    <w:pPr>
      <w:keepNext/>
      <w:keepLines/>
      <w:tabs>
        <w:tab w:val="left" w:pos="1224"/>
      </w:tabs>
      <w:spacing w:before="240" w:after="120"/>
    </w:pPr>
    <w:rPr>
      <w:rFonts w:ascii="Arial" w:hAnsi="Arial" w:cs="Arial"/>
      <w:color w:val="000000" w:themeColor="text1"/>
      <w:sz w:val="22"/>
    </w:rPr>
  </w:style>
  <w:style w:type="character" w:customStyle="1" w:styleId="NORCCaption-Color">
    <w:name w:val="NORC Caption - Color"/>
    <w:qFormat/>
    <w:rsid w:val="00F05A7B"/>
    <w:rPr>
      <w:rFonts w:ascii="Arial" w:hAnsi="Arial"/>
      <w:b/>
      <w:color w:val="auto"/>
      <w:sz w:val="22"/>
      <w:bdr w:val="none" w:sz="0" w:space="0" w:color="auto"/>
    </w:rPr>
  </w:style>
  <w:style w:type="paragraph" w:customStyle="1" w:styleId="NORCTableBodyLeftArial">
    <w:name w:val="NORC Table Body Left (Arial)"/>
    <w:basedOn w:val="Normal"/>
    <w:qFormat/>
    <w:rsid w:val="00F05A7B"/>
    <w:pPr>
      <w:tabs>
        <w:tab w:val="left" w:pos="144"/>
      </w:tabs>
      <w:spacing w:before="20" w:after="20"/>
    </w:pPr>
    <w:rPr>
      <w:rFonts w:ascii="Arial Narrow" w:hAnsi="Arial Narrow"/>
      <w:color w:val="000000"/>
      <w:sz w:val="20"/>
    </w:rPr>
  </w:style>
  <w:style w:type="table" w:customStyle="1" w:styleId="PlainTable1">
    <w:name w:val="Plain Table 1"/>
    <w:basedOn w:val="TableNormal"/>
    <w:uiPriority w:val="41"/>
    <w:rsid w:val="00F05A7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aliases w:val="NASHP Table Grid"/>
    <w:basedOn w:val="TableNormal"/>
    <w:uiPriority w:val="59"/>
    <w:rsid w:val="00D4425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SubheadArial-Black">
    <w:name w:val="NORC Table Subhead Arial - Black"/>
    <w:basedOn w:val="Normal"/>
    <w:qFormat/>
    <w:rsid w:val="00D4425C"/>
    <w:pPr>
      <w:keepNext/>
      <w:spacing w:before="40" w:after="40"/>
      <w:jc w:val="center"/>
    </w:pPr>
    <w:rPr>
      <w:rFonts w:ascii="Arial Narrow" w:hAnsi="Arial Narrow"/>
      <w:b/>
      <w:bCs/>
      <w:sz w:val="20"/>
      <w:szCs w:val="22"/>
    </w:rPr>
  </w:style>
  <w:style w:type="paragraph" w:customStyle="1" w:styleId="NORCTableBodyCenterArial">
    <w:name w:val="NORC Table Body Center (Arial)"/>
    <w:basedOn w:val="Normal"/>
    <w:qFormat/>
    <w:rsid w:val="00FA0A50"/>
    <w:pPr>
      <w:tabs>
        <w:tab w:val="left" w:pos="144"/>
      </w:tabs>
      <w:spacing w:before="20" w:after="20"/>
      <w:jc w:val="center"/>
    </w:pPr>
    <w:rPr>
      <w:rFonts w:ascii="Arial" w:hAnsi="Arial"/>
      <w:color w:val="000000"/>
      <w:sz w:val="18"/>
      <w:szCs w:val="20"/>
    </w:rPr>
  </w:style>
  <w:style w:type="paragraph" w:customStyle="1" w:styleId="NORCTableHeadArial-Black">
    <w:name w:val="NORC Table Head Arial - Black"/>
    <w:basedOn w:val="Normal"/>
    <w:qFormat/>
    <w:rsid w:val="00FA0A50"/>
    <w:pPr>
      <w:keepNext/>
      <w:spacing w:before="40" w:after="40"/>
      <w:jc w:val="center"/>
    </w:pPr>
    <w:rPr>
      <w:rFonts w:ascii="Arial" w:hAnsi="Arial"/>
      <w:b/>
      <w:bCs/>
      <w:sz w:val="20"/>
      <w:szCs w:val="22"/>
    </w:rPr>
  </w:style>
  <w:style w:type="paragraph" w:styleId="TOC3">
    <w:name w:val="toc 3"/>
    <w:basedOn w:val="Normal"/>
    <w:next w:val="Normal"/>
    <w:autoRedefine/>
    <w:unhideWhenUsed/>
    <w:rsid w:val="00B210E1"/>
    <w:pPr>
      <w:ind w:left="480"/>
    </w:pPr>
    <w:rPr>
      <w:rFonts w:asciiTheme="minorHAnsi" w:hAnsiTheme="minorHAnsi"/>
      <w:i/>
      <w:iCs/>
      <w:sz w:val="20"/>
      <w:szCs w:val="20"/>
    </w:rPr>
  </w:style>
  <w:style w:type="paragraph" w:styleId="TOC4">
    <w:name w:val="toc 4"/>
    <w:basedOn w:val="Normal"/>
    <w:next w:val="Normal"/>
    <w:autoRedefine/>
    <w:unhideWhenUsed/>
    <w:rsid w:val="00B210E1"/>
    <w:pPr>
      <w:ind w:left="720"/>
    </w:pPr>
    <w:rPr>
      <w:rFonts w:asciiTheme="minorHAnsi" w:hAnsiTheme="minorHAnsi"/>
      <w:sz w:val="18"/>
      <w:szCs w:val="18"/>
    </w:rPr>
  </w:style>
  <w:style w:type="paragraph" w:styleId="TOC6">
    <w:name w:val="toc 6"/>
    <w:basedOn w:val="Normal"/>
    <w:next w:val="Normal"/>
    <w:autoRedefine/>
    <w:unhideWhenUsed/>
    <w:rsid w:val="00B210E1"/>
    <w:pPr>
      <w:ind w:left="1200"/>
    </w:pPr>
    <w:rPr>
      <w:rFonts w:asciiTheme="minorHAnsi" w:hAnsiTheme="minorHAnsi"/>
      <w:sz w:val="18"/>
      <w:szCs w:val="18"/>
    </w:rPr>
  </w:style>
  <w:style w:type="paragraph" w:styleId="TOC7">
    <w:name w:val="toc 7"/>
    <w:basedOn w:val="Normal"/>
    <w:next w:val="Normal"/>
    <w:autoRedefine/>
    <w:unhideWhenUsed/>
    <w:rsid w:val="00B210E1"/>
    <w:pPr>
      <w:ind w:left="1440"/>
    </w:pPr>
    <w:rPr>
      <w:rFonts w:asciiTheme="minorHAnsi" w:hAnsiTheme="minorHAnsi"/>
      <w:sz w:val="18"/>
      <w:szCs w:val="18"/>
    </w:rPr>
  </w:style>
  <w:style w:type="paragraph" w:styleId="TOC8">
    <w:name w:val="toc 8"/>
    <w:basedOn w:val="Normal"/>
    <w:next w:val="Normal"/>
    <w:autoRedefine/>
    <w:unhideWhenUsed/>
    <w:rsid w:val="00B210E1"/>
    <w:pPr>
      <w:ind w:left="1680"/>
    </w:pPr>
    <w:rPr>
      <w:rFonts w:asciiTheme="minorHAnsi" w:hAnsiTheme="minorHAnsi"/>
      <w:sz w:val="18"/>
      <w:szCs w:val="18"/>
    </w:rPr>
  </w:style>
  <w:style w:type="paragraph" w:styleId="TOC9">
    <w:name w:val="toc 9"/>
    <w:basedOn w:val="Normal"/>
    <w:next w:val="Normal"/>
    <w:autoRedefine/>
    <w:unhideWhenUsed/>
    <w:rsid w:val="00B210E1"/>
    <w:pPr>
      <w:ind w:left="1920"/>
    </w:pPr>
    <w:rPr>
      <w:rFonts w:asciiTheme="minorHAnsi" w:hAnsiTheme="minorHAnsi"/>
      <w:sz w:val="18"/>
      <w:szCs w:val="18"/>
    </w:rPr>
  </w:style>
  <w:style w:type="character" w:customStyle="1" w:styleId="NORCInlineL1BlackBold">
    <w:name w:val="NORC Inline L1 (Black Bold)"/>
    <w:qFormat/>
    <w:rsid w:val="00AA2182"/>
    <w:rPr>
      <w:rFonts w:ascii="Garamond" w:hAnsi="Garamond"/>
      <w:b/>
      <w:bCs/>
      <w:sz w:val="24"/>
      <w:u w:val="none"/>
    </w:rPr>
  </w:style>
  <w:style w:type="paragraph" w:customStyle="1" w:styleId="NORCBody11ptTimes">
    <w:name w:val="NORC Body 11 pt Times"/>
    <w:basedOn w:val="Normal"/>
    <w:qFormat/>
    <w:rsid w:val="00AA2182"/>
    <w:pPr>
      <w:widowControl w:val="0"/>
      <w:spacing w:before="60" w:after="120" w:line="360" w:lineRule="auto"/>
      <w:ind w:firstLine="360"/>
    </w:pPr>
    <w:rPr>
      <w:rFonts w:cs="AGaramond-Regular"/>
      <w:color w:val="000000" w:themeColor="text1"/>
      <w:sz w:val="22"/>
      <w:szCs w:val="20"/>
    </w:rPr>
  </w:style>
  <w:style w:type="paragraph" w:customStyle="1" w:styleId="NormalSS">
    <w:name w:val="NormalSS"/>
    <w:basedOn w:val="Normal"/>
    <w:link w:val="NormalSSChar"/>
    <w:qFormat/>
    <w:rsid w:val="00DA2195"/>
    <w:pPr>
      <w:spacing w:after="240"/>
      <w:ind w:firstLine="432"/>
    </w:pPr>
    <w:rPr>
      <w:szCs w:val="20"/>
    </w:rPr>
  </w:style>
  <w:style w:type="character" w:customStyle="1" w:styleId="NormalSSChar">
    <w:name w:val="NormalSS Char"/>
    <w:link w:val="NormalSS"/>
    <w:locked/>
    <w:rsid w:val="00DA2195"/>
    <w:rPr>
      <w:sz w:val="24"/>
    </w:rPr>
  </w:style>
  <w:style w:type="paragraph" w:customStyle="1" w:styleId="Bullet">
    <w:name w:val="Bullet"/>
    <w:basedOn w:val="Normal"/>
    <w:qFormat/>
    <w:rsid w:val="008A202E"/>
    <w:pPr>
      <w:numPr>
        <w:numId w:val="10"/>
      </w:numPr>
      <w:tabs>
        <w:tab w:val="left" w:pos="432"/>
      </w:tabs>
      <w:spacing w:after="120"/>
      <w:ind w:left="432" w:hanging="432"/>
    </w:pPr>
    <w:rPr>
      <w:szCs w:val="20"/>
    </w:rPr>
  </w:style>
  <w:style w:type="paragraph" w:customStyle="1" w:styleId="NORCProposalBody12ptGaramond">
    <w:name w:val="NORC Proposal Body 12pt Garamond"/>
    <w:basedOn w:val="Normal"/>
    <w:qFormat/>
    <w:rsid w:val="00B75542"/>
    <w:pPr>
      <w:widowControl w:val="0"/>
      <w:tabs>
        <w:tab w:val="right" w:pos="9360"/>
      </w:tabs>
      <w:ind w:firstLine="360"/>
    </w:pPr>
    <w:rPr>
      <w:rFonts w:ascii="Garamond" w:hAnsi="Garamond" w:cs="AGaramond-Regular"/>
      <w:color w:val="000000" w:themeColor="text1"/>
      <w:szCs w:val="20"/>
    </w:rPr>
  </w:style>
  <w:style w:type="paragraph" w:customStyle="1" w:styleId="MarkforTableTitle">
    <w:name w:val="Mark for Table Title"/>
    <w:basedOn w:val="Normal"/>
    <w:next w:val="NormalSS"/>
    <w:qFormat/>
    <w:rsid w:val="00D92A41"/>
    <w:pPr>
      <w:keepNext/>
      <w:spacing w:after="60"/>
    </w:pPr>
    <w:rPr>
      <w:rFonts w:ascii="Arial Black" w:hAnsi="Arial Black"/>
      <w:sz w:val="22"/>
      <w:szCs w:val="20"/>
    </w:rPr>
  </w:style>
  <w:style w:type="paragraph" w:customStyle="1" w:styleId="TableHeaderCenter">
    <w:name w:val="Table Header Center"/>
    <w:basedOn w:val="Normal"/>
    <w:qFormat/>
    <w:rsid w:val="00D92A41"/>
    <w:pPr>
      <w:spacing w:before="120" w:after="60"/>
      <w:jc w:val="center"/>
    </w:pPr>
    <w:rPr>
      <w:rFonts w:ascii="Arial Black" w:hAnsi="Arial Black"/>
      <w:sz w:val="18"/>
      <w:szCs w:val="20"/>
    </w:rPr>
  </w:style>
  <w:style w:type="paragraph" w:customStyle="1" w:styleId="TableText">
    <w:name w:val="Table Text"/>
    <w:basedOn w:val="Normal"/>
    <w:qFormat/>
    <w:rsid w:val="00D92A41"/>
    <w:rPr>
      <w:rFonts w:ascii="Arial" w:hAnsi="Arial"/>
      <w:sz w:val="18"/>
      <w:szCs w:val="20"/>
    </w:rPr>
  </w:style>
  <w:style w:type="paragraph" w:styleId="EndnoteText">
    <w:name w:val="endnote text"/>
    <w:basedOn w:val="Normal"/>
    <w:link w:val="EndnoteTextChar"/>
    <w:uiPriority w:val="99"/>
    <w:unhideWhenUsed/>
    <w:rsid w:val="00EC0DE3"/>
    <w:rPr>
      <w:sz w:val="20"/>
      <w:szCs w:val="20"/>
    </w:rPr>
  </w:style>
  <w:style w:type="character" w:customStyle="1" w:styleId="EndnoteTextChar">
    <w:name w:val="Endnote Text Char"/>
    <w:basedOn w:val="DefaultParagraphFont"/>
    <w:link w:val="EndnoteText"/>
    <w:uiPriority w:val="99"/>
    <w:rsid w:val="00EC0DE3"/>
  </w:style>
  <w:style w:type="character" w:styleId="EndnoteReference">
    <w:name w:val="endnote reference"/>
    <w:basedOn w:val="DefaultParagraphFont"/>
    <w:uiPriority w:val="99"/>
    <w:semiHidden/>
    <w:unhideWhenUsed/>
    <w:rsid w:val="00EC0DE3"/>
    <w:rPr>
      <w:vertAlign w:val="superscript"/>
    </w:rPr>
  </w:style>
  <w:style w:type="character" w:customStyle="1" w:styleId="apple-converted-space">
    <w:name w:val="apple-converted-space"/>
    <w:basedOn w:val="DefaultParagraphFont"/>
    <w:rsid w:val="004B4E1A"/>
  </w:style>
  <w:style w:type="character" w:customStyle="1" w:styleId="ref-journal">
    <w:name w:val="ref-journal"/>
    <w:basedOn w:val="DefaultParagraphFont"/>
    <w:rsid w:val="004B4E1A"/>
  </w:style>
  <w:style w:type="character" w:customStyle="1" w:styleId="ref-vol">
    <w:name w:val="ref-vol"/>
    <w:basedOn w:val="DefaultParagraphFont"/>
    <w:rsid w:val="004B4E1A"/>
  </w:style>
  <w:style w:type="character" w:styleId="Emphasis">
    <w:name w:val="Emphasis"/>
    <w:basedOn w:val="DefaultParagraphFont"/>
    <w:uiPriority w:val="20"/>
    <w:qFormat/>
    <w:rsid w:val="00EC5D64"/>
    <w:rPr>
      <w:i/>
      <w:iCs/>
    </w:rPr>
  </w:style>
  <w:style w:type="table" w:customStyle="1" w:styleId="NASHPTableGrid1">
    <w:name w:val="NASHP Table Grid1"/>
    <w:basedOn w:val="TableNormal"/>
    <w:next w:val="TableGrid"/>
    <w:uiPriority w:val="39"/>
    <w:rsid w:val="002D367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EndnoteText"/>
    <w:link w:val="ReferencesChar"/>
    <w:qFormat/>
    <w:rsid w:val="00160FB2"/>
    <w:pPr>
      <w:spacing w:after="120"/>
      <w:ind w:left="360" w:hanging="360"/>
    </w:pPr>
    <w:rPr>
      <w:bCs/>
      <w:sz w:val="24"/>
      <w:szCs w:val="24"/>
    </w:rPr>
  </w:style>
  <w:style w:type="paragraph" w:customStyle="1" w:styleId="Style5">
    <w:name w:val="Style 5"/>
    <w:basedOn w:val="References"/>
    <w:link w:val="Style5Char"/>
    <w:qFormat/>
    <w:rsid w:val="00160FB2"/>
  </w:style>
  <w:style w:type="character" w:customStyle="1" w:styleId="ReferencesChar">
    <w:name w:val="References Char"/>
    <w:basedOn w:val="EndnoteTextChar"/>
    <w:link w:val="References"/>
    <w:rsid w:val="00160FB2"/>
    <w:rPr>
      <w:bCs/>
      <w:sz w:val="24"/>
      <w:szCs w:val="24"/>
    </w:rPr>
  </w:style>
  <w:style w:type="character" w:customStyle="1" w:styleId="Style5Char">
    <w:name w:val="Style 5 Char"/>
    <w:basedOn w:val="ReferencesChar"/>
    <w:link w:val="Style5"/>
    <w:rsid w:val="00160FB2"/>
    <w:rPr>
      <w:bCs/>
      <w:sz w:val="24"/>
      <w:szCs w:val="24"/>
    </w:rPr>
  </w:style>
  <w:style w:type="paragraph" w:customStyle="1" w:styleId="StyleArial14ptBoldBefore6ptAfter12ptBottomSi">
    <w:name w:val="Style Arial 14 pt Bold Before:  6 pt After:  12 pt Bottom: (Si..."/>
    <w:basedOn w:val="Normal"/>
    <w:rsid w:val="00B5303A"/>
    <w:pPr>
      <w:pBdr>
        <w:bottom w:val="single" w:sz="4" w:space="1" w:color="auto"/>
      </w:pBdr>
      <w:spacing w:before="120" w:after="120"/>
    </w:pPr>
    <w:rPr>
      <w:rFonts w:ascii="Arial" w:hAnsi="Arial"/>
      <w:b/>
      <w:bCs/>
      <w:sz w:val="28"/>
      <w:szCs w:val="20"/>
    </w:rPr>
  </w:style>
  <w:style w:type="paragraph" w:styleId="NoSpacing">
    <w:name w:val="No Spacing"/>
    <w:uiPriority w:val="1"/>
    <w:qFormat/>
    <w:rsid w:val="00FB029E"/>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95775"/>
    <w:pPr>
      <w:keepNext/>
      <w:pBdr>
        <w:bottom w:val="single" w:sz="4" w:space="1" w:color="auto"/>
      </w:pBdr>
      <w:tabs>
        <w:tab w:val="left" w:pos="1152"/>
      </w:tabs>
      <w:spacing w:before="120" w:after="240"/>
      <w:ind w:left="1152" w:hanging="1152"/>
      <w:jc w:val="both"/>
      <w:outlineLvl w:val="0"/>
    </w:pPr>
    <w:rPr>
      <w:rFonts w:ascii="Arial" w:hAnsi="Arial" w:cs="Cambria"/>
      <w:b/>
      <w:bCs/>
      <w:kern w:val="32"/>
      <w:sz w:val="28"/>
      <w:szCs w:val="32"/>
    </w:rPr>
  </w:style>
  <w:style w:type="paragraph" w:styleId="Heading2">
    <w:name w:val="heading 2"/>
    <w:basedOn w:val="Normal"/>
    <w:next w:val="Normal"/>
    <w:link w:val="Heading2Char"/>
    <w:qFormat/>
    <w:rsid w:val="00EF504E"/>
    <w:pPr>
      <w:keepNext/>
      <w:spacing w:before="360" w:after="120"/>
      <w:outlineLvl w:val="1"/>
    </w:pPr>
    <w:rPr>
      <w:rFonts w:ascii="Arial" w:hAnsi="Arial" w:cs="Cambria"/>
      <w:b/>
      <w:bCs/>
      <w:iCs/>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775"/>
    <w:rPr>
      <w:rFonts w:ascii="Arial" w:hAnsi="Arial" w:cs="Cambria"/>
      <w:b/>
      <w:bCs/>
      <w:kern w:val="32"/>
      <w:sz w:val="28"/>
      <w:szCs w:val="32"/>
    </w:rPr>
  </w:style>
  <w:style w:type="character" w:customStyle="1" w:styleId="Heading2Char">
    <w:name w:val="Heading 2 Char"/>
    <w:link w:val="Heading2"/>
    <w:rsid w:val="00EF504E"/>
    <w:rPr>
      <w:rFonts w:ascii="Arial" w:hAnsi="Arial" w:cs="Cambria"/>
      <w:b/>
      <w:bCs/>
      <w:iCs/>
      <w:sz w:val="24"/>
      <w:szCs w:val="28"/>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aliases w:val="F1,ft,footnote text"/>
    <w:basedOn w:val="Normal"/>
    <w:link w:val="FootnoteTextChar"/>
    <w:uiPriority w:val="99"/>
    <w:qFormat/>
    <w:rsid w:val="00972DEF"/>
  </w:style>
  <w:style w:type="character" w:customStyle="1" w:styleId="FootnoteTextChar">
    <w:name w:val="Footnote Text Char"/>
    <w:aliases w:val="F1 Char,ft Char,footnote text Char"/>
    <w:link w:val="FootnoteText"/>
    <w:uiPriority w:val="99"/>
    <w:rsid w:val="00972DEF"/>
    <w:rPr>
      <w:sz w:val="24"/>
      <w:szCs w:val="24"/>
      <w:lang w:val="en-US" w:eastAsia="en-US" w:bidi="ar-SA"/>
    </w:rPr>
  </w:style>
  <w:style w:type="character" w:styleId="FootnoteReference">
    <w:name w:val="footnote reference"/>
    <w:aliases w:val="fr,footnote reference"/>
    <w:uiPriority w:val="99"/>
    <w:qFormat/>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uiPriority w:val="99"/>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FF548E"/>
    <w:pPr>
      <w:tabs>
        <w:tab w:val="right" w:leader="dot" w:pos="9350"/>
      </w:tabs>
      <w:spacing w:before="120" w:after="120"/>
    </w:pPr>
    <w:rPr>
      <w:rFonts w:asciiTheme="minorHAnsi" w:hAnsiTheme="minorHAnsi"/>
      <w:b/>
      <w:bCs/>
      <w:caps/>
      <w:noProof/>
      <w:sz w:val="20"/>
      <w:szCs w:val="20"/>
    </w:rPr>
  </w:style>
  <w:style w:type="paragraph" w:styleId="TOC2">
    <w:name w:val="toc 2"/>
    <w:basedOn w:val="Normal"/>
    <w:autoRedefine/>
    <w:uiPriority w:val="39"/>
    <w:rsid w:val="00972DEF"/>
    <w:pPr>
      <w:ind w:left="240"/>
    </w:pPr>
    <w:rPr>
      <w:rFonts w:asciiTheme="minorHAnsi" w:hAnsiTheme="minorHAnsi"/>
      <w:smallCaps/>
      <w:sz w:val="20"/>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customStyle="1" w:styleId="coverdate">
    <w:name w:val="cover date"/>
    <w:qFormat/>
    <w:rsid w:val="00395775"/>
    <w:pPr>
      <w:spacing w:line="440" w:lineRule="exact"/>
    </w:pPr>
    <w:rPr>
      <w:rFonts w:ascii="Arial" w:hAnsi="Arial"/>
      <w:sz w:val="34"/>
      <w:szCs w:val="26"/>
    </w:rPr>
  </w:style>
  <w:style w:type="paragraph" w:styleId="TOCHeading">
    <w:name w:val="TOC Heading"/>
    <w:basedOn w:val="Heading1"/>
    <w:next w:val="Normal"/>
    <w:uiPriority w:val="39"/>
    <w:unhideWhenUsed/>
    <w:qFormat/>
    <w:rsid w:val="00395775"/>
    <w:pPr>
      <w:keepLines/>
      <w:tabs>
        <w:tab w:val="clear" w:pos="1152"/>
      </w:tabs>
      <w:spacing w:before="240" w:after="0" w:line="259" w:lineRule="auto"/>
      <w:ind w:left="0" w:firstLine="0"/>
      <w:jc w:val="left"/>
      <w:outlineLvl w:val="9"/>
    </w:pPr>
    <w:rPr>
      <w:rFonts w:eastAsiaTheme="majorEastAsia" w:cstheme="majorBidi"/>
      <w:bCs w:val="0"/>
      <w:kern w:val="0"/>
    </w:rPr>
  </w:style>
  <w:style w:type="paragraph" w:styleId="BodyText">
    <w:name w:val="Body Text"/>
    <w:basedOn w:val="Normal"/>
    <w:link w:val="BodyTextChar"/>
    <w:unhideWhenUsed/>
    <w:rsid w:val="00FE25DD"/>
    <w:pPr>
      <w:spacing w:after="120"/>
    </w:pPr>
  </w:style>
  <w:style w:type="character" w:customStyle="1" w:styleId="BodyTextChar">
    <w:name w:val="Body Text Char"/>
    <w:basedOn w:val="DefaultParagraphFont"/>
    <w:link w:val="BodyText"/>
    <w:rsid w:val="00FE25DD"/>
    <w:rPr>
      <w:sz w:val="24"/>
      <w:szCs w:val="24"/>
    </w:rPr>
  </w:style>
  <w:style w:type="paragraph" w:customStyle="1" w:styleId="NORCCaption-Exhibit">
    <w:name w:val="NORC Caption - Exhibit"/>
    <w:basedOn w:val="Normal"/>
    <w:qFormat/>
    <w:rsid w:val="00F05A7B"/>
    <w:pPr>
      <w:keepNext/>
      <w:keepLines/>
      <w:tabs>
        <w:tab w:val="left" w:pos="1224"/>
      </w:tabs>
      <w:spacing w:before="240" w:after="120"/>
    </w:pPr>
    <w:rPr>
      <w:rFonts w:ascii="Arial" w:hAnsi="Arial" w:cs="Arial"/>
      <w:color w:val="000000" w:themeColor="text1"/>
      <w:sz w:val="22"/>
    </w:rPr>
  </w:style>
  <w:style w:type="character" w:customStyle="1" w:styleId="NORCCaption-Color">
    <w:name w:val="NORC Caption - Color"/>
    <w:qFormat/>
    <w:rsid w:val="00F05A7B"/>
    <w:rPr>
      <w:rFonts w:ascii="Arial" w:hAnsi="Arial"/>
      <w:b/>
      <w:color w:val="auto"/>
      <w:sz w:val="22"/>
      <w:bdr w:val="none" w:sz="0" w:space="0" w:color="auto"/>
    </w:rPr>
  </w:style>
  <w:style w:type="paragraph" w:customStyle="1" w:styleId="NORCTableBodyLeftArial">
    <w:name w:val="NORC Table Body Left (Arial)"/>
    <w:basedOn w:val="Normal"/>
    <w:qFormat/>
    <w:rsid w:val="00F05A7B"/>
    <w:pPr>
      <w:tabs>
        <w:tab w:val="left" w:pos="144"/>
      </w:tabs>
      <w:spacing w:before="20" w:after="20"/>
    </w:pPr>
    <w:rPr>
      <w:rFonts w:ascii="Arial Narrow" w:hAnsi="Arial Narrow"/>
      <w:color w:val="000000"/>
      <w:sz w:val="20"/>
    </w:rPr>
  </w:style>
  <w:style w:type="table" w:customStyle="1" w:styleId="PlainTable1">
    <w:name w:val="Plain Table 1"/>
    <w:basedOn w:val="TableNormal"/>
    <w:uiPriority w:val="41"/>
    <w:rsid w:val="00F05A7B"/>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aliases w:val="NASHP Table Grid"/>
    <w:basedOn w:val="TableNormal"/>
    <w:uiPriority w:val="59"/>
    <w:rsid w:val="00D4425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SubheadArial-Black">
    <w:name w:val="NORC Table Subhead Arial - Black"/>
    <w:basedOn w:val="Normal"/>
    <w:qFormat/>
    <w:rsid w:val="00D4425C"/>
    <w:pPr>
      <w:keepNext/>
      <w:spacing w:before="40" w:after="40"/>
      <w:jc w:val="center"/>
    </w:pPr>
    <w:rPr>
      <w:rFonts w:ascii="Arial Narrow" w:hAnsi="Arial Narrow"/>
      <w:b/>
      <w:bCs/>
      <w:sz w:val="20"/>
      <w:szCs w:val="22"/>
    </w:rPr>
  </w:style>
  <w:style w:type="paragraph" w:customStyle="1" w:styleId="NORCTableBodyCenterArial">
    <w:name w:val="NORC Table Body Center (Arial)"/>
    <w:basedOn w:val="Normal"/>
    <w:qFormat/>
    <w:rsid w:val="00FA0A50"/>
    <w:pPr>
      <w:tabs>
        <w:tab w:val="left" w:pos="144"/>
      </w:tabs>
      <w:spacing w:before="20" w:after="20"/>
      <w:jc w:val="center"/>
    </w:pPr>
    <w:rPr>
      <w:rFonts w:ascii="Arial" w:hAnsi="Arial"/>
      <w:color w:val="000000"/>
      <w:sz w:val="18"/>
      <w:szCs w:val="20"/>
    </w:rPr>
  </w:style>
  <w:style w:type="paragraph" w:customStyle="1" w:styleId="NORCTableHeadArial-Black">
    <w:name w:val="NORC Table Head Arial - Black"/>
    <w:basedOn w:val="Normal"/>
    <w:qFormat/>
    <w:rsid w:val="00FA0A50"/>
    <w:pPr>
      <w:keepNext/>
      <w:spacing w:before="40" w:after="40"/>
      <w:jc w:val="center"/>
    </w:pPr>
    <w:rPr>
      <w:rFonts w:ascii="Arial" w:hAnsi="Arial"/>
      <w:b/>
      <w:bCs/>
      <w:sz w:val="20"/>
      <w:szCs w:val="22"/>
    </w:rPr>
  </w:style>
  <w:style w:type="paragraph" w:styleId="TOC3">
    <w:name w:val="toc 3"/>
    <w:basedOn w:val="Normal"/>
    <w:next w:val="Normal"/>
    <w:autoRedefine/>
    <w:unhideWhenUsed/>
    <w:rsid w:val="00B210E1"/>
    <w:pPr>
      <w:ind w:left="480"/>
    </w:pPr>
    <w:rPr>
      <w:rFonts w:asciiTheme="minorHAnsi" w:hAnsiTheme="minorHAnsi"/>
      <w:i/>
      <w:iCs/>
      <w:sz w:val="20"/>
      <w:szCs w:val="20"/>
    </w:rPr>
  </w:style>
  <w:style w:type="paragraph" w:styleId="TOC4">
    <w:name w:val="toc 4"/>
    <w:basedOn w:val="Normal"/>
    <w:next w:val="Normal"/>
    <w:autoRedefine/>
    <w:unhideWhenUsed/>
    <w:rsid w:val="00B210E1"/>
    <w:pPr>
      <w:ind w:left="720"/>
    </w:pPr>
    <w:rPr>
      <w:rFonts w:asciiTheme="minorHAnsi" w:hAnsiTheme="minorHAnsi"/>
      <w:sz w:val="18"/>
      <w:szCs w:val="18"/>
    </w:rPr>
  </w:style>
  <w:style w:type="paragraph" w:styleId="TOC6">
    <w:name w:val="toc 6"/>
    <w:basedOn w:val="Normal"/>
    <w:next w:val="Normal"/>
    <w:autoRedefine/>
    <w:unhideWhenUsed/>
    <w:rsid w:val="00B210E1"/>
    <w:pPr>
      <w:ind w:left="1200"/>
    </w:pPr>
    <w:rPr>
      <w:rFonts w:asciiTheme="minorHAnsi" w:hAnsiTheme="minorHAnsi"/>
      <w:sz w:val="18"/>
      <w:szCs w:val="18"/>
    </w:rPr>
  </w:style>
  <w:style w:type="paragraph" w:styleId="TOC7">
    <w:name w:val="toc 7"/>
    <w:basedOn w:val="Normal"/>
    <w:next w:val="Normal"/>
    <w:autoRedefine/>
    <w:unhideWhenUsed/>
    <w:rsid w:val="00B210E1"/>
    <w:pPr>
      <w:ind w:left="1440"/>
    </w:pPr>
    <w:rPr>
      <w:rFonts w:asciiTheme="minorHAnsi" w:hAnsiTheme="minorHAnsi"/>
      <w:sz w:val="18"/>
      <w:szCs w:val="18"/>
    </w:rPr>
  </w:style>
  <w:style w:type="paragraph" w:styleId="TOC8">
    <w:name w:val="toc 8"/>
    <w:basedOn w:val="Normal"/>
    <w:next w:val="Normal"/>
    <w:autoRedefine/>
    <w:unhideWhenUsed/>
    <w:rsid w:val="00B210E1"/>
    <w:pPr>
      <w:ind w:left="1680"/>
    </w:pPr>
    <w:rPr>
      <w:rFonts w:asciiTheme="minorHAnsi" w:hAnsiTheme="minorHAnsi"/>
      <w:sz w:val="18"/>
      <w:szCs w:val="18"/>
    </w:rPr>
  </w:style>
  <w:style w:type="paragraph" w:styleId="TOC9">
    <w:name w:val="toc 9"/>
    <w:basedOn w:val="Normal"/>
    <w:next w:val="Normal"/>
    <w:autoRedefine/>
    <w:unhideWhenUsed/>
    <w:rsid w:val="00B210E1"/>
    <w:pPr>
      <w:ind w:left="1920"/>
    </w:pPr>
    <w:rPr>
      <w:rFonts w:asciiTheme="minorHAnsi" w:hAnsiTheme="minorHAnsi"/>
      <w:sz w:val="18"/>
      <w:szCs w:val="18"/>
    </w:rPr>
  </w:style>
  <w:style w:type="character" w:customStyle="1" w:styleId="NORCInlineL1BlackBold">
    <w:name w:val="NORC Inline L1 (Black Bold)"/>
    <w:qFormat/>
    <w:rsid w:val="00AA2182"/>
    <w:rPr>
      <w:rFonts w:ascii="Garamond" w:hAnsi="Garamond"/>
      <w:b/>
      <w:bCs/>
      <w:sz w:val="24"/>
      <w:u w:val="none"/>
    </w:rPr>
  </w:style>
  <w:style w:type="paragraph" w:customStyle="1" w:styleId="NORCBody11ptTimes">
    <w:name w:val="NORC Body 11 pt Times"/>
    <w:basedOn w:val="Normal"/>
    <w:qFormat/>
    <w:rsid w:val="00AA2182"/>
    <w:pPr>
      <w:widowControl w:val="0"/>
      <w:spacing w:before="60" w:after="120" w:line="360" w:lineRule="auto"/>
      <w:ind w:firstLine="360"/>
    </w:pPr>
    <w:rPr>
      <w:rFonts w:cs="AGaramond-Regular"/>
      <w:color w:val="000000" w:themeColor="text1"/>
      <w:sz w:val="22"/>
      <w:szCs w:val="20"/>
    </w:rPr>
  </w:style>
  <w:style w:type="paragraph" w:customStyle="1" w:styleId="NormalSS">
    <w:name w:val="NormalSS"/>
    <w:basedOn w:val="Normal"/>
    <w:link w:val="NormalSSChar"/>
    <w:qFormat/>
    <w:rsid w:val="00DA2195"/>
    <w:pPr>
      <w:spacing w:after="240"/>
      <w:ind w:firstLine="432"/>
    </w:pPr>
    <w:rPr>
      <w:szCs w:val="20"/>
    </w:rPr>
  </w:style>
  <w:style w:type="character" w:customStyle="1" w:styleId="NormalSSChar">
    <w:name w:val="NormalSS Char"/>
    <w:link w:val="NormalSS"/>
    <w:locked/>
    <w:rsid w:val="00DA2195"/>
    <w:rPr>
      <w:sz w:val="24"/>
    </w:rPr>
  </w:style>
  <w:style w:type="paragraph" w:customStyle="1" w:styleId="Bullet">
    <w:name w:val="Bullet"/>
    <w:basedOn w:val="Normal"/>
    <w:qFormat/>
    <w:rsid w:val="008A202E"/>
    <w:pPr>
      <w:numPr>
        <w:numId w:val="10"/>
      </w:numPr>
      <w:tabs>
        <w:tab w:val="left" w:pos="432"/>
      </w:tabs>
      <w:spacing w:after="120"/>
      <w:ind w:left="432" w:hanging="432"/>
    </w:pPr>
    <w:rPr>
      <w:szCs w:val="20"/>
    </w:rPr>
  </w:style>
  <w:style w:type="paragraph" w:customStyle="1" w:styleId="NORCProposalBody12ptGaramond">
    <w:name w:val="NORC Proposal Body 12pt Garamond"/>
    <w:basedOn w:val="Normal"/>
    <w:qFormat/>
    <w:rsid w:val="00B75542"/>
    <w:pPr>
      <w:widowControl w:val="0"/>
      <w:tabs>
        <w:tab w:val="right" w:pos="9360"/>
      </w:tabs>
      <w:ind w:firstLine="360"/>
    </w:pPr>
    <w:rPr>
      <w:rFonts w:ascii="Garamond" w:hAnsi="Garamond" w:cs="AGaramond-Regular"/>
      <w:color w:val="000000" w:themeColor="text1"/>
      <w:szCs w:val="20"/>
    </w:rPr>
  </w:style>
  <w:style w:type="paragraph" w:customStyle="1" w:styleId="MarkforTableTitle">
    <w:name w:val="Mark for Table Title"/>
    <w:basedOn w:val="Normal"/>
    <w:next w:val="NormalSS"/>
    <w:qFormat/>
    <w:rsid w:val="00D92A41"/>
    <w:pPr>
      <w:keepNext/>
      <w:spacing w:after="60"/>
    </w:pPr>
    <w:rPr>
      <w:rFonts w:ascii="Arial Black" w:hAnsi="Arial Black"/>
      <w:sz w:val="22"/>
      <w:szCs w:val="20"/>
    </w:rPr>
  </w:style>
  <w:style w:type="paragraph" w:customStyle="1" w:styleId="TableHeaderCenter">
    <w:name w:val="Table Header Center"/>
    <w:basedOn w:val="Normal"/>
    <w:qFormat/>
    <w:rsid w:val="00D92A41"/>
    <w:pPr>
      <w:spacing w:before="120" w:after="60"/>
      <w:jc w:val="center"/>
    </w:pPr>
    <w:rPr>
      <w:rFonts w:ascii="Arial Black" w:hAnsi="Arial Black"/>
      <w:sz w:val="18"/>
      <w:szCs w:val="20"/>
    </w:rPr>
  </w:style>
  <w:style w:type="paragraph" w:customStyle="1" w:styleId="TableText">
    <w:name w:val="Table Text"/>
    <w:basedOn w:val="Normal"/>
    <w:qFormat/>
    <w:rsid w:val="00D92A41"/>
    <w:rPr>
      <w:rFonts w:ascii="Arial" w:hAnsi="Arial"/>
      <w:sz w:val="18"/>
      <w:szCs w:val="20"/>
    </w:rPr>
  </w:style>
  <w:style w:type="paragraph" w:styleId="EndnoteText">
    <w:name w:val="endnote text"/>
    <w:basedOn w:val="Normal"/>
    <w:link w:val="EndnoteTextChar"/>
    <w:uiPriority w:val="99"/>
    <w:unhideWhenUsed/>
    <w:rsid w:val="00EC0DE3"/>
    <w:rPr>
      <w:sz w:val="20"/>
      <w:szCs w:val="20"/>
    </w:rPr>
  </w:style>
  <w:style w:type="character" w:customStyle="1" w:styleId="EndnoteTextChar">
    <w:name w:val="Endnote Text Char"/>
    <w:basedOn w:val="DefaultParagraphFont"/>
    <w:link w:val="EndnoteText"/>
    <w:uiPriority w:val="99"/>
    <w:rsid w:val="00EC0DE3"/>
  </w:style>
  <w:style w:type="character" w:styleId="EndnoteReference">
    <w:name w:val="endnote reference"/>
    <w:basedOn w:val="DefaultParagraphFont"/>
    <w:uiPriority w:val="99"/>
    <w:semiHidden/>
    <w:unhideWhenUsed/>
    <w:rsid w:val="00EC0DE3"/>
    <w:rPr>
      <w:vertAlign w:val="superscript"/>
    </w:rPr>
  </w:style>
  <w:style w:type="character" w:customStyle="1" w:styleId="apple-converted-space">
    <w:name w:val="apple-converted-space"/>
    <w:basedOn w:val="DefaultParagraphFont"/>
    <w:rsid w:val="004B4E1A"/>
  </w:style>
  <w:style w:type="character" w:customStyle="1" w:styleId="ref-journal">
    <w:name w:val="ref-journal"/>
    <w:basedOn w:val="DefaultParagraphFont"/>
    <w:rsid w:val="004B4E1A"/>
  </w:style>
  <w:style w:type="character" w:customStyle="1" w:styleId="ref-vol">
    <w:name w:val="ref-vol"/>
    <w:basedOn w:val="DefaultParagraphFont"/>
    <w:rsid w:val="004B4E1A"/>
  </w:style>
  <w:style w:type="character" w:styleId="Emphasis">
    <w:name w:val="Emphasis"/>
    <w:basedOn w:val="DefaultParagraphFont"/>
    <w:uiPriority w:val="20"/>
    <w:qFormat/>
    <w:rsid w:val="00EC5D64"/>
    <w:rPr>
      <w:i/>
      <w:iCs/>
    </w:rPr>
  </w:style>
  <w:style w:type="table" w:customStyle="1" w:styleId="NASHPTableGrid1">
    <w:name w:val="NASHP Table Grid1"/>
    <w:basedOn w:val="TableNormal"/>
    <w:next w:val="TableGrid"/>
    <w:uiPriority w:val="39"/>
    <w:rsid w:val="002D367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EndnoteText"/>
    <w:link w:val="ReferencesChar"/>
    <w:qFormat/>
    <w:rsid w:val="00160FB2"/>
    <w:pPr>
      <w:spacing w:after="120"/>
      <w:ind w:left="360" w:hanging="360"/>
    </w:pPr>
    <w:rPr>
      <w:bCs/>
      <w:sz w:val="24"/>
      <w:szCs w:val="24"/>
    </w:rPr>
  </w:style>
  <w:style w:type="paragraph" w:customStyle="1" w:styleId="Style5">
    <w:name w:val="Style 5"/>
    <w:basedOn w:val="References"/>
    <w:link w:val="Style5Char"/>
    <w:qFormat/>
    <w:rsid w:val="00160FB2"/>
  </w:style>
  <w:style w:type="character" w:customStyle="1" w:styleId="ReferencesChar">
    <w:name w:val="References Char"/>
    <w:basedOn w:val="EndnoteTextChar"/>
    <w:link w:val="References"/>
    <w:rsid w:val="00160FB2"/>
    <w:rPr>
      <w:bCs/>
      <w:sz w:val="24"/>
      <w:szCs w:val="24"/>
    </w:rPr>
  </w:style>
  <w:style w:type="character" w:customStyle="1" w:styleId="Style5Char">
    <w:name w:val="Style 5 Char"/>
    <w:basedOn w:val="ReferencesChar"/>
    <w:link w:val="Style5"/>
    <w:rsid w:val="00160FB2"/>
    <w:rPr>
      <w:bCs/>
      <w:sz w:val="24"/>
      <w:szCs w:val="24"/>
    </w:rPr>
  </w:style>
  <w:style w:type="paragraph" w:customStyle="1" w:styleId="StyleArial14ptBoldBefore6ptAfter12ptBottomSi">
    <w:name w:val="Style Arial 14 pt Bold Before:  6 pt After:  12 pt Bottom: (Si..."/>
    <w:basedOn w:val="Normal"/>
    <w:rsid w:val="00B5303A"/>
    <w:pPr>
      <w:pBdr>
        <w:bottom w:val="single" w:sz="4" w:space="1" w:color="auto"/>
      </w:pBdr>
      <w:spacing w:before="120" w:after="120"/>
    </w:pPr>
    <w:rPr>
      <w:rFonts w:ascii="Arial" w:hAnsi="Arial"/>
      <w:b/>
      <w:bCs/>
      <w:sz w:val="28"/>
      <w:szCs w:val="20"/>
    </w:rPr>
  </w:style>
  <w:style w:type="paragraph" w:styleId="NoSpacing">
    <w:name w:val="No Spacing"/>
    <w:uiPriority w:val="1"/>
    <w:qFormat/>
    <w:rsid w:val="00FB029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1519">
      <w:bodyDiv w:val="1"/>
      <w:marLeft w:val="0"/>
      <w:marRight w:val="0"/>
      <w:marTop w:val="0"/>
      <w:marBottom w:val="0"/>
      <w:divBdr>
        <w:top w:val="none" w:sz="0" w:space="0" w:color="auto"/>
        <w:left w:val="none" w:sz="0" w:space="0" w:color="auto"/>
        <w:bottom w:val="none" w:sz="0" w:space="0" w:color="auto"/>
        <w:right w:val="none" w:sz="0" w:space="0" w:color="auto"/>
      </w:divBdr>
    </w:div>
    <w:div w:id="52240163">
      <w:bodyDiv w:val="1"/>
      <w:marLeft w:val="0"/>
      <w:marRight w:val="0"/>
      <w:marTop w:val="0"/>
      <w:marBottom w:val="0"/>
      <w:divBdr>
        <w:top w:val="none" w:sz="0" w:space="0" w:color="auto"/>
        <w:left w:val="none" w:sz="0" w:space="0" w:color="auto"/>
        <w:bottom w:val="none" w:sz="0" w:space="0" w:color="auto"/>
        <w:right w:val="none" w:sz="0" w:space="0" w:color="auto"/>
      </w:divBdr>
    </w:div>
    <w:div w:id="59056521">
      <w:bodyDiv w:val="1"/>
      <w:marLeft w:val="0"/>
      <w:marRight w:val="0"/>
      <w:marTop w:val="0"/>
      <w:marBottom w:val="0"/>
      <w:divBdr>
        <w:top w:val="none" w:sz="0" w:space="0" w:color="auto"/>
        <w:left w:val="none" w:sz="0" w:space="0" w:color="auto"/>
        <w:bottom w:val="none" w:sz="0" w:space="0" w:color="auto"/>
        <w:right w:val="none" w:sz="0" w:space="0" w:color="auto"/>
      </w:divBdr>
    </w:div>
    <w:div w:id="118963228">
      <w:bodyDiv w:val="1"/>
      <w:marLeft w:val="0"/>
      <w:marRight w:val="0"/>
      <w:marTop w:val="0"/>
      <w:marBottom w:val="0"/>
      <w:divBdr>
        <w:top w:val="none" w:sz="0" w:space="0" w:color="auto"/>
        <w:left w:val="none" w:sz="0" w:space="0" w:color="auto"/>
        <w:bottom w:val="none" w:sz="0" w:space="0" w:color="auto"/>
        <w:right w:val="none" w:sz="0" w:space="0" w:color="auto"/>
      </w:divBdr>
    </w:div>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152765401">
      <w:bodyDiv w:val="1"/>
      <w:marLeft w:val="0"/>
      <w:marRight w:val="0"/>
      <w:marTop w:val="0"/>
      <w:marBottom w:val="0"/>
      <w:divBdr>
        <w:top w:val="none" w:sz="0" w:space="0" w:color="auto"/>
        <w:left w:val="none" w:sz="0" w:space="0" w:color="auto"/>
        <w:bottom w:val="none" w:sz="0" w:space="0" w:color="auto"/>
        <w:right w:val="none" w:sz="0" w:space="0" w:color="auto"/>
      </w:divBdr>
    </w:div>
    <w:div w:id="15495543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67855">
      <w:bodyDiv w:val="1"/>
      <w:marLeft w:val="0"/>
      <w:marRight w:val="0"/>
      <w:marTop w:val="0"/>
      <w:marBottom w:val="0"/>
      <w:divBdr>
        <w:top w:val="none" w:sz="0" w:space="0" w:color="auto"/>
        <w:left w:val="none" w:sz="0" w:space="0" w:color="auto"/>
        <w:bottom w:val="none" w:sz="0" w:space="0" w:color="auto"/>
        <w:right w:val="none" w:sz="0" w:space="0" w:color="auto"/>
      </w:divBdr>
    </w:div>
    <w:div w:id="493644219">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812061286">
      <w:bodyDiv w:val="1"/>
      <w:marLeft w:val="0"/>
      <w:marRight w:val="0"/>
      <w:marTop w:val="0"/>
      <w:marBottom w:val="0"/>
      <w:divBdr>
        <w:top w:val="none" w:sz="0" w:space="0" w:color="auto"/>
        <w:left w:val="none" w:sz="0" w:space="0" w:color="auto"/>
        <w:bottom w:val="none" w:sz="0" w:space="0" w:color="auto"/>
        <w:right w:val="none" w:sz="0" w:space="0" w:color="auto"/>
      </w:divBdr>
    </w:div>
    <w:div w:id="1016807501">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107165765">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344674021">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999575600">
      <w:bodyDiv w:val="1"/>
      <w:marLeft w:val="0"/>
      <w:marRight w:val="0"/>
      <w:marTop w:val="0"/>
      <w:marBottom w:val="0"/>
      <w:divBdr>
        <w:top w:val="none" w:sz="0" w:space="0" w:color="auto"/>
        <w:left w:val="none" w:sz="0" w:space="0" w:color="auto"/>
        <w:bottom w:val="none" w:sz="0" w:space="0" w:color="auto"/>
        <w:right w:val="none" w:sz="0" w:space="0" w:color="auto"/>
      </w:divBdr>
    </w:div>
    <w:div w:id="2075809007">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df8@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_nat.ht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apta.com/resources/reportsandpublications/Documents/aging_strand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VUADPPQRPPK6-389-167</_dlc_DocId>
    <_dlc_DocIdUrl xmlns="004a172f-e16f-4887-a47b-3990e8128e1e">
      <Url>https://esp.cdc.gov/sites/ncipc/ADS/OMB/_layouts/15/DocIdRedir.aspx?ID=VUADPPQRPPK6-389-167</Url>
      <Description>VUADPPQRPPK6-389-167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E1F3D-B25B-4FD2-B891-3D13E6F3D133}">
  <ds:schemaRefs>
    <ds:schemaRef ds:uri="http://schemas.microsoft.com/sharepoint/events"/>
  </ds:schemaRefs>
</ds:datastoreItem>
</file>

<file path=customXml/itemProps2.xml><?xml version="1.0" encoding="utf-8"?>
<ds:datastoreItem xmlns:ds="http://schemas.openxmlformats.org/officeDocument/2006/customXml" ds:itemID="{DA48D616-DE41-4E43-994E-AE28A3042AE2}">
  <ds:schemaRefs>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004a172f-e16f-4887-a47b-3990e8128e1e"/>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4.xml><?xml version="1.0" encoding="utf-8"?>
<ds:datastoreItem xmlns:ds="http://schemas.openxmlformats.org/officeDocument/2006/customXml" ds:itemID="{E3E754F8-3E1F-47F9-94EC-68EC39BE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9159B-405E-42FE-949E-D9FAB25F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7330</Words>
  <Characters>41782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49014</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SYSTEM</cp:lastModifiedBy>
  <cp:revision>2</cp:revision>
  <cp:lastPrinted>2014-10-08T15:28:00Z</cp:lastPrinted>
  <dcterms:created xsi:type="dcterms:W3CDTF">2018-06-26T17:35:00Z</dcterms:created>
  <dcterms:modified xsi:type="dcterms:W3CDTF">2018-06-26T17:35:00Z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9c8640ab-1d2a-4e6c-a093-0f478d235cff</vt:lpwstr>
  </property>
</Properties>
</file>