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33737" w14:textId="7C6F2121" w:rsidR="005D7A08" w:rsidRPr="00F47153" w:rsidRDefault="00C81E76" w:rsidP="00C81E76">
      <w:pPr>
        <w:tabs>
          <w:tab w:val="left" w:pos="5940"/>
        </w:tabs>
        <w:jc w:val="center"/>
        <w:rPr>
          <w:rFonts w:ascii="Arial" w:hAnsi="Arial" w:cs="Arial"/>
          <w:sz w:val="21"/>
          <w:szCs w:val="21"/>
        </w:rPr>
      </w:pPr>
      <w:bookmarkStart w:id="0" w:name="_GoBack"/>
      <w:bookmarkEnd w:id="0"/>
      <w:r w:rsidRPr="00C81E76">
        <w:rPr>
          <w:rFonts w:ascii="Arial" w:hAnsi="Arial" w:cs="Arial"/>
          <w:sz w:val="21"/>
          <w:szCs w:val="21"/>
        </w:rPr>
        <w:t>FORMATIVE RESEARCH TO DEVELOP ZIKA TOOLS FOR HEALTHCARE PROVIDERS</w:t>
      </w:r>
    </w:p>
    <w:p w14:paraId="165A0051" w14:textId="77777777" w:rsidR="005D7A08" w:rsidRPr="00F47153" w:rsidRDefault="005D7A08" w:rsidP="006B02E8">
      <w:pPr>
        <w:jc w:val="center"/>
        <w:rPr>
          <w:rFonts w:ascii="Arial" w:hAnsi="Arial" w:cs="Arial"/>
          <w:sz w:val="21"/>
          <w:szCs w:val="21"/>
        </w:rPr>
      </w:pPr>
    </w:p>
    <w:p w14:paraId="15CAD3E8" w14:textId="77777777" w:rsidR="006B02E8" w:rsidRPr="00F47153" w:rsidRDefault="006B02E8" w:rsidP="006B02E8">
      <w:pPr>
        <w:jc w:val="center"/>
        <w:rPr>
          <w:rFonts w:ascii="Arial" w:hAnsi="Arial" w:cs="Arial"/>
          <w:sz w:val="21"/>
          <w:szCs w:val="21"/>
        </w:rPr>
      </w:pPr>
    </w:p>
    <w:p w14:paraId="213032C4" w14:textId="77777777" w:rsidR="006B02E8" w:rsidRPr="00F47153" w:rsidRDefault="006B02E8" w:rsidP="006B02E8">
      <w:pPr>
        <w:jc w:val="center"/>
        <w:rPr>
          <w:rFonts w:ascii="Arial" w:hAnsi="Arial" w:cs="Arial"/>
          <w:sz w:val="21"/>
          <w:szCs w:val="21"/>
        </w:rPr>
      </w:pPr>
    </w:p>
    <w:p w14:paraId="5118479E" w14:textId="77777777" w:rsidR="006B02E8" w:rsidRPr="00F47153" w:rsidRDefault="006B02E8" w:rsidP="006B02E8">
      <w:pPr>
        <w:jc w:val="center"/>
        <w:rPr>
          <w:rFonts w:ascii="Arial" w:hAnsi="Arial" w:cs="Arial"/>
          <w:sz w:val="21"/>
          <w:szCs w:val="21"/>
        </w:rPr>
      </w:pPr>
    </w:p>
    <w:p w14:paraId="2B805E01" w14:textId="77777777" w:rsidR="005D7A08" w:rsidRPr="00F47153" w:rsidRDefault="005D7A08" w:rsidP="006B02E8">
      <w:pPr>
        <w:jc w:val="center"/>
        <w:rPr>
          <w:rFonts w:ascii="Arial" w:hAnsi="Arial" w:cs="Arial"/>
          <w:sz w:val="21"/>
          <w:szCs w:val="21"/>
        </w:rPr>
      </w:pPr>
      <w:r w:rsidRPr="00F47153">
        <w:rPr>
          <w:rFonts w:ascii="Arial" w:hAnsi="Arial" w:cs="Arial"/>
          <w:sz w:val="21"/>
          <w:szCs w:val="21"/>
        </w:rPr>
        <w:t>Supporting Statement B</w:t>
      </w:r>
    </w:p>
    <w:p w14:paraId="76A30B86" w14:textId="77777777" w:rsidR="005D7A08" w:rsidRPr="00F47153" w:rsidRDefault="005D7A08" w:rsidP="006B02E8">
      <w:pPr>
        <w:jc w:val="center"/>
        <w:rPr>
          <w:rFonts w:ascii="Arial" w:hAnsi="Arial" w:cs="Arial"/>
          <w:sz w:val="21"/>
          <w:szCs w:val="21"/>
        </w:rPr>
      </w:pPr>
    </w:p>
    <w:p w14:paraId="67FE189A" w14:textId="77777777" w:rsidR="005D7A08" w:rsidRPr="00F47153" w:rsidRDefault="005D7A08" w:rsidP="006B02E8">
      <w:pPr>
        <w:jc w:val="center"/>
        <w:rPr>
          <w:rFonts w:ascii="Arial" w:hAnsi="Arial" w:cs="Arial"/>
          <w:sz w:val="21"/>
          <w:szCs w:val="21"/>
        </w:rPr>
      </w:pPr>
    </w:p>
    <w:p w14:paraId="3475F9AB" w14:textId="7B6A56E4" w:rsidR="00276E04" w:rsidRPr="00F47153" w:rsidRDefault="00FA5CAD" w:rsidP="00ED349D">
      <w:pPr>
        <w:jc w:val="center"/>
        <w:rPr>
          <w:rFonts w:ascii="Arial" w:hAnsi="Arial" w:cs="Arial"/>
          <w:sz w:val="21"/>
          <w:szCs w:val="21"/>
        </w:rPr>
      </w:pPr>
      <w:r>
        <w:rPr>
          <w:rFonts w:ascii="Arial" w:hAnsi="Arial" w:cs="Arial"/>
          <w:sz w:val="21"/>
          <w:szCs w:val="21"/>
        </w:rPr>
        <w:t>February 5</w:t>
      </w:r>
      <w:r w:rsidR="00CB4E4E" w:rsidRPr="00F47153">
        <w:rPr>
          <w:rFonts w:ascii="Arial" w:hAnsi="Arial" w:cs="Arial"/>
          <w:sz w:val="21"/>
          <w:szCs w:val="21"/>
        </w:rPr>
        <w:t>, 2018</w:t>
      </w:r>
    </w:p>
    <w:p w14:paraId="0546BF93" w14:textId="77777777" w:rsidR="005D7A08" w:rsidRPr="00F47153" w:rsidRDefault="005D7A08" w:rsidP="005D7A08">
      <w:pPr>
        <w:rPr>
          <w:rFonts w:ascii="Arial" w:hAnsi="Arial" w:cs="Arial"/>
          <w:sz w:val="21"/>
          <w:szCs w:val="21"/>
        </w:rPr>
      </w:pPr>
    </w:p>
    <w:p w14:paraId="4A0619C1" w14:textId="77777777" w:rsidR="00CB4E4E" w:rsidRPr="00F47153" w:rsidRDefault="00CB4E4E" w:rsidP="00CB4E4E">
      <w:pPr>
        <w:rPr>
          <w:rFonts w:ascii="Arial" w:hAnsi="Arial" w:cs="Arial"/>
          <w:sz w:val="21"/>
          <w:szCs w:val="21"/>
        </w:rPr>
      </w:pPr>
    </w:p>
    <w:p w14:paraId="7E395AF1" w14:textId="49EDFCBF" w:rsidR="005D7A08" w:rsidRPr="00F47153" w:rsidRDefault="006C3712" w:rsidP="00CB4E4E">
      <w:pPr>
        <w:rPr>
          <w:rFonts w:ascii="Arial" w:hAnsi="Arial" w:cs="Arial"/>
          <w:sz w:val="21"/>
          <w:szCs w:val="21"/>
        </w:rPr>
      </w:pPr>
      <w:bookmarkStart w:id="1" w:name="_Hlk503171016"/>
      <w:r w:rsidRPr="00F47153">
        <w:rPr>
          <w:rFonts w:ascii="Arial" w:hAnsi="Arial" w:cs="Arial"/>
          <w:sz w:val="21"/>
          <w:szCs w:val="21"/>
        </w:rPr>
        <w:t>CDC Contact:</w:t>
      </w:r>
    </w:p>
    <w:p w14:paraId="437E07BC" w14:textId="3E0E68F2" w:rsidR="00CB4E4E" w:rsidRPr="00F47153" w:rsidRDefault="00CB4E4E" w:rsidP="00CB4E4E">
      <w:pPr>
        <w:spacing w:after="0"/>
        <w:rPr>
          <w:rFonts w:ascii="Arial" w:hAnsi="Arial" w:cs="Arial"/>
          <w:sz w:val="21"/>
          <w:szCs w:val="21"/>
        </w:rPr>
      </w:pPr>
      <w:r w:rsidRPr="00F47153">
        <w:rPr>
          <w:rFonts w:ascii="Arial" w:hAnsi="Arial" w:cs="Arial"/>
          <w:sz w:val="21"/>
          <w:szCs w:val="21"/>
        </w:rPr>
        <w:t>Catlin Green</w:t>
      </w:r>
    </w:p>
    <w:p w14:paraId="54FB993A" w14:textId="77777777" w:rsidR="00CB4E4E" w:rsidRPr="00F47153" w:rsidRDefault="00CB4E4E" w:rsidP="00CB4E4E">
      <w:pPr>
        <w:spacing w:after="0"/>
        <w:rPr>
          <w:rFonts w:ascii="Arial" w:hAnsi="Arial" w:cs="Arial"/>
          <w:sz w:val="21"/>
          <w:szCs w:val="21"/>
        </w:rPr>
      </w:pPr>
      <w:r w:rsidRPr="00F47153">
        <w:rPr>
          <w:rFonts w:ascii="Arial" w:hAnsi="Arial" w:cs="Arial"/>
          <w:sz w:val="21"/>
          <w:szCs w:val="21"/>
        </w:rPr>
        <w:t>Epidemiologist</w:t>
      </w:r>
    </w:p>
    <w:p w14:paraId="53322F6B" w14:textId="77777777" w:rsidR="00CB4E4E" w:rsidRPr="00F47153" w:rsidRDefault="00CB4E4E" w:rsidP="00CB4E4E">
      <w:pPr>
        <w:spacing w:after="0"/>
        <w:rPr>
          <w:rFonts w:ascii="Arial" w:hAnsi="Arial" w:cs="Arial"/>
          <w:sz w:val="21"/>
          <w:szCs w:val="21"/>
        </w:rPr>
      </w:pPr>
      <w:r w:rsidRPr="00F47153">
        <w:rPr>
          <w:rFonts w:ascii="Arial" w:hAnsi="Arial" w:cs="Arial"/>
          <w:sz w:val="21"/>
          <w:szCs w:val="21"/>
        </w:rPr>
        <w:t>National Center on Birth Defects &amp; Developmental Disabilities</w:t>
      </w:r>
    </w:p>
    <w:p w14:paraId="4752048C" w14:textId="77777777" w:rsidR="00CB4E4E" w:rsidRPr="00F47153" w:rsidRDefault="00CB4E4E" w:rsidP="00CB4E4E">
      <w:pPr>
        <w:spacing w:after="0"/>
        <w:rPr>
          <w:rFonts w:ascii="Arial" w:hAnsi="Arial" w:cs="Arial"/>
          <w:sz w:val="21"/>
          <w:szCs w:val="21"/>
        </w:rPr>
      </w:pPr>
      <w:r w:rsidRPr="00F47153">
        <w:rPr>
          <w:rFonts w:ascii="Arial" w:hAnsi="Arial" w:cs="Arial"/>
          <w:sz w:val="21"/>
          <w:szCs w:val="21"/>
        </w:rPr>
        <w:t>Centers for Disease Control and Prevention</w:t>
      </w:r>
    </w:p>
    <w:p w14:paraId="30853F2F" w14:textId="77777777" w:rsidR="00CB4E4E" w:rsidRPr="00F47153" w:rsidRDefault="00CB4E4E" w:rsidP="00CB4E4E">
      <w:pPr>
        <w:spacing w:after="0"/>
        <w:rPr>
          <w:rFonts w:ascii="Arial" w:hAnsi="Arial" w:cs="Arial"/>
          <w:sz w:val="21"/>
          <w:szCs w:val="21"/>
        </w:rPr>
      </w:pPr>
      <w:r w:rsidRPr="00F47153">
        <w:rPr>
          <w:rFonts w:ascii="Arial" w:hAnsi="Arial" w:cs="Arial"/>
          <w:sz w:val="21"/>
          <w:szCs w:val="21"/>
        </w:rPr>
        <w:t>4770 Buford Hwy.</w:t>
      </w:r>
    </w:p>
    <w:p w14:paraId="02D5BD21" w14:textId="77777777" w:rsidR="00CB4E4E" w:rsidRPr="00F47153" w:rsidRDefault="00CB4E4E" w:rsidP="00CB4E4E">
      <w:pPr>
        <w:spacing w:after="0"/>
        <w:rPr>
          <w:rFonts w:ascii="Arial" w:hAnsi="Arial" w:cs="Arial"/>
          <w:sz w:val="21"/>
          <w:szCs w:val="21"/>
        </w:rPr>
      </w:pPr>
      <w:r w:rsidRPr="00F47153">
        <w:rPr>
          <w:rFonts w:ascii="Arial" w:hAnsi="Arial" w:cs="Arial"/>
          <w:sz w:val="21"/>
          <w:szCs w:val="21"/>
        </w:rPr>
        <w:t>Mailstop E86</w:t>
      </w:r>
    </w:p>
    <w:p w14:paraId="5CC5404D" w14:textId="77777777" w:rsidR="00CB4E4E" w:rsidRPr="00F47153" w:rsidRDefault="00CB4E4E" w:rsidP="00CB4E4E">
      <w:pPr>
        <w:spacing w:after="0"/>
        <w:rPr>
          <w:rFonts w:ascii="Arial" w:hAnsi="Arial" w:cs="Arial"/>
          <w:sz w:val="21"/>
          <w:szCs w:val="21"/>
        </w:rPr>
      </w:pPr>
      <w:r w:rsidRPr="00F47153">
        <w:rPr>
          <w:rFonts w:ascii="Arial" w:hAnsi="Arial" w:cs="Arial"/>
          <w:sz w:val="21"/>
          <w:szCs w:val="21"/>
        </w:rPr>
        <w:t>Atlanta, GA 30341</w:t>
      </w:r>
    </w:p>
    <w:p w14:paraId="5387E3A7" w14:textId="2478818B" w:rsidR="005D7A08" w:rsidRPr="00F47153" w:rsidRDefault="00CB4E4E" w:rsidP="00CB4E4E">
      <w:pPr>
        <w:spacing w:after="0"/>
        <w:rPr>
          <w:rFonts w:ascii="Arial" w:hAnsi="Arial" w:cs="Arial"/>
          <w:sz w:val="21"/>
          <w:szCs w:val="21"/>
        </w:rPr>
      </w:pPr>
      <w:r w:rsidRPr="00F47153">
        <w:rPr>
          <w:rFonts w:ascii="Arial" w:hAnsi="Arial" w:cs="Arial"/>
          <w:sz w:val="21"/>
          <w:szCs w:val="21"/>
        </w:rPr>
        <w:t>Phone: 404-498-1462</w:t>
      </w:r>
    </w:p>
    <w:bookmarkEnd w:id="1"/>
    <w:p w14:paraId="1F354E85" w14:textId="77777777" w:rsidR="005D7A08" w:rsidRPr="00F47153" w:rsidRDefault="005D7A08" w:rsidP="006B02E8">
      <w:pPr>
        <w:jc w:val="center"/>
        <w:rPr>
          <w:rFonts w:ascii="Arial" w:hAnsi="Arial" w:cs="Arial"/>
          <w:b/>
          <w:sz w:val="21"/>
          <w:szCs w:val="21"/>
        </w:rPr>
      </w:pPr>
      <w:r w:rsidRPr="00F47153">
        <w:rPr>
          <w:rFonts w:ascii="Arial" w:hAnsi="Arial" w:cs="Arial"/>
          <w:sz w:val="21"/>
          <w:szCs w:val="21"/>
        </w:rPr>
        <w:br w:type="page"/>
      </w:r>
      <w:r w:rsidRPr="00F47153">
        <w:rPr>
          <w:rFonts w:ascii="Arial" w:hAnsi="Arial" w:cs="Arial"/>
          <w:b/>
          <w:sz w:val="21"/>
          <w:szCs w:val="21"/>
        </w:rPr>
        <w:lastRenderedPageBreak/>
        <w:t>Table of Contents</w:t>
      </w:r>
    </w:p>
    <w:p w14:paraId="5B11F76B" w14:textId="77777777" w:rsidR="005D7A08" w:rsidRPr="00F47153" w:rsidRDefault="005D7A08" w:rsidP="005D7A08">
      <w:pPr>
        <w:rPr>
          <w:rFonts w:ascii="Arial" w:hAnsi="Arial" w:cs="Arial"/>
          <w:sz w:val="21"/>
          <w:szCs w:val="21"/>
        </w:rPr>
      </w:pPr>
    </w:p>
    <w:p w14:paraId="5B4D9910" w14:textId="77777777" w:rsidR="005D7A08" w:rsidRPr="00F47153" w:rsidRDefault="005D7A08" w:rsidP="005D7A08">
      <w:pPr>
        <w:rPr>
          <w:rFonts w:ascii="Arial" w:hAnsi="Arial" w:cs="Arial"/>
          <w:sz w:val="21"/>
          <w:szCs w:val="21"/>
        </w:rPr>
      </w:pPr>
      <w:r w:rsidRPr="00F47153">
        <w:rPr>
          <w:rFonts w:ascii="Arial" w:hAnsi="Arial" w:cs="Arial"/>
          <w:sz w:val="21"/>
          <w:szCs w:val="21"/>
        </w:rPr>
        <w:t xml:space="preserve">  Collection of Information employing Statistical Methods </w:t>
      </w:r>
    </w:p>
    <w:p w14:paraId="4AF5E8CF" w14:textId="77777777" w:rsidR="005D7A08" w:rsidRPr="00F47153" w:rsidRDefault="005D7A08" w:rsidP="006B02E8">
      <w:pPr>
        <w:rPr>
          <w:rFonts w:ascii="Arial" w:hAnsi="Arial" w:cs="Arial"/>
          <w:sz w:val="21"/>
          <w:szCs w:val="21"/>
        </w:rPr>
      </w:pPr>
      <w:r w:rsidRPr="00F47153">
        <w:rPr>
          <w:rFonts w:ascii="Arial" w:hAnsi="Arial" w:cs="Arial"/>
          <w:sz w:val="21"/>
          <w:szCs w:val="21"/>
        </w:rPr>
        <w:tab/>
        <w:t xml:space="preserve">1. Respondent Universe and Sampling Methods </w:t>
      </w:r>
    </w:p>
    <w:p w14:paraId="56F1198D" w14:textId="77777777" w:rsidR="005D7A08" w:rsidRPr="00F47153" w:rsidRDefault="005D7A08" w:rsidP="006B02E8">
      <w:pPr>
        <w:rPr>
          <w:rFonts w:ascii="Arial" w:hAnsi="Arial" w:cs="Arial"/>
          <w:sz w:val="21"/>
          <w:szCs w:val="21"/>
        </w:rPr>
      </w:pPr>
      <w:r w:rsidRPr="00F47153">
        <w:rPr>
          <w:rFonts w:ascii="Arial" w:hAnsi="Arial" w:cs="Arial"/>
          <w:sz w:val="21"/>
          <w:szCs w:val="21"/>
        </w:rPr>
        <w:tab/>
        <w:t>2. Procedures for the Collection of Information</w:t>
      </w:r>
    </w:p>
    <w:p w14:paraId="7A6E1394" w14:textId="77777777" w:rsidR="005D7A08" w:rsidRPr="00F47153" w:rsidRDefault="005D7A08" w:rsidP="006B02E8">
      <w:pPr>
        <w:rPr>
          <w:rFonts w:ascii="Arial" w:hAnsi="Arial" w:cs="Arial"/>
          <w:sz w:val="21"/>
          <w:szCs w:val="21"/>
        </w:rPr>
      </w:pPr>
      <w:r w:rsidRPr="00F47153">
        <w:rPr>
          <w:rFonts w:ascii="Arial" w:hAnsi="Arial" w:cs="Arial"/>
          <w:sz w:val="21"/>
          <w:szCs w:val="21"/>
        </w:rPr>
        <w:tab/>
        <w:t>3. Methods to Maximize Response Rates and Deal with Nonresponse</w:t>
      </w:r>
    </w:p>
    <w:p w14:paraId="6BF22167" w14:textId="77777777" w:rsidR="005D7A08" w:rsidRPr="00F47153" w:rsidRDefault="005D7A08" w:rsidP="006B02E8">
      <w:pPr>
        <w:rPr>
          <w:rFonts w:ascii="Arial" w:hAnsi="Arial" w:cs="Arial"/>
          <w:sz w:val="21"/>
          <w:szCs w:val="21"/>
        </w:rPr>
      </w:pPr>
      <w:r w:rsidRPr="00F47153">
        <w:rPr>
          <w:rFonts w:ascii="Arial" w:hAnsi="Arial" w:cs="Arial"/>
          <w:sz w:val="21"/>
          <w:szCs w:val="21"/>
        </w:rPr>
        <w:tab/>
        <w:t xml:space="preserve">4. Tests of Procedures or Methods to be Undertaken </w:t>
      </w:r>
    </w:p>
    <w:p w14:paraId="42F86A5F" w14:textId="77777777" w:rsidR="005D7A08" w:rsidRPr="00F47153" w:rsidRDefault="005D7A08" w:rsidP="00F47153">
      <w:pPr>
        <w:ind w:left="720" w:hanging="270"/>
        <w:rPr>
          <w:rFonts w:ascii="Arial" w:hAnsi="Arial" w:cs="Arial"/>
          <w:sz w:val="21"/>
          <w:szCs w:val="21"/>
        </w:rPr>
      </w:pPr>
      <w:r w:rsidRPr="00F47153">
        <w:rPr>
          <w:rFonts w:ascii="Arial" w:hAnsi="Arial" w:cs="Arial"/>
          <w:sz w:val="21"/>
          <w:szCs w:val="21"/>
        </w:rPr>
        <w:tab/>
        <w:t>5. Individuals Consulted on Statistical Aspects and Individuals Collecting and/or Analyzing Data</w:t>
      </w:r>
    </w:p>
    <w:p w14:paraId="4F15A563" w14:textId="77777777" w:rsidR="005D7A08" w:rsidRPr="00F47153" w:rsidRDefault="005D7A08" w:rsidP="005D7A08">
      <w:pPr>
        <w:rPr>
          <w:rFonts w:ascii="Arial" w:hAnsi="Arial" w:cs="Arial"/>
          <w:sz w:val="21"/>
          <w:szCs w:val="21"/>
        </w:rPr>
      </w:pPr>
    </w:p>
    <w:p w14:paraId="0C76AFDE" w14:textId="77777777" w:rsidR="005D7A08" w:rsidRPr="00F47153" w:rsidRDefault="005D7A08" w:rsidP="005D7A08">
      <w:pPr>
        <w:rPr>
          <w:rFonts w:ascii="Arial" w:hAnsi="Arial" w:cs="Arial"/>
          <w:sz w:val="21"/>
          <w:szCs w:val="21"/>
        </w:rPr>
      </w:pPr>
    </w:p>
    <w:p w14:paraId="40459683" w14:textId="77777777" w:rsidR="005D7A08" w:rsidRPr="00F47153" w:rsidRDefault="005D7A08" w:rsidP="005D7A08">
      <w:pPr>
        <w:rPr>
          <w:rFonts w:ascii="Arial" w:hAnsi="Arial" w:cs="Arial"/>
          <w:sz w:val="21"/>
          <w:szCs w:val="21"/>
        </w:rPr>
      </w:pPr>
    </w:p>
    <w:p w14:paraId="48AC08A4" w14:textId="77777777" w:rsidR="005D7A08" w:rsidRPr="00F47153" w:rsidRDefault="005D7A08" w:rsidP="005D7A08">
      <w:pPr>
        <w:rPr>
          <w:rFonts w:ascii="Arial" w:hAnsi="Arial" w:cs="Arial"/>
          <w:sz w:val="21"/>
          <w:szCs w:val="21"/>
        </w:rPr>
      </w:pPr>
      <w:r w:rsidRPr="00F47153">
        <w:rPr>
          <w:rFonts w:ascii="Arial" w:hAnsi="Arial" w:cs="Arial"/>
          <w:sz w:val="21"/>
          <w:szCs w:val="21"/>
        </w:rPr>
        <w:t xml:space="preserve"> </w:t>
      </w:r>
    </w:p>
    <w:p w14:paraId="0AD44862" w14:textId="77777777" w:rsidR="005D7A08" w:rsidRPr="00F47153" w:rsidRDefault="005D7A08">
      <w:pPr>
        <w:rPr>
          <w:rFonts w:ascii="Arial" w:hAnsi="Arial" w:cs="Arial"/>
          <w:sz w:val="21"/>
          <w:szCs w:val="21"/>
        </w:rPr>
      </w:pPr>
      <w:r w:rsidRPr="00F47153">
        <w:rPr>
          <w:rFonts w:ascii="Arial" w:hAnsi="Arial" w:cs="Arial"/>
          <w:sz w:val="21"/>
          <w:szCs w:val="21"/>
        </w:rPr>
        <w:br w:type="page"/>
      </w:r>
    </w:p>
    <w:p w14:paraId="0CE9920D" w14:textId="77777777" w:rsidR="005D7A08" w:rsidRPr="00F47153" w:rsidRDefault="005D7A08" w:rsidP="005D7A08">
      <w:pPr>
        <w:rPr>
          <w:rFonts w:ascii="Arial" w:hAnsi="Arial" w:cs="Arial"/>
          <w:b/>
          <w:sz w:val="21"/>
          <w:szCs w:val="21"/>
        </w:rPr>
      </w:pPr>
      <w:r w:rsidRPr="00F47153">
        <w:rPr>
          <w:rFonts w:ascii="Arial" w:hAnsi="Arial" w:cs="Arial"/>
          <w:b/>
          <w:sz w:val="21"/>
          <w:szCs w:val="21"/>
        </w:rPr>
        <w:lastRenderedPageBreak/>
        <w:t>B.</w:t>
      </w:r>
      <w:r w:rsidRPr="00F47153">
        <w:rPr>
          <w:rFonts w:ascii="Arial" w:hAnsi="Arial" w:cs="Arial"/>
          <w:b/>
          <w:sz w:val="21"/>
          <w:szCs w:val="21"/>
        </w:rPr>
        <w:tab/>
        <w:t>Collections of Information Employing Statistical Methods</w:t>
      </w:r>
    </w:p>
    <w:p w14:paraId="1C60FB69" w14:textId="26AA7673" w:rsidR="005D7A08" w:rsidRPr="00F47153" w:rsidRDefault="005D7A08" w:rsidP="00A45A4A">
      <w:pPr>
        <w:pStyle w:val="ListParagraph"/>
        <w:numPr>
          <w:ilvl w:val="0"/>
          <w:numId w:val="2"/>
        </w:numPr>
        <w:ind w:left="180" w:hanging="180"/>
        <w:rPr>
          <w:rFonts w:ascii="Arial" w:hAnsi="Arial" w:cs="Arial"/>
          <w:b/>
          <w:sz w:val="21"/>
          <w:szCs w:val="21"/>
        </w:rPr>
      </w:pPr>
      <w:r w:rsidRPr="00F47153">
        <w:rPr>
          <w:rFonts w:ascii="Arial" w:hAnsi="Arial" w:cs="Arial"/>
          <w:b/>
          <w:sz w:val="21"/>
          <w:szCs w:val="21"/>
        </w:rPr>
        <w:t>Respondent Universe and Sampling Methods</w:t>
      </w:r>
    </w:p>
    <w:p w14:paraId="6CE8B154" w14:textId="6C65CBDA" w:rsidR="000B0B2F" w:rsidRPr="00F47153" w:rsidRDefault="006F1481" w:rsidP="00BB7365">
      <w:pPr>
        <w:rPr>
          <w:rFonts w:ascii="Arial" w:hAnsi="Arial" w:cs="Arial"/>
          <w:sz w:val="21"/>
          <w:szCs w:val="21"/>
        </w:rPr>
      </w:pPr>
      <w:r>
        <w:rPr>
          <w:rFonts w:ascii="Arial" w:hAnsi="Arial" w:cs="Arial"/>
          <w:sz w:val="21"/>
          <w:szCs w:val="21"/>
        </w:rPr>
        <w:t xml:space="preserve">For the </w:t>
      </w:r>
      <w:r w:rsidR="000B0B2F" w:rsidRPr="00F47153">
        <w:rPr>
          <w:rFonts w:ascii="Arial" w:hAnsi="Arial" w:cs="Arial"/>
          <w:sz w:val="21"/>
          <w:szCs w:val="21"/>
        </w:rPr>
        <w:t>Survey of</w:t>
      </w:r>
      <w:r>
        <w:rPr>
          <w:rFonts w:ascii="Arial" w:hAnsi="Arial" w:cs="Arial"/>
          <w:sz w:val="21"/>
          <w:szCs w:val="21"/>
        </w:rPr>
        <w:t xml:space="preserve"> Obstetrician-Gynecologists, Focus Groups of Healthcare Providers, and Survey of Local Health </w:t>
      </w:r>
      <w:r w:rsidR="008A07CB">
        <w:rPr>
          <w:rFonts w:ascii="Arial" w:hAnsi="Arial" w:cs="Arial"/>
          <w:sz w:val="21"/>
          <w:szCs w:val="21"/>
        </w:rPr>
        <w:t xml:space="preserve">Department CDC </w:t>
      </w:r>
      <w:r w:rsidR="008A07CB" w:rsidRPr="00F47153">
        <w:rPr>
          <w:rFonts w:ascii="Arial" w:hAnsi="Arial" w:cs="Arial"/>
          <w:sz w:val="21"/>
          <w:szCs w:val="21"/>
        </w:rPr>
        <w:t>Field Assignees</w:t>
      </w:r>
      <w:r w:rsidR="008A07CB">
        <w:rPr>
          <w:rFonts w:ascii="Arial" w:hAnsi="Arial" w:cs="Arial"/>
          <w:sz w:val="21"/>
          <w:szCs w:val="21"/>
        </w:rPr>
        <w:t xml:space="preserve">, </w:t>
      </w:r>
      <w:r w:rsidR="00496941">
        <w:rPr>
          <w:rFonts w:ascii="Arial" w:hAnsi="Arial" w:cs="Arial"/>
          <w:sz w:val="21"/>
          <w:szCs w:val="21"/>
        </w:rPr>
        <w:t xml:space="preserve">refer to </w:t>
      </w:r>
      <w:r w:rsidR="00496941" w:rsidRPr="00496941">
        <w:rPr>
          <w:rFonts w:ascii="Arial" w:hAnsi="Arial" w:cs="Arial"/>
          <w:sz w:val="21"/>
          <w:szCs w:val="21"/>
        </w:rPr>
        <w:t>Request for genIC Approval</w:t>
      </w:r>
      <w:r w:rsidR="00496941">
        <w:rPr>
          <w:rFonts w:ascii="Arial" w:hAnsi="Arial" w:cs="Arial"/>
          <w:sz w:val="21"/>
          <w:szCs w:val="21"/>
        </w:rPr>
        <w:t>, selection of targeted respondents.</w:t>
      </w:r>
    </w:p>
    <w:p w14:paraId="0AF742A3" w14:textId="7614E1E8" w:rsidR="005D7A08" w:rsidRDefault="005D7A08" w:rsidP="005D7A08">
      <w:pPr>
        <w:rPr>
          <w:rFonts w:ascii="Arial" w:hAnsi="Arial" w:cs="Arial"/>
          <w:b/>
          <w:sz w:val="21"/>
          <w:szCs w:val="21"/>
        </w:rPr>
      </w:pPr>
      <w:r w:rsidRPr="00F47153">
        <w:rPr>
          <w:rFonts w:ascii="Arial" w:hAnsi="Arial" w:cs="Arial"/>
          <w:b/>
          <w:sz w:val="21"/>
          <w:szCs w:val="21"/>
        </w:rPr>
        <w:t>2</w:t>
      </w:r>
      <w:r w:rsidR="00A45A4A" w:rsidRPr="00F47153">
        <w:rPr>
          <w:rFonts w:ascii="Arial" w:hAnsi="Arial" w:cs="Arial"/>
          <w:b/>
          <w:sz w:val="21"/>
          <w:szCs w:val="21"/>
        </w:rPr>
        <w:t xml:space="preserve">. </w:t>
      </w:r>
      <w:r w:rsidRPr="00F47153">
        <w:rPr>
          <w:rFonts w:ascii="Arial" w:hAnsi="Arial" w:cs="Arial"/>
          <w:b/>
          <w:sz w:val="21"/>
          <w:szCs w:val="21"/>
        </w:rPr>
        <w:t>Procedures for the Collection of Information</w:t>
      </w:r>
    </w:p>
    <w:p w14:paraId="7545585C" w14:textId="772BAB26" w:rsidR="00262EAC" w:rsidRPr="00262EAC" w:rsidRDefault="00357B8F" w:rsidP="005D7A08">
      <w:pPr>
        <w:rPr>
          <w:rFonts w:ascii="Arial" w:hAnsi="Arial" w:cs="Arial"/>
          <w:sz w:val="21"/>
          <w:szCs w:val="21"/>
          <w:u w:val="single"/>
        </w:rPr>
      </w:pPr>
      <w:r w:rsidRPr="00262EAC">
        <w:rPr>
          <w:rFonts w:ascii="Arial" w:hAnsi="Arial" w:cs="Arial"/>
          <w:sz w:val="21"/>
          <w:szCs w:val="21"/>
          <w:u w:val="single"/>
        </w:rPr>
        <w:t>Survey of</w:t>
      </w:r>
      <w:r w:rsidR="00262EAC" w:rsidRPr="00262EAC">
        <w:rPr>
          <w:rFonts w:ascii="Arial" w:hAnsi="Arial" w:cs="Arial"/>
          <w:sz w:val="21"/>
          <w:szCs w:val="21"/>
          <w:u w:val="single"/>
        </w:rPr>
        <w:t xml:space="preserve"> Obstetrician-Gynecologists</w:t>
      </w:r>
    </w:p>
    <w:p w14:paraId="428E81E8" w14:textId="011CC812" w:rsidR="004A37D6" w:rsidRDefault="00F707FF" w:rsidP="00F707FF">
      <w:pPr>
        <w:rPr>
          <w:rFonts w:ascii="Arial" w:hAnsi="Arial" w:cs="Arial"/>
          <w:sz w:val="21"/>
          <w:szCs w:val="21"/>
        </w:rPr>
      </w:pPr>
      <w:r w:rsidRPr="00F707FF">
        <w:rPr>
          <w:rFonts w:ascii="Arial" w:hAnsi="Arial" w:cs="Arial"/>
          <w:sz w:val="21"/>
          <w:szCs w:val="21"/>
        </w:rPr>
        <w:t xml:space="preserve">The survey will be administered by a combined electronic and paper mailing protocol. </w:t>
      </w:r>
      <w:r w:rsidR="00AC2FC2">
        <w:rPr>
          <w:rFonts w:ascii="Arial" w:hAnsi="Arial" w:cs="Arial"/>
          <w:sz w:val="21"/>
          <w:szCs w:val="21"/>
        </w:rPr>
        <w:t xml:space="preserve">American </w:t>
      </w:r>
      <w:r w:rsidR="00BD763C" w:rsidRPr="00262EAC">
        <w:rPr>
          <w:rFonts w:ascii="Arial" w:hAnsi="Arial" w:cs="Arial"/>
          <w:sz w:val="21"/>
          <w:szCs w:val="21"/>
        </w:rPr>
        <w:t xml:space="preserve">College </w:t>
      </w:r>
      <w:r w:rsidR="00AC2FC2">
        <w:rPr>
          <w:rFonts w:ascii="Arial" w:hAnsi="Arial" w:cs="Arial"/>
          <w:sz w:val="21"/>
          <w:szCs w:val="21"/>
        </w:rPr>
        <w:t xml:space="preserve">of Obstetricians and Gynecologists (ACOG) </w:t>
      </w:r>
      <w:r w:rsidR="00BD763C" w:rsidRPr="00262EAC">
        <w:rPr>
          <w:rFonts w:ascii="Arial" w:hAnsi="Arial" w:cs="Arial"/>
          <w:sz w:val="21"/>
          <w:szCs w:val="21"/>
        </w:rPr>
        <w:t>Research staff will send the surv</w:t>
      </w:r>
      <w:r w:rsidR="00A86D78">
        <w:rPr>
          <w:rFonts w:ascii="Arial" w:hAnsi="Arial" w:cs="Arial"/>
          <w:sz w:val="21"/>
          <w:szCs w:val="21"/>
        </w:rPr>
        <w:t>ey invitation by email to 4,000</w:t>
      </w:r>
      <w:r w:rsidR="00BD763C" w:rsidRPr="00262EAC">
        <w:rPr>
          <w:rFonts w:ascii="Arial" w:hAnsi="Arial" w:cs="Arial"/>
          <w:sz w:val="21"/>
          <w:szCs w:val="21"/>
        </w:rPr>
        <w:t xml:space="preserve"> </w:t>
      </w:r>
      <w:r w:rsidR="00AC2FC2">
        <w:rPr>
          <w:rFonts w:ascii="Arial" w:hAnsi="Arial" w:cs="Arial"/>
          <w:sz w:val="21"/>
          <w:szCs w:val="21"/>
        </w:rPr>
        <w:t>ACOG</w:t>
      </w:r>
      <w:r w:rsidR="00BD763C" w:rsidRPr="00262EAC">
        <w:rPr>
          <w:rFonts w:ascii="Arial" w:hAnsi="Arial" w:cs="Arial"/>
          <w:sz w:val="21"/>
          <w:szCs w:val="21"/>
        </w:rPr>
        <w:t xml:space="preserve"> members </w:t>
      </w:r>
      <w:r w:rsidR="009D4E4C">
        <w:rPr>
          <w:rFonts w:ascii="Arial" w:hAnsi="Arial" w:cs="Arial"/>
          <w:sz w:val="21"/>
          <w:szCs w:val="21"/>
        </w:rPr>
        <w:t xml:space="preserve">sampled from Fellows and Junior Fellows </w:t>
      </w:r>
      <w:r w:rsidR="00BD763C" w:rsidRPr="00262EAC">
        <w:rPr>
          <w:rFonts w:ascii="Arial" w:hAnsi="Arial" w:cs="Arial"/>
          <w:sz w:val="21"/>
          <w:szCs w:val="21"/>
        </w:rPr>
        <w:t xml:space="preserve">currently in practice. </w:t>
      </w:r>
      <w:r w:rsidR="00A86D78">
        <w:rPr>
          <w:rFonts w:ascii="Arial" w:hAnsi="Arial" w:cs="Arial"/>
          <w:sz w:val="21"/>
          <w:szCs w:val="21"/>
        </w:rPr>
        <w:t xml:space="preserve">The sample is generated by stratifying Fellows and Junior Fellows by district and taking a proportionate, random sample from each district. </w:t>
      </w:r>
      <w:r w:rsidR="004A37D6">
        <w:rPr>
          <w:rFonts w:ascii="Arial" w:hAnsi="Arial" w:cs="Arial"/>
          <w:sz w:val="21"/>
          <w:szCs w:val="21"/>
        </w:rPr>
        <w:t xml:space="preserve">The sample will be representative of ACOG members, but will not be generalizable to </w:t>
      </w:r>
      <w:r w:rsidR="00FA5CAD" w:rsidRPr="00FA5CAD">
        <w:rPr>
          <w:rFonts w:ascii="Arial" w:hAnsi="Arial" w:cs="Arial"/>
          <w:sz w:val="21"/>
          <w:szCs w:val="21"/>
        </w:rPr>
        <w:t>obstetrician-gynecologists beyond ACOG members, all physician types, the healthcare community at large, or the public.</w:t>
      </w:r>
      <w:r w:rsidR="004A37D6">
        <w:rPr>
          <w:rFonts w:ascii="Arial" w:hAnsi="Arial" w:cs="Arial"/>
          <w:sz w:val="21"/>
          <w:szCs w:val="21"/>
        </w:rPr>
        <w:t xml:space="preserve"> </w:t>
      </w:r>
    </w:p>
    <w:p w14:paraId="6851DE95" w14:textId="64AC56E5" w:rsidR="00F707FF" w:rsidRPr="00F707FF" w:rsidRDefault="00F707FF" w:rsidP="00F707FF">
      <w:pPr>
        <w:rPr>
          <w:rFonts w:ascii="Arial" w:hAnsi="Arial" w:cs="Arial"/>
          <w:sz w:val="21"/>
          <w:szCs w:val="21"/>
        </w:rPr>
      </w:pPr>
      <w:r w:rsidRPr="00F707FF">
        <w:rPr>
          <w:rFonts w:ascii="Arial" w:hAnsi="Arial" w:cs="Arial"/>
          <w:sz w:val="21"/>
          <w:szCs w:val="21"/>
        </w:rPr>
        <w:t xml:space="preserve">The </w:t>
      </w:r>
      <w:r w:rsidR="00BD763C">
        <w:rPr>
          <w:rFonts w:ascii="Arial" w:hAnsi="Arial" w:cs="Arial"/>
          <w:sz w:val="21"/>
          <w:szCs w:val="21"/>
        </w:rPr>
        <w:t xml:space="preserve">invitation </w:t>
      </w:r>
      <w:r w:rsidR="00BD763C" w:rsidRPr="004F7EBD">
        <w:rPr>
          <w:rFonts w:ascii="Arial" w:hAnsi="Arial" w:cs="Arial"/>
          <w:sz w:val="21"/>
          <w:szCs w:val="21"/>
        </w:rPr>
        <w:t xml:space="preserve">(Att </w:t>
      </w:r>
      <w:r w:rsidR="004F7EBD">
        <w:rPr>
          <w:rFonts w:ascii="Arial" w:hAnsi="Arial" w:cs="Arial"/>
          <w:sz w:val="21"/>
          <w:szCs w:val="21"/>
        </w:rPr>
        <w:t>B</w:t>
      </w:r>
      <w:r w:rsidR="00BD763C">
        <w:rPr>
          <w:rFonts w:ascii="Arial" w:hAnsi="Arial" w:cs="Arial"/>
          <w:sz w:val="21"/>
          <w:szCs w:val="21"/>
        </w:rPr>
        <w:t xml:space="preserve">) will </w:t>
      </w:r>
      <w:r w:rsidRPr="00F707FF">
        <w:rPr>
          <w:rFonts w:ascii="Arial" w:hAnsi="Arial" w:cs="Arial"/>
          <w:sz w:val="21"/>
          <w:szCs w:val="21"/>
        </w:rPr>
        <w:t xml:space="preserve">orient </w:t>
      </w:r>
      <w:r w:rsidR="004F7EBD">
        <w:rPr>
          <w:rFonts w:ascii="Arial" w:hAnsi="Arial" w:cs="Arial"/>
          <w:sz w:val="21"/>
          <w:szCs w:val="21"/>
        </w:rPr>
        <w:t>survey respondents to the study and</w:t>
      </w:r>
      <w:r w:rsidRPr="00F707FF">
        <w:rPr>
          <w:rFonts w:ascii="Arial" w:hAnsi="Arial" w:cs="Arial"/>
          <w:sz w:val="21"/>
          <w:szCs w:val="21"/>
        </w:rPr>
        <w:t xml:space="preserve"> </w:t>
      </w:r>
      <w:r w:rsidR="00BD763C">
        <w:rPr>
          <w:rFonts w:ascii="Arial" w:hAnsi="Arial" w:cs="Arial"/>
          <w:sz w:val="21"/>
          <w:szCs w:val="21"/>
        </w:rPr>
        <w:t>provide</w:t>
      </w:r>
      <w:r w:rsidRPr="00F707FF">
        <w:rPr>
          <w:rFonts w:ascii="Arial" w:hAnsi="Arial" w:cs="Arial"/>
          <w:sz w:val="21"/>
          <w:szCs w:val="21"/>
        </w:rPr>
        <w:t xml:space="preserve"> a link to a full online survey. The online survey will be administered through </w:t>
      </w:r>
      <w:r w:rsidR="00BD763C">
        <w:rPr>
          <w:rFonts w:ascii="Arial" w:hAnsi="Arial" w:cs="Arial"/>
          <w:sz w:val="21"/>
          <w:szCs w:val="21"/>
        </w:rPr>
        <w:t>Qualtrics</w:t>
      </w:r>
      <w:r w:rsidRPr="00F707FF">
        <w:rPr>
          <w:rFonts w:ascii="Arial" w:hAnsi="Arial" w:cs="Arial"/>
          <w:sz w:val="21"/>
          <w:szCs w:val="21"/>
        </w:rPr>
        <w:t xml:space="preserve"> (</w:t>
      </w:r>
      <w:hyperlink r:id="rId9" w:history="1">
        <w:r w:rsidR="004F7EBD" w:rsidRPr="000059C7">
          <w:rPr>
            <w:rStyle w:val="Hyperlink"/>
            <w:rFonts w:ascii="Arial" w:hAnsi="Arial" w:cs="Arial"/>
            <w:sz w:val="21"/>
            <w:szCs w:val="21"/>
          </w:rPr>
          <w:t>https://acog.az1.qualtrics.com/jfe/form/SV_afJALEIAeqsv5qJ</w:t>
        </w:r>
      </w:hyperlink>
      <w:r w:rsidRPr="00F707FF">
        <w:rPr>
          <w:rFonts w:ascii="Arial" w:hAnsi="Arial" w:cs="Arial"/>
          <w:sz w:val="21"/>
          <w:szCs w:val="21"/>
        </w:rPr>
        <w:t xml:space="preserve">). </w:t>
      </w:r>
      <w:r w:rsidR="00BD763C" w:rsidRPr="00BD763C">
        <w:rPr>
          <w:rFonts w:ascii="Arial" w:hAnsi="Arial" w:cs="Arial"/>
          <w:sz w:val="21"/>
          <w:szCs w:val="21"/>
        </w:rPr>
        <w:t>F</w:t>
      </w:r>
      <w:r w:rsidRPr="00BD763C">
        <w:rPr>
          <w:rFonts w:ascii="Arial" w:hAnsi="Arial" w:cs="Arial"/>
          <w:sz w:val="21"/>
          <w:szCs w:val="21"/>
        </w:rPr>
        <w:t>o</w:t>
      </w:r>
      <w:r w:rsidRPr="00F707FF">
        <w:rPr>
          <w:rFonts w:ascii="Arial" w:hAnsi="Arial" w:cs="Arial"/>
          <w:sz w:val="21"/>
          <w:szCs w:val="21"/>
        </w:rPr>
        <w:t>llow-up email reminders</w:t>
      </w:r>
      <w:r w:rsidR="004F7EBD">
        <w:rPr>
          <w:rFonts w:ascii="Arial" w:hAnsi="Arial" w:cs="Arial"/>
          <w:sz w:val="21"/>
          <w:szCs w:val="21"/>
        </w:rPr>
        <w:t xml:space="preserve"> (Att C)</w:t>
      </w:r>
      <w:r w:rsidRPr="00F707FF">
        <w:rPr>
          <w:rFonts w:ascii="Arial" w:hAnsi="Arial" w:cs="Arial"/>
          <w:sz w:val="21"/>
          <w:szCs w:val="21"/>
        </w:rPr>
        <w:t xml:space="preserve"> will be sent </w:t>
      </w:r>
      <w:r w:rsidR="00BD763C">
        <w:rPr>
          <w:rFonts w:ascii="Arial" w:hAnsi="Arial" w:cs="Arial"/>
          <w:sz w:val="21"/>
          <w:szCs w:val="21"/>
        </w:rPr>
        <w:t xml:space="preserve">each week for </w:t>
      </w:r>
      <w:r w:rsidR="004F7EBD">
        <w:rPr>
          <w:rFonts w:ascii="Arial" w:hAnsi="Arial" w:cs="Arial"/>
          <w:sz w:val="21"/>
          <w:szCs w:val="21"/>
        </w:rPr>
        <w:t>9</w:t>
      </w:r>
      <w:r w:rsidR="00BD763C">
        <w:rPr>
          <w:rFonts w:ascii="Arial" w:hAnsi="Arial" w:cs="Arial"/>
          <w:sz w:val="21"/>
          <w:szCs w:val="21"/>
        </w:rPr>
        <w:t xml:space="preserve"> weeks </w:t>
      </w:r>
      <w:r w:rsidR="003221F8">
        <w:rPr>
          <w:rFonts w:ascii="Arial" w:hAnsi="Arial" w:cs="Arial"/>
          <w:sz w:val="21"/>
          <w:szCs w:val="21"/>
        </w:rPr>
        <w:t xml:space="preserve">to </w:t>
      </w:r>
      <w:r w:rsidR="003221F8" w:rsidRPr="00262EAC">
        <w:rPr>
          <w:rFonts w:ascii="Arial" w:hAnsi="Arial" w:cs="Arial"/>
          <w:sz w:val="21"/>
          <w:szCs w:val="21"/>
        </w:rPr>
        <w:t>individuals who have neither complete</w:t>
      </w:r>
      <w:r w:rsidR="004F7EBD">
        <w:rPr>
          <w:rFonts w:ascii="Arial" w:hAnsi="Arial" w:cs="Arial"/>
          <w:sz w:val="21"/>
          <w:szCs w:val="21"/>
        </w:rPr>
        <w:t>d the survey nor have opted out</w:t>
      </w:r>
      <w:r w:rsidRPr="00F707FF">
        <w:rPr>
          <w:rFonts w:ascii="Arial" w:hAnsi="Arial" w:cs="Arial"/>
          <w:sz w:val="21"/>
          <w:szCs w:val="21"/>
        </w:rPr>
        <w:t>.</w:t>
      </w:r>
      <w:r w:rsidR="00BD763C">
        <w:rPr>
          <w:rFonts w:ascii="Arial" w:hAnsi="Arial" w:cs="Arial"/>
          <w:sz w:val="21"/>
          <w:szCs w:val="21"/>
        </w:rPr>
        <w:t xml:space="preserve"> </w:t>
      </w:r>
      <w:r w:rsidRPr="00F707FF">
        <w:rPr>
          <w:rFonts w:ascii="Arial" w:hAnsi="Arial" w:cs="Arial"/>
          <w:sz w:val="21"/>
          <w:szCs w:val="21"/>
        </w:rPr>
        <w:t xml:space="preserve">Those who do not respond </w:t>
      </w:r>
      <w:r w:rsidR="00BD763C">
        <w:rPr>
          <w:rFonts w:ascii="Arial" w:hAnsi="Arial" w:cs="Arial"/>
          <w:sz w:val="21"/>
          <w:szCs w:val="21"/>
        </w:rPr>
        <w:t xml:space="preserve">or opt-out </w:t>
      </w:r>
      <w:r w:rsidRPr="00F707FF">
        <w:rPr>
          <w:rFonts w:ascii="Arial" w:hAnsi="Arial" w:cs="Arial"/>
          <w:sz w:val="21"/>
          <w:szCs w:val="21"/>
        </w:rPr>
        <w:t xml:space="preserve">after </w:t>
      </w:r>
      <w:r w:rsidR="004F7EBD">
        <w:rPr>
          <w:rFonts w:ascii="Arial" w:hAnsi="Arial" w:cs="Arial"/>
          <w:sz w:val="21"/>
          <w:szCs w:val="21"/>
        </w:rPr>
        <w:t>3</w:t>
      </w:r>
      <w:r w:rsidR="00740FED">
        <w:rPr>
          <w:rFonts w:ascii="Arial" w:hAnsi="Arial" w:cs="Arial"/>
          <w:sz w:val="21"/>
          <w:szCs w:val="21"/>
        </w:rPr>
        <w:t xml:space="preserve"> follow-up </w:t>
      </w:r>
      <w:r w:rsidRPr="00F707FF">
        <w:rPr>
          <w:rFonts w:ascii="Arial" w:hAnsi="Arial" w:cs="Arial"/>
          <w:sz w:val="21"/>
          <w:szCs w:val="21"/>
        </w:rPr>
        <w:t>email reminders will be sent a mailin</w:t>
      </w:r>
      <w:r w:rsidR="00740FED">
        <w:rPr>
          <w:rFonts w:ascii="Arial" w:hAnsi="Arial" w:cs="Arial"/>
          <w:sz w:val="21"/>
          <w:szCs w:val="21"/>
        </w:rPr>
        <w:t>g with the following materials:</w:t>
      </w:r>
      <w:r w:rsidRPr="00F707FF">
        <w:rPr>
          <w:rFonts w:ascii="Arial" w:hAnsi="Arial" w:cs="Arial"/>
          <w:sz w:val="21"/>
          <w:szCs w:val="21"/>
        </w:rPr>
        <w:t xml:space="preserve"> the cover letter for paper survey </w:t>
      </w:r>
      <w:r w:rsidRPr="004F7EBD">
        <w:rPr>
          <w:rFonts w:ascii="Arial" w:hAnsi="Arial" w:cs="Arial"/>
          <w:sz w:val="21"/>
          <w:szCs w:val="21"/>
        </w:rPr>
        <w:t xml:space="preserve">(Att </w:t>
      </w:r>
      <w:r w:rsidR="004F7EBD" w:rsidRPr="004F7EBD">
        <w:rPr>
          <w:rFonts w:ascii="Arial" w:hAnsi="Arial" w:cs="Arial"/>
          <w:sz w:val="21"/>
          <w:szCs w:val="21"/>
        </w:rPr>
        <w:t>D</w:t>
      </w:r>
      <w:r w:rsidRPr="004F7EBD">
        <w:rPr>
          <w:rFonts w:ascii="Arial" w:hAnsi="Arial" w:cs="Arial"/>
          <w:sz w:val="21"/>
          <w:szCs w:val="21"/>
        </w:rPr>
        <w:t xml:space="preserve">), a paper version of the survey (Att </w:t>
      </w:r>
      <w:r w:rsidR="004F7EBD" w:rsidRPr="004F7EBD">
        <w:rPr>
          <w:rFonts w:ascii="Arial" w:hAnsi="Arial" w:cs="Arial"/>
          <w:sz w:val="21"/>
          <w:szCs w:val="21"/>
        </w:rPr>
        <w:t>A</w:t>
      </w:r>
      <w:r w:rsidRPr="004F7EBD">
        <w:rPr>
          <w:rFonts w:ascii="Arial" w:hAnsi="Arial" w:cs="Arial"/>
          <w:sz w:val="21"/>
          <w:szCs w:val="21"/>
        </w:rPr>
        <w:t>), an</w:t>
      </w:r>
      <w:r w:rsidRPr="00F707FF">
        <w:rPr>
          <w:rFonts w:ascii="Arial" w:hAnsi="Arial" w:cs="Arial"/>
          <w:sz w:val="21"/>
          <w:szCs w:val="21"/>
        </w:rPr>
        <w:t xml:space="preserve">d pre-paid coded return envelope. </w:t>
      </w:r>
      <w:r w:rsidR="00C640D8">
        <w:rPr>
          <w:rFonts w:ascii="Arial" w:hAnsi="Arial" w:cs="Arial"/>
          <w:sz w:val="21"/>
          <w:szCs w:val="21"/>
        </w:rPr>
        <w:t>The survey will close 10</w:t>
      </w:r>
      <w:r w:rsidR="003221F8" w:rsidRPr="00262EAC">
        <w:rPr>
          <w:rFonts w:ascii="Arial" w:hAnsi="Arial" w:cs="Arial"/>
          <w:sz w:val="21"/>
          <w:szCs w:val="21"/>
        </w:rPr>
        <w:t xml:space="preserve"> weeks after the initial invitations are sent.</w:t>
      </w:r>
      <w:r w:rsidR="003221F8">
        <w:rPr>
          <w:rFonts w:ascii="Arial" w:hAnsi="Arial" w:cs="Arial"/>
          <w:sz w:val="21"/>
          <w:szCs w:val="21"/>
        </w:rPr>
        <w:t xml:space="preserve"> </w:t>
      </w:r>
      <w:r w:rsidRPr="00F707FF">
        <w:rPr>
          <w:rFonts w:ascii="Arial" w:hAnsi="Arial" w:cs="Arial"/>
          <w:sz w:val="21"/>
          <w:szCs w:val="21"/>
        </w:rPr>
        <w:t xml:space="preserve">ACOG will assign an identification number to track respondents versus non-respondents to maintain anonymity of responses overall. </w:t>
      </w:r>
    </w:p>
    <w:p w14:paraId="2BB6A19D" w14:textId="00CFE602" w:rsidR="00F707FF" w:rsidRPr="00262EAC" w:rsidRDefault="00F707FF" w:rsidP="00F707FF">
      <w:pPr>
        <w:rPr>
          <w:rFonts w:ascii="Arial" w:hAnsi="Arial" w:cs="Arial"/>
          <w:sz w:val="21"/>
          <w:szCs w:val="21"/>
        </w:rPr>
      </w:pPr>
      <w:r w:rsidRPr="00F707FF">
        <w:rPr>
          <w:rFonts w:ascii="Arial" w:hAnsi="Arial" w:cs="Arial"/>
          <w:sz w:val="21"/>
          <w:szCs w:val="21"/>
        </w:rPr>
        <w:t xml:space="preserve">ACOG will develop a data entry system and codebook and enter data after the last mailing deadline has been reached. Electronic data will be downloaded from </w:t>
      </w:r>
      <w:r w:rsidR="003221F8">
        <w:rPr>
          <w:rFonts w:ascii="Arial" w:hAnsi="Arial" w:cs="Arial"/>
          <w:sz w:val="21"/>
          <w:szCs w:val="21"/>
        </w:rPr>
        <w:t>Qualtrics</w:t>
      </w:r>
      <w:r w:rsidRPr="00F707FF">
        <w:rPr>
          <w:rFonts w:ascii="Arial" w:hAnsi="Arial" w:cs="Arial"/>
          <w:sz w:val="21"/>
          <w:szCs w:val="21"/>
        </w:rPr>
        <w:t xml:space="preserve"> to a Microsoft Excel file. ACOG </w:t>
      </w:r>
      <w:r w:rsidR="003221F8">
        <w:rPr>
          <w:rFonts w:ascii="Arial" w:hAnsi="Arial" w:cs="Arial"/>
          <w:sz w:val="21"/>
          <w:szCs w:val="21"/>
        </w:rPr>
        <w:t xml:space="preserve">Research staff </w:t>
      </w:r>
      <w:r w:rsidRPr="00F707FF">
        <w:rPr>
          <w:rFonts w:ascii="Arial" w:hAnsi="Arial" w:cs="Arial"/>
          <w:sz w:val="21"/>
          <w:szCs w:val="21"/>
        </w:rPr>
        <w:t xml:space="preserve">will enter responses from the paper survey into a Microsoft Excel spreadsheet which will then be combined with the downloaded spreadsheet of electronic responses from </w:t>
      </w:r>
      <w:r w:rsidR="003221F8">
        <w:rPr>
          <w:rFonts w:ascii="Arial" w:hAnsi="Arial" w:cs="Arial"/>
          <w:sz w:val="21"/>
          <w:szCs w:val="21"/>
        </w:rPr>
        <w:t>Qualtrics</w:t>
      </w:r>
      <w:r w:rsidRPr="00F707FF">
        <w:rPr>
          <w:rFonts w:ascii="Arial" w:hAnsi="Arial" w:cs="Arial"/>
          <w:sz w:val="21"/>
          <w:szCs w:val="21"/>
        </w:rPr>
        <w:t>. Excel files will be converted into an SPSS data file for statistical analysis with a coded identification number</w:t>
      </w:r>
      <w:r w:rsidR="003221F8">
        <w:rPr>
          <w:rFonts w:ascii="Arial" w:hAnsi="Arial" w:cs="Arial"/>
          <w:sz w:val="21"/>
          <w:szCs w:val="21"/>
        </w:rPr>
        <w:t xml:space="preserve"> and demographic information </w:t>
      </w:r>
      <w:r w:rsidRPr="00F707FF">
        <w:rPr>
          <w:rFonts w:ascii="Arial" w:hAnsi="Arial" w:cs="Arial"/>
          <w:sz w:val="21"/>
          <w:szCs w:val="21"/>
        </w:rPr>
        <w:t>for Fellows who were sent the survey. This allows ACOG to compare the basic demographic characteristics of respondents and non-respondents. An initial data analysis will be performed to screen for highly implausible answers (e.g. Fellows who completed residency training at age 8), inconsistent answers (e.g., contradictory responses to similar questions), and to check randomly selected survey items for data entry accuracy.</w:t>
      </w:r>
    </w:p>
    <w:p w14:paraId="39D762C3" w14:textId="455317D7" w:rsidR="00262EAC" w:rsidRDefault="00357B8F" w:rsidP="005D7A08">
      <w:pPr>
        <w:rPr>
          <w:rFonts w:ascii="Arial" w:hAnsi="Arial" w:cs="Arial"/>
          <w:sz w:val="21"/>
          <w:szCs w:val="21"/>
          <w:u w:val="single"/>
        </w:rPr>
      </w:pPr>
      <w:r w:rsidRPr="00F707FF">
        <w:rPr>
          <w:rFonts w:ascii="Arial" w:hAnsi="Arial" w:cs="Arial"/>
          <w:sz w:val="21"/>
          <w:szCs w:val="21"/>
          <w:u w:val="single"/>
        </w:rPr>
        <w:t>Focus Grou</w:t>
      </w:r>
      <w:r w:rsidR="00262EAC" w:rsidRPr="00F707FF">
        <w:rPr>
          <w:rFonts w:ascii="Arial" w:hAnsi="Arial" w:cs="Arial"/>
          <w:sz w:val="21"/>
          <w:szCs w:val="21"/>
          <w:u w:val="single"/>
        </w:rPr>
        <w:t>ps of Healthcare Providers</w:t>
      </w:r>
    </w:p>
    <w:p w14:paraId="2ACA8CDA" w14:textId="77777777" w:rsidR="00371DF9" w:rsidRPr="00EB5467" w:rsidRDefault="00411357" w:rsidP="00371DF9">
      <w:pPr>
        <w:rPr>
          <w:rFonts w:ascii="Arial" w:hAnsi="Arial" w:cs="Arial"/>
          <w:sz w:val="21"/>
          <w:szCs w:val="21"/>
        </w:rPr>
      </w:pPr>
      <w:r w:rsidRPr="00EB5467">
        <w:rPr>
          <w:rFonts w:ascii="Arial" w:hAnsi="Arial" w:cs="Arial"/>
          <w:sz w:val="21"/>
          <w:szCs w:val="21"/>
        </w:rPr>
        <w:t xml:space="preserve">APCO </w:t>
      </w:r>
      <w:r w:rsidR="002A176F" w:rsidRPr="00EB5467">
        <w:rPr>
          <w:rFonts w:ascii="Arial" w:hAnsi="Arial" w:cs="Arial"/>
          <w:sz w:val="21"/>
          <w:szCs w:val="21"/>
        </w:rPr>
        <w:t xml:space="preserve">Worldwide </w:t>
      </w:r>
      <w:r w:rsidRPr="00EB5467">
        <w:rPr>
          <w:rFonts w:ascii="Arial" w:hAnsi="Arial" w:cs="Arial"/>
          <w:sz w:val="21"/>
          <w:szCs w:val="21"/>
        </w:rPr>
        <w:t xml:space="preserve">will coordinate recruitment for the focus groups, which will consist of 8-20 providers each, with their online panel provider M3 Global Research. </w:t>
      </w:r>
      <w:r w:rsidR="00FA5C4C" w:rsidRPr="00EB5467">
        <w:rPr>
          <w:rFonts w:ascii="Arial" w:hAnsi="Arial" w:cs="Arial"/>
          <w:sz w:val="21"/>
          <w:szCs w:val="21"/>
        </w:rPr>
        <w:t xml:space="preserve">Appropriate provider types for the panels will be invited by M3 Global Research from their panel of healthcare professionals who have opted in to receiving invitations to participate in market research. </w:t>
      </w:r>
      <w:r w:rsidR="00E03ADB" w:rsidRPr="00EB5467">
        <w:rPr>
          <w:rFonts w:ascii="Arial" w:hAnsi="Arial" w:cs="Arial"/>
          <w:sz w:val="21"/>
          <w:szCs w:val="21"/>
        </w:rPr>
        <w:t xml:space="preserve">Potential participants for the focus groups will be screened during recruitment to ensure they meet the criteria for inclusion (Att G). The target audience is ob-gyns, pediatricians, nurse practitioners, and certified nurse-midwives; </w:t>
      </w:r>
      <w:r w:rsidR="00E03ADB" w:rsidRPr="00EB5467">
        <w:rPr>
          <w:rFonts w:ascii="Arial" w:hAnsi="Arial" w:cs="Arial"/>
          <w:sz w:val="21"/>
          <w:szCs w:val="21"/>
        </w:rPr>
        <w:lastRenderedPageBreak/>
        <w:t>the screener will filter out candidates that don’t meet those specifications. Certain subspecialties and individuals spending less than 75% of their professional time treating patients will also be excluded so that participant</w:t>
      </w:r>
      <w:r w:rsidR="00322A72" w:rsidRPr="00EB5467">
        <w:rPr>
          <w:rFonts w:ascii="Arial" w:hAnsi="Arial" w:cs="Arial"/>
          <w:sz w:val="21"/>
          <w:szCs w:val="21"/>
        </w:rPr>
        <w:t>s are more representative of the audience to which Zika education has been targeted.</w:t>
      </w:r>
      <w:r w:rsidR="00371DF9" w:rsidRPr="00EB5467">
        <w:rPr>
          <w:rFonts w:ascii="Arial" w:hAnsi="Arial" w:cs="Arial"/>
          <w:sz w:val="21"/>
          <w:szCs w:val="21"/>
        </w:rPr>
        <w:t xml:space="preserve"> Based on the screening criteria and scheduling requirements, it is anticipated that approximately 25% of individuals screened will ultimately be scheduled to participate in a focus group.</w:t>
      </w:r>
    </w:p>
    <w:p w14:paraId="1FC676EA" w14:textId="3FC9C53F" w:rsidR="00FF5464" w:rsidRDefault="00411357" w:rsidP="005D7A08">
      <w:pPr>
        <w:rPr>
          <w:rFonts w:ascii="Arial" w:hAnsi="Arial" w:cs="Arial"/>
          <w:sz w:val="21"/>
          <w:szCs w:val="21"/>
        </w:rPr>
      </w:pPr>
      <w:r w:rsidRPr="00411357">
        <w:rPr>
          <w:rFonts w:ascii="Arial" w:hAnsi="Arial" w:cs="Arial"/>
          <w:sz w:val="21"/>
          <w:szCs w:val="21"/>
        </w:rPr>
        <w:t>After recruitment is complete, APCO will host the 90-minute virtual focus groups</w:t>
      </w:r>
      <w:r w:rsidR="00E318F4">
        <w:rPr>
          <w:rFonts w:ascii="Arial" w:hAnsi="Arial" w:cs="Arial"/>
          <w:sz w:val="21"/>
          <w:szCs w:val="21"/>
        </w:rPr>
        <w:t xml:space="preserve"> facilitated by a moderator. Discussion guide q</w:t>
      </w:r>
      <w:r>
        <w:rPr>
          <w:rFonts w:ascii="Arial" w:hAnsi="Arial" w:cs="Arial"/>
          <w:sz w:val="21"/>
          <w:szCs w:val="21"/>
        </w:rPr>
        <w:t>uestions (free response, ranking, check all that apply, and Likert-style scales)</w:t>
      </w:r>
      <w:r w:rsidRPr="00411357">
        <w:rPr>
          <w:rFonts w:ascii="Arial" w:hAnsi="Arial" w:cs="Arial"/>
          <w:sz w:val="21"/>
          <w:szCs w:val="21"/>
        </w:rPr>
        <w:t xml:space="preserve"> </w:t>
      </w:r>
      <w:r>
        <w:rPr>
          <w:rFonts w:ascii="Arial" w:hAnsi="Arial" w:cs="Arial"/>
          <w:sz w:val="21"/>
          <w:szCs w:val="21"/>
        </w:rPr>
        <w:t xml:space="preserve">will appear on participants’ computer screens </w:t>
      </w:r>
      <w:r w:rsidR="00AE5F99">
        <w:rPr>
          <w:rFonts w:ascii="Arial" w:hAnsi="Arial" w:cs="Arial"/>
          <w:sz w:val="21"/>
          <w:szCs w:val="21"/>
        </w:rPr>
        <w:t>and participants will type or complete the questions</w:t>
      </w:r>
      <w:r w:rsidR="00E318F4">
        <w:rPr>
          <w:rFonts w:ascii="Arial" w:hAnsi="Arial" w:cs="Arial"/>
          <w:sz w:val="21"/>
          <w:szCs w:val="21"/>
        </w:rPr>
        <w:t xml:space="preserve"> (</w:t>
      </w:r>
      <w:r w:rsidR="00E318F4" w:rsidRPr="00F830FD">
        <w:rPr>
          <w:rFonts w:ascii="Arial" w:hAnsi="Arial" w:cs="Arial"/>
          <w:sz w:val="21"/>
          <w:szCs w:val="21"/>
        </w:rPr>
        <w:t xml:space="preserve">Att </w:t>
      </w:r>
      <w:r w:rsidR="00F830FD">
        <w:rPr>
          <w:rFonts w:ascii="Arial" w:hAnsi="Arial" w:cs="Arial"/>
          <w:sz w:val="21"/>
          <w:szCs w:val="21"/>
        </w:rPr>
        <w:t>F</w:t>
      </w:r>
      <w:r w:rsidR="00E318F4">
        <w:rPr>
          <w:rFonts w:ascii="Arial" w:hAnsi="Arial" w:cs="Arial"/>
          <w:sz w:val="21"/>
          <w:szCs w:val="21"/>
        </w:rPr>
        <w:t>)</w:t>
      </w:r>
      <w:r w:rsidR="00AE5F99">
        <w:rPr>
          <w:rFonts w:ascii="Arial" w:hAnsi="Arial" w:cs="Arial"/>
          <w:sz w:val="21"/>
          <w:szCs w:val="21"/>
        </w:rPr>
        <w:t xml:space="preserve">. Participants will not appear on video </w:t>
      </w:r>
      <w:r w:rsidR="00FA5CAD">
        <w:rPr>
          <w:rFonts w:ascii="Arial" w:hAnsi="Arial" w:cs="Arial"/>
          <w:sz w:val="21"/>
          <w:szCs w:val="21"/>
        </w:rPr>
        <w:t xml:space="preserve">or audio, </w:t>
      </w:r>
      <w:r w:rsidR="00AE5F99">
        <w:rPr>
          <w:rFonts w:ascii="Arial" w:hAnsi="Arial" w:cs="Arial"/>
          <w:sz w:val="21"/>
          <w:szCs w:val="21"/>
        </w:rPr>
        <w:t xml:space="preserve">nor will they see other participants’ responses. </w:t>
      </w:r>
      <w:r w:rsidR="00C97A9B">
        <w:rPr>
          <w:rFonts w:ascii="Arial" w:hAnsi="Arial" w:cs="Arial"/>
          <w:sz w:val="21"/>
          <w:szCs w:val="21"/>
        </w:rPr>
        <w:t xml:space="preserve">The moderator will also initiate instant messaging chat discussions in which participants will be able to see other participants’ comments and respond to them. The moderator may also initiate private chats with individual participants which cannot </w:t>
      </w:r>
      <w:r w:rsidR="008C1DF4">
        <w:rPr>
          <w:rFonts w:ascii="Arial" w:hAnsi="Arial" w:cs="Arial"/>
          <w:sz w:val="21"/>
          <w:szCs w:val="21"/>
        </w:rPr>
        <w:t xml:space="preserve">be seen by other participants. </w:t>
      </w:r>
    </w:p>
    <w:p w14:paraId="60CD9934" w14:textId="0206B7B4" w:rsidR="009630C5" w:rsidRPr="00FF5464" w:rsidRDefault="009630C5" w:rsidP="005D7A08">
      <w:pPr>
        <w:rPr>
          <w:rFonts w:ascii="Arial" w:hAnsi="Arial" w:cs="Arial"/>
          <w:sz w:val="21"/>
          <w:szCs w:val="21"/>
        </w:rPr>
      </w:pPr>
      <w:r w:rsidRPr="009630C5">
        <w:rPr>
          <w:rFonts w:ascii="Arial" w:hAnsi="Arial" w:cs="Arial"/>
          <w:sz w:val="21"/>
          <w:szCs w:val="21"/>
        </w:rPr>
        <w:t xml:space="preserve">APCO’s research staff will collect, organize, and analyze the </w:t>
      </w:r>
      <w:r>
        <w:rPr>
          <w:rFonts w:ascii="Arial" w:hAnsi="Arial" w:cs="Arial"/>
          <w:sz w:val="21"/>
          <w:szCs w:val="21"/>
        </w:rPr>
        <w:t xml:space="preserve">qualitative and quantitative </w:t>
      </w:r>
      <w:r w:rsidRPr="009630C5">
        <w:rPr>
          <w:rFonts w:ascii="Arial" w:hAnsi="Arial" w:cs="Arial"/>
          <w:sz w:val="21"/>
          <w:szCs w:val="21"/>
        </w:rPr>
        <w:t xml:space="preserve">data </w:t>
      </w:r>
      <w:r>
        <w:rPr>
          <w:rFonts w:ascii="Arial" w:hAnsi="Arial" w:cs="Arial"/>
          <w:sz w:val="21"/>
          <w:szCs w:val="21"/>
        </w:rPr>
        <w:t xml:space="preserve">acquired </w:t>
      </w:r>
      <w:r w:rsidRPr="009630C5">
        <w:rPr>
          <w:rFonts w:ascii="Arial" w:hAnsi="Arial" w:cs="Arial"/>
          <w:sz w:val="21"/>
          <w:szCs w:val="21"/>
        </w:rPr>
        <w:t xml:space="preserve">to identify key themes and trends. Due to the </w:t>
      </w:r>
      <w:r w:rsidR="00E318F4">
        <w:rPr>
          <w:rFonts w:ascii="Arial" w:hAnsi="Arial" w:cs="Arial"/>
          <w:sz w:val="21"/>
          <w:szCs w:val="21"/>
        </w:rPr>
        <w:t>qualitative nature of the study and small</w:t>
      </w:r>
      <w:r w:rsidRPr="009630C5">
        <w:rPr>
          <w:rFonts w:ascii="Arial" w:hAnsi="Arial" w:cs="Arial"/>
          <w:sz w:val="21"/>
          <w:szCs w:val="21"/>
        </w:rPr>
        <w:t xml:space="preserve"> sample sizes within groups</w:t>
      </w:r>
      <w:r w:rsidR="00E318F4">
        <w:rPr>
          <w:rFonts w:ascii="Arial" w:hAnsi="Arial" w:cs="Arial"/>
          <w:sz w:val="21"/>
          <w:szCs w:val="21"/>
        </w:rPr>
        <w:t>, it will not be possible t</w:t>
      </w:r>
      <w:r w:rsidRPr="009630C5">
        <w:rPr>
          <w:rFonts w:ascii="Arial" w:hAnsi="Arial" w:cs="Arial"/>
          <w:sz w:val="21"/>
          <w:szCs w:val="21"/>
        </w:rPr>
        <w:t>o conduct analysis that rises to the level of statistical significance.</w:t>
      </w:r>
    </w:p>
    <w:p w14:paraId="1A2B7280" w14:textId="1BCCA063" w:rsidR="00357B8F" w:rsidRDefault="00357B8F" w:rsidP="005D7A08">
      <w:pPr>
        <w:rPr>
          <w:rFonts w:ascii="Arial" w:hAnsi="Arial" w:cs="Arial"/>
          <w:sz w:val="21"/>
          <w:szCs w:val="21"/>
          <w:u w:val="single"/>
        </w:rPr>
      </w:pPr>
      <w:r w:rsidRPr="00066E5C">
        <w:rPr>
          <w:rFonts w:ascii="Arial" w:hAnsi="Arial" w:cs="Arial"/>
          <w:sz w:val="21"/>
          <w:szCs w:val="21"/>
          <w:u w:val="single"/>
        </w:rPr>
        <w:t>Survey of Local Health Department CDC Field Assignees</w:t>
      </w:r>
    </w:p>
    <w:p w14:paraId="3E689F81" w14:textId="4DE46BFE" w:rsidR="00FF5464" w:rsidRPr="00FF5464" w:rsidRDefault="00FF5464" w:rsidP="00FF5464">
      <w:pPr>
        <w:rPr>
          <w:rFonts w:ascii="Arial" w:hAnsi="Arial" w:cs="Arial"/>
          <w:sz w:val="21"/>
          <w:szCs w:val="21"/>
        </w:rPr>
      </w:pPr>
      <w:r w:rsidRPr="00FF5464">
        <w:rPr>
          <w:rFonts w:ascii="Arial" w:hAnsi="Arial" w:cs="Arial"/>
          <w:sz w:val="21"/>
          <w:szCs w:val="21"/>
        </w:rPr>
        <w:t xml:space="preserve">The survey will be administered </w:t>
      </w:r>
      <w:r>
        <w:rPr>
          <w:rFonts w:ascii="Arial" w:hAnsi="Arial" w:cs="Arial"/>
          <w:sz w:val="21"/>
          <w:szCs w:val="21"/>
        </w:rPr>
        <w:t>electronically</w:t>
      </w:r>
      <w:r w:rsidRPr="00FF5464">
        <w:rPr>
          <w:rFonts w:ascii="Arial" w:hAnsi="Arial" w:cs="Arial"/>
          <w:sz w:val="21"/>
          <w:szCs w:val="21"/>
        </w:rPr>
        <w:t xml:space="preserve">. </w:t>
      </w:r>
      <w:r w:rsidR="00AC2FC2">
        <w:rPr>
          <w:rFonts w:ascii="Arial" w:hAnsi="Arial" w:cs="Arial"/>
          <w:sz w:val="21"/>
          <w:szCs w:val="21"/>
        </w:rPr>
        <w:t>ACOG</w:t>
      </w:r>
      <w:r w:rsidRPr="00FF5464">
        <w:rPr>
          <w:rFonts w:ascii="Arial" w:hAnsi="Arial" w:cs="Arial"/>
          <w:sz w:val="21"/>
          <w:szCs w:val="21"/>
        </w:rPr>
        <w:t xml:space="preserve"> Research staff will send the survey invitation by email to </w:t>
      </w:r>
      <w:r>
        <w:rPr>
          <w:rFonts w:ascii="Arial" w:hAnsi="Arial" w:cs="Arial"/>
          <w:sz w:val="21"/>
          <w:szCs w:val="21"/>
        </w:rPr>
        <w:t xml:space="preserve">the 22 CDC field assignees who participated in the Local Health Department Initiative calls. </w:t>
      </w:r>
      <w:r w:rsidRPr="00FF5464">
        <w:rPr>
          <w:rFonts w:ascii="Arial" w:hAnsi="Arial" w:cs="Arial"/>
          <w:sz w:val="21"/>
          <w:szCs w:val="21"/>
        </w:rPr>
        <w:t>The invitation (</w:t>
      </w:r>
      <w:r w:rsidRPr="00F830FD">
        <w:rPr>
          <w:rFonts w:ascii="Arial" w:hAnsi="Arial" w:cs="Arial"/>
          <w:sz w:val="21"/>
          <w:szCs w:val="21"/>
        </w:rPr>
        <w:t xml:space="preserve">Att </w:t>
      </w:r>
      <w:r w:rsidR="00F830FD">
        <w:rPr>
          <w:rFonts w:ascii="Arial" w:hAnsi="Arial" w:cs="Arial"/>
          <w:sz w:val="21"/>
          <w:szCs w:val="21"/>
        </w:rPr>
        <w:t>J</w:t>
      </w:r>
      <w:r w:rsidRPr="00FF5464">
        <w:rPr>
          <w:rFonts w:ascii="Arial" w:hAnsi="Arial" w:cs="Arial"/>
          <w:sz w:val="21"/>
          <w:szCs w:val="21"/>
        </w:rPr>
        <w:t xml:space="preserve">) will orient </w:t>
      </w:r>
      <w:r w:rsidR="00572C7D">
        <w:rPr>
          <w:rFonts w:ascii="Arial" w:hAnsi="Arial" w:cs="Arial"/>
          <w:sz w:val="21"/>
          <w:szCs w:val="21"/>
        </w:rPr>
        <w:t>survey respondents to the study</w:t>
      </w:r>
      <w:r w:rsidRPr="00FF5464">
        <w:rPr>
          <w:rFonts w:ascii="Arial" w:hAnsi="Arial" w:cs="Arial"/>
          <w:sz w:val="21"/>
          <w:szCs w:val="21"/>
        </w:rPr>
        <w:t xml:space="preserve"> and provide a link to a full online survey. The online survey will be administered through Qualtrics (</w:t>
      </w:r>
      <w:r w:rsidRPr="00F830FD">
        <w:rPr>
          <w:rFonts w:ascii="Arial" w:hAnsi="Arial" w:cs="Arial"/>
          <w:sz w:val="21"/>
          <w:szCs w:val="21"/>
        </w:rPr>
        <w:t xml:space="preserve">Att </w:t>
      </w:r>
      <w:r w:rsidR="00F830FD">
        <w:rPr>
          <w:rFonts w:ascii="Arial" w:hAnsi="Arial" w:cs="Arial"/>
          <w:sz w:val="21"/>
          <w:szCs w:val="21"/>
        </w:rPr>
        <w:t>I</w:t>
      </w:r>
      <w:r w:rsidRPr="00FF5464">
        <w:rPr>
          <w:rFonts w:ascii="Arial" w:hAnsi="Arial" w:cs="Arial"/>
          <w:sz w:val="21"/>
          <w:szCs w:val="21"/>
        </w:rPr>
        <w:t xml:space="preserve">). Follow-up email reminders will be sent each week for </w:t>
      </w:r>
      <w:r w:rsidR="00F830FD">
        <w:rPr>
          <w:rFonts w:ascii="Arial" w:hAnsi="Arial" w:cs="Arial"/>
          <w:sz w:val="21"/>
          <w:szCs w:val="21"/>
        </w:rPr>
        <w:t>6</w:t>
      </w:r>
      <w:r w:rsidRPr="00FF5464">
        <w:rPr>
          <w:rFonts w:ascii="Arial" w:hAnsi="Arial" w:cs="Arial"/>
          <w:sz w:val="21"/>
          <w:szCs w:val="21"/>
        </w:rPr>
        <w:t xml:space="preserve"> weeks to individuals who have neither completed the survey nor have opted out (</w:t>
      </w:r>
      <w:r w:rsidRPr="00F830FD">
        <w:rPr>
          <w:rFonts w:ascii="Arial" w:hAnsi="Arial" w:cs="Arial"/>
          <w:sz w:val="21"/>
          <w:szCs w:val="21"/>
        </w:rPr>
        <w:t xml:space="preserve">Att </w:t>
      </w:r>
      <w:r w:rsidR="00F830FD">
        <w:rPr>
          <w:rFonts w:ascii="Arial" w:hAnsi="Arial" w:cs="Arial"/>
          <w:sz w:val="21"/>
          <w:szCs w:val="21"/>
        </w:rPr>
        <w:t>K</w:t>
      </w:r>
      <w:r w:rsidRPr="00FF5464">
        <w:rPr>
          <w:rFonts w:ascii="Arial" w:hAnsi="Arial" w:cs="Arial"/>
          <w:sz w:val="21"/>
          <w:szCs w:val="21"/>
        </w:rPr>
        <w:t xml:space="preserve">). ACOG will assign an identification number to track respondents versus non-respondents to maintain anonymity of responses overall. </w:t>
      </w:r>
    </w:p>
    <w:p w14:paraId="1431C458" w14:textId="213AA02B" w:rsidR="00FF5464" w:rsidRDefault="00FF5464" w:rsidP="005D7A08">
      <w:pPr>
        <w:rPr>
          <w:rFonts w:ascii="Arial" w:hAnsi="Arial" w:cs="Arial"/>
          <w:sz w:val="21"/>
          <w:szCs w:val="21"/>
        </w:rPr>
      </w:pPr>
      <w:r w:rsidRPr="00FF5464">
        <w:rPr>
          <w:rFonts w:ascii="Arial" w:hAnsi="Arial" w:cs="Arial"/>
          <w:sz w:val="21"/>
          <w:szCs w:val="21"/>
        </w:rPr>
        <w:t>Electronic data will be downloaded from Qualtrics to a Microsoft Excel file</w:t>
      </w:r>
      <w:r>
        <w:rPr>
          <w:rFonts w:ascii="Arial" w:hAnsi="Arial" w:cs="Arial"/>
          <w:sz w:val="21"/>
          <w:szCs w:val="21"/>
        </w:rPr>
        <w:t xml:space="preserve">. </w:t>
      </w:r>
      <w:r w:rsidRPr="00FF5464">
        <w:rPr>
          <w:rFonts w:ascii="Arial" w:hAnsi="Arial" w:cs="Arial"/>
          <w:sz w:val="21"/>
          <w:szCs w:val="21"/>
        </w:rPr>
        <w:t>Excel files will be converted into an SPSS data file for statistical analysis with a coded identification number</w:t>
      </w:r>
      <w:r>
        <w:rPr>
          <w:rFonts w:ascii="Arial" w:hAnsi="Arial" w:cs="Arial"/>
          <w:sz w:val="21"/>
          <w:szCs w:val="21"/>
        </w:rPr>
        <w:t xml:space="preserve">. </w:t>
      </w:r>
      <w:r w:rsidRPr="00FF5464">
        <w:rPr>
          <w:rFonts w:ascii="Arial" w:hAnsi="Arial" w:cs="Arial"/>
          <w:sz w:val="21"/>
          <w:szCs w:val="21"/>
        </w:rPr>
        <w:t xml:space="preserve">An initial data analysis will be performed to screen for highly implausible answers (e.g. </w:t>
      </w:r>
      <w:r w:rsidR="00033289">
        <w:rPr>
          <w:rFonts w:ascii="Arial" w:hAnsi="Arial" w:cs="Arial"/>
          <w:sz w:val="21"/>
          <w:szCs w:val="21"/>
        </w:rPr>
        <w:t>local health department population size of 10 million</w:t>
      </w:r>
      <w:r w:rsidRPr="00FF5464">
        <w:rPr>
          <w:rFonts w:ascii="Arial" w:hAnsi="Arial" w:cs="Arial"/>
          <w:sz w:val="21"/>
          <w:szCs w:val="21"/>
        </w:rPr>
        <w:t>), inconsistent answers (e.g., contradictory responses to similar questions), and to check randomly selected survey items for data entry accuracy.</w:t>
      </w:r>
    </w:p>
    <w:p w14:paraId="611F4EFC" w14:textId="7269941A" w:rsidR="009920C3" w:rsidRPr="00FF5464" w:rsidRDefault="009920C3" w:rsidP="005D7A08">
      <w:pPr>
        <w:rPr>
          <w:rFonts w:ascii="Arial" w:hAnsi="Arial" w:cs="Arial"/>
          <w:sz w:val="21"/>
          <w:szCs w:val="21"/>
        </w:rPr>
      </w:pPr>
      <w:r>
        <w:rPr>
          <w:rFonts w:ascii="Arial" w:hAnsi="Arial" w:cs="Arial"/>
          <w:sz w:val="21"/>
          <w:szCs w:val="21"/>
        </w:rPr>
        <w:t xml:space="preserve">None of the activities will report prevalence data. </w:t>
      </w:r>
    </w:p>
    <w:p w14:paraId="2021B852" w14:textId="28AB2E81" w:rsidR="005D7A08" w:rsidRPr="00F47153" w:rsidRDefault="005D7A08" w:rsidP="005D7A08">
      <w:pPr>
        <w:rPr>
          <w:rFonts w:ascii="Arial" w:hAnsi="Arial" w:cs="Arial"/>
          <w:b/>
          <w:sz w:val="21"/>
          <w:szCs w:val="21"/>
        </w:rPr>
      </w:pPr>
      <w:r w:rsidRPr="00F47153">
        <w:rPr>
          <w:rFonts w:ascii="Arial" w:hAnsi="Arial" w:cs="Arial"/>
          <w:b/>
          <w:sz w:val="21"/>
          <w:szCs w:val="21"/>
        </w:rPr>
        <w:t>3</w:t>
      </w:r>
      <w:r w:rsidR="00A45A4A" w:rsidRPr="00F47153">
        <w:rPr>
          <w:rFonts w:ascii="Arial" w:hAnsi="Arial" w:cs="Arial"/>
          <w:b/>
          <w:sz w:val="21"/>
          <w:szCs w:val="21"/>
        </w:rPr>
        <w:t xml:space="preserve">. </w:t>
      </w:r>
      <w:r w:rsidR="00671039" w:rsidRPr="00F47153">
        <w:rPr>
          <w:rFonts w:ascii="Arial" w:hAnsi="Arial" w:cs="Arial"/>
          <w:b/>
          <w:sz w:val="21"/>
          <w:szCs w:val="21"/>
        </w:rPr>
        <w:t>Methods to Maximize Response Rates and Deal with No Response</w:t>
      </w:r>
    </w:p>
    <w:p w14:paraId="74963D3E" w14:textId="012D2831" w:rsidR="007D5198" w:rsidRPr="007D5198" w:rsidRDefault="007D5198" w:rsidP="007D5198">
      <w:pPr>
        <w:rPr>
          <w:rFonts w:ascii="Arial" w:hAnsi="Arial" w:cs="Arial"/>
          <w:sz w:val="21"/>
          <w:szCs w:val="21"/>
          <w:u w:val="single"/>
        </w:rPr>
      </w:pPr>
      <w:r w:rsidRPr="007D5198">
        <w:rPr>
          <w:rFonts w:ascii="Arial" w:hAnsi="Arial" w:cs="Arial"/>
          <w:sz w:val="21"/>
          <w:szCs w:val="21"/>
          <w:u w:val="single"/>
        </w:rPr>
        <w:t>Survey of Obstetrician-Gynecologists</w:t>
      </w:r>
    </w:p>
    <w:p w14:paraId="244F91A8" w14:textId="5A13AF81" w:rsidR="007D5198" w:rsidRPr="007D5198" w:rsidRDefault="004F2457" w:rsidP="007D5198">
      <w:pPr>
        <w:rPr>
          <w:rFonts w:ascii="Arial" w:hAnsi="Arial" w:cs="Arial"/>
          <w:sz w:val="21"/>
          <w:szCs w:val="21"/>
        </w:rPr>
      </w:pPr>
      <w:r>
        <w:rPr>
          <w:rFonts w:ascii="Arial" w:hAnsi="Arial" w:cs="Arial"/>
          <w:sz w:val="21"/>
          <w:szCs w:val="21"/>
        </w:rPr>
        <w:t>The survey was developed to be concise with the shortest number of questions possible to encourage a high response rate while still gathering adequate data. The survey</w:t>
      </w:r>
      <w:r w:rsidR="007D5198" w:rsidRPr="007D5198">
        <w:rPr>
          <w:rFonts w:ascii="Arial" w:hAnsi="Arial" w:cs="Arial"/>
          <w:sz w:val="21"/>
          <w:szCs w:val="21"/>
        </w:rPr>
        <w:t xml:space="preserve"> will be presented in a clear and easy to complete format, based on previous surveys and recommendations from the ACOG survey methodologists. Sampled individuals will be able to complete the survey at their leisure, and will answer only questions about themselves and their practice. The introductory cover letter and follow-up reminders will assure potential respondents that their answers will be maintained in a secure manner, and that results will only be released in summary form to ensure confidentiality. </w:t>
      </w:r>
    </w:p>
    <w:p w14:paraId="4BB807A0" w14:textId="095C6410" w:rsidR="00FA6548" w:rsidRDefault="007D5198" w:rsidP="007D5198">
      <w:pPr>
        <w:rPr>
          <w:rFonts w:ascii="Arial" w:hAnsi="Arial" w:cs="Arial"/>
          <w:sz w:val="21"/>
          <w:szCs w:val="21"/>
        </w:rPr>
      </w:pPr>
      <w:r w:rsidRPr="007D5198">
        <w:rPr>
          <w:rFonts w:ascii="Arial" w:hAnsi="Arial" w:cs="Arial"/>
          <w:sz w:val="21"/>
          <w:szCs w:val="21"/>
        </w:rPr>
        <w:t xml:space="preserve">The availability of </w:t>
      </w:r>
      <w:r w:rsidR="004F2457">
        <w:rPr>
          <w:rFonts w:ascii="Arial" w:hAnsi="Arial" w:cs="Arial"/>
          <w:sz w:val="21"/>
          <w:szCs w:val="21"/>
        </w:rPr>
        <w:t>web-based and paper-based forms;</w:t>
      </w:r>
      <w:r w:rsidRPr="007D5198">
        <w:rPr>
          <w:rFonts w:ascii="Arial" w:hAnsi="Arial" w:cs="Arial"/>
          <w:sz w:val="21"/>
          <w:szCs w:val="21"/>
        </w:rPr>
        <w:t xml:space="preserve"> flexible windows for completion online</w:t>
      </w:r>
      <w:r w:rsidR="004F2457">
        <w:rPr>
          <w:rFonts w:ascii="Arial" w:hAnsi="Arial" w:cs="Arial"/>
          <w:sz w:val="21"/>
          <w:szCs w:val="21"/>
        </w:rPr>
        <w:t xml:space="preserve"> via a computer, tablet, or smartphone;</w:t>
      </w:r>
      <w:r w:rsidRPr="007D5198">
        <w:rPr>
          <w:rFonts w:ascii="Arial" w:hAnsi="Arial" w:cs="Arial"/>
          <w:sz w:val="21"/>
          <w:szCs w:val="21"/>
        </w:rPr>
        <w:t xml:space="preserve"> and follow-up email reminders will help to maximize response rates. </w:t>
      </w:r>
    </w:p>
    <w:p w14:paraId="136BBD7B" w14:textId="5BB62072" w:rsidR="007D5198" w:rsidRPr="007D5198" w:rsidRDefault="007D5198" w:rsidP="007D5198">
      <w:pPr>
        <w:rPr>
          <w:rFonts w:ascii="Arial" w:hAnsi="Arial" w:cs="Arial"/>
          <w:sz w:val="21"/>
          <w:szCs w:val="21"/>
        </w:rPr>
      </w:pPr>
      <w:r w:rsidRPr="007D5198">
        <w:rPr>
          <w:rFonts w:ascii="Arial" w:hAnsi="Arial" w:cs="Arial"/>
          <w:sz w:val="21"/>
          <w:szCs w:val="21"/>
        </w:rPr>
        <w:t>ACOG has demographic information regarding the gender, age, and primary state of</w:t>
      </w:r>
      <w:r w:rsidR="004F2457">
        <w:rPr>
          <w:rFonts w:ascii="Arial" w:hAnsi="Arial" w:cs="Arial"/>
          <w:sz w:val="21"/>
          <w:szCs w:val="21"/>
        </w:rPr>
        <w:t xml:space="preserve"> residency of non-respondents. </w:t>
      </w:r>
      <w:r w:rsidRPr="007D5198">
        <w:rPr>
          <w:rFonts w:ascii="Arial" w:hAnsi="Arial" w:cs="Arial"/>
          <w:sz w:val="21"/>
          <w:szCs w:val="21"/>
        </w:rPr>
        <w:t>These demographic characteristics for non-respondents and respondents will be compared using Chi-squared tests and all statistically significant differences between</w:t>
      </w:r>
      <w:r w:rsidR="00572C7D">
        <w:rPr>
          <w:rFonts w:ascii="Arial" w:hAnsi="Arial" w:cs="Arial"/>
          <w:sz w:val="21"/>
          <w:szCs w:val="21"/>
        </w:rPr>
        <w:t xml:space="preserve"> these groups will be reported.</w:t>
      </w:r>
      <w:r w:rsidRPr="007D5198">
        <w:rPr>
          <w:rFonts w:ascii="Arial" w:hAnsi="Arial" w:cs="Arial"/>
          <w:sz w:val="21"/>
          <w:szCs w:val="21"/>
        </w:rPr>
        <w:t xml:space="preserve"> We expect to find little to no significant differences between those who respond and those who do not, given that prior research has shown that nonresponse bias is minimal among physician groups compared to other groups (Kellerman and Herold, 2001).</w:t>
      </w:r>
    </w:p>
    <w:p w14:paraId="08F6F41D" w14:textId="77777777" w:rsidR="00A7128B" w:rsidRPr="00A7128B" w:rsidRDefault="00A7128B" w:rsidP="00A7128B">
      <w:pPr>
        <w:rPr>
          <w:rFonts w:ascii="Arial" w:hAnsi="Arial" w:cs="Arial"/>
          <w:sz w:val="21"/>
          <w:szCs w:val="21"/>
          <w:u w:val="single"/>
        </w:rPr>
      </w:pPr>
      <w:r w:rsidRPr="00A7128B">
        <w:rPr>
          <w:rFonts w:ascii="Arial" w:hAnsi="Arial" w:cs="Arial"/>
          <w:sz w:val="21"/>
          <w:szCs w:val="21"/>
          <w:u w:val="single"/>
        </w:rPr>
        <w:t>Focus Groups of Healthcare Providers</w:t>
      </w:r>
    </w:p>
    <w:p w14:paraId="28D407F3" w14:textId="77777777" w:rsidR="00DD751A" w:rsidRPr="00DD751A" w:rsidRDefault="002D0474" w:rsidP="00DD751A">
      <w:pPr>
        <w:rPr>
          <w:rFonts w:ascii="Arial" w:hAnsi="Arial" w:cs="Arial"/>
          <w:sz w:val="21"/>
          <w:szCs w:val="21"/>
        </w:rPr>
      </w:pPr>
      <w:r>
        <w:rPr>
          <w:rFonts w:ascii="Arial" w:hAnsi="Arial" w:cs="Arial"/>
          <w:sz w:val="21"/>
          <w:szCs w:val="21"/>
        </w:rPr>
        <w:t xml:space="preserve">Focus group participants will be offered an incentive to facilitate focus group recruitment and to encourage participation during the groups. </w:t>
      </w:r>
      <w:r w:rsidR="00DD751A" w:rsidRPr="00DD751A">
        <w:rPr>
          <w:rFonts w:ascii="Arial" w:hAnsi="Arial" w:cs="Arial"/>
          <w:sz w:val="21"/>
          <w:szCs w:val="21"/>
        </w:rPr>
        <w:t xml:space="preserve">Incentive amounts are industry standard set by recruitment professionals based on extensive market experience with a variety of provider types. Higher amounts are offered to provider groups that are more challenging to recruit. Incentive amounts are set to encourage responsiveness and full participation from each audience target within the timeline. Lower incentives would not generate the same level of responsiveness and would make recruitment efforts more challenging, requiring more extensive efforts and thus longer recruitment times and higher recruitment cost investment. </w:t>
      </w:r>
    </w:p>
    <w:p w14:paraId="6941CAFE" w14:textId="77777777" w:rsidR="00DD751A" w:rsidRPr="00DD751A" w:rsidRDefault="00DD751A" w:rsidP="00DD751A">
      <w:pPr>
        <w:spacing w:after="0"/>
        <w:rPr>
          <w:rFonts w:ascii="Arial" w:hAnsi="Arial" w:cs="Arial"/>
          <w:sz w:val="21"/>
          <w:szCs w:val="21"/>
        </w:rPr>
      </w:pPr>
      <w:r w:rsidRPr="00DD751A">
        <w:rPr>
          <w:rFonts w:ascii="Arial" w:hAnsi="Arial" w:cs="Arial"/>
          <w:sz w:val="21"/>
          <w:szCs w:val="21"/>
        </w:rPr>
        <w:t xml:space="preserve">Incentives offered to each group are as follows: </w:t>
      </w:r>
    </w:p>
    <w:p w14:paraId="1C156AB0" w14:textId="71197A40" w:rsidR="00DD751A" w:rsidRPr="00DD751A" w:rsidRDefault="00DD751A" w:rsidP="00DD751A">
      <w:pPr>
        <w:numPr>
          <w:ilvl w:val="0"/>
          <w:numId w:val="3"/>
        </w:numPr>
        <w:spacing w:after="0"/>
        <w:rPr>
          <w:rFonts w:ascii="Arial" w:hAnsi="Arial" w:cs="Arial"/>
          <w:sz w:val="21"/>
          <w:szCs w:val="21"/>
        </w:rPr>
      </w:pPr>
      <w:r w:rsidRPr="00DD751A">
        <w:rPr>
          <w:rFonts w:ascii="Arial" w:hAnsi="Arial" w:cs="Arial"/>
          <w:sz w:val="21"/>
          <w:szCs w:val="21"/>
        </w:rPr>
        <w:t>Obstetrician-gynecologists: $</w:t>
      </w:r>
      <w:r w:rsidR="00981AB7">
        <w:rPr>
          <w:rFonts w:ascii="Arial" w:hAnsi="Arial" w:cs="Arial"/>
          <w:sz w:val="21"/>
          <w:szCs w:val="21"/>
        </w:rPr>
        <w:t>300</w:t>
      </w:r>
      <w:r w:rsidRPr="00DD751A">
        <w:rPr>
          <w:rFonts w:ascii="Arial" w:hAnsi="Arial" w:cs="Arial"/>
          <w:sz w:val="21"/>
          <w:szCs w:val="21"/>
        </w:rPr>
        <w:t xml:space="preserve"> each</w:t>
      </w:r>
    </w:p>
    <w:p w14:paraId="7CAA9170" w14:textId="7973EBD9" w:rsidR="00DD751A" w:rsidRPr="00DD751A" w:rsidRDefault="00DD751A" w:rsidP="00DD751A">
      <w:pPr>
        <w:numPr>
          <w:ilvl w:val="0"/>
          <w:numId w:val="3"/>
        </w:numPr>
        <w:spacing w:after="0"/>
        <w:rPr>
          <w:rFonts w:ascii="Arial" w:hAnsi="Arial" w:cs="Arial"/>
          <w:sz w:val="21"/>
          <w:szCs w:val="21"/>
        </w:rPr>
      </w:pPr>
      <w:r w:rsidRPr="00DD751A">
        <w:rPr>
          <w:rFonts w:ascii="Arial" w:hAnsi="Arial" w:cs="Arial"/>
          <w:sz w:val="21"/>
          <w:szCs w:val="21"/>
        </w:rPr>
        <w:t>Pediatricians: $</w:t>
      </w:r>
      <w:r w:rsidR="00981AB7">
        <w:rPr>
          <w:rFonts w:ascii="Arial" w:hAnsi="Arial" w:cs="Arial"/>
          <w:sz w:val="21"/>
          <w:szCs w:val="21"/>
        </w:rPr>
        <w:t>300</w:t>
      </w:r>
      <w:r w:rsidRPr="00DD751A">
        <w:rPr>
          <w:rFonts w:ascii="Arial" w:hAnsi="Arial" w:cs="Arial"/>
          <w:sz w:val="21"/>
          <w:szCs w:val="21"/>
        </w:rPr>
        <w:t xml:space="preserve"> each</w:t>
      </w:r>
    </w:p>
    <w:p w14:paraId="369A7C09" w14:textId="6F2BD4BF" w:rsidR="00DD751A" w:rsidRPr="00DD751A" w:rsidRDefault="00DD751A" w:rsidP="00FA5CAD">
      <w:pPr>
        <w:numPr>
          <w:ilvl w:val="0"/>
          <w:numId w:val="3"/>
        </w:numPr>
        <w:spacing w:after="0"/>
        <w:rPr>
          <w:rFonts w:ascii="Arial" w:hAnsi="Arial" w:cs="Arial"/>
          <w:sz w:val="21"/>
          <w:szCs w:val="21"/>
        </w:rPr>
      </w:pPr>
      <w:r w:rsidRPr="00DD751A">
        <w:rPr>
          <w:rFonts w:ascii="Arial" w:hAnsi="Arial" w:cs="Arial"/>
          <w:sz w:val="21"/>
          <w:szCs w:val="21"/>
        </w:rPr>
        <w:t xml:space="preserve">Obstetrician-gynecologists and pediatricians </w:t>
      </w:r>
      <w:r w:rsidR="006C6966">
        <w:rPr>
          <w:rFonts w:ascii="Arial" w:hAnsi="Arial" w:cs="Arial"/>
          <w:sz w:val="21"/>
          <w:szCs w:val="21"/>
        </w:rPr>
        <w:t xml:space="preserve">in </w:t>
      </w:r>
      <w:r w:rsidRPr="00DD751A">
        <w:rPr>
          <w:rFonts w:ascii="Arial" w:hAnsi="Arial" w:cs="Arial"/>
          <w:sz w:val="21"/>
          <w:szCs w:val="21"/>
        </w:rPr>
        <w:t>geographic areas</w:t>
      </w:r>
      <w:r w:rsidR="00FA5CAD" w:rsidRPr="00FA5CAD">
        <w:t xml:space="preserve"> </w:t>
      </w:r>
      <w:r w:rsidR="00FA5CAD" w:rsidRPr="00FA5CAD">
        <w:rPr>
          <w:rFonts w:ascii="Arial" w:hAnsi="Arial" w:cs="Arial"/>
          <w:sz w:val="21"/>
          <w:szCs w:val="21"/>
        </w:rPr>
        <w:t>most impacted by Zika (Florida, Texas, New York, and California)</w:t>
      </w:r>
      <w:r w:rsidRPr="00DD751A">
        <w:rPr>
          <w:rFonts w:ascii="Arial" w:hAnsi="Arial" w:cs="Arial"/>
          <w:sz w:val="21"/>
          <w:szCs w:val="21"/>
        </w:rPr>
        <w:t>: $3</w:t>
      </w:r>
      <w:r w:rsidR="00981AB7">
        <w:rPr>
          <w:rFonts w:ascii="Arial" w:hAnsi="Arial" w:cs="Arial"/>
          <w:sz w:val="21"/>
          <w:szCs w:val="21"/>
        </w:rPr>
        <w:t>00</w:t>
      </w:r>
      <w:r w:rsidRPr="00DD751A">
        <w:rPr>
          <w:rFonts w:ascii="Arial" w:hAnsi="Arial" w:cs="Arial"/>
          <w:sz w:val="21"/>
          <w:szCs w:val="21"/>
        </w:rPr>
        <w:t xml:space="preserve"> each</w:t>
      </w:r>
    </w:p>
    <w:p w14:paraId="5F9532F8" w14:textId="7F8D9965" w:rsidR="00DD751A" w:rsidRPr="00DD751A" w:rsidRDefault="00DD751A" w:rsidP="00DD751A">
      <w:pPr>
        <w:numPr>
          <w:ilvl w:val="0"/>
          <w:numId w:val="3"/>
        </w:numPr>
        <w:spacing w:after="0"/>
        <w:rPr>
          <w:rFonts w:ascii="Arial" w:hAnsi="Arial" w:cs="Arial"/>
          <w:sz w:val="21"/>
          <w:szCs w:val="21"/>
        </w:rPr>
      </w:pPr>
      <w:r w:rsidRPr="00DD751A">
        <w:rPr>
          <w:rFonts w:ascii="Arial" w:hAnsi="Arial" w:cs="Arial"/>
          <w:sz w:val="21"/>
          <w:szCs w:val="21"/>
        </w:rPr>
        <w:t>Certified nurse-midwives: $</w:t>
      </w:r>
      <w:r w:rsidR="00981AB7">
        <w:rPr>
          <w:rFonts w:ascii="Arial" w:hAnsi="Arial" w:cs="Arial"/>
          <w:sz w:val="21"/>
          <w:szCs w:val="21"/>
        </w:rPr>
        <w:t>200</w:t>
      </w:r>
      <w:r w:rsidRPr="00DD751A">
        <w:rPr>
          <w:rFonts w:ascii="Arial" w:hAnsi="Arial" w:cs="Arial"/>
          <w:sz w:val="21"/>
          <w:szCs w:val="21"/>
        </w:rPr>
        <w:t xml:space="preserve"> each</w:t>
      </w:r>
    </w:p>
    <w:p w14:paraId="2750DF77" w14:textId="7642BB30" w:rsidR="007D5198" w:rsidRPr="009F396F" w:rsidRDefault="00DD751A" w:rsidP="009F396F">
      <w:pPr>
        <w:numPr>
          <w:ilvl w:val="0"/>
          <w:numId w:val="3"/>
        </w:numPr>
        <w:rPr>
          <w:rFonts w:ascii="Arial" w:hAnsi="Arial" w:cs="Arial"/>
          <w:sz w:val="21"/>
          <w:szCs w:val="21"/>
        </w:rPr>
      </w:pPr>
      <w:r w:rsidRPr="00DD751A">
        <w:rPr>
          <w:rFonts w:ascii="Arial" w:hAnsi="Arial" w:cs="Arial"/>
          <w:sz w:val="21"/>
          <w:szCs w:val="21"/>
        </w:rPr>
        <w:t>Nurse practitioners: $</w:t>
      </w:r>
      <w:r w:rsidR="00981AB7">
        <w:rPr>
          <w:rFonts w:ascii="Arial" w:hAnsi="Arial" w:cs="Arial"/>
          <w:sz w:val="21"/>
          <w:szCs w:val="21"/>
        </w:rPr>
        <w:t>200</w:t>
      </w:r>
      <w:r w:rsidRPr="00DD751A">
        <w:rPr>
          <w:rFonts w:ascii="Arial" w:hAnsi="Arial" w:cs="Arial"/>
          <w:sz w:val="21"/>
          <w:szCs w:val="21"/>
        </w:rPr>
        <w:t xml:space="preserve"> each</w:t>
      </w:r>
    </w:p>
    <w:p w14:paraId="68097EA9" w14:textId="77777777" w:rsidR="00DD751A" w:rsidRPr="00DD751A" w:rsidRDefault="00DD751A" w:rsidP="00DD751A">
      <w:pPr>
        <w:rPr>
          <w:rFonts w:ascii="Arial" w:hAnsi="Arial" w:cs="Arial"/>
          <w:sz w:val="21"/>
          <w:szCs w:val="21"/>
          <w:u w:val="single"/>
        </w:rPr>
      </w:pPr>
      <w:r w:rsidRPr="00DD751A">
        <w:rPr>
          <w:rFonts w:ascii="Arial" w:hAnsi="Arial" w:cs="Arial"/>
          <w:sz w:val="21"/>
          <w:szCs w:val="21"/>
          <w:u w:val="single"/>
        </w:rPr>
        <w:t>Survey of Local Health Department CDC Field Assignees</w:t>
      </w:r>
    </w:p>
    <w:p w14:paraId="1A4B6E44" w14:textId="6A957752" w:rsidR="009F396F" w:rsidRPr="009F396F" w:rsidRDefault="009F396F" w:rsidP="009F396F">
      <w:pPr>
        <w:rPr>
          <w:rFonts w:ascii="Arial" w:hAnsi="Arial" w:cs="Arial"/>
          <w:sz w:val="21"/>
          <w:szCs w:val="21"/>
        </w:rPr>
      </w:pPr>
      <w:r w:rsidRPr="009F396F">
        <w:rPr>
          <w:rFonts w:ascii="Arial" w:hAnsi="Arial" w:cs="Arial"/>
          <w:sz w:val="21"/>
          <w:szCs w:val="21"/>
        </w:rPr>
        <w:t xml:space="preserve">The survey was developed to be concise with the shortest number of questions possible to encourage a high response rate while still gathering adequate data. The survey will be presented in a clear and easy to complete format, based on previous surveys and recommendations from the ACOG survey methodologists. </w:t>
      </w:r>
      <w:r>
        <w:rPr>
          <w:rFonts w:ascii="Arial" w:hAnsi="Arial" w:cs="Arial"/>
          <w:sz w:val="21"/>
          <w:szCs w:val="21"/>
        </w:rPr>
        <w:t>I</w:t>
      </w:r>
      <w:r w:rsidRPr="009F396F">
        <w:rPr>
          <w:rFonts w:ascii="Arial" w:hAnsi="Arial" w:cs="Arial"/>
          <w:sz w:val="21"/>
          <w:szCs w:val="21"/>
        </w:rPr>
        <w:t xml:space="preserve">ndividuals will be able to complete the survey at their leisure, and will answer only questions about </w:t>
      </w:r>
      <w:r>
        <w:rPr>
          <w:rFonts w:ascii="Arial" w:hAnsi="Arial" w:cs="Arial"/>
          <w:sz w:val="21"/>
          <w:szCs w:val="21"/>
        </w:rPr>
        <w:t>themselves and their experiences with the Local Health Department Initiative</w:t>
      </w:r>
      <w:r w:rsidRPr="009F396F">
        <w:rPr>
          <w:rFonts w:ascii="Arial" w:hAnsi="Arial" w:cs="Arial"/>
          <w:sz w:val="21"/>
          <w:szCs w:val="21"/>
        </w:rPr>
        <w:t xml:space="preserve">. The introductory cover letter and follow-up reminders will assure potential respondents that their answers will be maintained in a secure manner, and that results will only be released in summary form to ensure confidentiality. </w:t>
      </w:r>
    </w:p>
    <w:p w14:paraId="582E0A95" w14:textId="1A7C624B" w:rsidR="007D5198" w:rsidRPr="007D5198" w:rsidRDefault="009F396F" w:rsidP="009F396F">
      <w:pPr>
        <w:rPr>
          <w:rFonts w:ascii="Arial" w:hAnsi="Arial" w:cs="Arial"/>
          <w:sz w:val="21"/>
          <w:szCs w:val="21"/>
        </w:rPr>
      </w:pPr>
      <w:r w:rsidRPr="009F396F">
        <w:rPr>
          <w:rFonts w:ascii="Arial" w:hAnsi="Arial" w:cs="Arial"/>
          <w:sz w:val="21"/>
          <w:szCs w:val="21"/>
        </w:rPr>
        <w:t xml:space="preserve">The availability of </w:t>
      </w:r>
      <w:r>
        <w:rPr>
          <w:rFonts w:ascii="Arial" w:hAnsi="Arial" w:cs="Arial"/>
          <w:sz w:val="21"/>
          <w:szCs w:val="21"/>
        </w:rPr>
        <w:t xml:space="preserve">a </w:t>
      </w:r>
      <w:r w:rsidRPr="009F396F">
        <w:rPr>
          <w:rFonts w:ascii="Arial" w:hAnsi="Arial" w:cs="Arial"/>
          <w:sz w:val="21"/>
          <w:szCs w:val="21"/>
        </w:rPr>
        <w:t xml:space="preserve">web-based </w:t>
      </w:r>
      <w:r>
        <w:rPr>
          <w:rFonts w:ascii="Arial" w:hAnsi="Arial" w:cs="Arial"/>
          <w:sz w:val="21"/>
          <w:szCs w:val="21"/>
        </w:rPr>
        <w:t xml:space="preserve">form that can be completed </w:t>
      </w:r>
      <w:r w:rsidRPr="009F396F">
        <w:rPr>
          <w:rFonts w:ascii="Arial" w:hAnsi="Arial" w:cs="Arial"/>
          <w:sz w:val="21"/>
          <w:szCs w:val="21"/>
        </w:rPr>
        <w:t xml:space="preserve">online via a </w:t>
      </w:r>
      <w:r>
        <w:rPr>
          <w:rFonts w:ascii="Arial" w:hAnsi="Arial" w:cs="Arial"/>
          <w:sz w:val="21"/>
          <w:szCs w:val="21"/>
        </w:rPr>
        <w:t>computer, tablet, or smartphone,</w:t>
      </w:r>
      <w:r w:rsidRPr="009F396F">
        <w:rPr>
          <w:rFonts w:ascii="Arial" w:hAnsi="Arial" w:cs="Arial"/>
          <w:sz w:val="21"/>
          <w:szCs w:val="21"/>
        </w:rPr>
        <w:t xml:space="preserve"> and follow-up email reminders will help to maximize response rates.</w:t>
      </w:r>
      <w:r w:rsidR="00EB107B">
        <w:rPr>
          <w:rFonts w:ascii="Arial" w:hAnsi="Arial" w:cs="Arial"/>
          <w:sz w:val="21"/>
          <w:szCs w:val="21"/>
        </w:rPr>
        <w:t xml:space="preserve"> Additionally, </w:t>
      </w:r>
      <w:r w:rsidR="00FD4663">
        <w:rPr>
          <w:rFonts w:ascii="Arial" w:hAnsi="Arial" w:cs="Arial"/>
          <w:sz w:val="21"/>
          <w:szCs w:val="21"/>
        </w:rPr>
        <w:t>the individuals who will be invited to participate in the survey are those who elected to participate in optional calls with ACOG and AAP staff and thus likely will be more inclined to participate in a follow-up activity than if participation in the calls had been mandatory.</w:t>
      </w:r>
    </w:p>
    <w:p w14:paraId="6E095AC4" w14:textId="77777777" w:rsidR="00FA6548" w:rsidRPr="00F47153" w:rsidRDefault="00FA6548" w:rsidP="00FA6548">
      <w:pPr>
        <w:autoSpaceDE w:val="0"/>
        <w:autoSpaceDN w:val="0"/>
        <w:adjustRightInd w:val="0"/>
        <w:contextualSpacing/>
        <w:jc w:val="both"/>
        <w:rPr>
          <w:rFonts w:ascii="Arial" w:hAnsi="Arial" w:cs="Arial"/>
          <w:bCs/>
          <w:sz w:val="21"/>
          <w:szCs w:val="21"/>
        </w:rPr>
      </w:pPr>
    </w:p>
    <w:p w14:paraId="7F28AB5B" w14:textId="4744F389" w:rsidR="005D7A08" w:rsidRPr="00F47153" w:rsidRDefault="00671039" w:rsidP="005D7A08">
      <w:pPr>
        <w:rPr>
          <w:rFonts w:ascii="Arial" w:hAnsi="Arial" w:cs="Arial"/>
          <w:b/>
          <w:sz w:val="21"/>
          <w:szCs w:val="21"/>
        </w:rPr>
      </w:pPr>
      <w:r w:rsidRPr="00F47153">
        <w:rPr>
          <w:rFonts w:ascii="Arial" w:hAnsi="Arial" w:cs="Arial"/>
          <w:b/>
          <w:sz w:val="21"/>
          <w:szCs w:val="21"/>
        </w:rPr>
        <w:t>4.</w:t>
      </w:r>
      <w:r w:rsidR="00A45A4A" w:rsidRPr="00F47153">
        <w:rPr>
          <w:rFonts w:ascii="Arial" w:hAnsi="Arial" w:cs="Arial"/>
          <w:b/>
          <w:sz w:val="21"/>
          <w:szCs w:val="21"/>
        </w:rPr>
        <w:t xml:space="preserve">  </w:t>
      </w:r>
      <w:r w:rsidR="005D7A08" w:rsidRPr="00F47153">
        <w:rPr>
          <w:rFonts w:ascii="Arial" w:hAnsi="Arial" w:cs="Arial"/>
          <w:b/>
          <w:sz w:val="21"/>
          <w:szCs w:val="21"/>
        </w:rPr>
        <w:t>Test of Procedures or Methods to Be Undertaken</w:t>
      </w:r>
    </w:p>
    <w:p w14:paraId="0B03111E" w14:textId="0AD5C8D2" w:rsidR="00022010" w:rsidRDefault="00022010" w:rsidP="00022010">
      <w:pPr>
        <w:rPr>
          <w:rFonts w:ascii="Arial" w:hAnsi="Arial" w:cs="Arial"/>
          <w:sz w:val="21"/>
          <w:szCs w:val="21"/>
          <w:u w:val="single"/>
        </w:rPr>
      </w:pPr>
      <w:r w:rsidRPr="00022010">
        <w:rPr>
          <w:rFonts w:ascii="Arial" w:hAnsi="Arial" w:cs="Arial"/>
          <w:sz w:val="21"/>
          <w:szCs w:val="21"/>
          <w:u w:val="single"/>
        </w:rPr>
        <w:t>Survey of Obstetrician-Gynecologists</w:t>
      </w:r>
    </w:p>
    <w:p w14:paraId="4A8B1600" w14:textId="36037605" w:rsidR="00022010" w:rsidRPr="00022010" w:rsidRDefault="002A176F" w:rsidP="00022010">
      <w:pPr>
        <w:rPr>
          <w:rFonts w:ascii="Arial" w:hAnsi="Arial" w:cs="Arial"/>
          <w:sz w:val="21"/>
          <w:szCs w:val="21"/>
        </w:rPr>
      </w:pPr>
      <w:r>
        <w:rPr>
          <w:rFonts w:ascii="Arial" w:hAnsi="Arial" w:cs="Arial"/>
          <w:sz w:val="21"/>
          <w:szCs w:val="21"/>
        </w:rPr>
        <w:t xml:space="preserve">The survey was reviewed </w:t>
      </w:r>
      <w:r w:rsidR="00963550">
        <w:rPr>
          <w:rFonts w:ascii="Arial" w:hAnsi="Arial" w:cs="Arial"/>
          <w:sz w:val="21"/>
          <w:szCs w:val="21"/>
        </w:rPr>
        <w:t xml:space="preserve">for accuracy, clear wording, and appropriate and adequate response options </w:t>
      </w:r>
      <w:r>
        <w:rPr>
          <w:rFonts w:ascii="Arial" w:hAnsi="Arial" w:cs="Arial"/>
          <w:sz w:val="21"/>
          <w:szCs w:val="21"/>
        </w:rPr>
        <w:t xml:space="preserve">by ACOG Immunization staff, ACOG Research staff, ACOG’s Zika Expert Work Group, </w:t>
      </w:r>
      <w:r w:rsidRPr="002A176F">
        <w:rPr>
          <w:rFonts w:ascii="Arial" w:hAnsi="Arial" w:cs="Arial"/>
          <w:sz w:val="21"/>
          <w:szCs w:val="21"/>
        </w:rPr>
        <w:t>AAP Disaster Preparedness and Response staff</w:t>
      </w:r>
      <w:r>
        <w:rPr>
          <w:rFonts w:ascii="Arial" w:hAnsi="Arial" w:cs="Arial"/>
          <w:sz w:val="21"/>
          <w:szCs w:val="21"/>
        </w:rPr>
        <w:t>,</w:t>
      </w:r>
      <w:r w:rsidRPr="002A176F">
        <w:rPr>
          <w:rFonts w:ascii="Arial" w:hAnsi="Arial" w:cs="Arial"/>
          <w:sz w:val="21"/>
          <w:szCs w:val="21"/>
        </w:rPr>
        <w:t xml:space="preserve"> CDC </w:t>
      </w:r>
      <w:r w:rsidR="004B3D72">
        <w:rPr>
          <w:rFonts w:ascii="Arial" w:hAnsi="Arial" w:cs="Arial"/>
          <w:sz w:val="21"/>
          <w:szCs w:val="21"/>
        </w:rPr>
        <w:t>subject-matter</w:t>
      </w:r>
      <w:r w:rsidR="00A96A15">
        <w:rPr>
          <w:rFonts w:ascii="Arial" w:hAnsi="Arial" w:cs="Arial"/>
          <w:sz w:val="21"/>
          <w:szCs w:val="21"/>
        </w:rPr>
        <w:t xml:space="preserve"> experts</w:t>
      </w:r>
      <w:r>
        <w:rPr>
          <w:rFonts w:ascii="Arial" w:hAnsi="Arial" w:cs="Arial"/>
          <w:sz w:val="21"/>
          <w:szCs w:val="21"/>
        </w:rPr>
        <w:t>, and Institutional Review Board (IRB)</w:t>
      </w:r>
      <w:r w:rsidRPr="002A176F">
        <w:rPr>
          <w:rFonts w:ascii="Arial" w:hAnsi="Arial" w:cs="Arial"/>
          <w:sz w:val="21"/>
          <w:szCs w:val="21"/>
        </w:rPr>
        <w:t>.</w:t>
      </w:r>
      <w:r w:rsidR="00627C35">
        <w:rPr>
          <w:rFonts w:ascii="Arial" w:hAnsi="Arial" w:cs="Arial"/>
          <w:sz w:val="21"/>
          <w:szCs w:val="21"/>
        </w:rPr>
        <w:t xml:space="preserve"> Reviewer feedback was incorporated as appropriate. </w:t>
      </w:r>
    </w:p>
    <w:p w14:paraId="07C4D0CE" w14:textId="1CE5618C" w:rsidR="00022010" w:rsidRDefault="00022010" w:rsidP="00022010">
      <w:pPr>
        <w:rPr>
          <w:rFonts w:ascii="Arial" w:hAnsi="Arial" w:cs="Arial"/>
          <w:sz w:val="21"/>
          <w:szCs w:val="21"/>
          <w:u w:val="single"/>
        </w:rPr>
      </w:pPr>
      <w:r w:rsidRPr="00022010">
        <w:rPr>
          <w:rFonts w:ascii="Arial" w:hAnsi="Arial" w:cs="Arial"/>
          <w:sz w:val="21"/>
          <w:szCs w:val="21"/>
          <w:u w:val="single"/>
        </w:rPr>
        <w:t>Focus Groups of Healthcare Providers</w:t>
      </w:r>
    </w:p>
    <w:p w14:paraId="04ECA546" w14:textId="06F96FAE" w:rsidR="002A176F" w:rsidRPr="002A176F" w:rsidRDefault="002A176F" w:rsidP="00022010">
      <w:pPr>
        <w:rPr>
          <w:rFonts w:ascii="Arial" w:hAnsi="Arial" w:cs="Arial"/>
          <w:sz w:val="21"/>
          <w:szCs w:val="21"/>
        </w:rPr>
      </w:pPr>
      <w:r>
        <w:rPr>
          <w:rFonts w:ascii="Arial" w:hAnsi="Arial" w:cs="Arial"/>
          <w:sz w:val="21"/>
          <w:szCs w:val="21"/>
        </w:rPr>
        <w:t xml:space="preserve">The focus group discussion guide questions were developed by the focus group professionals at APCO Worldwide and were reviewed </w:t>
      </w:r>
      <w:r w:rsidR="00963550" w:rsidRPr="00963550">
        <w:rPr>
          <w:rFonts w:ascii="Arial" w:hAnsi="Arial" w:cs="Arial"/>
          <w:sz w:val="21"/>
          <w:szCs w:val="21"/>
        </w:rPr>
        <w:t xml:space="preserve">for accuracy, clear wording, and appropriate and adequate response options </w:t>
      </w:r>
      <w:r>
        <w:rPr>
          <w:rFonts w:ascii="Arial" w:hAnsi="Arial" w:cs="Arial"/>
          <w:sz w:val="21"/>
          <w:szCs w:val="21"/>
        </w:rPr>
        <w:t xml:space="preserve">by </w:t>
      </w:r>
      <w:r w:rsidRPr="002A176F">
        <w:rPr>
          <w:rFonts w:ascii="Arial" w:hAnsi="Arial" w:cs="Arial"/>
          <w:sz w:val="21"/>
          <w:szCs w:val="21"/>
        </w:rPr>
        <w:t xml:space="preserve">ACOG Immunization staff, ACOG Research staff, ACOG’s Zika Expert Work Group, AAP Disaster Preparedness and Response staff, </w:t>
      </w:r>
      <w:r w:rsidR="004B3D72" w:rsidRPr="004B3D72">
        <w:rPr>
          <w:rFonts w:ascii="Arial" w:hAnsi="Arial" w:cs="Arial"/>
          <w:sz w:val="21"/>
          <w:szCs w:val="21"/>
        </w:rPr>
        <w:t>CDC subject-matter experts</w:t>
      </w:r>
      <w:r w:rsidRPr="002A176F">
        <w:rPr>
          <w:rFonts w:ascii="Arial" w:hAnsi="Arial" w:cs="Arial"/>
          <w:sz w:val="21"/>
          <w:szCs w:val="21"/>
        </w:rPr>
        <w:t xml:space="preserve">, and </w:t>
      </w:r>
      <w:r>
        <w:rPr>
          <w:rFonts w:ascii="Arial" w:hAnsi="Arial" w:cs="Arial"/>
          <w:sz w:val="21"/>
          <w:szCs w:val="21"/>
        </w:rPr>
        <w:t>IRB</w:t>
      </w:r>
      <w:r w:rsidRPr="002A176F">
        <w:rPr>
          <w:rFonts w:ascii="Arial" w:hAnsi="Arial" w:cs="Arial"/>
          <w:sz w:val="21"/>
          <w:szCs w:val="21"/>
        </w:rPr>
        <w:t>.</w:t>
      </w:r>
      <w:r w:rsidR="00627C35" w:rsidRPr="00627C35">
        <w:t xml:space="preserve"> </w:t>
      </w:r>
      <w:r w:rsidR="00627C35" w:rsidRPr="00627C35">
        <w:rPr>
          <w:rFonts w:ascii="Arial" w:hAnsi="Arial" w:cs="Arial"/>
          <w:sz w:val="21"/>
          <w:szCs w:val="21"/>
        </w:rPr>
        <w:t>Reviewer feedback was incorporated as appropriate.</w:t>
      </w:r>
    </w:p>
    <w:p w14:paraId="4D3FA441" w14:textId="77777777" w:rsidR="00022010" w:rsidRPr="00022010" w:rsidRDefault="00022010" w:rsidP="00022010">
      <w:pPr>
        <w:rPr>
          <w:rFonts w:ascii="Arial" w:hAnsi="Arial" w:cs="Arial"/>
          <w:sz w:val="21"/>
          <w:szCs w:val="21"/>
          <w:u w:val="single"/>
        </w:rPr>
      </w:pPr>
      <w:r w:rsidRPr="00022010">
        <w:rPr>
          <w:rFonts w:ascii="Arial" w:hAnsi="Arial" w:cs="Arial"/>
          <w:sz w:val="21"/>
          <w:szCs w:val="21"/>
          <w:u w:val="single"/>
        </w:rPr>
        <w:t>Survey of Local Health Department CDC Field Assignees</w:t>
      </w:r>
    </w:p>
    <w:p w14:paraId="183FA0AA" w14:textId="0CAE5BE7" w:rsidR="00022010" w:rsidRDefault="002A176F" w:rsidP="005D7A08">
      <w:pPr>
        <w:rPr>
          <w:rFonts w:ascii="Arial" w:hAnsi="Arial" w:cs="Arial"/>
          <w:sz w:val="21"/>
          <w:szCs w:val="21"/>
        </w:rPr>
      </w:pPr>
      <w:r>
        <w:rPr>
          <w:rFonts w:ascii="Arial" w:hAnsi="Arial" w:cs="Arial"/>
          <w:sz w:val="21"/>
          <w:szCs w:val="21"/>
        </w:rPr>
        <w:t xml:space="preserve">The survey </w:t>
      </w:r>
      <w:r w:rsidRPr="002A176F">
        <w:rPr>
          <w:rFonts w:ascii="Arial" w:hAnsi="Arial" w:cs="Arial"/>
          <w:sz w:val="21"/>
          <w:szCs w:val="21"/>
        </w:rPr>
        <w:t xml:space="preserve">was reviewed by ACOG Immunization staff, ACOG Research staff, AAP Disaster Preparedness and Response staff, </w:t>
      </w:r>
      <w:r w:rsidR="004B3D72" w:rsidRPr="004B3D72">
        <w:rPr>
          <w:rFonts w:ascii="Arial" w:hAnsi="Arial" w:cs="Arial"/>
          <w:sz w:val="21"/>
          <w:szCs w:val="21"/>
        </w:rPr>
        <w:t>CDC subject-matter experts</w:t>
      </w:r>
      <w:r w:rsidRPr="002A176F">
        <w:rPr>
          <w:rFonts w:ascii="Arial" w:hAnsi="Arial" w:cs="Arial"/>
          <w:sz w:val="21"/>
          <w:szCs w:val="21"/>
        </w:rPr>
        <w:t xml:space="preserve">, and </w:t>
      </w:r>
      <w:r>
        <w:rPr>
          <w:rFonts w:ascii="Arial" w:hAnsi="Arial" w:cs="Arial"/>
          <w:sz w:val="21"/>
          <w:szCs w:val="21"/>
        </w:rPr>
        <w:t>IRB</w:t>
      </w:r>
      <w:r w:rsidRPr="002A176F">
        <w:rPr>
          <w:rFonts w:ascii="Arial" w:hAnsi="Arial" w:cs="Arial"/>
          <w:sz w:val="21"/>
          <w:szCs w:val="21"/>
        </w:rPr>
        <w:t>.</w:t>
      </w:r>
      <w:r w:rsidR="00627C35" w:rsidRPr="00627C35">
        <w:t xml:space="preserve"> </w:t>
      </w:r>
      <w:r w:rsidR="00627C35" w:rsidRPr="00627C35">
        <w:rPr>
          <w:rFonts w:ascii="Arial" w:hAnsi="Arial" w:cs="Arial"/>
          <w:sz w:val="21"/>
          <w:szCs w:val="21"/>
        </w:rPr>
        <w:t>Reviewer feedback was incorporated as appropriate.</w:t>
      </w:r>
    </w:p>
    <w:p w14:paraId="573AD98A" w14:textId="4D61FFF7" w:rsidR="005D7A08" w:rsidRPr="00F47153" w:rsidRDefault="00A45A4A" w:rsidP="005D7A08">
      <w:pPr>
        <w:rPr>
          <w:rFonts w:ascii="Arial" w:hAnsi="Arial" w:cs="Arial"/>
          <w:b/>
          <w:sz w:val="21"/>
          <w:szCs w:val="21"/>
        </w:rPr>
      </w:pPr>
      <w:r w:rsidRPr="00F47153">
        <w:rPr>
          <w:rFonts w:ascii="Arial" w:hAnsi="Arial" w:cs="Arial"/>
          <w:b/>
          <w:sz w:val="21"/>
          <w:szCs w:val="21"/>
        </w:rPr>
        <w:t xml:space="preserve">5. </w:t>
      </w:r>
      <w:r w:rsidR="005D7A08" w:rsidRPr="00F47153">
        <w:rPr>
          <w:rFonts w:ascii="Arial" w:hAnsi="Arial" w:cs="Arial"/>
          <w:b/>
          <w:sz w:val="21"/>
          <w:szCs w:val="21"/>
        </w:rPr>
        <w:t>Individuals Consulted on Statistical Aspects and Individuals Collecting and/or Analyzing Data</w:t>
      </w:r>
    </w:p>
    <w:p w14:paraId="7DECDBC9" w14:textId="7A69E049" w:rsidR="00022010" w:rsidRDefault="00FF3643" w:rsidP="00022010">
      <w:pPr>
        <w:rPr>
          <w:rFonts w:ascii="Arial" w:hAnsi="Arial" w:cs="Arial"/>
          <w:sz w:val="21"/>
          <w:szCs w:val="21"/>
        </w:rPr>
      </w:pPr>
      <w:r w:rsidRPr="00FF3643">
        <w:rPr>
          <w:rFonts w:ascii="Arial" w:hAnsi="Arial" w:cs="Arial"/>
          <w:sz w:val="21"/>
          <w:szCs w:val="21"/>
        </w:rPr>
        <w:t xml:space="preserve">ACOG’s </w:t>
      </w:r>
      <w:r>
        <w:rPr>
          <w:rFonts w:ascii="Arial" w:hAnsi="Arial" w:cs="Arial"/>
          <w:sz w:val="21"/>
          <w:szCs w:val="21"/>
        </w:rPr>
        <w:t xml:space="preserve">Zika Expert Work Group consists of </w:t>
      </w:r>
      <w:r w:rsidR="00E409D2">
        <w:rPr>
          <w:rFonts w:ascii="Arial" w:hAnsi="Arial" w:cs="Arial"/>
          <w:sz w:val="21"/>
          <w:szCs w:val="21"/>
        </w:rPr>
        <w:t xml:space="preserve">subject-matter </w:t>
      </w:r>
      <w:r>
        <w:rPr>
          <w:rFonts w:ascii="Arial" w:hAnsi="Arial" w:cs="Arial"/>
          <w:sz w:val="21"/>
          <w:szCs w:val="21"/>
        </w:rPr>
        <w:t xml:space="preserve">experts </w:t>
      </w:r>
      <w:r w:rsidRPr="00FF3643">
        <w:rPr>
          <w:rFonts w:ascii="Arial" w:hAnsi="Arial" w:cs="Arial"/>
          <w:sz w:val="21"/>
          <w:szCs w:val="21"/>
        </w:rPr>
        <w:t>Laura E. Riley, MD</w:t>
      </w:r>
      <w:r>
        <w:rPr>
          <w:rFonts w:ascii="Arial" w:hAnsi="Arial" w:cs="Arial"/>
          <w:sz w:val="21"/>
          <w:szCs w:val="21"/>
        </w:rPr>
        <w:t xml:space="preserve">; </w:t>
      </w:r>
      <w:r w:rsidRPr="00FF3643">
        <w:rPr>
          <w:rFonts w:ascii="Arial" w:hAnsi="Arial" w:cs="Arial"/>
          <w:sz w:val="21"/>
          <w:szCs w:val="21"/>
        </w:rPr>
        <w:t>R. Phillips Heine, MD</w:t>
      </w:r>
      <w:r>
        <w:rPr>
          <w:rFonts w:ascii="Arial" w:hAnsi="Arial" w:cs="Arial"/>
          <w:sz w:val="21"/>
          <w:szCs w:val="21"/>
        </w:rPr>
        <w:t xml:space="preserve">; </w:t>
      </w:r>
      <w:r w:rsidRPr="00FF3643">
        <w:rPr>
          <w:rFonts w:ascii="Arial" w:hAnsi="Arial" w:cs="Arial"/>
          <w:sz w:val="21"/>
          <w:szCs w:val="21"/>
        </w:rPr>
        <w:t>Karen Harris, MD</w:t>
      </w:r>
      <w:r>
        <w:rPr>
          <w:rFonts w:ascii="Arial" w:hAnsi="Arial" w:cs="Arial"/>
          <w:sz w:val="21"/>
          <w:szCs w:val="21"/>
        </w:rPr>
        <w:t xml:space="preserve">; </w:t>
      </w:r>
      <w:r w:rsidRPr="00FF3643">
        <w:rPr>
          <w:rFonts w:ascii="Arial" w:hAnsi="Arial" w:cs="Arial"/>
          <w:sz w:val="21"/>
          <w:szCs w:val="21"/>
        </w:rPr>
        <w:t>Rita Driggers, MD</w:t>
      </w:r>
      <w:r>
        <w:rPr>
          <w:rFonts w:ascii="Arial" w:hAnsi="Arial" w:cs="Arial"/>
          <w:sz w:val="21"/>
          <w:szCs w:val="21"/>
        </w:rPr>
        <w:t xml:space="preserve">; </w:t>
      </w:r>
      <w:r w:rsidRPr="00FF3643">
        <w:rPr>
          <w:rFonts w:ascii="Arial" w:hAnsi="Arial" w:cs="Arial"/>
          <w:sz w:val="21"/>
          <w:szCs w:val="21"/>
        </w:rPr>
        <w:t>Neil S. Silverman, MD</w:t>
      </w:r>
      <w:r>
        <w:rPr>
          <w:rFonts w:ascii="Arial" w:hAnsi="Arial" w:cs="Arial"/>
          <w:sz w:val="21"/>
          <w:szCs w:val="21"/>
        </w:rPr>
        <w:t xml:space="preserve">; </w:t>
      </w:r>
      <w:r w:rsidRPr="00FF3643">
        <w:rPr>
          <w:rFonts w:ascii="Arial" w:hAnsi="Arial" w:cs="Arial"/>
          <w:sz w:val="21"/>
          <w:szCs w:val="21"/>
        </w:rPr>
        <w:t>Richard Beigi, MD</w:t>
      </w:r>
      <w:r>
        <w:rPr>
          <w:rFonts w:ascii="Arial" w:hAnsi="Arial" w:cs="Arial"/>
          <w:sz w:val="21"/>
          <w:szCs w:val="21"/>
        </w:rPr>
        <w:t xml:space="preserve">; </w:t>
      </w:r>
      <w:r w:rsidRPr="00FF3643">
        <w:rPr>
          <w:rFonts w:ascii="Arial" w:hAnsi="Arial" w:cs="Arial"/>
          <w:sz w:val="21"/>
          <w:szCs w:val="21"/>
        </w:rPr>
        <w:t>Natali Aziz, MD</w:t>
      </w:r>
      <w:r>
        <w:rPr>
          <w:rFonts w:ascii="Arial" w:hAnsi="Arial" w:cs="Arial"/>
          <w:sz w:val="21"/>
          <w:szCs w:val="21"/>
        </w:rPr>
        <w:t xml:space="preserve">; </w:t>
      </w:r>
      <w:r w:rsidRPr="00FF3643">
        <w:rPr>
          <w:rFonts w:ascii="Arial" w:hAnsi="Arial" w:cs="Arial"/>
          <w:sz w:val="21"/>
          <w:szCs w:val="21"/>
        </w:rPr>
        <w:t>Kim Fortner, MD</w:t>
      </w:r>
      <w:r>
        <w:rPr>
          <w:rFonts w:ascii="Arial" w:hAnsi="Arial" w:cs="Arial"/>
          <w:sz w:val="21"/>
          <w:szCs w:val="21"/>
        </w:rPr>
        <w:t xml:space="preserve">; </w:t>
      </w:r>
      <w:r w:rsidRPr="00FF3643">
        <w:rPr>
          <w:rFonts w:ascii="Arial" w:hAnsi="Arial" w:cs="Arial"/>
          <w:sz w:val="21"/>
          <w:szCs w:val="21"/>
        </w:rPr>
        <w:t>Jeanne Sheffield, MD</w:t>
      </w:r>
      <w:r w:rsidR="00E409D2">
        <w:rPr>
          <w:rFonts w:ascii="Arial" w:hAnsi="Arial" w:cs="Arial"/>
          <w:sz w:val="21"/>
          <w:szCs w:val="21"/>
        </w:rPr>
        <w:t xml:space="preserve">; </w:t>
      </w:r>
      <w:r w:rsidR="00E409D2" w:rsidRPr="00E409D2">
        <w:rPr>
          <w:rFonts w:ascii="Arial" w:hAnsi="Arial" w:cs="Arial"/>
          <w:sz w:val="21"/>
          <w:szCs w:val="21"/>
        </w:rPr>
        <w:t>Burton Rochelson, MD</w:t>
      </w:r>
      <w:r w:rsidR="00E409D2">
        <w:rPr>
          <w:rFonts w:ascii="Arial" w:hAnsi="Arial" w:cs="Arial"/>
          <w:sz w:val="21"/>
          <w:szCs w:val="21"/>
        </w:rPr>
        <w:t xml:space="preserve">; </w:t>
      </w:r>
      <w:r w:rsidR="00E409D2" w:rsidRPr="00E409D2">
        <w:rPr>
          <w:rFonts w:ascii="Arial" w:hAnsi="Arial" w:cs="Arial"/>
          <w:sz w:val="21"/>
          <w:szCs w:val="21"/>
        </w:rPr>
        <w:t>Francisco Garcia, MD, MPH</w:t>
      </w:r>
      <w:r w:rsidR="00E409D2">
        <w:rPr>
          <w:rFonts w:ascii="Arial" w:hAnsi="Arial" w:cs="Arial"/>
          <w:sz w:val="21"/>
          <w:szCs w:val="21"/>
        </w:rPr>
        <w:t>; Catherine</w:t>
      </w:r>
      <w:r w:rsidR="00E409D2" w:rsidRPr="00E409D2">
        <w:rPr>
          <w:rFonts w:ascii="Arial" w:hAnsi="Arial" w:cs="Arial"/>
          <w:sz w:val="21"/>
          <w:szCs w:val="21"/>
        </w:rPr>
        <w:t xml:space="preserve"> Eppes, MD</w:t>
      </w:r>
      <w:r w:rsidR="00E409D2">
        <w:rPr>
          <w:rFonts w:ascii="Arial" w:hAnsi="Arial" w:cs="Arial"/>
          <w:sz w:val="21"/>
          <w:szCs w:val="21"/>
        </w:rPr>
        <w:t xml:space="preserve">; and </w:t>
      </w:r>
      <w:r w:rsidR="00E409D2" w:rsidRPr="00E409D2">
        <w:rPr>
          <w:rFonts w:ascii="Arial" w:hAnsi="Arial" w:cs="Arial"/>
          <w:sz w:val="21"/>
          <w:szCs w:val="21"/>
        </w:rPr>
        <w:t>Kristina Adams Waldorf, MD</w:t>
      </w:r>
      <w:r w:rsidR="00E409D2">
        <w:rPr>
          <w:rFonts w:ascii="Arial" w:hAnsi="Arial" w:cs="Arial"/>
          <w:sz w:val="21"/>
          <w:szCs w:val="21"/>
        </w:rPr>
        <w:t>.</w:t>
      </w:r>
    </w:p>
    <w:p w14:paraId="4ACE4E66" w14:textId="36160623" w:rsidR="004B3D72" w:rsidRDefault="004B3D72" w:rsidP="00022010">
      <w:pPr>
        <w:rPr>
          <w:rFonts w:ascii="Arial" w:hAnsi="Arial" w:cs="Arial"/>
          <w:sz w:val="21"/>
          <w:szCs w:val="21"/>
        </w:rPr>
      </w:pPr>
      <w:r>
        <w:rPr>
          <w:rFonts w:ascii="Arial" w:hAnsi="Arial" w:cs="Arial"/>
          <w:sz w:val="21"/>
          <w:szCs w:val="21"/>
        </w:rPr>
        <w:t>CDC subject-matter experts include staff from the National Center for Emerging and Zoonotic Infectious Diseases (NCEZID), National Center for Chronic Disease Prevention and Health Promotion (NCCDPHP)</w:t>
      </w:r>
      <w:r w:rsidR="0001300B">
        <w:rPr>
          <w:rFonts w:ascii="Arial" w:hAnsi="Arial" w:cs="Arial"/>
          <w:sz w:val="21"/>
          <w:szCs w:val="21"/>
        </w:rPr>
        <w:t>, and National Center on Birth Defects and Developmental Disabilities (NCBDDD):</w:t>
      </w:r>
      <w:r>
        <w:rPr>
          <w:rFonts w:ascii="Arial" w:hAnsi="Arial" w:cs="Arial"/>
          <w:sz w:val="21"/>
          <w:szCs w:val="21"/>
        </w:rPr>
        <w:t xml:space="preserve"> </w:t>
      </w:r>
      <w:r w:rsidR="00E86162">
        <w:rPr>
          <w:rFonts w:ascii="Arial" w:hAnsi="Arial" w:cs="Arial"/>
          <w:sz w:val="21"/>
          <w:szCs w:val="21"/>
        </w:rPr>
        <w:t>Kara Pol</w:t>
      </w:r>
      <w:r>
        <w:rPr>
          <w:rFonts w:ascii="Arial" w:hAnsi="Arial" w:cs="Arial"/>
          <w:sz w:val="21"/>
          <w:szCs w:val="21"/>
        </w:rPr>
        <w:t>en</w:t>
      </w:r>
      <w:r w:rsidR="00E86162">
        <w:rPr>
          <w:rFonts w:ascii="Arial" w:hAnsi="Arial" w:cs="Arial"/>
          <w:sz w:val="21"/>
          <w:szCs w:val="21"/>
        </w:rPr>
        <w:t>, MPH</w:t>
      </w:r>
      <w:r>
        <w:rPr>
          <w:rFonts w:ascii="Arial" w:hAnsi="Arial" w:cs="Arial"/>
          <w:sz w:val="21"/>
          <w:szCs w:val="21"/>
        </w:rPr>
        <w:t>; Titilope Oduye</w:t>
      </w:r>
      <w:r w:rsidR="0001300B">
        <w:rPr>
          <w:rFonts w:ascii="Arial" w:hAnsi="Arial" w:cs="Arial"/>
          <w:sz w:val="21"/>
          <w:szCs w:val="21"/>
        </w:rPr>
        <w:t xml:space="preserve">bo, MD, MPH, CPH; Siobhan Dolan, MD, MPH; </w:t>
      </w:r>
      <w:r w:rsidR="0001300B" w:rsidRPr="0001300B">
        <w:rPr>
          <w:rFonts w:ascii="Arial" w:hAnsi="Arial" w:cs="Arial"/>
          <w:sz w:val="21"/>
          <w:szCs w:val="21"/>
        </w:rPr>
        <w:t xml:space="preserve">Dana </w:t>
      </w:r>
      <w:r w:rsidR="0001300B">
        <w:rPr>
          <w:rFonts w:ascii="Arial" w:hAnsi="Arial" w:cs="Arial"/>
          <w:sz w:val="21"/>
          <w:szCs w:val="21"/>
        </w:rPr>
        <w:t>Meaney-</w:t>
      </w:r>
      <w:r w:rsidR="0001300B" w:rsidRPr="0001300B">
        <w:rPr>
          <w:rFonts w:ascii="Arial" w:hAnsi="Arial" w:cs="Arial"/>
          <w:sz w:val="21"/>
          <w:szCs w:val="21"/>
        </w:rPr>
        <w:t>Delman</w:t>
      </w:r>
      <w:r w:rsidR="0001300B">
        <w:rPr>
          <w:rFonts w:ascii="Arial" w:hAnsi="Arial" w:cs="Arial"/>
          <w:sz w:val="21"/>
          <w:szCs w:val="21"/>
        </w:rPr>
        <w:t xml:space="preserve">, MD, MPH; </w:t>
      </w:r>
      <w:r w:rsidR="0001300B" w:rsidRPr="00E86162">
        <w:rPr>
          <w:rFonts w:ascii="Arial" w:hAnsi="Arial" w:cs="Arial"/>
          <w:sz w:val="21"/>
          <w:szCs w:val="21"/>
        </w:rPr>
        <w:t>Maria Michaels; and Suzanne Gilboa</w:t>
      </w:r>
      <w:r w:rsidR="00E86162" w:rsidRPr="00E86162">
        <w:rPr>
          <w:rFonts w:ascii="Arial" w:hAnsi="Arial" w:cs="Arial"/>
          <w:sz w:val="21"/>
          <w:szCs w:val="21"/>
        </w:rPr>
        <w:t>,</w:t>
      </w:r>
      <w:r w:rsidR="00E86162">
        <w:rPr>
          <w:rFonts w:ascii="Arial" w:hAnsi="Arial" w:cs="Arial"/>
          <w:sz w:val="21"/>
          <w:szCs w:val="21"/>
        </w:rPr>
        <w:t xml:space="preserve"> PhD, MHS</w:t>
      </w:r>
      <w:r w:rsidR="0001300B">
        <w:rPr>
          <w:rFonts w:ascii="Arial" w:hAnsi="Arial" w:cs="Arial"/>
          <w:sz w:val="21"/>
          <w:szCs w:val="21"/>
        </w:rPr>
        <w:t xml:space="preserve">. </w:t>
      </w:r>
    </w:p>
    <w:p w14:paraId="69079092" w14:textId="3F503DB8" w:rsidR="00267B34" w:rsidRDefault="00267B34" w:rsidP="00022010">
      <w:pPr>
        <w:rPr>
          <w:rFonts w:ascii="Arial" w:hAnsi="Arial" w:cs="Arial"/>
          <w:sz w:val="21"/>
          <w:szCs w:val="21"/>
        </w:rPr>
      </w:pPr>
      <w:r>
        <w:rPr>
          <w:rFonts w:ascii="Arial" w:hAnsi="Arial" w:cs="Arial"/>
          <w:sz w:val="21"/>
          <w:szCs w:val="21"/>
        </w:rPr>
        <w:t xml:space="preserve">ACOG’s Research department, consisting of </w:t>
      </w:r>
      <w:r w:rsidR="00110A98">
        <w:rPr>
          <w:rFonts w:ascii="Arial" w:hAnsi="Arial" w:cs="Arial"/>
          <w:sz w:val="21"/>
          <w:szCs w:val="21"/>
        </w:rPr>
        <w:t xml:space="preserve">research assistant </w:t>
      </w:r>
      <w:r>
        <w:rPr>
          <w:rFonts w:ascii="Arial" w:hAnsi="Arial" w:cs="Arial"/>
          <w:sz w:val="21"/>
          <w:szCs w:val="21"/>
        </w:rPr>
        <w:t xml:space="preserve">Carrie Snead, MA, and </w:t>
      </w:r>
      <w:r w:rsidR="00110A98">
        <w:rPr>
          <w:rFonts w:ascii="Arial" w:hAnsi="Arial" w:cs="Arial"/>
          <w:sz w:val="21"/>
          <w:szCs w:val="21"/>
        </w:rPr>
        <w:t xml:space="preserve">research coordinator </w:t>
      </w:r>
      <w:r>
        <w:rPr>
          <w:rFonts w:ascii="Arial" w:hAnsi="Arial" w:cs="Arial"/>
          <w:sz w:val="21"/>
          <w:szCs w:val="21"/>
        </w:rPr>
        <w:t xml:space="preserve">Neko Castleberry, MPP, will be responsible for data collection and data analysis for both surveys. ACOG’s Research staff regularly develop and administer surveys, analyze data, and publish results. </w:t>
      </w:r>
    </w:p>
    <w:p w14:paraId="5D682366" w14:textId="21E88BAD" w:rsidR="00110A98" w:rsidRPr="00FF3643" w:rsidRDefault="00110A98" w:rsidP="00022010">
      <w:pPr>
        <w:rPr>
          <w:rFonts w:ascii="Arial" w:hAnsi="Arial" w:cs="Arial"/>
          <w:sz w:val="21"/>
          <w:szCs w:val="21"/>
        </w:rPr>
      </w:pPr>
      <w:r>
        <w:rPr>
          <w:rFonts w:ascii="Arial" w:hAnsi="Arial" w:cs="Arial"/>
          <w:sz w:val="21"/>
          <w:szCs w:val="21"/>
        </w:rPr>
        <w:t>The focus group data will be collected and analyzed by senior director of health care research Chrystine Zacherau</w:t>
      </w:r>
      <w:r w:rsidR="00F66DCE">
        <w:rPr>
          <w:rFonts w:ascii="Arial" w:hAnsi="Arial" w:cs="Arial"/>
          <w:sz w:val="21"/>
          <w:szCs w:val="21"/>
        </w:rPr>
        <w:t>, MA, BSN</w:t>
      </w:r>
      <w:r w:rsidR="004B3D72">
        <w:rPr>
          <w:rFonts w:ascii="Arial" w:hAnsi="Arial" w:cs="Arial"/>
          <w:sz w:val="21"/>
          <w:szCs w:val="21"/>
        </w:rPr>
        <w:t>;</w:t>
      </w:r>
      <w:r>
        <w:rPr>
          <w:rFonts w:ascii="Arial" w:hAnsi="Arial" w:cs="Arial"/>
          <w:sz w:val="21"/>
          <w:szCs w:val="21"/>
        </w:rPr>
        <w:t xml:space="preserve"> associate director of hea</w:t>
      </w:r>
      <w:r w:rsidR="004B3D72">
        <w:rPr>
          <w:rFonts w:ascii="Arial" w:hAnsi="Arial" w:cs="Arial"/>
          <w:sz w:val="21"/>
          <w:szCs w:val="21"/>
        </w:rPr>
        <w:t>lth care research Kevin Schmidt;</w:t>
      </w:r>
      <w:r>
        <w:rPr>
          <w:rFonts w:ascii="Arial" w:hAnsi="Arial" w:cs="Arial"/>
          <w:sz w:val="21"/>
          <w:szCs w:val="21"/>
        </w:rPr>
        <w:t xml:space="preserve"> and data analyst Kerry Kilgallin.  </w:t>
      </w:r>
    </w:p>
    <w:p w14:paraId="67383E38" w14:textId="77777777" w:rsidR="004F2457" w:rsidRDefault="004F2457">
      <w:pPr>
        <w:rPr>
          <w:rFonts w:ascii="Arial" w:hAnsi="Arial" w:cs="Arial"/>
          <w:b/>
          <w:sz w:val="21"/>
          <w:szCs w:val="21"/>
        </w:rPr>
      </w:pPr>
    </w:p>
    <w:p w14:paraId="063E76F7" w14:textId="77777777" w:rsidR="00FF78F3" w:rsidRDefault="00FF78F3">
      <w:pPr>
        <w:rPr>
          <w:rFonts w:ascii="Arial" w:hAnsi="Arial" w:cs="Arial"/>
          <w:b/>
          <w:sz w:val="21"/>
          <w:szCs w:val="21"/>
        </w:rPr>
      </w:pPr>
    </w:p>
    <w:p w14:paraId="4CCED822" w14:textId="5510F2C6" w:rsidR="00DC57CC" w:rsidRDefault="004F2457">
      <w:pPr>
        <w:rPr>
          <w:rFonts w:ascii="Arial" w:hAnsi="Arial" w:cs="Arial"/>
          <w:b/>
          <w:sz w:val="21"/>
          <w:szCs w:val="21"/>
        </w:rPr>
      </w:pPr>
      <w:r w:rsidRPr="004F2457">
        <w:rPr>
          <w:rFonts w:ascii="Arial" w:hAnsi="Arial" w:cs="Arial"/>
          <w:b/>
          <w:sz w:val="21"/>
          <w:szCs w:val="21"/>
        </w:rPr>
        <w:t>References</w:t>
      </w:r>
    </w:p>
    <w:p w14:paraId="0AAD8B97" w14:textId="77777777" w:rsidR="004F2457" w:rsidRPr="007D5198" w:rsidRDefault="004F2457" w:rsidP="004F2457">
      <w:pPr>
        <w:rPr>
          <w:rFonts w:ascii="Arial" w:hAnsi="Arial" w:cs="Arial"/>
          <w:sz w:val="21"/>
          <w:szCs w:val="21"/>
        </w:rPr>
      </w:pPr>
      <w:r w:rsidRPr="007D5198">
        <w:rPr>
          <w:rFonts w:ascii="Arial" w:hAnsi="Arial" w:cs="Arial"/>
          <w:sz w:val="21"/>
          <w:szCs w:val="21"/>
        </w:rPr>
        <w:t>Kellerman, S.E., Herold, J., 2001. Physician response to surveys. A review of the literature. Am. J. Prev. Med. 20 (1), 61–67.</w:t>
      </w:r>
    </w:p>
    <w:p w14:paraId="731ADE7E" w14:textId="77777777" w:rsidR="004F2457" w:rsidRPr="004F2457" w:rsidRDefault="004F2457">
      <w:pPr>
        <w:rPr>
          <w:rFonts w:ascii="Arial" w:hAnsi="Arial" w:cs="Arial"/>
          <w:b/>
          <w:sz w:val="21"/>
          <w:szCs w:val="21"/>
        </w:rPr>
      </w:pPr>
    </w:p>
    <w:sectPr w:rsidR="004F2457" w:rsidRPr="004F2457" w:rsidSect="006B02E8">
      <w:footerReference w:type="default" r:id="rId10"/>
      <w:pgSz w:w="12240" w:h="15840" w:code="1"/>
      <w:pgMar w:top="171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F4894" w14:textId="77777777" w:rsidR="00025A0F" w:rsidRDefault="00025A0F" w:rsidP="008B5D54">
      <w:pPr>
        <w:spacing w:after="0" w:line="240" w:lineRule="auto"/>
      </w:pPr>
      <w:r>
        <w:separator/>
      </w:r>
    </w:p>
  </w:endnote>
  <w:endnote w:type="continuationSeparator" w:id="0">
    <w:p w14:paraId="79C5D33A" w14:textId="77777777" w:rsidR="00025A0F" w:rsidRDefault="00025A0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835430"/>
      <w:docPartObj>
        <w:docPartGallery w:val="Page Numbers (Bottom of Page)"/>
        <w:docPartUnique/>
      </w:docPartObj>
    </w:sdtPr>
    <w:sdtEndPr>
      <w:rPr>
        <w:noProof/>
      </w:rPr>
    </w:sdtEndPr>
    <w:sdtContent>
      <w:p w14:paraId="2F629D77" w14:textId="0B3821A5" w:rsidR="00C81E76" w:rsidRDefault="00C81E76">
        <w:pPr>
          <w:pStyle w:val="Footer"/>
          <w:jc w:val="right"/>
        </w:pPr>
        <w:r>
          <w:fldChar w:fldCharType="begin"/>
        </w:r>
        <w:r>
          <w:instrText xml:space="preserve"> PAGE   \* MERGEFORMAT </w:instrText>
        </w:r>
        <w:r>
          <w:fldChar w:fldCharType="separate"/>
        </w:r>
        <w:r w:rsidR="003246F6">
          <w:rPr>
            <w:noProof/>
          </w:rPr>
          <w:t>1</w:t>
        </w:r>
        <w:r>
          <w:rPr>
            <w:noProof/>
          </w:rPr>
          <w:fldChar w:fldCharType="end"/>
        </w:r>
      </w:p>
    </w:sdtContent>
  </w:sdt>
  <w:p w14:paraId="5F4AE5F3" w14:textId="77777777" w:rsidR="00C81E76" w:rsidRDefault="00C81E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D1685" w14:textId="77777777" w:rsidR="00025A0F" w:rsidRDefault="00025A0F" w:rsidP="008B5D54">
      <w:pPr>
        <w:spacing w:after="0" w:line="240" w:lineRule="auto"/>
      </w:pPr>
      <w:r>
        <w:separator/>
      </w:r>
    </w:p>
  </w:footnote>
  <w:footnote w:type="continuationSeparator" w:id="0">
    <w:p w14:paraId="41B8F527" w14:textId="77777777" w:rsidR="00025A0F" w:rsidRDefault="00025A0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F426A"/>
    <w:multiLevelType w:val="hybridMultilevel"/>
    <w:tmpl w:val="55F6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B83552"/>
    <w:multiLevelType w:val="hybridMultilevel"/>
    <w:tmpl w:val="1BA6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08"/>
    <w:rsid w:val="0001300B"/>
    <w:rsid w:val="00022010"/>
    <w:rsid w:val="000237E6"/>
    <w:rsid w:val="00025A0F"/>
    <w:rsid w:val="00033289"/>
    <w:rsid w:val="00066E5C"/>
    <w:rsid w:val="000B0B2F"/>
    <w:rsid w:val="000C71F9"/>
    <w:rsid w:val="00110A98"/>
    <w:rsid w:val="00163337"/>
    <w:rsid w:val="0017015F"/>
    <w:rsid w:val="00171E51"/>
    <w:rsid w:val="00193D33"/>
    <w:rsid w:val="001C3B83"/>
    <w:rsid w:val="0021491D"/>
    <w:rsid w:val="00216E73"/>
    <w:rsid w:val="00217EAC"/>
    <w:rsid w:val="00234135"/>
    <w:rsid w:val="00236552"/>
    <w:rsid w:val="0024045B"/>
    <w:rsid w:val="00262EAC"/>
    <w:rsid w:val="00267B34"/>
    <w:rsid w:val="00276E04"/>
    <w:rsid w:val="002850AC"/>
    <w:rsid w:val="00290F6D"/>
    <w:rsid w:val="002A176F"/>
    <w:rsid w:val="002D0474"/>
    <w:rsid w:val="002E134A"/>
    <w:rsid w:val="002E3901"/>
    <w:rsid w:val="00307058"/>
    <w:rsid w:val="00317760"/>
    <w:rsid w:val="003221F8"/>
    <w:rsid w:val="00322A72"/>
    <w:rsid w:val="003246F6"/>
    <w:rsid w:val="00325D79"/>
    <w:rsid w:val="00357B8F"/>
    <w:rsid w:val="00371DF9"/>
    <w:rsid w:val="003C27BB"/>
    <w:rsid w:val="003E21D6"/>
    <w:rsid w:val="00403BB5"/>
    <w:rsid w:val="00411357"/>
    <w:rsid w:val="004256DA"/>
    <w:rsid w:val="00451401"/>
    <w:rsid w:val="004556DE"/>
    <w:rsid w:val="0049359E"/>
    <w:rsid w:val="00496941"/>
    <w:rsid w:val="004A1F9C"/>
    <w:rsid w:val="004A37D6"/>
    <w:rsid w:val="004B3124"/>
    <w:rsid w:val="004B3D72"/>
    <w:rsid w:val="004E58DE"/>
    <w:rsid w:val="004F2457"/>
    <w:rsid w:val="004F7EBD"/>
    <w:rsid w:val="00540B13"/>
    <w:rsid w:val="0054503B"/>
    <w:rsid w:val="00572C7D"/>
    <w:rsid w:val="00585597"/>
    <w:rsid w:val="005D0219"/>
    <w:rsid w:val="005D7A08"/>
    <w:rsid w:val="005E19D4"/>
    <w:rsid w:val="00617B15"/>
    <w:rsid w:val="00623B6E"/>
    <w:rsid w:val="00627C35"/>
    <w:rsid w:val="00631ADF"/>
    <w:rsid w:val="00671039"/>
    <w:rsid w:val="006858C9"/>
    <w:rsid w:val="006A6D4D"/>
    <w:rsid w:val="006B02E8"/>
    <w:rsid w:val="006C3712"/>
    <w:rsid w:val="006C6578"/>
    <w:rsid w:val="006C6966"/>
    <w:rsid w:val="006F1481"/>
    <w:rsid w:val="0071538D"/>
    <w:rsid w:val="00740FED"/>
    <w:rsid w:val="007746C5"/>
    <w:rsid w:val="00787EE4"/>
    <w:rsid w:val="007B2B55"/>
    <w:rsid w:val="007D5198"/>
    <w:rsid w:val="007F0FC5"/>
    <w:rsid w:val="007F1F2D"/>
    <w:rsid w:val="00873C97"/>
    <w:rsid w:val="0089501E"/>
    <w:rsid w:val="008A07CB"/>
    <w:rsid w:val="008B5D54"/>
    <w:rsid w:val="008C1DF4"/>
    <w:rsid w:val="008F6BBC"/>
    <w:rsid w:val="00937CBB"/>
    <w:rsid w:val="009630C5"/>
    <w:rsid w:val="00963550"/>
    <w:rsid w:val="00966A91"/>
    <w:rsid w:val="00981AB7"/>
    <w:rsid w:val="009920C3"/>
    <w:rsid w:val="009B56A5"/>
    <w:rsid w:val="009D4E4C"/>
    <w:rsid w:val="009F396F"/>
    <w:rsid w:val="009F6B38"/>
    <w:rsid w:val="00A1552E"/>
    <w:rsid w:val="00A45A4A"/>
    <w:rsid w:val="00A7128B"/>
    <w:rsid w:val="00A7712E"/>
    <w:rsid w:val="00A86D78"/>
    <w:rsid w:val="00A96A15"/>
    <w:rsid w:val="00AA7B9B"/>
    <w:rsid w:val="00AC2FC2"/>
    <w:rsid w:val="00AE5F99"/>
    <w:rsid w:val="00AF4D84"/>
    <w:rsid w:val="00B176BA"/>
    <w:rsid w:val="00B55735"/>
    <w:rsid w:val="00B608AC"/>
    <w:rsid w:val="00BA5FF3"/>
    <w:rsid w:val="00BB7365"/>
    <w:rsid w:val="00BD28E2"/>
    <w:rsid w:val="00BD763C"/>
    <w:rsid w:val="00BF284A"/>
    <w:rsid w:val="00C640D8"/>
    <w:rsid w:val="00C81E76"/>
    <w:rsid w:val="00C97A9B"/>
    <w:rsid w:val="00CB4E4E"/>
    <w:rsid w:val="00CC676A"/>
    <w:rsid w:val="00CC70ED"/>
    <w:rsid w:val="00CE3D4F"/>
    <w:rsid w:val="00D14889"/>
    <w:rsid w:val="00D333EC"/>
    <w:rsid w:val="00D94652"/>
    <w:rsid w:val="00DB0698"/>
    <w:rsid w:val="00DC57CC"/>
    <w:rsid w:val="00DD5FBD"/>
    <w:rsid w:val="00DD751A"/>
    <w:rsid w:val="00E03ADB"/>
    <w:rsid w:val="00E26C00"/>
    <w:rsid w:val="00E318F4"/>
    <w:rsid w:val="00E324A8"/>
    <w:rsid w:val="00E35FC4"/>
    <w:rsid w:val="00E37499"/>
    <w:rsid w:val="00E409D2"/>
    <w:rsid w:val="00E44227"/>
    <w:rsid w:val="00E86162"/>
    <w:rsid w:val="00EA62AA"/>
    <w:rsid w:val="00EB107B"/>
    <w:rsid w:val="00EB5467"/>
    <w:rsid w:val="00ED349D"/>
    <w:rsid w:val="00EE1BE6"/>
    <w:rsid w:val="00EF04D5"/>
    <w:rsid w:val="00F04D62"/>
    <w:rsid w:val="00F47153"/>
    <w:rsid w:val="00F66DCE"/>
    <w:rsid w:val="00F707FF"/>
    <w:rsid w:val="00F724A1"/>
    <w:rsid w:val="00F830FD"/>
    <w:rsid w:val="00FA5C4C"/>
    <w:rsid w:val="00FA5CAD"/>
    <w:rsid w:val="00FA6548"/>
    <w:rsid w:val="00FD1640"/>
    <w:rsid w:val="00FD4663"/>
    <w:rsid w:val="00FE6A60"/>
    <w:rsid w:val="00FF3643"/>
    <w:rsid w:val="00FF5464"/>
    <w:rsid w:val="00FF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9DC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styleId="Hyperlink">
    <w:name w:val="Hyperlink"/>
    <w:basedOn w:val="DefaultParagraphFont"/>
    <w:uiPriority w:val="99"/>
    <w:unhideWhenUsed/>
    <w:rsid w:val="004F7EBD"/>
    <w:rPr>
      <w:color w:val="0000FF" w:themeColor="hyperlink"/>
      <w:u w:val="single"/>
    </w:rPr>
  </w:style>
  <w:style w:type="character" w:customStyle="1" w:styleId="UnresolvedMention">
    <w:name w:val="Unresolved Mention"/>
    <w:basedOn w:val="DefaultParagraphFont"/>
    <w:uiPriority w:val="99"/>
    <w:semiHidden/>
    <w:unhideWhenUsed/>
    <w:rsid w:val="004F7EB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styleId="Hyperlink">
    <w:name w:val="Hyperlink"/>
    <w:basedOn w:val="DefaultParagraphFont"/>
    <w:uiPriority w:val="99"/>
    <w:unhideWhenUsed/>
    <w:rsid w:val="004F7EBD"/>
    <w:rPr>
      <w:color w:val="0000FF" w:themeColor="hyperlink"/>
      <w:u w:val="single"/>
    </w:rPr>
  </w:style>
  <w:style w:type="character" w:customStyle="1" w:styleId="UnresolvedMention">
    <w:name w:val="Unresolved Mention"/>
    <w:basedOn w:val="DefaultParagraphFont"/>
    <w:uiPriority w:val="99"/>
    <w:semiHidden/>
    <w:unhideWhenUsed/>
    <w:rsid w:val="004F7E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acog.az1.qualtrics.com/jfe/form/SV_afJALEIAeqsv5q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FFCCF-55D6-4D94-A43D-5E2883F6B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2018-05-04T19:06:00Z</dcterms:created>
  <dcterms:modified xsi:type="dcterms:W3CDTF">2018-05-04T19:06:00Z</dcterms:modified>
</cp:coreProperties>
</file>