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6F1" w:rsidRDefault="00AA1DDD" w:rsidP="00AA1DDD">
      <w:pPr>
        <w:tabs>
          <w:tab w:val="center" w:pos="4680"/>
        </w:tabs>
        <w:spacing w:before="120"/>
        <w:jc w:val="center"/>
        <w:rPr>
          <w:b/>
          <w:sz w:val="32"/>
          <w:szCs w:val="32"/>
        </w:rPr>
      </w:pPr>
      <w:bookmarkStart w:id="0" w:name="_GoBack"/>
      <w:bookmarkEnd w:id="0"/>
      <w:r w:rsidRPr="0070670C">
        <w:rPr>
          <w:b/>
          <w:sz w:val="32"/>
          <w:szCs w:val="32"/>
        </w:rPr>
        <w:t xml:space="preserve">Generic ICR for </w:t>
      </w:r>
    </w:p>
    <w:p w:rsidR="00AA1DDD" w:rsidRDefault="00AA1DDD" w:rsidP="00AA1DDD">
      <w:pPr>
        <w:tabs>
          <w:tab w:val="center" w:pos="4680"/>
        </w:tabs>
        <w:spacing w:before="120"/>
        <w:jc w:val="center"/>
        <w:rPr>
          <w:b/>
          <w:sz w:val="32"/>
          <w:szCs w:val="32"/>
        </w:rPr>
      </w:pPr>
      <w:r>
        <w:rPr>
          <w:b/>
          <w:sz w:val="32"/>
          <w:szCs w:val="32"/>
        </w:rPr>
        <w:t xml:space="preserve">BRFSS </w:t>
      </w:r>
      <w:r w:rsidR="00651EC2">
        <w:rPr>
          <w:b/>
          <w:sz w:val="32"/>
          <w:szCs w:val="32"/>
        </w:rPr>
        <w:t xml:space="preserve">Preliminary Experiment for </w:t>
      </w:r>
      <w:r>
        <w:rPr>
          <w:b/>
          <w:sz w:val="32"/>
          <w:szCs w:val="32"/>
        </w:rPr>
        <w:t>Sampl</w:t>
      </w:r>
      <w:r w:rsidR="00651EC2">
        <w:rPr>
          <w:b/>
          <w:sz w:val="32"/>
          <w:szCs w:val="32"/>
        </w:rPr>
        <w:t>e and Mode</w:t>
      </w:r>
      <w:r>
        <w:rPr>
          <w:b/>
          <w:sz w:val="32"/>
          <w:szCs w:val="32"/>
        </w:rPr>
        <w:t xml:space="preserve"> </w:t>
      </w:r>
    </w:p>
    <w:p w:rsidR="00AA1DDD" w:rsidRPr="0070670C" w:rsidRDefault="00AA1DDD" w:rsidP="00AA1DDD">
      <w:pPr>
        <w:tabs>
          <w:tab w:val="center" w:pos="4680"/>
        </w:tabs>
        <w:spacing w:before="120"/>
        <w:jc w:val="center"/>
        <w:rPr>
          <w:b/>
          <w:bCs/>
          <w:sz w:val="32"/>
          <w:szCs w:val="32"/>
        </w:rPr>
      </w:pPr>
      <w:r>
        <w:rPr>
          <w:b/>
          <w:sz w:val="32"/>
          <w:szCs w:val="32"/>
        </w:rPr>
        <w:t>for</w:t>
      </w:r>
      <w:r w:rsidRPr="0070670C">
        <w:rPr>
          <w:b/>
          <w:bCs/>
          <w:sz w:val="32"/>
          <w:szCs w:val="32"/>
        </w:rPr>
        <w:t xml:space="preserve"> the National Center for Chronic Disease Prevention </w:t>
      </w:r>
    </w:p>
    <w:p w:rsidR="00AA1DDD" w:rsidRDefault="00AA1DDD" w:rsidP="00AA1DDD">
      <w:pPr>
        <w:widowControl/>
        <w:autoSpaceDE/>
        <w:autoSpaceDN/>
        <w:adjustRightInd/>
        <w:jc w:val="center"/>
        <w:rPr>
          <w:b/>
          <w:bCs/>
          <w:sz w:val="32"/>
          <w:szCs w:val="32"/>
        </w:rPr>
      </w:pPr>
      <w:r w:rsidRPr="0070670C">
        <w:rPr>
          <w:b/>
          <w:bCs/>
          <w:sz w:val="32"/>
          <w:szCs w:val="32"/>
        </w:rPr>
        <w:t>and Health Promotion</w:t>
      </w:r>
    </w:p>
    <w:p w:rsidR="00B63C11" w:rsidRPr="006F6E8F" w:rsidRDefault="00B63C11" w:rsidP="00AA1DDD">
      <w:pPr>
        <w:widowControl/>
        <w:autoSpaceDE/>
        <w:autoSpaceDN/>
        <w:adjustRightInd/>
        <w:jc w:val="center"/>
        <w:rPr>
          <w:b/>
          <w:bCs/>
          <w:sz w:val="32"/>
          <w:szCs w:val="32"/>
        </w:rPr>
      </w:pPr>
      <w:r>
        <w:rPr>
          <w:b/>
          <w:bCs/>
          <w:sz w:val="32"/>
          <w:szCs w:val="32"/>
        </w:rPr>
        <w:t>Submitted under</w:t>
      </w:r>
    </w:p>
    <w:p w:rsidR="00AA1DDD" w:rsidRPr="006F6E8F" w:rsidRDefault="00AA1DDD" w:rsidP="00AA1DDD">
      <w:pPr>
        <w:widowControl/>
        <w:autoSpaceDE/>
        <w:autoSpaceDN/>
        <w:adjustRightInd/>
        <w:jc w:val="center"/>
        <w:rPr>
          <w:b/>
          <w:bCs/>
          <w:sz w:val="32"/>
          <w:szCs w:val="32"/>
        </w:rPr>
      </w:pPr>
    </w:p>
    <w:p w:rsidR="00B63C11" w:rsidRDefault="00B63C11" w:rsidP="00B63C11">
      <w:pPr>
        <w:widowControl/>
        <w:autoSpaceDE/>
        <w:autoSpaceDN/>
        <w:adjustRightInd/>
        <w:jc w:val="center"/>
        <w:rPr>
          <w:b/>
          <w:bCs/>
          <w:sz w:val="32"/>
          <w:szCs w:val="32"/>
        </w:rPr>
      </w:pPr>
      <w:r w:rsidRPr="00D82D12">
        <w:rPr>
          <w:b/>
          <w:bCs/>
          <w:sz w:val="32"/>
          <w:szCs w:val="32"/>
        </w:rPr>
        <w:t xml:space="preserve">CDC/ATSDR Formative Research and Tool Development </w:t>
      </w:r>
    </w:p>
    <w:p w:rsidR="00B63C11" w:rsidRPr="006F6E8F" w:rsidRDefault="00B63C11" w:rsidP="00B63C11">
      <w:pPr>
        <w:widowControl/>
        <w:autoSpaceDE/>
        <w:autoSpaceDN/>
        <w:adjustRightInd/>
        <w:jc w:val="center"/>
        <w:rPr>
          <w:b/>
          <w:bCs/>
          <w:sz w:val="32"/>
          <w:szCs w:val="32"/>
        </w:rPr>
      </w:pPr>
      <w:r w:rsidRPr="00D82D12">
        <w:rPr>
          <w:b/>
          <w:bCs/>
          <w:sz w:val="32"/>
          <w:szCs w:val="32"/>
        </w:rPr>
        <w:t>(OMB #0920-1154)</w:t>
      </w:r>
    </w:p>
    <w:p w:rsidR="00AA1DDD" w:rsidRPr="006F6E8F" w:rsidRDefault="00AA1DDD" w:rsidP="00AA1DDD">
      <w:pPr>
        <w:widowControl/>
        <w:autoSpaceDE/>
        <w:autoSpaceDN/>
        <w:adjustRightInd/>
        <w:jc w:val="center"/>
        <w:rPr>
          <w:b/>
          <w:bCs/>
          <w:sz w:val="32"/>
          <w:szCs w:val="32"/>
        </w:rPr>
      </w:pPr>
    </w:p>
    <w:p w:rsidR="00AA1DDD" w:rsidRPr="006F6E8F" w:rsidRDefault="00AA1DDD" w:rsidP="00AA1DDD">
      <w:pPr>
        <w:widowControl/>
        <w:autoSpaceDE/>
        <w:autoSpaceDN/>
        <w:adjustRightInd/>
        <w:jc w:val="center"/>
        <w:rPr>
          <w:b/>
          <w:bCs/>
          <w:sz w:val="32"/>
          <w:szCs w:val="32"/>
        </w:rPr>
      </w:pPr>
    </w:p>
    <w:p w:rsidR="00AA1DDD" w:rsidRPr="006F6E8F" w:rsidRDefault="00AA1DDD" w:rsidP="00AA1DDD">
      <w:pPr>
        <w:widowControl/>
        <w:autoSpaceDE/>
        <w:autoSpaceDN/>
        <w:adjustRightInd/>
        <w:jc w:val="center"/>
        <w:rPr>
          <w:b/>
          <w:bCs/>
          <w:sz w:val="32"/>
          <w:szCs w:val="32"/>
        </w:rPr>
      </w:pPr>
      <w:r w:rsidRPr="006F6E8F">
        <w:rPr>
          <w:b/>
          <w:bCs/>
          <w:sz w:val="32"/>
          <w:szCs w:val="32"/>
        </w:rPr>
        <w:t>Supporting Statement</w:t>
      </w:r>
    </w:p>
    <w:p w:rsidR="00AA1DDD" w:rsidRPr="006F6E8F" w:rsidRDefault="00AA1DDD" w:rsidP="00AA1DDD">
      <w:pPr>
        <w:widowControl/>
        <w:autoSpaceDE/>
        <w:autoSpaceDN/>
        <w:adjustRightInd/>
        <w:jc w:val="center"/>
        <w:rPr>
          <w:b/>
          <w:bCs/>
          <w:sz w:val="32"/>
          <w:szCs w:val="32"/>
        </w:rPr>
      </w:pPr>
      <w:r>
        <w:rPr>
          <w:b/>
          <w:bCs/>
          <w:sz w:val="32"/>
          <w:szCs w:val="32"/>
        </w:rPr>
        <w:t>Part B</w:t>
      </w:r>
    </w:p>
    <w:p w:rsidR="00651EC2" w:rsidRDefault="009367DF" w:rsidP="00AA1DDD">
      <w:pPr>
        <w:jc w:val="center"/>
        <w:rPr>
          <w:b/>
          <w:bCs/>
          <w:sz w:val="32"/>
          <w:szCs w:val="32"/>
        </w:rPr>
      </w:pPr>
      <w:r>
        <w:rPr>
          <w:b/>
          <w:bCs/>
          <w:sz w:val="32"/>
          <w:szCs w:val="32"/>
        </w:rPr>
        <w:t xml:space="preserve">September 8, 2017 </w:t>
      </w:r>
    </w:p>
    <w:p w:rsidR="009367DF" w:rsidRDefault="009367DF">
      <w:pPr>
        <w:widowControl/>
        <w:autoSpaceDE/>
        <w:autoSpaceDN/>
        <w:adjustRightInd/>
        <w:rPr>
          <w:b/>
          <w:bCs/>
          <w:sz w:val="24"/>
        </w:rPr>
      </w:pPr>
      <w:r>
        <w:br w:type="page"/>
      </w:r>
    </w:p>
    <w:p w:rsidR="001568CA" w:rsidRPr="00844607" w:rsidRDefault="001568CA" w:rsidP="00BA1757">
      <w:pPr>
        <w:pStyle w:val="Heading1"/>
        <w:ind w:left="720"/>
      </w:pPr>
    </w:p>
    <w:p w:rsidR="00581026" w:rsidRDefault="00581026" w:rsidP="00581026">
      <w:pPr>
        <w:widowControl/>
        <w:autoSpaceDE/>
        <w:autoSpaceDN/>
        <w:adjustRightInd/>
        <w:rPr>
          <w:b/>
          <w:sz w:val="24"/>
        </w:rPr>
      </w:pPr>
      <w:r>
        <w:rPr>
          <w:b/>
          <w:sz w:val="24"/>
        </w:rPr>
        <w:t xml:space="preserve">List of Attachments: </w:t>
      </w:r>
    </w:p>
    <w:p w:rsidR="00581026" w:rsidRDefault="00581026" w:rsidP="00581026">
      <w:pPr>
        <w:widowControl/>
        <w:autoSpaceDE/>
        <w:autoSpaceDN/>
        <w:adjustRightInd/>
        <w:spacing w:line="480" w:lineRule="auto"/>
        <w:rPr>
          <w:b/>
          <w:sz w:val="24"/>
        </w:rPr>
      </w:pPr>
    </w:p>
    <w:p w:rsidR="00A84729" w:rsidRPr="00A3772C" w:rsidRDefault="00A84729" w:rsidP="00A3772C">
      <w:pPr>
        <w:widowControl/>
        <w:autoSpaceDE/>
        <w:autoSpaceDN/>
        <w:adjustRightInd/>
        <w:spacing w:line="480" w:lineRule="auto"/>
        <w:ind w:left="360"/>
        <w:rPr>
          <w:sz w:val="24"/>
        </w:rPr>
      </w:pPr>
      <w:r w:rsidRPr="00A3772C">
        <w:rPr>
          <w:sz w:val="24"/>
        </w:rPr>
        <w:t xml:space="preserve">Attachment 1: </w:t>
      </w:r>
      <w:r w:rsidR="00A3772C" w:rsidRPr="00A3772C">
        <w:rPr>
          <w:sz w:val="24"/>
        </w:rPr>
        <w:t>BRFSS Data Collection Protocols</w:t>
      </w:r>
      <w:r w:rsidR="00A3772C" w:rsidRPr="00A3772C">
        <w:rPr>
          <w:sz w:val="24"/>
        </w:rPr>
        <w:tab/>
      </w:r>
    </w:p>
    <w:p w:rsidR="00A3772C" w:rsidRPr="00A3772C" w:rsidRDefault="00A84729" w:rsidP="00A3772C">
      <w:pPr>
        <w:widowControl/>
        <w:autoSpaceDE/>
        <w:autoSpaceDN/>
        <w:adjustRightInd/>
        <w:spacing w:line="480" w:lineRule="auto"/>
        <w:ind w:left="360"/>
        <w:rPr>
          <w:sz w:val="24"/>
        </w:rPr>
      </w:pPr>
      <w:r w:rsidRPr="00A3772C">
        <w:rPr>
          <w:sz w:val="24"/>
        </w:rPr>
        <w:t xml:space="preserve">Attachment 2: </w:t>
      </w:r>
      <w:r w:rsidR="00A3772C" w:rsidRPr="00A3772C">
        <w:rPr>
          <w:sz w:val="24"/>
        </w:rPr>
        <w:t>Informed consent script for telephone interviews</w:t>
      </w:r>
    </w:p>
    <w:p w:rsidR="00A3772C" w:rsidRPr="00A3772C" w:rsidRDefault="00A3772C" w:rsidP="00A3772C">
      <w:pPr>
        <w:widowControl/>
        <w:autoSpaceDE/>
        <w:autoSpaceDN/>
        <w:adjustRightInd/>
        <w:spacing w:line="480" w:lineRule="auto"/>
        <w:ind w:left="360"/>
        <w:rPr>
          <w:sz w:val="24"/>
        </w:rPr>
      </w:pPr>
      <w:r w:rsidRPr="00A3772C">
        <w:rPr>
          <w:sz w:val="24"/>
        </w:rPr>
        <w:t>Attachment 3: Informed consent script for web-based and mailed questionnaires</w:t>
      </w:r>
    </w:p>
    <w:p w:rsidR="00A3772C" w:rsidRDefault="00A84729" w:rsidP="00A3772C">
      <w:pPr>
        <w:widowControl/>
        <w:autoSpaceDE/>
        <w:autoSpaceDN/>
        <w:adjustRightInd/>
        <w:spacing w:line="480" w:lineRule="auto"/>
        <w:ind w:left="360"/>
        <w:rPr>
          <w:sz w:val="24"/>
        </w:rPr>
      </w:pPr>
      <w:r w:rsidRPr="00A3772C">
        <w:rPr>
          <w:sz w:val="24"/>
        </w:rPr>
        <w:t xml:space="preserve">Attachment 4: </w:t>
      </w:r>
      <w:r w:rsidR="00A3772C">
        <w:rPr>
          <w:sz w:val="24"/>
        </w:rPr>
        <w:t>Formatted version of the BRFSS Core Questionnaire for mailing</w:t>
      </w:r>
    </w:p>
    <w:p w:rsidR="00A3772C" w:rsidRPr="00A3772C" w:rsidRDefault="00A3772C" w:rsidP="00A3772C">
      <w:pPr>
        <w:widowControl/>
        <w:autoSpaceDE/>
        <w:autoSpaceDN/>
        <w:adjustRightInd/>
        <w:spacing w:line="480" w:lineRule="auto"/>
        <w:ind w:left="360"/>
        <w:rPr>
          <w:sz w:val="24"/>
        </w:rPr>
      </w:pPr>
      <w:r>
        <w:rPr>
          <w:sz w:val="24"/>
        </w:rPr>
        <w:t xml:space="preserve">Attachment 5: </w:t>
      </w:r>
      <w:r w:rsidRPr="00A3772C">
        <w:rPr>
          <w:sz w:val="24"/>
        </w:rPr>
        <w:t>Example of letter of invitation to participate in web-based BRFSS</w:t>
      </w:r>
    </w:p>
    <w:p w:rsidR="00581026" w:rsidRDefault="00581026" w:rsidP="00A84729">
      <w:pPr>
        <w:widowControl/>
        <w:autoSpaceDE/>
        <w:autoSpaceDN/>
        <w:adjustRightInd/>
        <w:spacing w:line="480" w:lineRule="auto"/>
        <w:rPr>
          <w:b/>
          <w:bCs/>
          <w:sz w:val="24"/>
        </w:rPr>
      </w:pPr>
      <w:r>
        <w:br w:type="page"/>
      </w:r>
    </w:p>
    <w:p w:rsidR="00844607" w:rsidRPr="00844607" w:rsidRDefault="00844607" w:rsidP="00844607">
      <w:pPr>
        <w:pStyle w:val="Heading1"/>
        <w:spacing w:before="120" w:after="120"/>
      </w:pPr>
      <w:r w:rsidRPr="00844607">
        <w:lastRenderedPageBreak/>
        <w:t>B. Collections of Information Employing Statistical Methods</w:t>
      </w:r>
    </w:p>
    <w:p w:rsidR="00844607" w:rsidRPr="00844607" w:rsidRDefault="00844607" w:rsidP="00844607">
      <w:pPr>
        <w:pStyle w:val="Heading2"/>
        <w:numPr>
          <w:ilvl w:val="0"/>
          <w:numId w:val="3"/>
        </w:numPr>
        <w:spacing w:before="120" w:after="120"/>
        <w:rPr>
          <w:rFonts w:ascii="Times New Roman" w:hAnsi="Times New Roman" w:cs="Times New Roman"/>
          <w:i w:val="0"/>
          <w:sz w:val="24"/>
          <w:szCs w:val="24"/>
        </w:rPr>
      </w:pPr>
      <w:bookmarkStart w:id="1" w:name="_Toc151782199"/>
      <w:bookmarkStart w:id="2" w:name="_Toc158526235"/>
      <w:r w:rsidRPr="00844607">
        <w:rPr>
          <w:rFonts w:ascii="Times New Roman" w:hAnsi="Times New Roman" w:cs="Times New Roman"/>
          <w:i w:val="0"/>
          <w:sz w:val="24"/>
          <w:szCs w:val="24"/>
        </w:rPr>
        <w:t>Respondent universe and sampling methods</w:t>
      </w:r>
      <w:bookmarkEnd w:id="1"/>
      <w:bookmarkEnd w:id="2"/>
      <w:r w:rsidR="007259A8">
        <w:rPr>
          <w:rFonts w:ascii="Times New Roman" w:hAnsi="Times New Roman" w:cs="Times New Roman"/>
          <w:i w:val="0"/>
          <w:sz w:val="24"/>
          <w:szCs w:val="24"/>
        </w:rPr>
        <w:t xml:space="preserve"> </w:t>
      </w:r>
    </w:p>
    <w:p w:rsidR="00E36A6E" w:rsidRDefault="00E36A6E" w:rsidP="00A568E7">
      <w:pPr>
        <w:spacing w:before="120" w:after="120"/>
        <w:ind w:left="360"/>
        <w:rPr>
          <w:sz w:val="24"/>
        </w:rPr>
      </w:pPr>
      <w:r w:rsidRPr="00E36A6E">
        <w:rPr>
          <w:sz w:val="24"/>
        </w:rPr>
        <w:t xml:space="preserve">The purpose of the BRFSS </w:t>
      </w:r>
      <w:r w:rsidR="0068797E" w:rsidRPr="0068797E">
        <w:rPr>
          <w:sz w:val="24"/>
        </w:rPr>
        <w:t xml:space="preserve">Preliminary Experiment for Sample and Mode </w:t>
      </w:r>
      <w:r w:rsidRPr="00E36A6E">
        <w:rPr>
          <w:sz w:val="24"/>
        </w:rPr>
        <w:t xml:space="preserve">is to explore new modes of data collection for the BRFSS core questionnaire. Comparisons of the sequence of data collection modes across two types of samples will allow for understanding of the cost effectiveness and data quality of each method. </w:t>
      </w:r>
    </w:p>
    <w:p w:rsidR="00E36A6E" w:rsidRDefault="00E36A6E" w:rsidP="00A568E7">
      <w:pPr>
        <w:spacing w:before="120" w:after="120"/>
        <w:ind w:left="360"/>
        <w:rPr>
          <w:sz w:val="24"/>
        </w:rPr>
      </w:pPr>
      <w:r>
        <w:rPr>
          <w:sz w:val="24"/>
        </w:rPr>
        <w:t xml:space="preserve">Two types of samples will be used: 1) a telephone sample with appended addresses (where available).  Approximately 30% of all telephone numbers are likely to have correct address matches; 2) an Address-Based Sample (ABS) from the US Postal Service (USPS) with appended phone numbers (where available).  Approximately 40% of all addresses are likely to have correct phone numbers.  </w:t>
      </w:r>
      <w:r w:rsidR="00371885" w:rsidRPr="00371885">
        <w:rPr>
          <w:sz w:val="24"/>
        </w:rPr>
        <w:t xml:space="preserve">Both samples (telephone numbers and addresses) that would be used in this experiment are traditional probability samples.  This is not an experiment using any nonprobability sampling approach. </w:t>
      </w:r>
      <w:r>
        <w:rPr>
          <w:sz w:val="24"/>
        </w:rPr>
        <w:t>Both samples will be purchased from an outside vendor.</w:t>
      </w:r>
    </w:p>
    <w:p w:rsidR="00E36A6E" w:rsidRDefault="00E36A6E" w:rsidP="00A568E7">
      <w:pPr>
        <w:spacing w:before="120" w:after="120"/>
        <w:ind w:left="360"/>
        <w:rPr>
          <w:sz w:val="24"/>
        </w:rPr>
      </w:pPr>
      <w:r>
        <w:rPr>
          <w:sz w:val="24"/>
        </w:rPr>
        <w:t>The samples will be divided into groups, based on their matched address or phone number.  Matched sample numbers and addresses will be contacted in sequential modes to comple</w:t>
      </w:r>
      <w:r w:rsidR="00FE3D65">
        <w:rPr>
          <w:sz w:val="24"/>
        </w:rPr>
        <w:t xml:space="preserve">te the BRFSS core questionnaire (see Attachment </w:t>
      </w:r>
      <w:r w:rsidR="00A3772C">
        <w:rPr>
          <w:sz w:val="24"/>
        </w:rPr>
        <w:t>4</w:t>
      </w:r>
      <w:r w:rsidR="00FE3D65">
        <w:rPr>
          <w:sz w:val="24"/>
        </w:rPr>
        <w:t>)</w:t>
      </w:r>
      <w:r>
        <w:rPr>
          <w:sz w:val="24"/>
        </w:rPr>
        <w:t xml:space="preserve">.  No BRFSS optional modules will be included in the </w:t>
      </w:r>
      <w:r w:rsidR="00AA1DDD">
        <w:rPr>
          <w:sz w:val="24"/>
        </w:rPr>
        <w:t>preliminary experiment</w:t>
      </w:r>
      <w:r>
        <w:rPr>
          <w:sz w:val="24"/>
        </w:rPr>
        <w:t xml:space="preserve">. </w:t>
      </w:r>
      <w:r w:rsidR="00FE3D65">
        <w:rPr>
          <w:sz w:val="24"/>
        </w:rPr>
        <w:t xml:space="preserve">The respondents will continue to be recruited to participate.  A target of 300 respondents is set for each group.  Five states will be recruited from those state health departments that volunteer to participate. </w:t>
      </w:r>
      <w:r w:rsidR="00AA1DDD">
        <w:rPr>
          <w:sz w:val="24"/>
        </w:rPr>
        <w:t>States will be recruited by geographic region (northeast, south, mid</w:t>
      </w:r>
      <w:r w:rsidR="003806F1">
        <w:rPr>
          <w:sz w:val="24"/>
        </w:rPr>
        <w:t>-</w:t>
      </w:r>
      <w:r w:rsidR="00AA1DDD">
        <w:rPr>
          <w:sz w:val="24"/>
        </w:rPr>
        <w:t xml:space="preserve">west, west and southwest) and population characteristics.  </w:t>
      </w:r>
      <w:r w:rsidR="00FE3D65">
        <w:rPr>
          <w:sz w:val="24"/>
        </w:rPr>
        <w:t>If more than 5 states volunteer, the selection of states will be determined by a range of states based on population density, geographic location and/or population size.</w:t>
      </w:r>
      <w:r w:rsidR="003806F1">
        <w:rPr>
          <w:sz w:val="24"/>
        </w:rPr>
        <w:t xml:space="preserve"> </w:t>
      </w:r>
      <w:r w:rsidR="00FE3D65">
        <w:rPr>
          <w:sz w:val="24"/>
        </w:rPr>
        <w:t xml:space="preserve"> </w:t>
      </w:r>
      <w:r w:rsidR="00AA1DDD">
        <w:rPr>
          <w:sz w:val="24"/>
        </w:rPr>
        <w:t xml:space="preserve">At this time it is not possible to name specific states as state recruitment will be determined in part by the ability of the state health department to take on the project in the future.  </w:t>
      </w:r>
      <w:r w:rsidR="003806F1" w:rsidRPr="003806F1">
        <w:rPr>
          <w:sz w:val="24"/>
        </w:rPr>
        <w:t>The selected states will be diverse in terms of their populations and locations</w:t>
      </w:r>
      <w:r w:rsidR="003806F1">
        <w:rPr>
          <w:sz w:val="24"/>
        </w:rPr>
        <w:t>, but there is no intention of using the participating states to calculate state-wide or national prevalence estimates</w:t>
      </w:r>
      <w:r w:rsidR="003806F1" w:rsidRPr="003806F1">
        <w:rPr>
          <w:sz w:val="24"/>
        </w:rPr>
        <w:t xml:space="preserve">.  </w:t>
      </w:r>
      <w:r w:rsidR="003806F1">
        <w:rPr>
          <w:sz w:val="24"/>
        </w:rPr>
        <w:t>S</w:t>
      </w:r>
      <w:r w:rsidR="003806F1" w:rsidRPr="003806F1">
        <w:rPr>
          <w:sz w:val="24"/>
        </w:rPr>
        <w:t>ampling strategies within each state will be uniform.</w:t>
      </w:r>
      <w:r w:rsidR="003806F1">
        <w:rPr>
          <w:sz w:val="24"/>
        </w:rPr>
        <w:t xml:space="preserve"> A simple random sample of working phone numbers will be used without regard to substate strata for this experiment.  This is different from the state-level sampling designs used by the BRFSS which include sub-state strata. The use of a single sampling design across the five states is intended to standardize methods across the participating states.  </w:t>
      </w:r>
    </w:p>
    <w:p w:rsidR="00167268" w:rsidRDefault="00432974" w:rsidP="00C4776B">
      <w:pPr>
        <w:spacing w:before="120" w:after="120"/>
        <w:ind w:left="360"/>
        <w:rPr>
          <w:sz w:val="24"/>
        </w:rPr>
      </w:pPr>
      <w:r>
        <w:rPr>
          <w:sz w:val="24"/>
        </w:rPr>
        <w:t xml:space="preserve">The table below illustrates </w:t>
      </w:r>
      <w:r w:rsidR="00DC44F6">
        <w:rPr>
          <w:sz w:val="24"/>
        </w:rPr>
        <w:t xml:space="preserve">the estimated respondent universe and burden hours </w:t>
      </w:r>
      <w:r w:rsidR="00C4776B">
        <w:rPr>
          <w:sz w:val="24"/>
        </w:rPr>
        <w:t xml:space="preserve">for the single administration of the BRFSS </w:t>
      </w:r>
      <w:r w:rsidR="0068797E" w:rsidRPr="0068797E">
        <w:rPr>
          <w:sz w:val="24"/>
        </w:rPr>
        <w:t>Preliminary Experiment for Sample and Mode</w:t>
      </w:r>
      <w:r w:rsidR="0068797E">
        <w:rPr>
          <w:sz w:val="24"/>
        </w:rPr>
        <w:t xml:space="preserve"> </w:t>
      </w:r>
      <w:r w:rsidR="00DC44F6">
        <w:rPr>
          <w:sz w:val="24"/>
        </w:rPr>
        <w:t>.</w:t>
      </w:r>
    </w:p>
    <w:p w:rsidR="00C30945" w:rsidRDefault="00C30945" w:rsidP="00A568E7">
      <w:pPr>
        <w:spacing w:before="120" w:after="120"/>
        <w:ind w:left="360"/>
        <w:rPr>
          <w:sz w:val="24"/>
        </w:rPr>
      </w:pPr>
    </w:p>
    <w:tbl>
      <w:tblPr>
        <w:tblStyle w:val="TableGrid"/>
        <w:tblW w:w="9630" w:type="dxa"/>
        <w:tblInd w:w="-455" w:type="dxa"/>
        <w:tblLayout w:type="fixed"/>
        <w:tblLook w:val="04A0" w:firstRow="1" w:lastRow="0" w:firstColumn="1" w:lastColumn="0" w:noHBand="0" w:noVBand="1"/>
      </w:tblPr>
      <w:tblGrid>
        <w:gridCol w:w="1260"/>
        <w:gridCol w:w="2610"/>
        <w:gridCol w:w="1260"/>
        <w:gridCol w:w="1440"/>
        <w:gridCol w:w="1530"/>
        <w:gridCol w:w="1530"/>
      </w:tblGrid>
      <w:tr w:rsidR="00FE3D65" w:rsidTr="00CB4C07">
        <w:tc>
          <w:tcPr>
            <w:tcW w:w="9630" w:type="dxa"/>
            <w:gridSpan w:val="6"/>
          </w:tcPr>
          <w:p w:rsidR="00FE3D65" w:rsidRPr="00DD74CE" w:rsidRDefault="00FE3D65" w:rsidP="009F1C44">
            <w:pPr>
              <w:spacing w:before="120" w:after="120"/>
              <w:rPr>
                <w:bCs/>
                <w:szCs w:val="20"/>
              </w:rPr>
            </w:pPr>
            <w:r w:rsidRPr="00DD74CE">
              <w:rPr>
                <w:bCs/>
                <w:szCs w:val="20"/>
              </w:rPr>
              <w:t xml:space="preserve">Table 1. </w:t>
            </w:r>
            <w:r w:rsidR="00DD74CE" w:rsidRPr="00DD74CE">
              <w:rPr>
                <w:bCs/>
                <w:szCs w:val="20"/>
              </w:rPr>
              <w:t>Respondent Burden by Type of Information Collected</w:t>
            </w:r>
          </w:p>
        </w:tc>
      </w:tr>
      <w:tr w:rsidR="00C4776B" w:rsidTr="00DD74CE">
        <w:tc>
          <w:tcPr>
            <w:tcW w:w="1260" w:type="dxa"/>
          </w:tcPr>
          <w:p w:rsidR="00C4776B" w:rsidRPr="001159A2" w:rsidRDefault="00C4776B" w:rsidP="009F1C44">
            <w:pPr>
              <w:spacing w:before="120" w:after="120"/>
              <w:rPr>
                <w:bCs/>
              </w:rPr>
            </w:pPr>
            <w:r w:rsidRPr="001159A2">
              <w:rPr>
                <w:bCs/>
              </w:rPr>
              <w:t>Type of Respondents</w:t>
            </w:r>
          </w:p>
        </w:tc>
        <w:tc>
          <w:tcPr>
            <w:tcW w:w="2610" w:type="dxa"/>
          </w:tcPr>
          <w:p w:rsidR="00C4776B" w:rsidRPr="00DD74CE" w:rsidRDefault="00C4776B" w:rsidP="009F1C44">
            <w:pPr>
              <w:spacing w:before="120" w:after="120"/>
              <w:rPr>
                <w:bCs/>
                <w:szCs w:val="20"/>
              </w:rPr>
            </w:pPr>
            <w:r w:rsidRPr="00DD74CE">
              <w:rPr>
                <w:bCs/>
                <w:szCs w:val="20"/>
              </w:rPr>
              <w:t>Type of Information Collection</w:t>
            </w:r>
          </w:p>
        </w:tc>
        <w:tc>
          <w:tcPr>
            <w:tcW w:w="1260" w:type="dxa"/>
          </w:tcPr>
          <w:p w:rsidR="00C4776B" w:rsidRPr="00DD74CE" w:rsidRDefault="00C4776B" w:rsidP="009F1C44">
            <w:pPr>
              <w:spacing w:before="120" w:after="120"/>
              <w:rPr>
                <w:bCs/>
                <w:szCs w:val="20"/>
              </w:rPr>
            </w:pPr>
            <w:r w:rsidRPr="00DD74CE">
              <w:rPr>
                <w:bCs/>
                <w:szCs w:val="20"/>
              </w:rPr>
              <w:t>Number of respondents per IC</w:t>
            </w:r>
          </w:p>
        </w:tc>
        <w:tc>
          <w:tcPr>
            <w:tcW w:w="1440" w:type="dxa"/>
          </w:tcPr>
          <w:p w:rsidR="00C4776B" w:rsidRPr="00DD74CE" w:rsidRDefault="00C4776B" w:rsidP="009F1C44">
            <w:pPr>
              <w:spacing w:before="120" w:after="120"/>
              <w:rPr>
                <w:bCs/>
                <w:szCs w:val="20"/>
              </w:rPr>
            </w:pPr>
            <w:r w:rsidRPr="00DD74CE">
              <w:rPr>
                <w:bCs/>
                <w:szCs w:val="20"/>
              </w:rPr>
              <w:t>Annualized number of respondents</w:t>
            </w:r>
          </w:p>
        </w:tc>
        <w:tc>
          <w:tcPr>
            <w:tcW w:w="1530" w:type="dxa"/>
          </w:tcPr>
          <w:p w:rsidR="00C4776B" w:rsidRPr="00DD74CE" w:rsidRDefault="00C4776B" w:rsidP="009F1C44">
            <w:pPr>
              <w:spacing w:before="120" w:after="120"/>
              <w:rPr>
                <w:bCs/>
                <w:szCs w:val="20"/>
              </w:rPr>
            </w:pPr>
            <w:r w:rsidRPr="00DD74CE">
              <w:rPr>
                <w:bCs/>
                <w:szCs w:val="20"/>
              </w:rPr>
              <w:t>Average burden per response (in hours)</w:t>
            </w:r>
          </w:p>
        </w:tc>
        <w:tc>
          <w:tcPr>
            <w:tcW w:w="1530" w:type="dxa"/>
          </w:tcPr>
          <w:p w:rsidR="00C4776B" w:rsidRPr="00DD74CE" w:rsidRDefault="00C4776B" w:rsidP="009F1C44">
            <w:pPr>
              <w:spacing w:before="120" w:after="120"/>
              <w:rPr>
                <w:bCs/>
                <w:szCs w:val="20"/>
              </w:rPr>
            </w:pPr>
            <w:r w:rsidRPr="00DD74CE">
              <w:rPr>
                <w:bCs/>
                <w:szCs w:val="20"/>
              </w:rPr>
              <w:t>Total annualized burden hours</w:t>
            </w:r>
          </w:p>
        </w:tc>
      </w:tr>
      <w:tr w:rsidR="00E36A6E" w:rsidTr="00DD74CE">
        <w:tc>
          <w:tcPr>
            <w:tcW w:w="1260" w:type="dxa"/>
            <w:vMerge w:val="restart"/>
            <w:vAlign w:val="center"/>
          </w:tcPr>
          <w:p w:rsidR="00E36A6E" w:rsidRDefault="00E36A6E" w:rsidP="00E36A6E">
            <w:pPr>
              <w:spacing w:before="120" w:after="120"/>
              <w:jc w:val="center"/>
              <w:rPr>
                <w:bCs/>
                <w:sz w:val="24"/>
              </w:rPr>
            </w:pPr>
            <w:r w:rsidRPr="000E479F">
              <w:rPr>
                <w:bCs/>
                <w:sz w:val="24"/>
              </w:rPr>
              <w:t xml:space="preserve">General U.S. </w:t>
            </w:r>
            <w:r>
              <w:rPr>
                <w:bCs/>
                <w:sz w:val="24"/>
              </w:rPr>
              <w:t xml:space="preserve">Adult </w:t>
            </w:r>
            <w:r w:rsidRPr="000E479F">
              <w:rPr>
                <w:bCs/>
                <w:sz w:val="24"/>
              </w:rPr>
              <w:t>Population</w:t>
            </w:r>
          </w:p>
        </w:tc>
        <w:tc>
          <w:tcPr>
            <w:tcW w:w="2610" w:type="dxa"/>
          </w:tcPr>
          <w:p w:rsidR="00E36A6E" w:rsidRPr="00DD74CE" w:rsidRDefault="00E36A6E" w:rsidP="00CF7AB3">
            <w:pPr>
              <w:rPr>
                <w:szCs w:val="20"/>
              </w:rPr>
            </w:pPr>
            <w:r w:rsidRPr="00DD74CE">
              <w:rPr>
                <w:szCs w:val="20"/>
              </w:rPr>
              <w:t>Telephone Sample Address Matched Web-based questionnaire</w:t>
            </w:r>
          </w:p>
        </w:tc>
        <w:tc>
          <w:tcPr>
            <w:tcW w:w="1260" w:type="dxa"/>
            <w:vAlign w:val="center"/>
          </w:tcPr>
          <w:p w:rsidR="00E36A6E" w:rsidRPr="00DD74CE" w:rsidRDefault="00E36A6E" w:rsidP="00E36A6E">
            <w:pPr>
              <w:spacing w:before="120" w:after="120"/>
              <w:jc w:val="center"/>
              <w:rPr>
                <w:bCs/>
                <w:szCs w:val="20"/>
              </w:rPr>
            </w:pPr>
            <w:r w:rsidRPr="00DD74CE">
              <w:rPr>
                <w:bCs/>
                <w:szCs w:val="20"/>
              </w:rPr>
              <w:t>1,500</w:t>
            </w:r>
          </w:p>
        </w:tc>
        <w:tc>
          <w:tcPr>
            <w:tcW w:w="1440" w:type="dxa"/>
            <w:vAlign w:val="center"/>
          </w:tcPr>
          <w:p w:rsidR="00E36A6E" w:rsidRPr="00DD74CE" w:rsidRDefault="00E36A6E" w:rsidP="00E36A6E">
            <w:pPr>
              <w:jc w:val="center"/>
              <w:rPr>
                <w:szCs w:val="20"/>
              </w:rPr>
            </w:pPr>
            <w:r w:rsidRPr="00DD74CE">
              <w:rPr>
                <w:bCs/>
                <w:szCs w:val="20"/>
              </w:rPr>
              <w:t>1,500</w:t>
            </w:r>
          </w:p>
        </w:tc>
        <w:tc>
          <w:tcPr>
            <w:tcW w:w="1530" w:type="dxa"/>
            <w:vAlign w:val="center"/>
          </w:tcPr>
          <w:p w:rsidR="00E36A6E" w:rsidRPr="00DD74CE" w:rsidRDefault="00E36A6E" w:rsidP="00E36A6E">
            <w:pPr>
              <w:spacing w:before="120" w:after="120"/>
              <w:jc w:val="center"/>
              <w:rPr>
                <w:bCs/>
                <w:szCs w:val="20"/>
              </w:rPr>
            </w:pPr>
            <w:r w:rsidRPr="00DD74CE">
              <w:rPr>
                <w:bCs/>
                <w:szCs w:val="20"/>
              </w:rPr>
              <w:t>15/60</w:t>
            </w:r>
          </w:p>
        </w:tc>
        <w:tc>
          <w:tcPr>
            <w:tcW w:w="1530" w:type="dxa"/>
            <w:vAlign w:val="center"/>
          </w:tcPr>
          <w:p w:rsidR="00E36A6E" w:rsidRPr="00DD74CE" w:rsidRDefault="00E36A6E" w:rsidP="00E36A6E">
            <w:pPr>
              <w:jc w:val="center"/>
              <w:rPr>
                <w:szCs w:val="20"/>
              </w:rPr>
            </w:pPr>
            <w:r w:rsidRPr="00DD74CE">
              <w:rPr>
                <w:szCs w:val="20"/>
              </w:rPr>
              <w:t>375</w:t>
            </w:r>
          </w:p>
        </w:tc>
      </w:tr>
      <w:tr w:rsidR="00E36A6E" w:rsidTr="00DD74CE">
        <w:tc>
          <w:tcPr>
            <w:tcW w:w="1260" w:type="dxa"/>
            <w:vMerge/>
          </w:tcPr>
          <w:p w:rsidR="00E36A6E" w:rsidRDefault="00E36A6E" w:rsidP="00E36A6E">
            <w:pPr>
              <w:spacing w:before="120" w:after="120"/>
              <w:rPr>
                <w:bCs/>
                <w:sz w:val="24"/>
              </w:rPr>
            </w:pPr>
          </w:p>
        </w:tc>
        <w:tc>
          <w:tcPr>
            <w:tcW w:w="2610" w:type="dxa"/>
          </w:tcPr>
          <w:p w:rsidR="00E36A6E" w:rsidRPr="00DD74CE" w:rsidRDefault="00E36A6E" w:rsidP="00E36A6E">
            <w:pPr>
              <w:rPr>
                <w:szCs w:val="20"/>
              </w:rPr>
            </w:pPr>
            <w:r w:rsidRPr="00DD74CE">
              <w:rPr>
                <w:szCs w:val="20"/>
              </w:rPr>
              <w:t>Telephone sample Address-Matched Mailed Questionnaire</w:t>
            </w:r>
          </w:p>
        </w:tc>
        <w:tc>
          <w:tcPr>
            <w:tcW w:w="1260" w:type="dxa"/>
            <w:vAlign w:val="center"/>
          </w:tcPr>
          <w:p w:rsidR="00E36A6E" w:rsidRPr="00DD74CE" w:rsidRDefault="00E36A6E" w:rsidP="00E36A6E">
            <w:pPr>
              <w:spacing w:before="120" w:after="120"/>
              <w:jc w:val="center"/>
              <w:rPr>
                <w:bCs/>
                <w:szCs w:val="20"/>
              </w:rPr>
            </w:pPr>
            <w:r w:rsidRPr="00DD74CE">
              <w:rPr>
                <w:bCs/>
                <w:szCs w:val="20"/>
              </w:rPr>
              <w:t>1,500</w:t>
            </w:r>
          </w:p>
        </w:tc>
        <w:tc>
          <w:tcPr>
            <w:tcW w:w="1440" w:type="dxa"/>
            <w:vAlign w:val="center"/>
          </w:tcPr>
          <w:p w:rsidR="00E36A6E" w:rsidRPr="00DD74CE" w:rsidRDefault="00E36A6E" w:rsidP="00E36A6E">
            <w:pPr>
              <w:jc w:val="center"/>
              <w:rPr>
                <w:szCs w:val="20"/>
              </w:rPr>
            </w:pPr>
            <w:r w:rsidRPr="00DD74CE">
              <w:rPr>
                <w:bCs/>
                <w:szCs w:val="20"/>
              </w:rPr>
              <w:t>1,500</w:t>
            </w:r>
          </w:p>
        </w:tc>
        <w:tc>
          <w:tcPr>
            <w:tcW w:w="1530" w:type="dxa"/>
            <w:vAlign w:val="center"/>
          </w:tcPr>
          <w:p w:rsidR="00E36A6E" w:rsidRPr="00DD74CE" w:rsidRDefault="00E36A6E" w:rsidP="00E36A6E">
            <w:pPr>
              <w:jc w:val="center"/>
              <w:rPr>
                <w:szCs w:val="20"/>
              </w:rPr>
            </w:pPr>
            <w:r w:rsidRPr="00DD74CE">
              <w:rPr>
                <w:bCs/>
                <w:szCs w:val="20"/>
              </w:rPr>
              <w:t>15/60</w:t>
            </w:r>
          </w:p>
        </w:tc>
        <w:tc>
          <w:tcPr>
            <w:tcW w:w="1530" w:type="dxa"/>
            <w:vAlign w:val="center"/>
          </w:tcPr>
          <w:p w:rsidR="00E36A6E" w:rsidRPr="00DD74CE" w:rsidRDefault="00E36A6E" w:rsidP="00E36A6E">
            <w:pPr>
              <w:jc w:val="center"/>
              <w:rPr>
                <w:szCs w:val="20"/>
              </w:rPr>
            </w:pPr>
            <w:r w:rsidRPr="00DD74CE">
              <w:rPr>
                <w:szCs w:val="20"/>
              </w:rPr>
              <w:t>375</w:t>
            </w:r>
          </w:p>
        </w:tc>
      </w:tr>
      <w:tr w:rsidR="00E36A6E" w:rsidTr="00DD74CE">
        <w:tc>
          <w:tcPr>
            <w:tcW w:w="1260" w:type="dxa"/>
            <w:vMerge/>
          </w:tcPr>
          <w:p w:rsidR="00E36A6E" w:rsidRDefault="00E36A6E" w:rsidP="00E36A6E">
            <w:pPr>
              <w:spacing w:before="120" w:after="120"/>
              <w:rPr>
                <w:bCs/>
                <w:sz w:val="24"/>
              </w:rPr>
            </w:pPr>
          </w:p>
        </w:tc>
        <w:tc>
          <w:tcPr>
            <w:tcW w:w="2610" w:type="dxa"/>
          </w:tcPr>
          <w:p w:rsidR="00E36A6E" w:rsidRPr="00DD74CE" w:rsidRDefault="00E36A6E" w:rsidP="00E36A6E">
            <w:pPr>
              <w:rPr>
                <w:szCs w:val="20"/>
              </w:rPr>
            </w:pPr>
            <w:r w:rsidRPr="00DD74CE">
              <w:rPr>
                <w:szCs w:val="20"/>
              </w:rPr>
              <w:t>Telephone Sample Address Matched Telephone Interviewer</w:t>
            </w:r>
          </w:p>
        </w:tc>
        <w:tc>
          <w:tcPr>
            <w:tcW w:w="1260" w:type="dxa"/>
            <w:vAlign w:val="center"/>
          </w:tcPr>
          <w:p w:rsidR="00E36A6E" w:rsidRPr="00DD74CE" w:rsidRDefault="00E36A6E" w:rsidP="00E36A6E">
            <w:pPr>
              <w:spacing w:before="120" w:after="120"/>
              <w:jc w:val="center"/>
              <w:rPr>
                <w:bCs/>
                <w:szCs w:val="20"/>
              </w:rPr>
            </w:pPr>
            <w:r w:rsidRPr="00DD74CE">
              <w:rPr>
                <w:bCs/>
                <w:szCs w:val="20"/>
              </w:rPr>
              <w:t>1,500</w:t>
            </w:r>
          </w:p>
        </w:tc>
        <w:tc>
          <w:tcPr>
            <w:tcW w:w="1440" w:type="dxa"/>
            <w:vAlign w:val="center"/>
          </w:tcPr>
          <w:p w:rsidR="00E36A6E" w:rsidRPr="00DD74CE" w:rsidRDefault="00E36A6E" w:rsidP="00E36A6E">
            <w:pPr>
              <w:jc w:val="center"/>
              <w:rPr>
                <w:szCs w:val="20"/>
              </w:rPr>
            </w:pPr>
            <w:r w:rsidRPr="00DD74CE">
              <w:rPr>
                <w:bCs/>
                <w:szCs w:val="20"/>
              </w:rPr>
              <w:t>1,500</w:t>
            </w:r>
          </w:p>
        </w:tc>
        <w:tc>
          <w:tcPr>
            <w:tcW w:w="1530" w:type="dxa"/>
            <w:vAlign w:val="center"/>
          </w:tcPr>
          <w:p w:rsidR="00E36A6E" w:rsidRPr="00DD74CE" w:rsidRDefault="00E36A6E" w:rsidP="00E36A6E">
            <w:pPr>
              <w:jc w:val="center"/>
              <w:rPr>
                <w:szCs w:val="20"/>
              </w:rPr>
            </w:pPr>
            <w:r w:rsidRPr="00DD74CE">
              <w:rPr>
                <w:bCs/>
                <w:szCs w:val="20"/>
              </w:rPr>
              <w:t>15/60</w:t>
            </w:r>
          </w:p>
        </w:tc>
        <w:tc>
          <w:tcPr>
            <w:tcW w:w="1530" w:type="dxa"/>
            <w:vAlign w:val="center"/>
          </w:tcPr>
          <w:p w:rsidR="00E36A6E" w:rsidRPr="00DD74CE" w:rsidRDefault="00E36A6E" w:rsidP="00E36A6E">
            <w:pPr>
              <w:jc w:val="center"/>
              <w:rPr>
                <w:szCs w:val="20"/>
              </w:rPr>
            </w:pPr>
            <w:r w:rsidRPr="00DD74CE">
              <w:rPr>
                <w:szCs w:val="20"/>
              </w:rPr>
              <w:t>375</w:t>
            </w:r>
          </w:p>
        </w:tc>
      </w:tr>
      <w:tr w:rsidR="00E36A6E" w:rsidTr="00DD74CE">
        <w:tc>
          <w:tcPr>
            <w:tcW w:w="1260" w:type="dxa"/>
            <w:vMerge/>
          </w:tcPr>
          <w:p w:rsidR="00E36A6E" w:rsidRDefault="00E36A6E" w:rsidP="00E36A6E">
            <w:pPr>
              <w:spacing w:before="120" w:after="120"/>
              <w:rPr>
                <w:bCs/>
                <w:sz w:val="24"/>
              </w:rPr>
            </w:pPr>
          </w:p>
        </w:tc>
        <w:tc>
          <w:tcPr>
            <w:tcW w:w="2610" w:type="dxa"/>
          </w:tcPr>
          <w:p w:rsidR="00E36A6E" w:rsidRPr="00DD74CE" w:rsidRDefault="00E36A6E" w:rsidP="00E36A6E">
            <w:pPr>
              <w:rPr>
                <w:szCs w:val="20"/>
              </w:rPr>
            </w:pPr>
            <w:r w:rsidRPr="00DD74CE">
              <w:rPr>
                <w:szCs w:val="20"/>
              </w:rPr>
              <w:t>Telephone Sample Not Address- matched telephone interview</w:t>
            </w:r>
          </w:p>
        </w:tc>
        <w:tc>
          <w:tcPr>
            <w:tcW w:w="1260" w:type="dxa"/>
            <w:vAlign w:val="center"/>
          </w:tcPr>
          <w:p w:rsidR="00E36A6E" w:rsidRPr="00DD74CE" w:rsidRDefault="00E36A6E" w:rsidP="00E36A6E">
            <w:pPr>
              <w:spacing w:before="120" w:after="120"/>
              <w:jc w:val="center"/>
              <w:rPr>
                <w:bCs/>
                <w:szCs w:val="20"/>
              </w:rPr>
            </w:pPr>
            <w:r w:rsidRPr="00DD74CE">
              <w:rPr>
                <w:bCs/>
                <w:szCs w:val="20"/>
              </w:rPr>
              <w:t>1,500</w:t>
            </w:r>
          </w:p>
        </w:tc>
        <w:tc>
          <w:tcPr>
            <w:tcW w:w="1440" w:type="dxa"/>
            <w:vAlign w:val="center"/>
          </w:tcPr>
          <w:p w:rsidR="00E36A6E" w:rsidRPr="00DD74CE" w:rsidRDefault="00E36A6E" w:rsidP="00E36A6E">
            <w:pPr>
              <w:jc w:val="center"/>
              <w:rPr>
                <w:szCs w:val="20"/>
              </w:rPr>
            </w:pPr>
            <w:r w:rsidRPr="00DD74CE">
              <w:rPr>
                <w:bCs/>
                <w:szCs w:val="20"/>
              </w:rPr>
              <w:t>1,500</w:t>
            </w:r>
          </w:p>
        </w:tc>
        <w:tc>
          <w:tcPr>
            <w:tcW w:w="1530" w:type="dxa"/>
            <w:vAlign w:val="center"/>
          </w:tcPr>
          <w:p w:rsidR="00E36A6E" w:rsidRPr="00DD74CE" w:rsidRDefault="00E36A6E" w:rsidP="00E36A6E">
            <w:pPr>
              <w:jc w:val="center"/>
              <w:rPr>
                <w:szCs w:val="20"/>
              </w:rPr>
            </w:pPr>
            <w:r w:rsidRPr="00DD74CE">
              <w:rPr>
                <w:bCs/>
                <w:szCs w:val="20"/>
              </w:rPr>
              <w:t>15/60</w:t>
            </w:r>
          </w:p>
        </w:tc>
        <w:tc>
          <w:tcPr>
            <w:tcW w:w="1530" w:type="dxa"/>
            <w:vAlign w:val="center"/>
          </w:tcPr>
          <w:p w:rsidR="00E36A6E" w:rsidRPr="00DD74CE" w:rsidRDefault="00E36A6E" w:rsidP="00E36A6E">
            <w:pPr>
              <w:jc w:val="center"/>
              <w:rPr>
                <w:szCs w:val="20"/>
              </w:rPr>
            </w:pPr>
            <w:r w:rsidRPr="00DD74CE">
              <w:rPr>
                <w:szCs w:val="20"/>
              </w:rPr>
              <w:t>375</w:t>
            </w:r>
          </w:p>
        </w:tc>
      </w:tr>
      <w:tr w:rsidR="00E36A6E" w:rsidTr="00CF7AB3">
        <w:tc>
          <w:tcPr>
            <w:tcW w:w="1260" w:type="dxa"/>
            <w:vMerge/>
          </w:tcPr>
          <w:p w:rsidR="00E36A6E" w:rsidRDefault="00E36A6E" w:rsidP="000E479F">
            <w:pPr>
              <w:spacing w:before="120" w:after="120"/>
              <w:rPr>
                <w:bCs/>
                <w:sz w:val="24"/>
              </w:rPr>
            </w:pPr>
          </w:p>
        </w:tc>
        <w:tc>
          <w:tcPr>
            <w:tcW w:w="8370" w:type="dxa"/>
            <w:gridSpan w:val="5"/>
          </w:tcPr>
          <w:p w:rsidR="00E36A6E" w:rsidRPr="00DD74CE" w:rsidRDefault="00E36A6E" w:rsidP="000E479F">
            <w:pPr>
              <w:jc w:val="center"/>
              <w:rPr>
                <w:szCs w:val="20"/>
              </w:rPr>
            </w:pPr>
            <w:r w:rsidRPr="00DD74CE">
              <w:rPr>
                <w:szCs w:val="20"/>
              </w:rPr>
              <w:t>Address Based Sample (ABS)</w:t>
            </w:r>
          </w:p>
        </w:tc>
      </w:tr>
      <w:tr w:rsidR="00E36A6E" w:rsidTr="00DD74CE">
        <w:tc>
          <w:tcPr>
            <w:tcW w:w="1260" w:type="dxa"/>
            <w:vMerge/>
          </w:tcPr>
          <w:p w:rsidR="00E36A6E" w:rsidRDefault="00E36A6E" w:rsidP="00E36A6E">
            <w:pPr>
              <w:spacing w:before="120" w:after="120"/>
              <w:rPr>
                <w:bCs/>
                <w:sz w:val="24"/>
              </w:rPr>
            </w:pPr>
          </w:p>
        </w:tc>
        <w:tc>
          <w:tcPr>
            <w:tcW w:w="2610" w:type="dxa"/>
          </w:tcPr>
          <w:p w:rsidR="00E36A6E" w:rsidRPr="00DD74CE" w:rsidRDefault="00E36A6E" w:rsidP="00E36A6E">
            <w:pPr>
              <w:rPr>
                <w:szCs w:val="20"/>
              </w:rPr>
            </w:pPr>
            <w:r w:rsidRPr="00DD74CE">
              <w:rPr>
                <w:szCs w:val="20"/>
              </w:rPr>
              <w:t>ABS Phone  Matched Web-based questionnaire</w:t>
            </w:r>
          </w:p>
        </w:tc>
        <w:tc>
          <w:tcPr>
            <w:tcW w:w="1260" w:type="dxa"/>
            <w:vAlign w:val="center"/>
          </w:tcPr>
          <w:p w:rsidR="00E36A6E" w:rsidRPr="00DD74CE" w:rsidRDefault="00E36A6E" w:rsidP="00E36A6E">
            <w:pPr>
              <w:spacing w:before="120" w:after="120"/>
              <w:jc w:val="center"/>
              <w:rPr>
                <w:bCs/>
                <w:szCs w:val="20"/>
              </w:rPr>
            </w:pPr>
            <w:r w:rsidRPr="00DD74CE">
              <w:rPr>
                <w:bCs/>
                <w:szCs w:val="20"/>
              </w:rPr>
              <w:t>1,500</w:t>
            </w:r>
          </w:p>
        </w:tc>
        <w:tc>
          <w:tcPr>
            <w:tcW w:w="1440" w:type="dxa"/>
            <w:vAlign w:val="center"/>
          </w:tcPr>
          <w:p w:rsidR="00E36A6E" w:rsidRPr="00DD74CE" w:rsidRDefault="00E36A6E" w:rsidP="00E36A6E">
            <w:pPr>
              <w:jc w:val="center"/>
              <w:rPr>
                <w:szCs w:val="20"/>
              </w:rPr>
            </w:pPr>
            <w:r w:rsidRPr="00DD74CE">
              <w:rPr>
                <w:bCs/>
                <w:szCs w:val="20"/>
              </w:rPr>
              <w:t>1,500</w:t>
            </w:r>
          </w:p>
        </w:tc>
        <w:tc>
          <w:tcPr>
            <w:tcW w:w="1530" w:type="dxa"/>
            <w:vAlign w:val="center"/>
          </w:tcPr>
          <w:p w:rsidR="00E36A6E" w:rsidRPr="00DD74CE" w:rsidRDefault="00E36A6E" w:rsidP="00E36A6E">
            <w:pPr>
              <w:jc w:val="center"/>
              <w:rPr>
                <w:szCs w:val="20"/>
              </w:rPr>
            </w:pPr>
            <w:r w:rsidRPr="00DD74CE">
              <w:rPr>
                <w:bCs/>
                <w:szCs w:val="20"/>
              </w:rPr>
              <w:t>15/60</w:t>
            </w:r>
          </w:p>
        </w:tc>
        <w:tc>
          <w:tcPr>
            <w:tcW w:w="1530" w:type="dxa"/>
            <w:vAlign w:val="center"/>
          </w:tcPr>
          <w:p w:rsidR="00E36A6E" w:rsidRPr="00DD74CE" w:rsidRDefault="00E36A6E" w:rsidP="00E36A6E">
            <w:pPr>
              <w:jc w:val="center"/>
              <w:rPr>
                <w:szCs w:val="20"/>
              </w:rPr>
            </w:pPr>
            <w:r w:rsidRPr="00DD74CE">
              <w:rPr>
                <w:szCs w:val="20"/>
              </w:rPr>
              <w:t>375</w:t>
            </w:r>
          </w:p>
        </w:tc>
      </w:tr>
      <w:tr w:rsidR="00E36A6E" w:rsidTr="00DD74CE">
        <w:tc>
          <w:tcPr>
            <w:tcW w:w="1260" w:type="dxa"/>
            <w:vMerge/>
          </w:tcPr>
          <w:p w:rsidR="00E36A6E" w:rsidRDefault="00E36A6E" w:rsidP="00E36A6E">
            <w:pPr>
              <w:spacing w:before="120" w:after="120"/>
              <w:rPr>
                <w:bCs/>
                <w:sz w:val="24"/>
              </w:rPr>
            </w:pPr>
          </w:p>
        </w:tc>
        <w:tc>
          <w:tcPr>
            <w:tcW w:w="2610" w:type="dxa"/>
          </w:tcPr>
          <w:p w:rsidR="00E36A6E" w:rsidRPr="00DD74CE" w:rsidRDefault="00E36A6E" w:rsidP="00E36A6E">
            <w:pPr>
              <w:rPr>
                <w:szCs w:val="20"/>
              </w:rPr>
            </w:pPr>
            <w:r w:rsidRPr="00DD74CE">
              <w:rPr>
                <w:szCs w:val="20"/>
              </w:rPr>
              <w:t>ABS Phone Matched Mailed Questionnaire</w:t>
            </w:r>
          </w:p>
        </w:tc>
        <w:tc>
          <w:tcPr>
            <w:tcW w:w="1260" w:type="dxa"/>
            <w:vAlign w:val="center"/>
          </w:tcPr>
          <w:p w:rsidR="00E36A6E" w:rsidRPr="00DD74CE" w:rsidRDefault="00E36A6E" w:rsidP="00E36A6E">
            <w:pPr>
              <w:spacing w:before="120" w:after="120"/>
              <w:jc w:val="center"/>
              <w:rPr>
                <w:bCs/>
                <w:szCs w:val="20"/>
              </w:rPr>
            </w:pPr>
            <w:r w:rsidRPr="00DD74CE">
              <w:rPr>
                <w:bCs/>
                <w:szCs w:val="20"/>
              </w:rPr>
              <w:t>1,500</w:t>
            </w:r>
          </w:p>
        </w:tc>
        <w:tc>
          <w:tcPr>
            <w:tcW w:w="1440" w:type="dxa"/>
            <w:vAlign w:val="center"/>
          </w:tcPr>
          <w:p w:rsidR="00E36A6E" w:rsidRPr="00DD74CE" w:rsidRDefault="00E36A6E" w:rsidP="00E36A6E">
            <w:pPr>
              <w:jc w:val="center"/>
              <w:rPr>
                <w:szCs w:val="20"/>
              </w:rPr>
            </w:pPr>
            <w:r w:rsidRPr="00DD74CE">
              <w:rPr>
                <w:bCs/>
                <w:szCs w:val="20"/>
              </w:rPr>
              <w:t>1,500</w:t>
            </w:r>
          </w:p>
        </w:tc>
        <w:tc>
          <w:tcPr>
            <w:tcW w:w="1530" w:type="dxa"/>
            <w:vAlign w:val="center"/>
          </w:tcPr>
          <w:p w:rsidR="00E36A6E" w:rsidRPr="00DD74CE" w:rsidRDefault="00E36A6E" w:rsidP="00E36A6E">
            <w:pPr>
              <w:jc w:val="center"/>
              <w:rPr>
                <w:szCs w:val="20"/>
              </w:rPr>
            </w:pPr>
            <w:r w:rsidRPr="00DD74CE">
              <w:rPr>
                <w:bCs/>
                <w:szCs w:val="20"/>
              </w:rPr>
              <w:t>15/60</w:t>
            </w:r>
          </w:p>
        </w:tc>
        <w:tc>
          <w:tcPr>
            <w:tcW w:w="1530" w:type="dxa"/>
            <w:vAlign w:val="center"/>
          </w:tcPr>
          <w:p w:rsidR="00E36A6E" w:rsidRPr="00DD74CE" w:rsidRDefault="00E36A6E" w:rsidP="00E36A6E">
            <w:pPr>
              <w:jc w:val="center"/>
              <w:rPr>
                <w:szCs w:val="20"/>
              </w:rPr>
            </w:pPr>
            <w:r w:rsidRPr="00DD74CE">
              <w:rPr>
                <w:szCs w:val="20"/>
              </w:rPr>
              <w:t>375</w:t>
            </w:r>
          </w:p>
        </w:tc>
      </w:tr>
      <w:tr w:rsidR="00E36A6E" w:rsidTr="00DD74CE">
        <w:tc>
          <w:tcPr>
            <w:tcW w:w="1260" w:type="dxa"/>
            <w:vMerge/>
          </w:tcPr>
          <w:p w:rsidR="00E36A6E" w:rsidRDefault="00E36A6E" w:rsidP="00E36A6E">
            <w:pPr>
              <w:spacing w:before="120" w:after="120"/>
              <w:rPr>
                <w:bCs/>
                <w:sz w:val="24"/>
              </w:rPr>
            </w:pPr>
          </w:p>
        </w:tc>
        <w:tc>
          <w:tcPr>
            <w:tcW w:w="2610" w:type="dxa"/>
          </w:tcPr>
          <w:p w:rsidR="00E36A6E" w:rsidRPr="00DD74CE" w:rsidRDefault="00E36A6E" w:rsidP="00E36A6E">
            <w:pPr>
              <w:rPr>
                <w:szCs w:val="20"/>
              </w:rPr>
            </w:pPr>
            <w:r w:rsidRPr="00DD74CE">
              <w:rPr>
                <w:szCs w:val="20"/>
              </w:rPr>
              <w:t>ABS Phone Matched Telephone Interviewer</w:t>
            </w:r>
          </w:p>
        </w:tc>
        <w:tc>
          <w:tcPr>
            <w:tcW w:w="1260" w:type="dxa"/>
            <w:tcBorders>
              <w:bottom w:val="single" w:sz="4" w:space="0" w:color="auto"/>
            </w:tcBorders>
            <w:vAlign w:val="center"/>
          </w:tcPr>
          <w:p w:rsidR="00E36A6E" w:rsidRPr="00DD74CE" w:rsidRDefault="00E36A6E" w:rsidP="00E36A6E">
            <w:pPr>
              <w:spacing w:before="120" w:after="120"/>
              <w:jc w:val="center"/>
              <w:rPr>
                <w:bCs/>
                <w:szCs w:val="20"/>
              </w:rPr>
            </w:pPr>
            <w:r w:rsidRPr="00DD74CE">
              <w:rPr>
                <w:bCs/>
                <w:szCs w:val="20"/>
              </w:rPr>
              <w:t>1,500</w:t>
            </w:r>
          </w:p>
        </w:tc>
        <w:tc>
          <w:tcPr>
            <w:tcW w:w="1440" w:type="dxa"/>
            <w:vAlign w:val="center"/>
          </w:tcPr>
          <w:p w:rsidR="00E36A6E" w:rsidRPr="00DD74CE" w:rsidRDefault="00E36A6E" w:rsidP="00E36A6E">
            <w:pPr>
              <w:jc w:val="center"/>
              <w:rPr>
                <w:szCs w:val="20"/>
              </w:rPr>
            </w:pPr>
            <w:r w:rsidRPr="00DD74CE">
              <w:rPr>
                <w:bCs/>
                <w:szCs w:val="20"/>
              </w:rPr>
              <w:t>1,500</w:t>
            </w:r>
          </w:p>
        </w:tc>
        <w:tc>
          <w:tcPr>
            <w:tcW w:w="1530" w:type="dxa"/>
            <w:vAlign w:val="center"/>
          </w:tcPr>
          <w:p w:rsidR="00E36A6E" w:rsidRPr="00DD74CE" w:rsidRDefault="00E36A6E" w:rsidP="00E36A6E">
            <w:pPr>
              <w:jc w:val="center"/>
              <w:rPr>
                <w:szCs w:val="20"/>
              </w:rPr>
            </w:pPr>
            <w:r w:rsidRPr="00DD74CE">
              <w:rPr>
                <w:bCs/>
                <w:szCs w:val="20"/>
              </w:rPr>
              <w:t>15/60</w:t>
            </w:r>
          </w:p>
        </w:tc>
        <w:tc>
          <w:tcPr>
            <w:tcW w:w="1530" w:type="dxa"/>
            <w:vAlign w:val="center"/>
          </w:tcPr>
          <w:p w:rsidR="00E36A6E" w:rsidRPr="00DD74CE" w:rsidRDefault="00E36A6E" w:rsidP="00E36A6E">
            <w:pPr>
              <w:jc w:val="center"/>
              <w:rPr>
                <w:szCs w:val="20"/>
              </w:rPr>
            </w:pPr>
            <w:r w:rsidRPr="00DD74CE">
              <w:rPr>
                <w:szCs w:val="20"/>
              </w:rPr>
              <w:t>375</w:t>
            </w:r>
          </w:p>
        </w:tc>
      </w:tr>
      <w:tr w:rsidR="00E36A6E" w:rsidTr="00DD74CE">
        <w:tc>
          <w:tcPr>
            <w:tcW w:w="1260" w:type="dxa"/>
            <w:vMerge/>
          </w:tcPr>
          <w:p w:rsidR="00E36A6E" w:rsidRDefault="00E36A6E" w:rsidP="00E36A6E">
            <w:pPr>
              <w:spacing w:before="120" w:after="120"/>
              <w:rPr>
                <w:bCs/>
                <w:sz w:val="24"/>
              </w:rPr>
            </w:pPr>
          </w:p>
        </w:tc>
        <w:tc>
          <w:tcPr>
            <w:tcW w:w="2610" w:type="dxa"/>
          </w:tcPr>
          <w:p w:rsidR="00E36A6E" w:rsidRPr="00DD74CE" w:rsidRDefault="00E36A6E" w:rsidP="00E36A6E">
            <w:pPr>
              <w:rPr>
                <w:szCs w:val="20"/>
              </w:rPr>
            </w:pPr>
            <w:r w:rsidRPr="00DD74CE">
              <w:rPr>
                <w:szCs w:val="20"/>
              </w:rPr>
              <w:t>ABS Not Phone  matched Web-based interview</w:t>
            </w:r>
          </w:p>
        </w:tc>
        <w:tc>
          <w:tcPr>
            <w:tcW w:w="1260" w:type="dxa"/>
            <w:tcBorders>
              <w:bottom w:val="single" w:sz="4" w:space="0" w:color="auto"/>
            </w:tcBorders>
            <w:vAlign w:val="center"/>
          </w:tcPr>
          <w:p w:rsidR="00E36A6E" w:rsidRPr="00DD74CE" w:rsidRDefault="00E36A6E" w:rsidP="00E36A6E">
            <w:pPr>
              <w:spacing w:before="120" w:after="120"/>
              <w:jc w:val="center"/>
              <w:rPr>
                <w:bCs/>
                <w:szCs w:val="20"/>
              </w:rPr>
            </w:pPr>
            <w:r w:rsidRPr="00DD74CE">
              <w:rPr>
                <w:bCs/>
                <w:szCs w:val="20"/>
              </w:rPr>
              <w:t>1,500</w:t>
            </w:r>
          </w:p>
        </w:tc>
        <w:tc>
          <w:tcPr>
            <w:tcW w:w="1440" w:type="dxa"/>
            <w:vAlign w:val="center"/>
          </w:tcPr>
          <w:p w:rsidR="00E36A6E" w:rsidRPr="00DD74CE" w:rsidRDefault="00E36A6E" w:rsidP="00E36A6E">
            <w:pPr>
              <w:jc w:val="center"/>
              <w:rPr>
                <w:szCs w:val="20"/>
              </w:rPr>
            </w:pPr>
            <w:r w:rsidRPr="00DD74CE">
              <w:rPr>
                <w:bCs/>
                <w:szCs w:val="20"/>
              </w:rPr>
              <w:t>1,500</w:t>
            </w:r>
          </w:p>
        </w:tc>
        <w:tc>
          <w:tcPr>
            <w:tcW w:w="1530" w:type="dxa"/>
            <w:vAlign w:val="center"/>
          </w:tcPr>
          <w:p w:rsidR="00E36A6E" w:rsidRPr="00DD74CE" w:rsidRDefault="00E36A6E" w:rsidP="00E36A6E">
            <w:pPr>
              <w:jc w:val="center"/>
              <w:rPr>
                <w:szCs w:val="20"/>
              </w:rPr>
            </w:pPr>
            <w:r w:rsidRPr="00DD74CE">
              <w:rPr>
                <w:bCs/>
                <w:szCs w:val="20"/>
              </w:rPr>
              <w:t>15/60</w:t>
            </w:r>
          </w:p>
        </w:tc>
        <w:tc>
          <w:tcPr>
            <w:tcW w:w="1530" w:type="dxa"/>
            <w:vAlign w:val="center"/>
          </w:tcPr>
          <w:p w:rsidR="00E36A6E" w:rsidRPr="00DD74CE" w:rsidRDefault="00E36A6E" w:rsidP="00E36A6E">
            <w:pPr>
              <w:jc w:val="center"/>
              <w:rPr>
                <w:szCs w:val="20"/>
              </w:rPr>
            </w:pPr>
            <w:r w:rsidRPr="00DD74CE">
              <w:rPr>
                <w:szCs w:val="20"/>
              </w:rPr>
              <w:t>375</w:t>
            </w:r>
          </w:p>
        </w:tc>
      </w:tr>
      <w:tr w:rsidR="00E36A6E" w:rsidTr="00DD74CE">
        <w:tc>
          <w:tcPr>
            <w:tcW w:w="1260" w:type="dxa"/>
            <w:vMerge/>
          </w:tcPr>
          <w:p w:rsidR="00E36A6E" w:rsidRDefault="00E36A6E" w:rsidP="00E36A6E">
            <w:pPr>
              <w:spacing w:before="120" w:after="120"/>
              <w:rPr>
                <w:bCs/>
                <w:sz w:val="24"/>
              </w:rPr>
            </w:pPr>
          </w:p>
        </w:tc>
        <w:tc>
          <w:tcPr>
            <w:tcW w:w="2610" w:type="dxa"/>
          </w:tcPr>
          <w:p w:rsidR="00E36A6E" w:rsidRPr="00DD74CE" w:rsidRDefault="00E36A6E" w:rsidP="00E36A6E">
            <w:pPr>
              <w:rPr>
                <w:szCs w:val="20"/>
              </w:rPr>
            </w:pPr>
            <w:r w:rsidRPr="00DD74CE">
              <w:rPr>
                <w:szCs w:val="20"/>
              </w:rPr>
              <w:t>ABS Not Phone Matched Mailed Survey</w:t>
            </w:r>
          </w:p>
        </w:tc>
        <w:tc>
          <w:tcPr>
            <w:tcW w:w="1260" w:type="dxa"/>
            <w:tcBorders>
              <w:bottom w:val="single" w:sz="4" w:space="0" w:color="auto"/>
            </w:tcBorders>
            <w:vAlign w:val="center"/>
          </w:tcPr>
          <w:p w:rsidR="00E36A6E" w:rsidRPr="00DD74CE" w:rsidRDefault="00E36A6E" w:rsidP="00E36A6E">
            <w:pPr>
              <w:spacing w:before="120" w:after="120"/>
              <w:jc w:val="center"/>
              <w:rPr>
                <w:bCs/>
                <w:szCs w:val="20"/>
              </w:rPr>
            </w:pPr>
            <w:r w:rsidRPr="00DD74CE">
              <w:rPr>
                <w:bCs/>
                <w:szCs w:val="20"/>
              </w:rPr>
              <w:t>1,500</w:t>
            </w:r>
          </w:p>
        </w:tc>
        <w:tc>
          <w:tcPr>
            <w:tcW w:w="1440" w:type="dxa"/>
            <w:vAlign w:val="center"/>
          </w:tcPr>
          <w:p w:rsidR="00E36A6E" w:rsidRPr="00DD74CE" w:rsidRDefault="00E36A6E" w:rsidP="00E36A6E">
            <w:pPr>
              <w:jc w:val="center"/>
              <w:rPr>
                <w:szCs w:val="20"/>
              </w:rPr>
            </w:pPr>
            <w:r w:rsidRPr="00DD74CE">
              <w:rPr>
                <w:bCs/>
                <w:szCs w:val="20"/>
              </w:rPr>
              <w:t>1,500</w:t>
            </w:r>
          </w:p>
        </w:tc>
        <w:tc>
          <w:tcPr>
            <w:tcW w:w="1530" w:type="dxa"/>
            <w:vAlign w:val="center"/>
          </w:tcPr>
          <w:p w:rsidR="00E36A6E" w:rsidRPr="00DD74CE" w:rsidRDefault="00E36A6E" w:rsidP="00E36A6E">
            <w:pPr>
              <w:jc w:val="center"/>
              <w:rPr>
                <w:szCs w:val="20"/>
              </w:rPr>
            </w:pPr>
            <w:r w:rsidRPr="00DD74CE">
              <w:rPr>
                <w:bCs/>
                <w:szCs w:val="20"/>
              </w:rPr>
              <w:t>15/60</w:t>
            </w:r>
          </w:p>
        </w:tc>
        <w:tc>
          <w:tcPr>
            <w:tcW w:w="1530" w:type="dxa"/>
            <w:vAlign w:val="center"/>
          </w:tcPr>
          <w:p w:rsidR="00E36A6E" w:rsidRPr="00DD74CE" w:rsidRDefault="00E36A6E" w:rsidP="00E36A6E">
            <w:pPr>
              <w:jc w:val="center"/>
              <w:rPr>
                <w:szCs w:val="20"/>
              </w:rPr>
            </w:pPr>
            <w:r w:rsidRPr="00DD74CE">
              <w:rPr>
                <w:szCs w:val="20"/>
              </w:rPr>
              <w:t>375</w:t>
            </w:r>
          </w:p>
        </w:tc>
      </w:tr>
      <w:tr w:rsidR="00C4776B" w:rsidTr="00DD74CE">
        <w:tc>
          <w:tcPr>
            <w:tcW w:w="1260" w:type="dxa"/>
          </w:tcPr>
          <w:p w:rsidR="00C4776B" w:rsidRPr="00DD74CE" w:rsidRDefault="00E36A6E" w:rsidP="00C4776B">
            <w:pPr>
              <w:spacing w:before="120" w:after="120"/>
              <w:rPr>
                <w:bCs/>
                <w:szCs w:val="20"/>
              </w:rPr>
            </w:pPr>
            <w:r w:rsidRPr="00DD74CE">
              <w:rPr>
                <w:bCs/>
                <w:szCs w:val="20"/>
              </w:rPr>
              <w:t xml:space="preserve">Total </w:t>
            </w:r>
          </w:p>
        </w:tc>
        <w:tc>
          <w:tcPr>
            <w:tcW w:w="2610" w:type="dxa"/>
          </w:tcPr>
          <w:p w:rsidR="00C4776B" w:rsidRPr="00DD74CE" w:rsidRDefault="00C4776B" w:rsidP="00C4776B">
            <w:pPr>
              <w:rPr>
                <w:szCs w:val="20"/>
              </w:rPr>
            </w:pPr>
          </w:p>
        </w:tc>
        <w:tc>
          <w:tcPr>
            <w:tcW w:w="1260" w:type="dxa"/>
            <w:tcBorders>
              <w:bottom w:val="single" w:sz="4" w:space="0" w:color="auto"/>
            </w:tcBorders>
            <w:vAlign w:val="center"/>
          </w:tcPr>
          <w:p w:rsidR="00C4776B" w:rsidRPr="00DD74CE" w:rsidRDefault="00E36A6E" w:rsidP="00E36A6E">
            <w:pPr>
              <w:spacing w:before="120" w:after="120"/>
              <w:jc w:val="center"/>
              <w:rPr>
                <w:bCs/>
                <w:szCs w:val="20"/>
              </w:rPr>
            </w:pPr>
            <w:r w:rsidRPr="00DD74CE">
              <w:rPr>
                <w:bCs/>
                <w:szCs w:val="20"/>
              </w:rPr>
              <w:t>13,500</w:t>
            </w:r>
          </w:p>
        </w:tc>
        <w:tc>
          <w:tcPr>
            <w:tcW w:w="1440" w:type="dxa"/>
            <w:vAlign w:val="center"/>
          </w:tcPr>
          <w:p w:rsidR="00C4776B" w:rsidRPr="00DD74CE" w:rsidRDefault="00E36A6E" w:rsidP="00E36A6E">
            <w:pPr>
              <w:jc w:val="center"/>
              <w:rPr>
                <w:szCs w:val="20"/>
              </w:rPr>
            </w:pPr>
            <w:r w:rsidRPr="00DD74CE">
              <w:rPr>
                <w:szCs w:val="20"/>
              </w:rPr>
              <w:t>13,500</w:t>
            </w:r>
          </w:p>
        </w:tc>
        <w:tc>
          <w:tcPr>
            <w:tcW w:w="1530" w:type="dxa"/>
            <w:vAlign w:val="center"/>
          </w:tcPr>
          <w:p w:rsidR="00C4776B" w:rsidRPr="00DD74CE" w:rsidRDefault="00C4776B" w:rsidP="00E36A6E">
            <w:pPr>
              <w:jc w:val="center"/>
              <w:rPr>
                <w:szCs w:val="20"/>
              </w:rPr>
            </w:pPr>
          </w:p>
        </w:tc>
        <w:tc>
          <w:tcPr>
            <w:tcW w:w="1530" w:type="dxa"/>
            <w:vAlign w:val="center"/>
          </w:tcPr>
          <w:p w:rsidR="00C4776B" w:rsidRPr="00DD74CE" w:rsidRDefault="00E36A6E" w:rsidP="00E36A6E">
            <w:pPr>
              <w:jc w:val="center"/>
              <w:rPr>
                <w:szCs w:val="20"/>
              </w:rPr>
            </w:pPr>
            <w:r w:rsidRPr="00DD74CE">
              <w:rPr>
                <w:szCs w:val="20"/>
              </w:rPr>
              <w:t>3,375</w:t>
            </w:r>
          </w:p>
        </w:tc>
      </w:tr>
    </w:tbl>
    <w:p w:rsidR="00432974" w:rsidRDefault="00432974" w:rsidP="00DC44F6">
      <w:pPr>
        <w:spacing w:before="120" w:after="120"/>
        <w:ind w:left="360"/>
        <w:rPr>
          <w:sz w:val="24"/>
        </w:rPr>
      </w:pPr>
    </w:p>
    <w:p w:rsidR="00432974" w:rsidRDefault="00432974" w:rsidP="00844607">
      <w:pPr>
        <w:spacing w:before="120" w:after="120"/>
        <w:rPr>
          <w:sz w:val="24"/>
        </w:rPr>
      </w:pPr>
    </w:p>
    <w:p w:rsidR="00844607" w:rsidRDefault="00844607" w:rsidP="00A568E7">
      <w:pPr>
        <w:pStyle w:val="Heading2"/>
        <w:numPr>
          <w:ilvl w:val="0"/>
          <w:numId w:val="3"/>
        </w:numPr>
        <w:spacing w:before="120" w:after="120"/>
        <w:rPr>
          <w:rFonts w:ascii="Times New Roman" w:hAnsi="Times New Roman" w:cs="Times New Roman"/>
          <w:i w:val="0"/>
          <w:sz w:val="24"/>
          <w:szCs w:val="24"/>
        </w:rPr>
      </w:pPr>
      <w:bookmarkStart w:id="3" w:name="_Toc151782200"/>
      <w:bookmarkStart w:id="4" w:name="_Toc158526236"/>
      <w:r w:rsidRPr="00134689">
        <w:rPr>
          <w:rFonts w:ascii="Times New Roman" w:hAnsi="Times New Roman" w:cs="Times New Roman"/>
          <w:i w:val="0"/>
          <w:sz w:val="24"/>
          <w:szCs w:val="24"/>
        </w:rPr>
        <w:t>Information Collection Procedures</w:t>
      </w:r>
      <w:bookmarkEnd w:id="3"/>
      <w:bookmarkEnd w:id="4"/>
      <w:r w:rsidR="007259A8">
        <w:rPr>
          <w:rFonts w:ascii="Times New Roman" w:hAnsi="Times New Roman" w:cs="Times New Roman"/>
          <w:i w:val="0"/>
          <w:sz w:val="24"/>
          <w:szCs w:val="24"/>
        </w:rPr>
        <w:t xml:space="preserve"> </w:t>
      </w:r>
    </w:p>
    <w:p w:rsidR="00DD74CE" w:rsidRDefault="00DD74CE" w:rsidP="009B0511">
      <w:pPr>
        <w:spacing w:before="120" w:after="120"/>
        <w:ind w:left="360"/>
        <w:rPr>
          <w:bCs/>
          <w:iCs/>
          <w:sz w:val="24"/>
        </w:rPr>
      </w:pPr>
      <w:r>
        <w:rPr>
          <w:bCs/>
          <w:iCs/>
          <w:sz w:val="24"/>
        </w:rPr>
        <w:t>Information collection will proceed in the following way:</w:t>
      </w:r>
    </w:p>
    <w:p w:rsidR="00DD74CE" w:rsidRDefault="00DD74CE" w:rsidP="009B0511">
      <w:pPr>
        <w:spacing w:before="120" w:after="120"/>
        <w:ind w:left="360"/>
        <w:rPr>
          <w:bCs/>
          <w:iCs/>
          <w:sz w:val="24"/>
        </w:rPr>
      </w:pPr>
      <w:r>
        <w:rPr>
          <w:bCs/>
          <w:iCs/>
          <w:sz w:val="24"/>
        </w:rPr>
        <w:t>Telephone Sample</w:t>
      </w:r>
    </w:p>
    <w:p w:rsidR="00DD74CE" w:rsidRPr="00DD74CE" w:rsidRDefault="00DD74CE" w:rsidP="00DD74CE">
      <w:pPr>
        <w:pStyle w:val="ListParagraph"/>
        <w:numPr>
          <w:ilvl w:val="0"/>
          <w:numId w:val="7"/>
        </w:numPr>
        <w:spacing w:before="120" w:after="120"/>
        <w:rPr>
          <w:bCs/>
          <w:iCs/>
          <w:sz w:val="24"/>
        </w:rPr>
      </w:pPr>
      <w:r w:rsidRPr="00DD74CE">
        <w:rPr>
          <w:bCs/>
          <w:iCs/>
          <w:sz w:val="24"/>
        </w:rPr>
        <w:t>Sample telephone numbers matched to addresses (approximately 30%)</w:t>
      </w:r>
    </w:p>
    <w:p w:rsidR="00DD74CE" w:rsidRDefault="00DD74CE" w:rsidP="00DD74CE">
      <w:pPr>
        <w:pStyle w:val="ListParagraph"/>
        <w:numPr>
          <w:ilvl w:val="1"/>
          <w:numId w:val="7"/>
        </w:numPr>
        <w:spacing w:before="120" w:after="120"/>
        <w:rPr>
          <w:bCs/>
          <w:iCs/>
          <w:sz w:val="24"/>
        </w:rPr>
      </w:pPr>
      <w:r>
        <w:rPr>
          <w:bCs/>
          <w:iCs/>
          <w:sz w:val="24"/>
        </w:rPr>
        <w:t>Matched numbers will be sent letters with unique IDs and invitation to web-based questionnaire</w:t>
      </w:r>
      <w:r w:rsidR="0080000B">
        <w:rPr>
          <w:bCs/>
          <w:iCs/>
          <w:sz w:val="24"/>
        </w:rPr>
        <w:t xml:space="preserve"> (see Attachment </w:t>
      </w:r>
      <w:r w:rsidR="00A3772C">
        <w:rPr>
          <w:bCs/>
          <w:iCs/>
          <w:sz w:val="24"/>
        </w:rPr>
        <w:t>5</w:t>
      </w:r>
      <w:r w:rsidR="0080000B">
        <w:rPr>
          <w:bCs/>
          <w:iCs/>
          <w:sz w:val="24"/>
        </w:rPr>
        <w:t xml:space="preserve"> for an example of a letter of invitation)</w:t>
      </w:r>
    </w:p>
    <w:p w:rsidR="00DD74CE" w:rsidRDefault="00DD74CE" w:rsidP="00DD74CE">
      <w:pPr>
        <w:pStyle w:val="ListParagraph"/>
        <w:numPr>
          <w:ilvl w:val="1"/>
          <w:numId w:val="7"/>
        </w:numPr>
        <w:spacing w:before="120" w:after="120"/>
        <w:rPr>
          <w:bCs/>
          <w:iCs/>
          <w:sz w:val="24"/>
        </w:rPr>
      </w:pPr>
      <w:r>
        <w:rPr>
          <w:bCs/>
          <w:iCs/>
          <w:sz w:val="24"/>
        </w:rPr>
        <w:t>After two months, matched numbers which have not responded to web invitation will be send full printed questionnaires of the BRFSS core survey</w:t>
      </w:r>
      <w:r w:rsidR="00B72FFE">
        <w:rPr>
          <w:bCs/>
          <w:iCs/>
          <w:sz w:val="24"/>
        </w:rPr>
        <w:t xml:space="preserve"> (see Attachment </w:t>
      </w:r>
      <w:r w:rsidR="00A3772C">
        <w:rPr>
          <w:bCs/>
          <w:iCs/>
          <w:sz w:val="24"/>
        </w:rPr>
        <w:t>4</w:t>
      </w:r>
      <w:r w:rsidR="00B72FFE">
        <w:rPr>
          <w:bCs/>
          <w:iCs/>
          <w:sz w:val="24"/>
        </w:rPr>
        <w:t xml:space="preserve"> for a formatted version of the core BRFSS)</w:t>
      </w:r>
    </w:p>
    <w:p w:rsidR="00DD74CE" w:rsidRDefault="00DD74CE" w:rsidP="00DD74CE">
      <w:pPr>
        <w:pStyle w:val="ListParagraph"/>
        <w:numPr>
          <w:ilvl w:val="1"/>
          <w:numId w:val="7"/>
        </w:numPr>
        <w:spacing w:before="120" w:after="120"/>
        <w:rPr>
          <w:bCs/>
          <w:iCs/>
          <w:sz w:val="24"/>
        </w:rPr>
      </w:pPr>
      <w:r>
        <w:rPr>
          <w:bCs/>
          <w:iCs/>
          <w:sz w:val="24"/>
        </w:rPr>
        <w:t>After two month, matched numbers with have not responded to web invitation nor returned mailed surveys will be called, using the BRFSS Data Collection Protocol</w:t>
      </w:r>
      <w:r w:rsidRPr="00DD74CE">
        <w:rPr>
          <w:bCs/>
          <w:iCs/>
          <w:sz w:val="24"/>
        </w:rPr>
        <w:tab/>
      </w:r>
    </w:p>
    <w:p w:rsidR="0080000B" w:rsidRDefault="0080000B" w:rsidP="0080000B">
      <w:pPr>
        <w:pStyle w:val="ListParagraph"/>
        <w:numPr>
          <w:ilvl w:val="0"/>
          <w:numId w:val="7"/>
        </w:numPr>
        <w:spacing w:before="120" w:after="120"/>
        <w:rPr>
          <w:bCs/>
          <w:iCs/>
          <w:sz w:val="24"/>
        </w:rPr>
      </w:pPr>
      <w:r>
        <w:rPr>
          <w:bCs/>
          <w:iCs/>
          <w:sz w:val="24"/>
        </w:rPr>
        <w:t>Sample telephone numbers not matched to addresses (approximately 70%)</w:t>
      </w:r>
    </w:p>
    <w:p w:rsidR="0080000B" w:rsidRDefault="0080000B" w:rsidP="0080000B">
      <w:pPr>
        <w:pStyle w:val="ListParagraph"/>
        <w:numPr>
          <w:ilvl w:val="1"/>
          <w:numId w:val="7"/>
        </w:numPr>
        <w:spacing w:before="120" w:after="120"/>
        <w:rPr>
          <w:bCs/>
          <w:iCs/>
          <w:sz w:val="24"/>
        </w:rPr>
      </w:pPr>
      <w:r>
        <w:rPr>
          <w:bCs/>
          <w:iCs/>
          <w:sz w:val="24"/>
        </w:rPr>
        <w:t>Data will be collected using the BRFSS Data Collection Protocols</w:t>
      </w:r>
    </w:p>
    <w:p w:rsidR="0080000B" w:rsidRDefault="0080000B" w:rsidP="0080000B">
      <w:pPr>
        <w:spacing w:before="120" w:after="120"/>
        <w:ind w:left="360"/>
        <w:rPr>
          <w:bCs/>
          <w:iCs/>
          <w:sz w:val="24"/>
        </w:rPr>
      </w:pPr>
      <w:r>
        <w:rPr>
          <w:bCs/>
          <w:iCs/>
          <w:sz w:val="24"/>
        </w:rPr>
        <w:t>Address-Based Sample</w:t>
      </w:r>
    </w:p>
    <w:p w:rsidR="0080000B" w:rsidRDefault="0080000B" w:rsidP="0080000B">
      <w:pPr>
        <w:pStyle w:val="ListParagraph"/>
        <w:numPr>
          <w:ilvl w:val="0"/>
          <w:numId w:val="8"/>
        </w:numPr>
        <w:spacing w:before="120" w:after="120"/>
        <w:rPr>
          <w:bCs/>
          <w:iCs/>
          <w:sz w:val="24"/>
        </w:rPr>
      </w:pPr>
      <w:r>
        <w:rPr>
          <w:bCs/>
          <w:iCs/>
          <w:sz w:val="24"/>
        </w:rPr>
        <w:t>Sample addresses matched to phone numbers (approximately 40%)</w:t>
      </w:r>
    </w:p>
    <w:p w:rsidR="0080000B" w:rsidRDefault="0080000B" w:rsidP="0080000B">
      <w:pPr>
        <w:pStyle w:val="ListParagraph"/>
        <w:numPr>
          <w:ilvl w:val="1"/>
          <w:numId w:val="8"/>
        </w:numPr>
        <w:spacing w:before="120" w:after="120"/>
        <w:rPr>
          <w:bCs/>
          <w:iCs/>
          <w:sz w:val="24"/>
        </w:rPr>
      </w:pPr>
      <w:r>
        <w:rPr>
          <w:bCs/>
          <w:iCs/>
          <w:sz w:val="24"/>
        </w:rPr>
        <w:t xml:space="preserve">Matched numbers will be sent letters with unique IDs and invitation to web-based questionnaire </w:t>
      </w:r>
      <w:r w:rsidRPr="0080000B">
        <w:rPr>
          <w:bCs/>
          <w:iCs/>
          <w:sz w:val="24"/>
        </w:rPr>
        <w:t xml:space="preserve">(see Attachment </w:t>
      </w:r>
      <w:r w:rsidR="00A3772C">
        <w:rPr>
          <w:bCs/>
          <w:iCs/>
          <w:sz w:val="24"/>
        </w:rPr>
        <w:t xml:space="preserve">5 </w:t>
      </w:r>
      <w:r w:rsidRPr="0080000B">
        <w:rPr>
          <w:bCs/>
          <w:iCs/>
          <w:sz w:val="24"/>
        </w:rPr>
        <w:t>for an example of a letter of invitation)</w:t>
      </w:r>
    </w:p>
    <w:p w:rsidR="0080000B" w:rsidRPr="00B72FFE" w:rsidRDefault="0080000B" w:rsidP="00B72FFE">
      <w:pPr>
        <w:pStyle w:val="ListParagraph"/>
        <w:numPr>
          <w:ilvl w:val="1"/>
          <w:numId w:val="7"/>
        </w:numPr>
        <w:spacing w:before="120" w:after="120"/>
        <w:rPr>
          <w:bCs/>
          <w:iCs/>
          <w:sz w:val="24"/>
        </w:rPr>
      </w:pPr>
      <w:r w:rsidRPr="0080000B">
        <w:rPr>
          <w:bCs/>
          <w:iCs/>
          <w:sz w:val="24"/>
        </w:rPr>
        <w:t>After two months, matched numbers which have not responded to web invitation will be send full printed questionnaires of the BRFSS core survey</w:t>
      </w:r>
      <w:r w:rsidR="00B72FFE">
        <w:rPr>
          <w:bCs/>
          <w:iCs/>
          <w:sz w:val="24"/>
        </w:rPr>
        <w:t xml:space="preserve"> (see Attachment </w:t>
      </w:r>
      <w:r w:rsidR="00A3772C">
        <w:rPr>
          <w:bCs/>
          <w:iCs/>
          <w:sz w:val="24"/>
        </w:rPr>
        <w:t>4</w:t>
      </w:r>
      <w:r w:rsidR="00B72FFE">
        <w:rPr>
          <w:bCs/>
          <w:iCs/>
          <w:sz w:val="24"/>
        </w:rPr>
        <w:t xml:space="preserve"> for a formatted version of the core BRFSS)</w:t>
      </w:r>
    </w:p>
    <w:p w:rsidR="0080000B" w:rsidRDefault="0080000B" w:rsidP="0080000B">
      <w:pPr>
        <w:pStyle w:val="ListParagraph"/>
        <w:numPr>
          <w:ilvl w:val="1"/>
          <w:numId w:val="8"/>
        </w:numPr>
        <w:spacing w:before="120" w:after="120"/>
        <w:rPr>
          <w:bCs/>
          <w:iCs/>
          <w:sz w:val="24"/>
        </w:rPr>
      </w:pPr>
      <w:r w:rsidRPr="0080000B">
        <w:rPr>
          <w:bCs/>
          <w:iCs/>
          <w:sz w:val="24"/>
        </w:rPr>
        <w:t>After two month, matched numbers with have not responded to web invitation nor returned mailed surveys will be called, using the BRFSS Data Collection Protocol</w:t>
      </w:r>
      <w:r w:rsidRPr="0080000B">
        <w:rPr>
          <w:bCs/>
          <w:iCs/>
          <w:sz w:val="24"/>
        </w:rPr>
        <w:tab/>
      </w:r>
    </w:p>
    <w:p w:rsidR="0080000B" w:rsidRDefault="0080000B" w:rsidP="0080000B">
      <w:pPr>
        <w:pStyle w:val="ListParagraph"/>
        <w:numPr>
          <w:ilvl w:val="0"/>
          <w:numId w:val="8"/>
        </w:numPr>
        <w:spacing w:before="120" w:after="120"/>
        <w:rPr>
          <w:bCs/>
          <w:iCs/>
          <w:sz w:val="24"/>
        </w:rPr>
      </w:pPr>
      <w:r>
        <w:rPr>
          <w:bCs/>
          <w:iCs/>
          <w:sz w:val="24"/>
        </w:rPr>
        <w:t>Sample addresses not matched to phone numbers (approximately 60%)</w:t>
      </w:r>
    </w:p>
    <w:p w:rsidR="0080000B" w:rsidRDefault="0080000B" w:rsidP="0080000B">
      <w:pPr>
        <w:pStyle w:val="ListParagraph"/>
        <w:numPr>
          <w:ilvl w:val="1"/>
          <w:numId w:val="8"/>
        </w:numPr>
        <w:spacing w:before="120" w:after="120"/>
        <w:rPr>
          <w:bCs/>
          <w:iCs/>
          <w:sz w:val="24"/>
        </w:rPr>
      </w:pPr>
      <w:r>
        <w:rPr>
          <w:bCs/>
          <w:iCs/>
          <w:sz w:val="24"/>
        </w:rPr>
        <w:t>Matched numbers will be sent letters with unique IDs and invitation to web-based questionnaire</w:t>
      </w:r>
    </w:p>
    <w:p w:rsidR="0080000B" w:rsidRDefault="0080000B" w:rsidP="0080000B">
      <w:pPr>
        <w:pStyle w:val="ListParagraph"/>
        <w:numPr>
          <w:ilvl w:val="1"/>
          <w:numId w:val="8"/>
        </w:numPr>
        <w:spacing w:before="120" w:after="120"/>
        <w:rPr>
          <w:bCs/>
          <w:iCs/>
          <w:sz w:val="24"/>
        </w:rPr>
      </w:pPr>
      <w:r w:rsidRPr="0080000B">
        <w:rPr>
          <w:bCs/>
          <w:iCs/>
          <w:sz w:val="24"/>
        </w:rPr>
        <w:t>After two months, matched numbers which have not responded to web invitation will be send full printed questionnaires of the BRFSS core survey</w:t>
      </w:r>
    </w:p>
    <w:p w:rsidR="00A568E7" w:rsidRPr="00CE6CF5" w:rsidRDefault="00CE6CF5" w:rsidP="00CE6CF5">
      <w:pPr>
        <w:pStyle w:val="ListParagraph"/>
        <w:ind w:left="360"/>
        <w:rPr>
          <w:sz w:val="24"/>
        </w:rPr>
      </w:pPr>
      <w:r w:rsidRPr="00CE6CF5">
        <w:rPr>
          <w:sz w:val="24"/>
        </w:rPr>
        <w:t>It should be noted that phone numbers in the telephone sample which are matched to addresses will not overlap locations in the address-based sample.  The two samples are independent of each other and are not linked by the matching process.</w:t>
      </w:r>
      <w:r>
        <w:rPr>
          <w:sz w:val="24"/>
        </w:rPr>
        <w:t xml:space="preserve"> It is highly unlikely that any single residence and/or person would appear in both samples. </w:t>
      </w:r>
    </w:p>
    <w:p w:rsidR="00CE6CF5" w:rsidRDefault="00CE6CF5" w:rsidP="002B0DDB">
      <w:pPr>
        <w:pStyle w:val="Heading2"/>
        <w:spacing w:before="120" w:after="120"/>
        <w:ind w:left="360"/>
        <w:rPr>
          <w:rFonts w:ascii="Times New Roman" w:hAnsi="Times New Roman" w:cs="Times New Roman"/>
          <w:i w:val="0"/>
          <w:sz w:val="24"/>
          <w:szCs w:val="24"/>
        </w:rPr>
      </w:pPr>
      <w:bookmarkStart w:id="5" w:name="_Toc151782201"/>
      <w:bookmarkStart w:id="6" w:name="_Toc158526237"/>
    </w:p>
    <w:p w:rsidR="00844607" w:rsidRPr="00E91599" w:rsidRDefault="00844607" w:rsidP="002B0DDB">
      <w:pPr>
        <w:pStyle w:val="Heading2"/>
        <w:spacing w:before="120" w:after="120"/>
        <w:ind w:left="360"/>
        <w:rPr>
          <w:rFonts w:ascii="Times New Roman" w:hAnsi="Times New Roman" w:cs="Times New Roman"/>
          <w:i w:val="0"/>
          <w:sz w:val="24"/>
          <w:szCs w:val="24"/>
        </w:rPr>
      </w:pPr>
      <w:r w:rsidRPr="00E91599">
        <w:rPr>
          <w:rFonts w:ascii="Times New Roman" w:hAnsi="Times New Roman" w:cs="Times New Roman"/>
          <w:i w:val="0"/>
          <w:sz w:val="24"/>
          <w:szCs w:val="24"/>
        </w:rPr>
        <w:t xml:space="preserve">3. Methods to Maximize </w:t>
      </w:r>
      <w:r w:rsidR="0017502A" w:rsidRPr="00E91599">
        <w:rPr>
          <w:rFonts w:ascii="Times New Roman" w:hAnsi="Times New Roman" w:cs="Times New Roman"/>
          <w:i w:val="0"/>
          <w:sz w:val="24"/>
          <w:szCs w:val="24"/>
        </w:rPr>
        <w:t xml:space="preserve">Participation </w:t>
      </w:r>
      <w:r w:rsidRPr="00E91599">
        <w:rPr>
          <w:rFonts w:ascii="Times New Roman" w:hAnsi="Times New Roman" w:cs="Times New Roman"/>
          <w:i w:val="0"/>
          <w:sz w:val="24"/>
          <w:szCs w:val="24"/>
        </w:rPr>
        <w:t>Rates</w:t>
      </w:r>
      <w:bookmarkEnd w:id="5"/>
      <w:bookmarkEnd w:id="6"/>
    </w:p>
    <w:p w:rsidR="00844607" w:rsidRPr="009165B7" w:rsidRDefault="0080000B" w:rsidP="002B0DDB">
      <w:pPr>
        <w:spacing w:before="120" w:after="120"/>
        <w:ind w:left="360"/>
        <w:rPr>
          <w:sz w:val="24"/>
        </w:rPr>
      </w:pPr>
      <w:r>
        <w:rPr>
          <w:sz w:val="24"/>
        </w:rPr>
        <w:t xml:space="preserve">Since the purpose of this </w:t>
      </w:r>
      <w:r w:rsidR="0068797E" w:rsidRPr="0068797E">
        <w:rPr>
          <w:sz w:val="24"/>
        </w:rPr>
        <w:t xml:space="preserve">Preliminary Experiment for Sample and Mode </w:t>
      </w:r>
      <w:r>
        <w:rPr>
          <w:sz w:val="24"/>
        </w:rPr>
        <w:t xml:space="preserve">is to assess whether different modes are superior in terms of data quality (including response rates) and cost effectiveness, standard methods to achieve the highest response rate will be adhered to.  The BRFSS Data Collection Protocol (Attachment </w:t>
      </w:r>
      <w:r w:rsidR="00A3772C">
        <w:rPr>
          <w:sz w:val="24"/>
        </w:rPr>
        <w:t>1</w:t>
      </w:r>
      <w:r>
        <w:rPr>
          <w:sz w:val="24"/>
        </w:rPr>
        <w:t xml:space="preserve">) provides information on calling times, number of attempts and introductory scripts designed to recruit participants. </w:t>
      </w:r>
      <w:r w:rsidR="00AA1DDD">
        <w:rPr>
          <w:sz w:val="24"/>
        </w:rPr>
        <w:t xml:space="preserve">Since the purpose of the experiment is to determine which mode results in the optimal balance of response rate, cost and burden no changes to the protocol will be permitted, even if they would result in increased participation. </w:t>
      </w:r>
    </w:p>
    <w:p w:rsidR="00844607" w:rsidRPr="009165B7" w:rsidRDefault="00844607" w:rsidP="002B0DDB">
      <w:pPr>
        <w:pStyle w:val="Heading2"/>
        <w:spacing w:before="120" w:after="120"/>
        <w:ind w:left="360"/>
        <w:rPr>
          <w:rFonts w:ascii="Times New Roman" w:hAnsi="Times New Roman" w:cs="Times New Roman"/>
          <w:i w:val="0"/>
          <w:sz w:val="24"/>
          <w:szCs w:val="24"/>
        </w:rPr>
      </w:pPr>
      <w:bookmarkStart w:id="7" w:name="_Toc151782202"/>
      <w:bookmarkStart w:id="8" w:name="_Toc158526238"/>
      <w:r w:rsidRPr="009165B7">
        <w:rPr>
          <w:rFonts w:ascii="Times New Roman" w:hAnsi="Times New Roman" w:cs="Times New Roman"/>
          <w:i w:val="0"/>
          <w:sz w:val="24"/>
          <w:szCs w:val="24"/>
        </w:rPr>
        <w:t>4. Tests of Procedures</w:t>
      </w:r>
      <w:bookmarkStart w:id="9" w:name="_Toc151782203"/>
      <w:bookmarkStart w:id="10" w:name="_Toc158526239"/>
      <w:bookmarkEnd w:id="7"/>
      <w:bookmarkEnd w:id="8"/>
    </w:p>
    <w:p w:rsidR="0080000B" w:rsidRPr="0080000B" w:rsidRDefault="0080000B" w:rsidP="002B0DDB">
      <w:pPr>
        <w:pStyle w:val="Heading2"/>
        <w:spacing w:before="120" w:after="120"/>
        <w:ind w:left="360"/>
        <w:rPr>
          <w:rFonts w:ascii="Times New Roman" w:hAnsi="Times New Roman" w:cs="Times New Roman"/>
          <w:b w:val="0"/>
          <w:i w:val="0"/>
          <w:sz w:val="24"/>
          <w:szCs w:val="24"/>
        </w:rPr>
      </w:pPr>
      <w:r w:rsidRPr="0080000B">
        <w:rPr>
          <w:rFonts w:ascii="Times New Roman" w:hAnsi="Times New Roman" w:cs="Times New Roman"/>
          <w:b w:val="0"/>
          <w:i w:val="0"/>
          <w:sz w:val="24"/>
          <w:szCs w:val="24"/>
        </w:rPr>
        <w:t xml:space="preserve">The web-based questionnaire will be tested prior to implementation by staff members at the CDC and at participating states.  </w:t>
      </w:r>
      <w:r>
        <w:rPr>
          <w:rFonts w:ascii="Times New Roman" w:hAnsi="Times New Roman" w:cs="Times New Roman"/>
          <w:b w:val="0"/>
          <w:i w:val="0"/>
          <w:sz w:val="24"/>
          <w:szCs w:val="24"/>
        </w:rPr>
        <w:t xml:space="preserve">Formatting of the Mailed Survey Questionnaire (see Attachment </w:t>
      </w:r>
      <w:r w:rsidR="00A3772C">
        <w:rPr>
          <w:rFonts w:ascii="Times New Roman" w:hAnsi="Times New Roman" w:cs="Times New Roman"/>
          <w:b w:val="0"/>
          <w:i w:val="0"/>
          <w:sz w:val="24"/>
          <w:szCs w:val="24"/>
        </w:rPr>
        <w:t>4</w:t>
      </w:r>
      <w:r>
        <w:rPr>
          <w:rFonts w:ascii="Times New Roman" w:hAnsi="Times New Roman" w:cs="Times New Roman"/>
          <w:b w:val="0"/>
          <w:i w:val="0"/>
          <w:sz w:val="24"/>
          <w:szCs w:val="24"/>
        </w:rPr>
        <w:t xml:space="preserve">) will also be conducted using health department staff. The BRFSS core survey has been used for many years as a telephone interview and will not require further testing. </w:t>
      </w:r>
    </w:p>
    <w:p w:rsidR="00844607" w:rsidRPr="009C6C71" w:rsidRDefault="00844607" w:rsidP="002B0DDB">
      <w:pPr>
        <w:pStyle w:val="Heading2"/>
        <w:spacing w:before="120" w:after="120"/>
        <w:ind w:left="360"/>
        <w:rPr>
          <w:rFonts w:ascii="Times New Roman" w:hAnsi="Times New Roman" w:cs="Times New Roman"/>
          <w:i w:val="0"/>
          <w:sz w:val="24"/>
          <w:szCs w:val="24"/>
        </w:rPr>
      </w:pPr>
      <w:r w:rsidRPr="009C6C71">
        <w:rPr>
          <w:rFonts w:ascii="Times New Roman" w:hAnsi="Times New Roman" w:cs="Times New Roman"/>
          <w:i w:val="0"/>
          <w:sz w:val="24"/>
          <w:szCs w:val="24"/>
        </w:rPr>
        <w:t>5. Statistical Consultants</w:t>
      </w:r>
      <w:bookmarkEnd w:id="9"/>
      <w:bookmarkEnd w:id="10"/>
    </w:p>
    <w:p w:rsidR="00E56983" w:rsidRPr="00844607" w:rsidRDefault="0080000B" w:rsidP="002B0DDB">
      <w:pPr>
        <w:spacing w:before="120" w:after="120"/>
        <w:ind w:left="360"/>
        <w:rPr>
          <w:sz w:val="24"/>
        </w:rPr>
      </w:pPr>
      <w:r>
        <w:rPr>
          <w:sz w:val="24"/>
        </w:rPr>
        <w:t xml:space="preserve">Other than statisticians within the state health departments and/or employed by the CDC, no outside consultants will be used in the </w:t>
      </w:r>
      <w:r w:rsidR="00AA1DDD">
        <w:rPr>
          <w:sz w:val="24"/>
        </w:rPr>
        <w:t>preliminary experiment</w:t>
      </w:r>
      <w:r>
        <w:rPr>
          <w:sz w:val="24"/>
        </w:rPr>
        <w:t xml:space="preserve">. </w:t>
      </w:r>
      <w:r w:rsidR="009C6C71" w:rsidRPr="009C6C71">
        <w:rPr>
          <w:sz w:val="24"/>
        </w:rPr>
        <w:t xml:space="preserve"> </w:t>
      </w:r>
      <w:r w:rsidR="00844607" w:rsidRPr="009C6C71">
        <w:rPr>
          <w:sz w:val="24"/>
        </w:rPr>
        <w:t xml:space="preserve">  </w:t>
      </w:r>
    </w:p>
    <w:sectPr w:rsidR="00E56983" w:rsidRPr="00844607" w:rsidSect="00BA1757">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C07" w:rsidRDefault="00CB4C07">
      <w:r>
        <w:separator/>
      </w:r>
    </w:p>
  </w:endnote>
  <w:endnote w:type="continuationSeparator" w:id="0">
    <w:p w:rsidR="00CB4C07" w:rsidRDefault="00CB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07" w:rsidRDefault="00CB4C07">
    <w:pPr>
      <w:spacing w:line="240" w:lineRule="exact"/>
    </w:pPr>
  </w:p>
  <w:p w:rsidR="00CB4C07" w:rsidRDefault="00CB4C0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54E0F">
      <w:rPr>
        <w:noProof/>
        <w:sz w:val="24"/>
      </w:rPr>
      <w:t>1</w:t>
    </w:r>
    <w:r>
      <w:rPr>
        <w:sz w:val="24"/>
      </w:rPr>
      <w:fldChar w:fldCharType="end"/>
    </w:r>
  </w:p>
  <w:p w:rsidR="00CB4C07" w:rsidRDefault="00CB4C07">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C07" w:rsidRDefault="00CB4C07">
      <w:r>
        <w:separator/>
      </w:r>
    </w:p>
  </w:footnote>
  <w:footnote w:type="continuationSeparator" w:id="0">
    <w:p w:rsidR="00CB4C07" w:rsidRDefault="00CB4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12A08"/>
    <w:multiLevelType w:val="hybridMultilevel"/>
    <w:tmpl w:val="BAE0D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114AD"/>
    <w:multiLevelType w:val="hybridMultilevel"/>
    <w:tmpl w:val="1D58394E"/>
    <w:lvl w:ilvl="0" w:tplc="9B464A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B81637"/>
    <w:multiLevelType w:val="hybridMultilevel"/>
    <w:tmpl w:val="3788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4C5439"/>
    <w:multiLevelType w:val="hybridMultilevel"/>
    <w:tmpl w:val="B0202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7649E6"/>
    <w:multiLevelType w:val="hybridMultilevel"/>
    <w:tmpl w:val="7F30C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22D7C"/>
    <w:rsid w:val="0003335E"/>
    <w:rsid w:val="0005679A"/>
    <w:rsid w:val="00093C74"/>
    <w:rsid w:val="000A0B63"/>
    <w:rsid w:val="000C1D0E"/>
    <w:rsid w:val="000C5CC6"/>
    <w:rsid w:val="000D5CCF"/>
    <w:rsid w:val="000E1AD0"/>
    <w:rsid w:val="000E2E05"/>
    <w:rsid w:val="000E3D74"/>
    <w:rsid w:val="000E479F"/>
    <w:rsid w:val="000F76AB"/>
    <w:rsid w:val="0010438F"/>
    <w:rsid w:val="00105517"/>
    <w:rsid w:val="00106AE2"/>
    <w:rsid w:val="001127FC"/>
    <w:rsid w:val="001131FA"/>
    <w:rsid w:val="001145A4"/>
    <w:rsid w:val="00134689"/>
    <w:rsid w:val="001429DE"/>
    <w:rsid w:val="001568CA"/>
    <w:rsid w:val="001611AC"/>
    <w:rsid w:val="00167268"/>
    <w:rsid w:val="00170CE8"/>
    <w:rsid w:val="00174003"/>
    <w:rsid w:val="001746F8"/>
    <w:rsid w:val="0017502A"/>
    <w:rsid w:val="00176417"/>
    <w:rsid w:val="001A57CF"/>
    <w:rsid w:val="001B548D"/>
    <w:rsid w:val="001B689B"/>
    <w:rsid w:val="00201694"/>
    <w:rsid w:val="00220E6B"/>
    <w:rsid w:val="0025382E"/>
    <w:rsid w:val="00285E37"/>
    <w:rsid w:val="00290C06"/>
    <w:rsid w:val="0029424A"/>
    <w:rsid w:val="002B0DDB"/>
    <w:rsid w:val="002B53AC"/>
    <w:rsid w:val="002E4E41"/>
    <w:rsid w:val="00371885"/>
    <w:rsid w:val="00372C49"/>
    <w:rsid w:val="00373526"/>
    <w:rsid w:val="003806F1"/>
    <w:rsid w:val="003A2544"/>
    <w:rsid w:val="003B2960"/>
    <w:rsid w:val="003C2E34"/>
    <w:rsid w:val="003E23E6"/>
    <w:rsid w:val="00432974"/>
    <w:rsid w:val="00465F16"/>
    <w:rsid w:val="00475189"/>
    <w:rsid w:val="004762DB"/>
    <w:rsid w:val="00485C70"/>
    <w:rsid w:val="004A42C3"/>
    <w:rsid w:val="004B229D"/>
    <w:rsid w:val="004D2C66"/>
    <w:rsid w:val="004D3ACD"/>
    <w:rsid w:val="005406BF"/>
    <w:rsid w:val="00542A85"/>
    <w:rsid w:val="00572278"/>
    <w:rsid w:val="00574941"/>
    <w:rsid w:val="00581026"/>
    <w:rsid w:val="005A6AAD"/>
    <w:rsid w:val="005C74FE"/>
    <w:rsid w:val="005E22EB"/>
    <w:rsid w:val="005E5DFA"/>
    <w:rsid w:val="006451FF"/>
    <w:rsid w:val="00651EC2"/>
    <w:rsid w:val="00653514"/>
    <w:rsid w:val="0068797E"/>
    <w:rsid w:val="006963CA"/>
    <w:rsid w:val="00697DB3"/>
    <w:rsid w:val="006A72BC"/>
    <w:rsid w:val="006B1FCF"/>
    <w:rsid w:val="006B45E6"/>
    <w:rsid w:val="006B7A3A"/>
    <w:rsid w:val="006E20C9"/>
    <w:rsid w:val="006F0CD5"/>
    <w:rsid w:val="006F2D7E"/>
    <w:rsid w:val="007259A8"/>
    <w:rsid w:val="00737304"/>
    <w:rsid w:val="00742150"/>
    <w:rsid w:val="007443C9"/>
    <w:rsid w:val="00774D76"/>
    <w:rsid w:val="00781206"/>
    <w:rsid w:val="007A3159"/>
    <w:rsid w:val="007B1778"/>
    <w:rsid w:val="007C38B7"/>
    <w:rsid w:val="0080000B"/>
    <w:rsid w:val="00802387"/>
    <w:rsid w:val="00816B75"/>
    <w:rsid w:val="00824C3E"/>
    <w:rsid w:val="0084396C"/>
    <w:rsid w:val="00844607"/>
    <w:rsid w:val="008902AE"/>
    <w:rsid w:val="008C1D7C"/>
    <w:rsid w:val="008D1854"/>
    <w:rsid w:val="008E07F4"/>
    <w:rsid w:val="008E5600"/>
    <w:rsid w:val="0091189F"/>
    <w:rsid w:val="009165B7"/>
    <w:rsid w:val="009248CA"/>
    <w:rsid w:val="009367DF"/>
    <w:rsid w:val="00961BCD"/>
    <w:rsid w:val="00964426"/>
    <w:rsid w:val="00973104"/>
    <w:rsid w:val="009B0511"/>
    <w:rsid w:val="009C6C71"/>
    <w:rsid w:val="009E2ED2"/>
    <w:rsid w:val="009F1C44"/>
    <w:rsid w:val="00A00408"/>
    <w:rsid w:val="00A14706"/>
    <w:rsid w:val="00A34D14"/>
    <w:rsid w:val="00A3772C"/>
    <w:rsid w:val="00A568E7"/>
    <w:rsid w:val="00A61EA2"/>
    <w:rsid w:val="00A64FA5"/>
    <w:rsid w:val="00A74E40"/>
    <w:rsid w:val="00A75053"/>
    <w:rsid w:val="00A76D85"/>
    <w:rsid w:val="00A84729"/>
    <w:rsid w:val="00A9105C"/>
    <w:rsid w:val="00AA1DDD"/>
    <w:rsid w:val="00AD4F1A"/>
    <w:rsid w:val="00B055E2"/>
    <w:rsid w:val="00B3463C"/>
    <w:rsid w:val="00B401FF"/>
    <w:rsid w:val="00B63A4F"/>
    <w:rsid w:val="00B63C11"/>
    <w:rsid w:val="00B677BD"/>
    <w:rsid w:val="00B72FFE"/>
    <w:rsid w:val="00B87BB0"/>
    <w:rsid w:val="00BA1757"/>
    <w:rsid w:val="00BA58CA"/>
    <w:rsid w:val="00BD60E9"/>
    <w:rsid w:val="00BE07F8"/>
    <w:rsid w:val="00BF4DB7"/>
    <w:rsid w:val="00C30945"/>
    <w:rsid w:val="00C4776B"/>
    <w:rsid w:val="00C54E0F"/>
    <w:rsid w:val="00C73C8E"/>
    <w:rsid w:val="00CB4C07"/>
    <w:rsid w:val="00CB6AD0"/>
    <w:rsid w:val="00CE35CB"/>
    <w:rsid w:val="00CE6CF5"/>
    <w:rsid w:val="00CF7AB3"/>
    <w:rsid w:val="00D052DE"/>
    <w:rsid w:val="00D22FA5"/>
    <w:rsid w:val="00D515A4"/>
    <w:rsid w:val="00D57D49"/>
    <w:rsid w:val="00DC44F6"/>
    <w:rsid w:val="00DD74CE"/>
    <w:rsid w:val="00DD7678"/>
    <w:rsid w:val="00DF26B8"/>
    <w:rsid w:val="00E01023"/>
    <w:rsid w:val="00E315D9"/>
    <w:rsid w:val="00E31CDF"/>
    <w:rsid w:val="00E36A6E"/>
    <w:rsid w:val="00E52A87"/>
    <w:rsid w:val="00E56983"/>
    <w:rsid w:val="00E60151"/>
    <w:rsid w:val="00E63A84"/>
    <w:rsid w:val="00E83BA6"/>
    <w:rsid w:val="00E91599"/>
    <w:rsid w:val="00EA18E4"/>
    <w:rsid w:val="00EB491D"/>
    <w:rsid w:val="00F00654"/>
    <w:rsid w:val="00F104A9"/>
    <w:rsid w:val="00F22DC5"/>
    <w:rsid w:val="00F24A2F"/>
    <w:rsid w:val="00F266B8"/>
    <w:rsid w:val="00F326EA"/>
    <w:rsid w:val="00F41CA9"/>
    <w:rsid w:val="00F46EBF"/>
    <w:rsid w:val="00F5276E"/>
    <w:rsid w:val="00F817B2"/>
    <w:rsid w:val="00FA0B30"/>
    <w:rsid w:val="00FE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rsid w:val="00742150"/>
    <w:rPr>
      <w:sz w:val="16"/>
      <w:szCs w:val="16"/>
    </w:rPr>
  </w:style>
  <w:style w:type="paragraph" w:styleId="CommentText">
    <w:name w:val="annotation text"/>
    <w:basedOn w:val="Normal"/>
    <w:link w:val="CommentTextChar"/>
    <w:rsid w:val="00742150"/>
    <w:rPr>
      <w:szCs w:val="20"/>
    </w:rPr>
  </w:style>
  <w:style w:type="character" w:customStyle="1" w:styleId="CommentTextChar">
    <w:name w:val="Comment Text Char"/>
    <w:basedOn w:val="DefaultParagraphFont"/>
    <w:link w:val="CommentText"/>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ListParagraph">
    <w:name w:val="List Paragraph"/>
    <w:basedOn w:val="Normal"/>
    <w:uiPriority w:val="34"/>
    <w:qFormat/>
    <w:rsid w:val="00A84729"/>
    <w:pPr>
      <w:ind w:left="720"/>
    </w:pPr>
  </w:style>
  <w:style w:type="table" w:styleId="TableGrid">
    <w:name w:val="Table Grid"/>
    <w:basedOn w:val="TableNormal"/>
    <w:rsid w:val="0043297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FA5"/>
    <w:pPr>
      <w:tabs>
        <w:tab w:val="center" w:pos="4680"/>
        <w:tab w:val="right" w:pos="9360"/>
      </w:tabs>
    </w:pPr>
  </w:style>
  <w:style w:type="character" w:customStyle="1" w:styleId="HeaderChar">
    <w:name w:val="Header Char"/>
    <w:basedOn w:val="DefaultParagraphFont"/>
    <w:link w:val="Header"/>
    <w:uiPriority w:val="99"/>
    <w:rsid w:val="00A64FA5"/>
    <w:rPr>
      <w:szCs w:val="24"/>
    </w:rPr>
  </w:style>
  <w:style w:type="paragraph" w:styleId="Footer">
    <w:name w:val="footer"/>
    <w:basedOn w:val="Normal"/>
    <w:link w:val="FooterChar"/>
    <w:unhideWhenUsed/>
    <w:rsid w:val="00A64FA5"/>
    <w:pPr>
      <w:tabs>
        <w:tab w:val="center" w:pos="4680"/>
        <w:tab w:val="right" w:pos="9360"/>
      </w:tabs>
    </w:pPr>
  </w:style>
  <w:style w:type="character" w:customStyle="1" w:styleId="FooterChar">
    <w:name w:val="Footer Char"/>
    <w:basedOn w:val="DefaultParagraphFont"/>
    <w:link w:val="Footer"/>
    <w:rsid w:val="00A64FA5"/>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rsid w:val="00742150"/>
    <w:rPr>
      <w:sz w:val="16"/>
      <w:szCs w:val="16"/>
    </w:rPr>
  </w:style>
  <w:style w:type="paragraph" w:styleId="CommentText">
    <w:name w:val="annotation text"/>
    <w:basedOn w:val="Normal"/>
    <w:link w:val="CommentTextChar"/>
    <w:rsid w:val="00742150"/>
    <w:rPr>
      <w:szCs w:val="20"/>
    </w:rPr>
  </w:style>
  <w:style w:type="character" w:customStyle="1" w:styleId="CommentTextChar">
    <w:name w:val="Comment Text Char"/>
    <w:basedOn w:val="DefaultParagraphFont"/>
    <w:link w:val="CommentText"/>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ListParagraph">
    <w:name w:val="List Paragraph"/>
    <w:basedOn w:val="Normal"/>
    <w:uiPriority w:val="34"/>
    <w:qFormat/>
    <w:rsid w:val="00A84729"/>
    <w:pPr>
      <w:ind w:left="720"/>
    </w:pPr>
  </w:style>
  <w:style w:type="table" w:styleId="TableGrid">
    <w:name w:val="Table Grid"/>
    <w:basedOn w:val="TableNormal"/>
    <w:rsid w:val="0043297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FA5"/>
    <w:pPr>
      <w:tabs>
        <w:tab w:val="center" w:pos="4680"/>
        <w:tab w:val="right" w:pos="9360"/>
      </w:tabs>
    </w:pPr>
  </w:style>
  <w:style w:type="character" w:customStyle="1" w:styleId="HeaderChar">
    <w:name w:val="Header Char"/>
    <w:basedOn w:val="DefaultParagraphFont"/>
    <w:link w:val="Header"/>
    <w:uiPriority w:val="99"/>
    <w:rsid w:val="00A64FA5"/>
    <w:rPr>
      <w:szCs w:val="24"/>
    </w:rPr>
  </w:style>
  <w:style w:type="paragraph" w:styleId="Footer">
    <w:name w:val="footer"/>
    <w:basedOn w:val="Normal"/>
    <w:link w:val="FooterChar"/>
    <w:unhideWhenUsed/>
    <w:rsid w:val="00A64FA5"/>
    <w:pPr>
      <w:tabs>
        <w:tab w:val="center" w:pos="4680"/>
        <w:tab w:val="right" w:pos="9360"/>
      </w:tabs>
    </w:pPr>
  </w:style>
  <w:style w:type="character" w:customStyle="1" w:styleId="FooterChar">
    <w:name w:val="Footer Char"/>
    <w:basedOn w:val="DefaultParagraphFont"/>
    <w:link w:val="Footer"/>
    <w:rsid w:val="00A64FA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49EB8-969D-481E-A3F2-890A2873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SYSTEM</cp:lastModifiedBy>
  <cp:revision>2</cp:revision>
  <cp:lastPrinted>2015-07-24T19:08:00Z</cp:lastPrinted>
  <dcterms:created xsi:type="dcterms:W3CDTF">2017-09-11T16:06:00Z</dcterms:created>
  <dcterms:modified xsi:type="dcterms:W3CDTF">2017-09-11T16:06:00Z</dcterms:modified>
</cp:coreProperties>
</file>