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8C7CB" w14:textId="77777777" w:rsidR="00716F94" w:rsidRPr="002115E2" w:rsidRDefault="00716F94" w:rsidP="00BC6896">
      <w:pPr>
        <w:rPr>
          <w:rFonts w:ascii="Times New Roman" w:hAnsi="Times New Roman" w:cs="Times New Roman"/>
        </w:rPr>
      </w:pPr>
    </w:p>
    <w:p w14:paraId="4AFC7375" w14:textId="460EAA54" w:rsidR="00801F67" w:rsidRPr="00A07DFE" w:rsidRDefault="00801F67" w:rsidP="00801F67">
      <w:pPr>
        <w:pStyle w:val="ICFBodyText"/>
        <w:jc w:val="center"/>
        <w:rPr>
          <w:b/>
        </w:rPr>
      </w:pPr>
      <w:bookmarkStart w:id="0" w:name="_Toc468877695"/>
      <w:r w:rsidRPr="00A07DFE">
        <w:rPr>
          <w:b/>
        </w:rPr>
        <w:t>Formative Research for Sepsis and Antibiotic Use Campaigns</w:t>
      </w:r>
    </w:p>
    <w:p w14:paraId="01B1CF2B" w14:textId="77777777" w:rsidR="001617F0" w:rsidRPr="00C21BB5" w:rsidRDefault="001617F0" w:rsidP="001617F0">
      <w:pPr>
        <w:pStyle w:val="ICFBodyText"/>
        <w:jc w:val="center"/>
        <w:rPr>
          <w:rFonts w:cs="Times New Roman"/>
          <w:b/>
        </w:rPr>
      </w:pPr>
      <w:r w:rsidRPr="00C21BB5">
        <w:rPr>
          <w:rFonts w:cs="Times New Roman"/>
          <w:b/>
        </w:rPr>
        <w:t>Generic Information Collection (0920-1154)</w:t>
      </w:r>
    </w:p>
    <w:p w14:paraId="1D655C25" w14:textId="77777777" w:rsidR="001617F0" w:rsidRPr="00C21BB5" w:rsidRDefault="001617F0" w:rsidP="001617F0">
      <w:pPr>
        <w:pStyle w:val="ICFBodyText"/>
        <w:jc w:val="center"/>
        <w:rPr>
          <w:rFonts w:cs="Times New Roman"/>
          <w:b/>
        </w:rPr>
      </w:pPr>
      <w:r w:rsidRPr="00C21BB5">
        <w:rPr>
          <w:rFonts w:cs="Times New Roman"/>
          <w:b/>
        </w:rPr>
        <w:t>Expiration Date 01/31/2020</w:t>
      </w:r>
    </w:p>
    <w:p w14:paraId="43821534" w14:textId="77777777" w:rsidR="001617F0" w:rsidRDefault="001617F0" w:rsidP="00801F67">
      <w:pPr>
        <w:pStyle w:val="ICFBodyText"/>
        <w:jc w:val="center"/>
      </w:pPr>
    </w:p>
    <w:p w14:paraId="707456A9" w14:textId="77777777" w:rsidR="001617F0" w:rsidRDefault="001617F0" w:rsidP="00801F67">
      <w:pPr>
        <w:pStyle w:val="ICFBodyText"/>
        <w:jc w:val="center"/>
      </w:pPr>
    </w:p>
    <w:p w14:paraId="51E61A82" w14:textId="40FD6861" w:rsidR="00801F67" w:rsidRDefault="00801F67" w:rsidP="00801F67">
      <w:pPr>
        <w:pStyle w:val="ICFBodyText"/>
        <w:jc w:val="center"/>
      </w:pPr>
      <w:r>
        <w:t>Supporting Statement Part B</w:t>
      </w:r>
    </w:p>
    <w:p w14:paraId="0393C040" w14:textId="77777777" w:rsidR="00801F67" w:rsidRDefault="00801F67" w:rsidP="00801F67">
      <w:pPr>
        <w:pStyle w:val="ICFBodyText"/>
        <w:jc w:val="center"/>
      </w:pPr>
    </w:p>
    <w:p w14:paraId="5643149E" w14:textId="77777777" w:rsidR="00801F67" w:rsidRDefault="00801F67" w:rsidP="00801F67">
      <w:pPr>
        <w:pStyle w:val="ICFBodyText"/>
        <w:jc w:val="center"/>
      </w:pPr>
    </w:p>
    <w:p w14:paraId="667AC22B" w14:textId="77777777" w:rsidR="00801F67" w:rsidRDefault="00801F67" w:rsidP="00801F67">
      <w:pPr>
        <w:pStyle w:val="ICFBodyText"/>
        <w:jc w:val="center"/>
      </w:pPr>
    </w:p>
    <w:p w14:paraId="158FF342" w14:textId="50D8D81F" w:rsidR="00801F67" w:rsidRDefault="00801F67" w:rsidP="00801F67">
      <w:pPr>
        <w:pStyle w:val="ICFBodyText"/>
        <w:jc w:val="center"/>
        <w:rPr>
          <w:b/>
        </w:rPr>
      </w:pPr>
      <w:bookmarkStart w:id="1" w:name="_Toc468877699"/>
      <w:r w:rsidRPr="00A07DFE">
        <w:rPr>
          <w:b/>
        </w:rPr>
        <w:t xml:space="preserve">Submitted: </w:t>
      </w:r>
      <w:bookmarkEnd w:id="1"/>
      <w:r w:rsidR="003E6B63">
        <w:rPr>
          <w:b/>
        </w:rPr>
        <w:t>January 2</w:t>
      </w:r>
      <w:r w:rsidR="007608A5">
        <w:rPr>
          <w:b/>
        </w:rPr>
        <w:t>7</w:t>
      </w:r>
      <w:r w:rsidRPr="00A07DFE">
        <w:rPr>
          <w:b/>
        </w:rPr>
        <w:t>, 2017</w:t>
      </w:r>
    </w:p>
    <w:p w14:paraId="4E73FAD9" w14:textId="77777777" w:rsidR="00801F67" w:rsidRDefault="00801F67" w:rsidP="00801F67">
      <w:pPr>
        <w:pStyle w:val="ICFBodyText"/>
        <w:jc w:val="center"/>
        <w:rPr>
          <w:b/>
        </w:rPr>
      </w:pPr>
    </w:p>
    <w:p w14:paraId="526B48CC" w14:textId="77777777" w:rsidR="00801F67" w:rsidRDefault="00801F67" w:rsidP="00801F67">
      <w:pPr>
        <w:pStyle w:val="ICFBodyText"/>
        <w:jc w:val="center"/>
        <w:rPr>
          <w:b/>
        </w:rPr>
      </w:pPr>
    </w:p>
    <w:p w14:paraId="78D49E83" w14:textId="77777777" w:rsidR="00801F67" w:rsidRDefault="00801F67" w:rsidP="00801F67">
      <w:pPr>
        <w:pStyle w:val="ICFBodyText"/>
        <w:jc w:val="center"/>
        <w:rPr>
          <w:b/>
        </w:rPr>
      </w:pPr>
    </w:p>
    <w:p w14:paraId="0FD1F0B8" w14:textId="77777777" w:rsidR="00801F67" w:rsidRDefault="00801F67" w:rsidP="00801F67">
      <w:pPr>
        <w:pStyle w:val="ICFBodyText"/>
        <w:jc w:val="center"/>
        <w:rPr>
          <w:b/>
        </w:rPr>
      </w:pPr>
    </w:p>
    <w:p w14:paraId="040C7054" w14:textId="77777777" w:rsidR="00801F67" w:rsidRPr="00A07DFE" w:rsidRDefault="00801F67" w:rsidP="00801F67">
      <w:pPr>
        <w:pStyle w:val="ICFBodyText"/>
        <w:jc w:val="center"/>
        <w:rPr>
          <w:rFonts w:cs="Times New Roman"/>
          <w:b/>
        </w:rPr>
      </w:pPr>
      <w:r w:rsidRPr="00A07DFE">
        <w:rPr>
          <w:rFonts w:cs="Times New Roman"/>
          <w:b/>
        </w:rPr>
        <w:t>Program Official/Project Officer</w:t>
      </w:r>
    </w:p>
    <w:p w14:paraId="6C3E03CE" w14:textId="77777777" w:rsidR="00801F67" w:rsidRPr="00A07DFE" w:rsidRDefault="00801F67" w:rsidP="00801F67">
      <w:pPr>
        <w:pStyle w:val="ICFBodyText"/>
        <w:jc w:val="center"/>
        <w:rPr>
          <w:rFonts w:cs="Times New Roman"/>
        </w:rPr>
      </w:pPr>
      <w:r w:rsidRPr="00A07DFE">
        <w:rPr>
          <w:rFonts w:cs="Times New Roman"/>
        </w:rPr>
        <w:t>Carla Doan, Public Health Advisor</w:t>
      </w:r>
    </w:p>
    <w:p w14:paraId="2224E601" w14:textId="77777777" w:rsidR="00801F67" w:rsidRPr="00A07DFE" w:rsidRDefault="00801F67" w:rsidP="00801F67">
      <w:pPr>
        <w:pStyle w:val="ICFBodyText"/>
        <w:jc w:val="center"/>
        <w:rPr>
          <w:rFonts w:cs="Times New Roman"/>
        </w:rPr>
      </w:pPr>
      <w:r w:rsidRPr="00A07DFE">
        <w:rPr>
          <w:rFonts w:cs="Times New Roman"/>
        </w:rPr>
        <w:t xml:space="preserve">Division of Healthcare Quality Promotion, NCEZID </w:t>
      </w:r>
    </w:p>
    <w:p w14:paraId="7C988B0D" w14:textId="77777777" w:rsidR="00801F67" w:rsidRPr="00A07DFE" w:rsidRDefault="00801F67" w:rsidP="00801F67">
      <w:pPr>
        <w:pStyle w:val="ICFBodyText"/>
        <w:jc w:val="center"/>
        <w:rPr>
          <w:rFonts w:cs="Times New Roman"/>
        </w:rPr>
      </w:pPr>
      <w:r w:rsidRPr="00A07DFE">
        <w:rPr>
          <w:rFonts w:cs="Times New Roman"/>
        </w:rPr>
        <w:t>1600 Clifton Rd, NE, Mailstop A07</w:t>
      </w:r>
    </w:p>
    <w:p w14:paraId="031B7800" w14:textId="77777777" w:rsidR="00801F67" w:rsidRPr="00A07DFE" w:rsidRDefault="00801F67" w:rsidP="00801F67">
      <w:pPr>
        <w:pStyle w:val="ICFBodyText"/>
        <w:jc w:val="center"/>
        <w:rPr>
          <w:rFonts w:cs="Times New Roman"/>
        </w:rPr>
      </w:pPr>
      <w:r w:rsidRPr="00A07DFE">
        <w:rPr>
          <w:rFonts w:cs="Times New Roman"/>
        </w:rPr>
        <w:t>770-488-8354</w:t>
      </w:r>
    </w:p>
    <w:p w14:paraId="4FD7384B" w14:textId="77777777" w:rsidR="00801F67" w:rsidRPr="00AE09A9" w:rsidRDefault="00077ED3" w:rsidP="00801F67">
      <w:pPr>
        <w:pStyle w:val="ICFBodyText"/>
        <w:jc w:val="center"/>
        <w:rPr>
          <w:b/>
        </w:rPr>
      </w:pPr>
      <w:hyperlink r:id="rId13" w:history="1">
        <w:r w:rsidR="00801F67" w:rsidRPr="00A07DFE">
          <w:rPr>
            <w:rStyle w:val="Hyperlink"/>
          </w:rPr>
          <w:t>Gon5@cdc.gov</w:t>
        </w:r>
      </w:hyperlink>
      <w:r w:rsidR="00801F67">
        <w:t xml:space="preserve"> </w:t>
      </w:r>
    </w:p>
    <w:bookmarkEnd w:id="0"/>
    <w:p w14:paraId="6EE9E09E" w14:textId="77777777" w:rsidR="00B63275" w:rsidRPr="002115E2" w:rsidRDefault="00B63275" w:rsidP="00B63275">
      <w:pPr>
        <w:rPr>
          <w:rFonts w:ascii="Times New Roman" w:hAnsi="Times New Roman" w:cs="Times New Roman"/>
          <w:sz w:val="24"/>
          <w:szCs w:val="24"/>
        </w:rPr>
      </w:pPr>
    </w:p>
    <w:p w14:paraId="65E355DB" w14:textId="77777777" w:rsidR="00F725B5" w:rsidRPr="002115E2" w:rsidRDefault="00F725B5" w:rsidP="00BC6896">
      <w:pPr>
        <w:rPr>
          <w:rFonts w:ascii="Times New Roman" w:hAnsi="Times New Roman" w:cs="Times New Roman"/>
        </w:rPr>
      </w:pPr>
    </w:p>
    <w:p w14:paraId="5D61A0A0" w14:textId="77777777" w:rsidR="00F725B5" w:rsidRPr="002115E2" w:rsidRDefault="00F725B5" w:rsidP="00BC6896">
      <w:pPr>
        <w:rPr>
          <w:rFonts w:ascii="Times New Roman" w:hAnsi="Times New Roman" w:cs="Times New Roman"/>
        </w:rPr>
      </w:pPr>
    </w:p>
    <w:p w14:paraId="055C13D0" w14:textId="77777777" w:rsidR="00BC6896" w:rsidRPr="002115E2" w:rsidRDefault="00BC6896" w:rsidP="00BC6896">
      <w:pPr>
        <w:rPr>
          <w:rFonts w:ascii="Times New Roman" w:hAnsi="Times New Roman" w:cs="Times New Roman"/>
          <w:sz w:val="28"/>
        </w:rPr>
      </w:pPr>
      <w:r w:rsidRPr="002115E2">
        <w:rPr>
          <w:rFonts w:ascii="Times New Roman" w:hAnsi="Times New Roman" w:cs="Times New Roman"/>
        </w:rPr>
        <w:br w:type="page"/>
      </w:r>
    </w:p>
    <w:p w14:paraId="3870C571" w14:textId="77777777" w:rsidR="00245F1F" w:rsidRDefault="00245F1F" w:rsidP="00D1065C">
      <w:pPr>
        <w:pStyle w:val="Heading3"/>
        <w:jc w:val="center"/>
        <w:rPr>
          <w:rFonts w:ascii="Times New Roman" w:hAnsi="Times New Roman" w:cs="Times New Roman"/>
        </w:rPr>
      </w:pPr>
      <w:bookmarkStart w:id="2" w:name="_Toc413847909"/>
      <w:bookmarkStart w:id="3" w:name="_Toc472943647"/>
      <w:r w:rsidRPr="002115E2">
        <w:rPr>
          <w:rFonts w:ascii="Times New Roman" w:hAnsi="Times New Roman" w:cs="Times New Roman"/>
        </w:rPr>
        <w:lastRenderedPageBreak/>
        <w:t>Table of Contents</w:t>
      </w:r>
      <w:bookmarkEnd w:id="2"/>
      <w:bookmarkEnd w:id="3"/>
    </w:p>
    <w:p w14:paraId="441061BB" w14:textId="77777777" w:rsidR="001617F0" w:rsidRPr="00D1065C" w:rsidRDefault="001617F0" w:rsidP="00D1065C"/>
    <w:p w14:paraId="6A8D9FB7" w14:textId="671ACA5F" w:rsidR="00790D14" w:rsidRPr="00D1065C" w:rsidRDefault="00245F1F" w:rsidP="00D1065C">
      <w:pPr>
        <w:pStyle w:val="TOC1"/>
        <w:tabs>
          <w:tab w:val="right" w:leader="dot" w:pos="9350"/>
        </w:tabs>
        <w:rPr>
          <w:rFonts w:ascii="Times New Roman" w:hAnsi="Times New Roman" w:cs="Times New Roman"/>
          <w:noProof/>
        </w:rPr>
      </w:pPr>
      <w:r w:rsidRPr="002115E2">
        <w:rPr>
          <w:rFonts w:ascii="Times New Roman" w:hAnsi="Times New Roman" w:cs="Times New Roman"/>
        </w:rPr>
        <w:fldChar w:fldCharType="begin"/>
      </w:r>
      <w:r w:rsidRPr="002115E2">
        <w:rPr>
          <w:rFonts w:ascii="Times New Roman" w:hAnsi="Times New Roman" w:cs="Times New Roman"/>
        </w:rPr>
        <w:instrText xml:space="preserve"> TOC \h \z \u \t "Heading 3,1,Heading 4,2" </w:instrText>
      </w:r>
      <w:r w:rsidRPr="002115E2">
        <w:rPr>
          <w:rFonts w:ascii="Times New Roman" w:hAnsi="Times New Roman" w:cs="Times New Roman"/>
        </w:rPr>
        <w:fldChar w:fldCharType="separate"/>
      </w:r>
      <w:hyperlink w:anchor="_Toc472943649" w:history="1">
        <w:r w:rsidR="00790D14" w:rsidRPr="001A593D">
          <w:rPr>
            <w:rStyle w:val="Hyperlink"/>
            <w:rFonts w:ascii="Times New Roman" w:hAnsi="Times New Roman" w:cs="Times New Roman"/>
            <w:noProof/>
          </w:rPr>
          <w:t>1.Respondent Universe and Sampling Methods</w:t>
        </w:r>
        <w:r w:rsidR="00790D14" w:rsidRPr="00D1065C">
          <w:rPr>
            <w:rFonts w:ascii="Times New Roman" w:hAnsi="Times New Roman" w:cs="Times New Roman"/>
            <w:noProof/>
            <w:webHidden/>
          </w:rPr>
          <w:tab/>
        </w:r>
        <w:r w:rsidR="00790D14" w:rsidRPr="00D1065C">
          <w:rPr>
            <w:rFonts w:ascii="Times New Roman" w:hAnsi="Times New Roman" w:cs="Times New Roman"/>
            <w:noProof/>
            <w:webHidden/>
          </w:rPr>
          <w:fldChar w:fldCharType="begin"/>
        </w:r>
        <w:r w:rsidR="00790D14" w:rsidRPr="00D1065C">
          <w:rPr>
            <w:rFonts w:ascii="Times New Roman" w:hAnsi="Times New Roman" w:cs="Times New Roman"/>
            <w:noProof/>
            <w:webHidden/>
          </w:rPr>
          <w:instrText xml:space="preserve"> PAGEREF _Toc472943649 \h </w:instrText>
        </w:r>
        <w:r w:rsidR="00790D14" w:rsidRPr="00D1065C">
          <w:rPr>
            <w:rFonts w:ascii="Times New Roman" w:hAnsi="Times New Roman" w:cs="Times New Roman"/>
            <w:noProof/>
            <w:webHidden/>
          </w:rPr>
        </w:r>
        <w:r w:rsidR="00790D14" w:rsidRPr="00D1065C">
          <w:rPr>
            <w:rFonts w:ascii="Times New Roman" w:hAnsi="Times New Roman" w:cs="Times New Roman"/>
            <w:noProof/>
            <w:webHidden/>
          </w:rPr>
          <w:fldChar w:fldCharType="separate"/>
        </w:r>
        <w:r w:rsidR="001617F0">
          <w:rPr>
            <w:rFonts w:ascii="Times New Roman" w:hAnsi="Times New Roman" w:cs="Times New Roman"/>
            <w:noProof/>
            <w:webHidden/>
          </w:rPr>
          <w:t>3</w:t>
        </w:r>
        <w:r w:rsidR="00790D14" w:rsidRPr="00D1065C">
          <w:rPr>
            <w:rFonts w:ascii="Times New Roman" w:hAnsi="Times New Roman" w:cs="Times New Roman"/>
            <w:noProof/>
            <w:webHidden/>
          </w:rPr>
          <w:fldChar w:fldCharType="end"/>
        </w:r>
      </w:hyperlink>
    </w:p>
    <w:p w14:paraId="5635245E" w14:textId="09D27BE0" w:rsidR="00790D14" w:rsidRPr="00D1065C" w:rsidRDefault="001800A9" w:rsidP="001A593D">
      <w:pPr>
        <w:pStyle w:val="TOC2"/>
        <w:tabs>
          <w:tab w:val="clear" w:pos="660"/>
          <w:tab w:val="left" w:pos="180"/>
        </w:tabs>
        <w:ind w:hanging="630"/>
        <w:rPr>
          <w:rFonts w:ascii="Times New Roman" w:hAnsi="Times New Roman" w:cs="Times New Roman"/>
          <w:noProof/>
        </w:rPr>
      </w:pPr>
      <w:hyperlink w:anchor="_Toc472943650" w:history="1">
        <w:r w:rsidR="00790D14" w:rsidRPr="001A593D">
          <w:rPr>
            <w:rStyle w:val="Hyperlink"/>
            <w:rFonts w:ascii="Times New Roman" w:hAnsi="Times New Roman" w:cs="Times New Roman"/>
            <w:noProof/>
          </w:rPr>
          <w:t>2.</w:t>
        </w:r>
        <w:r w:rsidR="00790D14" w:rsidRPr="00D1065C">
          <w:rPr>
            <w:rFonts w:ascii="Times New Roman" w:hAnsi="Times New Roman" w:cs="Times New Roman"/>
            <w:noProof/>
          </w:rPr>
          <w:tab/>
        </w:r>
        <w:r w:rsidR="00790D14" w:rsidRPr="001A593D">
          <w:rPr>
            <w:rStyle w:val="Hyperlink"/>
            <w:rFonts w:ascii="Times New Roman" w:hAnsi="Times New Roman" w:cs="Times New Roman"/>
            <w:noProof/>
          </w:rPr>
          <w:t>Information Collection Procedures</w:t>
        </w:r>
        <w:r w:rsidR="00790D14" w:rsidRPr="00D1065C">
          <w:rPr>
            <w:rFonts w:ascii="Times New Roman" w:hAnsi="Times New Roman" w:cs="Times New Roman"/>
            <w:noProof/>
            <w:webHidden/>
          </w:rPr>
          <w:tab/>
        </w:r>
        <w:r w:rsidR="00790D14" w:rsidRPr="00D1065C">
          <w:rPr>
            <w:rFonts w:ascii="Times New Roman" w:hAnsi="Times New Roman" w:cs="Times New Roman"/>
            <w:noProof/>
            <w:webHidden/>
          </w:rPr>
          <w:fldChar w:fldCharType="begin"/>
        </w:r>
        <w:r w:rsidR="00790D14" w:rsidRPr="00D1065C">
          <w:rPr>
            <w:rFonts w:ascii="Times New Roman" w:hAnsi="Times New Roman" w:cs="Times New Roman"/>
            <w:noProof/>
            <w:webHidden/>
          </w:rPr>
          <w:instrText xml:space="preserve"> PAGEREF _Toc472943650 \h </w:instrText>
        </w:r>
        <w:r w:rsidR="00790D14" w:rsidRPr="00D1065C">
          <w:rPr>
            <w:rFonts w:ascii="Times New Roman" w:hAnsi="Times New Roman" w:cs="Times New Roman"/>
            <w:noProof/>
            <w:webHidden/>
          </w:rPr>
        </w:r>
        <w:r w:rsidR="00790D14" w:rsidRPr="00D1065C">
          <w:rPr>
            <w:rFonts w:ascii="Times New Roman" w:hAnsi="Times New Roman" w:cs="Times New Roman"/>
            <w:noProof/>
            <w:webHidden/>
          </w:rPr>
          <w:fldChar w:fldCharType="separate"/>
        </w:r>
        <w:r w:rsidR="001617F0">
          <w:rPr>
            <w:rFonts w:ascii="Times New Roman" w:hAnsi="Times New Roman" w:cs="Times New Roman"/>
            <w:noProof/>
            <w:webHidden/>
          </w:rPr>
          <w:t>5</w:t>
        </w:r>
        <w:r w:rsidR="00790D14" w:rsidRPr="00D1065C">
          <w:rPr>
            <w:rFonts w:ascii="Times New Roman" w:hAnsi="Times New Roman" w:cs="Times New Roman"/>
            <w:noProof/>
            <w:webHidden/>
          </w:rPr>
          <w:fldChar w:fldCharType="end"/>
        </w:r>
      </w:hyperlink>
    </w:p>
    <w:p w14:paraId="4FC111C6" w14:textId="3B02EE66" w:rsidR="00790D14" w:rsidRPr="00D1065C" w:rsidRDefault="007608A5" w:rsidP="001A593D">
      <w:pPr>
        <w:pStyle w:val="TOC2"/>
        <w:tabs>
          <w:tab w:val="clear" w:pos="660"/>
          <w:tab w:val="left" w:pos="180"/>
        </w:tabs>
        <w:ind w:hanging="630"/>
        <w:rPr>
          <w:rFonts w:ascii="Times New Roman" w:hAnsi="Times New Roman" w:cs="Times New Roman"/>
          <w:noProof/>
        </w:rPr>
      </w:pPr>
      <w:hyperlink w:anchor="_Toc472943651" w:history="1">
        <w:r w:rsidR="00790D14" w:rsidRPr="001A593D">
          <w:rPr>
            <w:rStyle w:val="Hyperlink"/>
            <w:rFonts w:ascii="Times New Roman" w:hAnsi="Times New Roman" w:cs="Times New Roman"/>
            <w:noProof/>
          </w:rPr>
          <w:t>3.</w:t>
        </w:r>
        <w:r w:rsidR="00790D14" w:rsidRPr="00D1065C">
          <w:rPr>
            <w:rFonts w:ascii="Times New Roman" w:hAnsi="Times New Roman" w:cs="Times New Roman"/>
            <w:noProof/>
          </w:rPr>
          <w:tab/>
        </w:r>
        <w:r w:rsidR="00790D14" w:rsidRPr="001A593D">
          <w:rPr>
            <w:rStyle w:val="Hyperlink"/>
            <w:rFonts w:ascii="Times New Roman" w:hAnsi="Times New Roman" w:cs="Times New Roman"/>
            <w:noProof/>
          </w:rPr>
          <w:t>Methods to Maximize Response Rates</w:t>
        </w:r>
        <w:r w:rsidR="00790D14" w:rsidRPr="00D1065C">
          <w:rPr>
            <w:rFonts w:ascii="Times New Roman" w:hAnsi="Times New Roman" w:cs="Times New Roman"/>
            <w:noProof/>
            <w:webHidden/>
          </w:rPr>
          <w:tab/>
        </w:r>
        <w:r w:rsidR="00790D14" w:rsidRPr="00D1065C">
          <w:rPr>
            <w:rFonts w:ascii="Times New Roman" w:hAnsi="Times New Roman" w:cs="Times New Roman"/>
            <w:noProof/>
            <w:webHidden/>
          </w:rPr>
          <w:fldChar w:fldCharType="begin"/>
        </w:r>
        <w:r w:rsidR="00790D14" w:rsidRPr="00D1065C">
          <w:rPr>
            <w:rFonts w:ascii="Times New Roman" w:hAnsi="Times New Roman" w:cs="Times New Roman"/>
            <w:noProof/>
            <w:webHidden/>
          </w:rPr>
          <w:instrText xml:space="preserve"> PAGEREF _Toc472943651 \h </w:instrText>
        </w:r>
        <w:r w:rsidR="00790D14" w:rsidRPr="00D1065C">
          <w:rPr>
            <w:rFonts w:ascii="Times New Roman" w:hAnsi="Times New Roman" w:cs="Times New Roman"/>
            <w:noProof/>
            <w:webHidden/>
          </w:rPr>
        </w:r>
        <w:r w:rsidR="00790D14" w:rsidRPr="00D1065C">
          <w:rPr>
            <w:rFonts w:ascii="Times New Roman" w:hAnsi="Times New Roman" w:cs="Times New Roman"/>
            <w:noProof/>
            <w:webHidden/>
          </w:rPr>
          <w:fldChar w:fldCharType="separate"/>
        </w:r>
        <w:r w:rsidR="001617F0">
          <w:rPr>
            <w:rFonts w:ascii="Times New Roman" w:hAnsi="Times New Roman" w:cs="Times New Roman"/>
            <w:noProof/>
            <w:webHidden/>
          </w:rPr>
          <w:t>6</w:t>
        </w:r>
        <w:r w:rsidR="00790D14" w:rsidRPr="00D1065C">
          <w:rPr>
            <w:rFonts w:ascii="Times New Roman" w:hAnsi="Times New Roman" w:cs="Times New Roman"/>
            <w:noProof/>
            <w:webHidden/>
          </w:rPr>
          <w:fldChar w:fldCharType="end"/>
        </w:r>
      </w:hyperlink>
    </w:p>
    <w:p w14:paraId="3CD3BAC9" w14:textId="335C5085" w:rsidR="00790D14" w:rsidRPr="00D1065C" w:rsidRDefault="007608A5" w:rsidP="001A593D">
      <w:pPr>
        <w:pStyle w:val="TOC2"/>
        <w:tabs>
          <w:tab w:val="clear" w:pos="660"/>
          <w:tab w:val="left" w:pos="180"/>
        </w:tabs>
        <w:ind w:hanging="630"/>
        <w:rPr>
          <w:rFonts w:ascii="Times New Roman" w:hAnsi="Times New Roman" w:cs="Times New Roman"/>
          <w:noProof/>
        </w:rPr>
      </w:pPr>
      <w:hyperlink w:anchor="_Toc472943652" w:history="1">
        <w:r w:rsidR="00790D14" w:rsidRPr="001A593D">
          <w:rPr>
            <w:rStyle w:val="Hyperlink"/>
            <w:rFonts w:ascii="Times New Roman" w:hAnsi="Times New Roman" w:cs="Times New Roman"/>
            <w:noProof/>
          </w:rPr>
          <w:t>4.</w:t>
        </w:r>
        <w:r w:rsidR="00790D14" w:rsidRPr="00D1065C">
          <w:rPr>
            <w:rFonts w:ascii="Times New Roman" w:hAnsi="Times New Roman" w:cs="Times New Roman"/>
            <w:noProof/>
          </w:rPr>
          <w:tab/>
        </w:r>
        <w:r w:rsidR="00790D14" w:rsidRPr="001A593D">
          <w:rPr>
            <w:rStyle w:val="Hyperlink"/>
            <w:rFonts w:ascii="Times New Roman" w:hAnsi="Times New Roman" w:cs="Times New Roman"/>
            <w:noProof/>
          </w:rPr>
          <w:t>Test of Procedures or Methods to be Undertaken</w:t>
        </w:r>
        <w:r w:rsidR="00790D14" w:rsidRPr="00D1065C">
          <w:rPr>
            <w:rFonts w:ascii="Times New Roman" w:hAnsi="Times New Roman" w:cs="Times New Roman"/>
            <w:noProof/>
            <w:webHidden/>
          </w:rPr>
          <w:tab/>
        </w:r>
        <w:r w:rsidR="00790D14" w:rsidRPr="00D1065C">
          <w:rPr>
            <w:rFonts w:ascii="Times New Roman" w:hAnsi="Times New Roman" w:cs="Times New Roman"/>
            <w:noProof/>
            <w:webHidden/>
          </w:rPr>
          <w:fldChar w:fldCharType="begin"/>
        </w:r>
        <w:r w:rsidR="00790D14" w:rsidRPr="00D1065C">
          <w:rPr>
            <w:rFonts w:ascii="Times New Roman" w:hAnsi="Times New Roman" w:cs="Times New Roman"/>
            <w:noProof/>
            <w:webHidden/>
          </w:rPr>
          <w:instrText xml:space="preserve"> PAGEREF _Toc472943652 \h </w:instrText>
        </w:r>
        <w:r w:rsidR="00790D14" w:rsidRPr="00D1065C">
          <w:rPr>
            <w:rFonts w:ascii="Times New Roman" w:hAnsi="Times New Roman" w:cs="Times New Roman"/>
            <w:noProof/>
            <w:webHidden/>
          </w:rPr>
        </w:r>
        <w:r w:rsidR="00790D14" w:rsidRPr="00D1065C">
          <w:rPr>
            <w:rFonts w:ascii="Times New Roman" w:hAnsi="Times New Roman" w:cs="Times New Roman"/>
            <w:noProof/>
            <w:webHidden/>
          </w:rPr>
          <w:fldChar w:fldCharType="separate"/>
        </w:r>
        <w:r w:rsidR="001617F0">
          <w:rPr>
            <w:rFonts w:ascii="Times New Roman" w:hAnsi="Times New Roman" w:cs="Times New Roman"/>
            <w:noProof/>
            <w:webHidden/>
          </w:rPr>
          <w:t>6</w:t>
        </w:r>
        <w:r w:rsidR="00790D14" w:rsidRPr="00D1065C">
          <w:rPr>
            <w:rFonts w:ascii="Times New Roman" w:hAnsi="Times New Roman" w:cs="Times New Roman"/>
            <w:noProof/>
            <w:webHidden/>
          </w:rPr>
          <w:fldChar w:fldCharType="end"/>
        </w:r>
      </w:hyperlink>
    </w:p>
    <w:p w14:paraId="21B19367" w14:textId="7AC0F008" w:rsidR="00790D14" w:rsidRDefault="007608A5" w:rsidP="001A593D">
      <w:pPr>
        <w:pStyle w:val="TOC2"/>
        <w:tabs>
          <w:tab w:val="clear" w:pos="660"/>
          <w:tab w:val="left" w:pos="180"/>
        </w:tabs>
        <w:ind w:hanging="630"/>
        <w:rPr>
          <w:rFonts w:asciiTheme="minorHAnsi" w:hAnsiTheme="minorHAnsi"/>
          <w:noProof/>
        </w:rPr>
      </w:pPr>
      <w:hyperlink w:anchor="_Toc472943653" w:history="1">
        <w:r w:rsidR="00790D14" w:rsidRPr="001A593D">
          <w:rPr>
            <w:rStyle w:val="Hyperlink"/>
            <w:rFonts w:ascii="Times New Roman" w:hAnsi="Times New Roman" w:cs="Times New Roman"/>
            <w:noProof/>
          </w:rPr>
          <w:t>5.</w:t>
        </w:r>
        <w:r w:rsidR="00790D14" w:rsidRPr="00D1065C">
          <w:rPr>
            <w:rFonts w:ascii="Times New Roman" w:hAnsi="Times New Roman" w:cs="Times New Roman"/>
            <w:noProof/>
          </w:rPr>
          <w:tab/>
        </w:r>
        <w:r w:rsidR="00790D14" w:rsidRPr="001A593D">
          <w:rPr>
            <w:rStyle w:val="Hyperlink"/>
            <w:rFonts w:ascii="Times New Roman" w:hAnsi="Times New Roman" w:cs="Times New Roman"/>
            <w:noProof/>
          </w:rPr>
          <w:t>Individuals Consulted on Statistical Aspects and Individuals Collecting and/or Analyzing Data</w:t>
        </w:r>
        <w:r w:rsidR="00790D14" w:rsidRPr="00D1065C">
          <w:rPr>
            <w:rFonts w:ascii="Times New Roman" w:hAnsi="Times New Roman" w:cs="Times New Roman"/>
            <w:noProof/>
            <w:webHidden/>
          </w:rPr>
          <w:tab/>
        </w:r>
        <w:r w:rsidR="00790D14" w:rsidRPr="00D1065C">
          <w:rPr>
            <w:rFonts w:ascii="Times New Roman" w:hAnsi="Times New Roman" w:cs="Times New Roman"/>
            <w:noProof/>
            <w:webHidden/>
          </w:rPr>
          <w:fldChar w:fldCharType="begin"/>
        </w:r>
        <w:r w:rsidR="00790D14" w:rsidRPr="00D1065C">
          <w:rPr>
            <w:rFonts w:ascii="Times New Roman" w:hAnsi="Times New Roman" w:cs="Times New Roman"/>
            <w:noProof/>
            <w:webHidden/>
          </w:rPr>
          <w:instrText xml:space="preserve"> PAGEREF _Toc472943653 \h </w:instrText>
        </w:r>
        <w:r w:rsidR="00790D14" w:rsidRPr="00D1065C">
          <w:rPr>
            <w:rFonts w:ascii="Times New Roman" w:hAnsi="Times New Roman" w:cs="Times New Roman"/>
            <w:noProof/>
            <w:webHidden/>
          </w:rPr>
        </w:r>
        <w:r w:rsidR="00790D14" w:rsidRPr="00D1065C">
          <w:rPr>
            <w:rFonts w:ascii="Times New Roman" w:hAnsi="Times New Roman" w:cs="Times New Roman"/>
            <w:noProof/>
            <w:webHidden/>
          </w:rPr>
          <w:fldChar w:fldCharType="separate"/>
        </w:r>
        <w:r w:rsidR="001617F0">
          <w:rPr>
            <w:rFonts w:ascii="Times New Roman" w:hAnsi="Times New Roman" w:cs="Times New Roman"/>
            <w:noProof/>
            <w:webHidden/>
          </w:rPr>
          <w:t>6</w:t>
        </w:r>
        <w:r w:rsidR="00790D14" w:rsidRPr="00D1065C">
          <w:rPr>
            <w:rFonts w:ascii="Times New Roman" w:hAnsi="Times New Roman" w:cs="Times New Roman"/>
            <w:noProof/>
            <w:webHidden/>
          </w:rPr>
          <w:fldChar w:fldCharType="end"/>
        </w:r>
      </w:hyperlink>
    </w:p>
    <w:p w14:paraId="57D493C1" w14:textId="77777777" w:rsidR="00245F1F" w:rsidRPr="002115E2" w:rsidRDefault="00245F1F" w:rsidP="00BC6896">
      <w:pPr>
        <w:pStyle w:val="Heading3"/>
        <w:rPr>
          <w:rFonts w:ascii="Times New Roman" w:hAnsi="Times New Roman" w:cs="Times New Roman"/>
        </w:rPr>
      </w:pPr>
      <w:r w:rsidRPr="002115E2">
        <w:rPr>
          <w:rFonts w:ascii="Times New Roman" w:hAnsi="Times New Roman" w:cs="Times New Roman"/>
        </w:rPr>
        <w:fldChar w:fldCharType="end"/>
      </w:r>
    </w:p>
    <w:p w14:paraId="11353AE4" w14:textId="7958D4AF" w:rsidR="00245F1F" w:rsidRPr="002115E2" w:rsidRDefault="00A23C0B" w:rsidP="00B63275">
      <w:pPr>
        <w:spacing w:after="200"/>
        <w:ind w:left="0"/>
        <w:rPr>
          <w:rFonts w:ascii="Times New Roman" w:hAnsi="Times New Roman" w:cs="Times New Roman"/>
          <w:b/>
          <w:sz w:val="28"/>
        </w:rPr>
      </w:pPr>
      <w:r w:rsidRPr="002115E2">
        <w:rPr>
          <w:rFonts w:ascii="Times New Roman" w:hAnsi="Times New Roman" w:cs="Times New Roman"/>
        </w:rPr>
        <w:t xml:space="preserve"> </w:t>
      </w:r>
      <w:r w:rsidR="00245F1F" w:rsidRPr="002115E2">
        <w:rPr>
          <w:rFonts w:ascii="Times New Roman" w:hAnsi="Times New Roman" w:cs="Times New Roman"/>
        </w:rPr>
        <w:br w:type="page"/>
      </w:r>
    </w:p>
    <w:p w14:paraId="42210642" w14:textId="77777777" w:rsidR="00B12F51" w:rsidRPr="00F86852" w:rsidRDefault="00B12F51" w:rsidP="00BC6896">
      <w:pPr>
        <w:pStyle w:val="Heading3"/>
        <w:rPr>
          <w:rFonts w:ascii="Times New Roman" w:hAnsi="Times New Roman" w:cs="Times New Roman"/>
        </w:rPr>
      </w:pPr>
      <w:bookmarkStart w:id="4" w:name="_Toc472943648"/>
      <w:r w:rsidRPr="00F86852">
        <w:rPr>
          <w:rFonts w:ascii="Times New Roman" w:hAnsi="Times New Roman" w:cs="Times New Roman"/>
        </w:rPr>
        <w:lastRenderedPageBreak/>
        <w:t xml:space="preserve">Section B – </w:t>
      </w:r>
      <w:r w:rsidR="00C84DC3" w:rsidRPr="00F86852">
        <w:rPr>
          <w:rFonts w:ascii="Times New Roman" w:hAnsi="Times New Roman" w:cs="Times New Roman"/>
        </w:rPr>
        <w:t>Information</w:t>
      </w:r>
      <w:r w:rsidR="00287E2F" w:rsidRPr="00F86852">
        <w:rPr>
          <w:rFonts w:ascii="Times New Roman" w:hAnsi="Times New Roman" w:cs="Times New Roman"/>
        </w:rPr>
        <w:t xml:space="preserve"> Collection Procedures</w:t>
      </w:r>
      <w:bookmarkEnd w:id="4"/>
    </w:p>
    <w:p w14:paraId="65238517" w14:textId="77777777" w:rsidR="00F86852" w:rsidRPr="00F86852" w:rsidRDefault="00F86852" w:rsidP="00F86852">
      <w:pPr>
        <w:ind w:left="0"/>
        <w:rPr>
          <w:rFonts w:ascii="Times New Roman" w:hAnsi="Times New Roman" w:cs="Times New Roman"/>
        </w:rPr>
      </w:pPr>
    </w:p>
    <w:p w14:paraId="07F9EC1E" w14:textId="77777777" w:rsidR="00287E2F" w:rsidRPr="002115E2" w:rsidRDefault="00287E2F" w:rsidP="00BC6896">
      <w:pPr>
        <w:rPr>
          <w:rFonts w:ascii="Times New Roman" w:hAnsi="Times New Roman" w:cs="Times New Roman"/>
        </w:rPr>
      </w:pPr>
    </w:p>
    <w:p w14:paraId="19E40215" w14:textId="77777777" w:rsidR="00A75D1C" w:rsidRPr="002115E2" w:rsidRDefault="009759F3" w:rsidP="00991BF9">
      <w:pPr>
        <w:pStyle w:val="Heading4"/>
        <w:rPr>
          <w:rFonts w:ascii="Times New Roman" w:hAnsi="Times New Roman" w:cs="Times New Roman"/>
        </w:rPr>
      </w:pPr>
      <w:bookmarkStart w:id="5" w:name="_Toc472943649"/>
      <w:r w:rsidRPr="002115E2">
        <w:rPr>
          <w:rFonts w:ascii="Times New Roman" w:hAnsi="Times New Roman" w:cs="Times New Roman"/>
        </w:rPr>
        <w:t>Respondent Universe and Sampling Methods</w:t>
      </w:r>
      <w:bookmarkEnd w:id="5"/>
      <w:r w:rsidR="00A305CE" w:rsidRPr="002115E2">
        <w:rPr>
          <w:rFonts w:ascii="Times New Roman" w:hAnsi="Times New Roman" w:cs="Times New Roman"/>
        </w:rPr>
        <w:t xml:space="preserve"> </w:t>
      </w:r>
    </w:p>
    <w:p w14:paraId="411AAD6E" w14:textId="313E2AA8" w:rsidR="002115E2" w:rsidRPr="002115E2" w:rsidRDefault="00C07E9E" w:rsidP="00D1065C">
      <w:pPr>
        <w:ind w:left="0"/>
        <w:jc w:val="both"/>
        <w:rPr>
          <w:rFonts w:ascii="Times New Roman" w:hAnsi="Times New Roman" w:cs="Times New Roman"/>
        </w:rPr>
      </w:pPr>
      <w:r>
        <w:rPr>
          <w:rFonts w:ascii="Times New Roman" w:hAnsi="Times New Roman" w:cs="Times New Roman"/>
        </w:rPr>
        <w:t>Exhibit</w:t>
      </w:r>
      <w:r w:rsidR="001D4996">
        <w:rPr>
          <w:rFonts w:ascii="Times New Roman" w:hAnsi="Times New Roman" w:cs="Times New Roman"/>
        </w:rPr>
        <w:t>s</w:t>
      </w:r>
      <w:r>
        <w:rPr>
          <w:rFonts w:ascii="Times New Roman" w:hAnsi="Times New Roman" w:cs="Times New Roman"/>
        </w:rPr>
        <w:t xml:space="preserve"> 1</w:t>
      </w:r>
      <w:r w:rsidR="00720E37">
        <w:rPr>
          <w:rFonts w:ascii="Times New Roman" w:hAnsi="Times New Roman" w:cs="Times New Roman"/>
        </w:rPr>
        <w:t xml:space="preserve"> and </w:t>
      </w:r>
      <w:r w:rsidRPr="00C07E9E">
        <w:rPr>
          <w:rFonts w:ascii="Times New Roman" w:hAnsi="Times New Roman" w:cs="Times New Roman"/>
        </w:rPr>
        <w:t>2</w:t>
      </w:r>
      <w:r w:rsidR="002115E2" w:rsidRPr="00C07E9E">
        <w:rPr>
          <w:rFonts w:ascii="Times New Roman" w:hAnsi="Times New Roman" w:cs="Times New Roman"/>
        </w:rPr>
        <w:t xml:space="preserve"> di</w:t>
      </w:r>
      <w:r>
        <w:rPr>
          <w:rFonts w:ascii="Times New Roman" w:hAnsi="Times New Roman" w:cs="Times New Roman"/>
        </w:rPr>
        <w:t>splay</w:t>
      </w:r>
      <w:r w:rsidR="002115E2" w:rsidRPr="003F01AC">
        <w:rPr>
          <w:rFonts w:ascii="Times New Roman" w:hAnsi="Times New Roman" w:cs="Times New Roman"/>
        </w:rPr>
        <w:t xml:space="preserve"> the expected number of </w:t>
      </w:r>
      <w:r w:rsidR="00720E37">
        <w:rPr>
          <w:rFonts w:ascii="Times New Roman" w:hAnsi="Times New Roman" w:cs="Times New Roman"/>
        </w:rPr>
        <w:t xml:space="preserve">consumer and </w:t>
      </w:r>
      <w:r w:rsidR="00A83448">
        <w:rPr>
          <w:rFonts w:ascii="Times New Roman" w:hAnsi="Times New Roman" w:cs="Times New Roman"/>
        </w:rPr>
        <w:t>healthcare provider (</w:t>
      </w:r>
      <w:r w:rsidR="00720E37">
        <w:rPr>
          <w:rFonts w:ascii="Times New Roman" w:hAnsi="Times New Roman" w:cs="Times New Roman"/>
        </w:rPr>
        <w:t>HCP</w:t>
      </w:r>
      <w:r w:rsidR="00A83448">
        <w:rPr>
          <w:rFonts w:ascii="Times New Roman" w:hAnsi="Times New Roman" w:cs="Times New Roman"/>
        </w:rPr>
        <w:t>)</w:t>
      </w:r>
      <w:r w:rsidR="00720E37">
        <w:rPr>
          <w:rFonts w:ascii="Times New Roman" w:hAnsi="Times New Roman" w:cs="Times New Roman"/>
        </w:rPr>
        <w:t xml:space="preserve"> </w:t>
      </w:r>
      <w:r w:rsidR="002115E2" w:rsidRPr="003F01AC">
        <w:rPr>
          <w:rFonts w:ascii="Times New Roman" w:hAnsi="Times New Roman" w:cs="Times New Roman"/>
        </w:rPr>
        <w:t xml:space="preserve">respondents to </w:t>
      </w:r>
      <w:r w:rsidR="00A83448">
        <w:rPr>
          <w:rFonts w:ascii="Times New Roman" w:hAnsi="Times New Roman" w:cs="Times New Roman"/>
        </w:rPr>
        <w:t xml:space="preserve">participate in </w:t>
      </w:r>
      <w:r w:rsidR="00720E37">
        <w:rPr>
          <w:rFonts w:ascii="Times New Roman" w:hAnsi="Times New Roman" w:cs="Times New Roman"/>
        </w:rPr>
        <w:t xml:space="preserve">the </w:t>
      </w:r>
      <w:r w:rsidR="00D01FAB">
        <w:rPr>
          <w:rFonts w:ascii="Times New Roman" w:hAnsi="Times New Roman" w:cs="Times New Roman"/>
        </w:rPr>
        <w:t>s</w:t>
      </w:r>
      <w:r w:rsidR="00720E37">
        <w:rPr>
          <w:rFonts w:ascii="Times New Roman" w:hAnsi="Times New Roman" w:cs="Times New Roman"/>
        </w:rPr>
        <w:t>epsis campaign</w:t>
      </w:r>
      <w:r w:rsidR="002A7EB7">
        <w:rPr>
          <w:rFonts w:ascii="Times New Roman" w:hAnsi="Times New Roman" w:cs="Times New Roman"/>
        </w:rPr>
        <w:t xml:space="preserve"> formative research</w:t>
      </w:r>
      <w:r w:rsidR="00720E37">
        <w:rPr>
          <w:rFonts w:ascii="Times New Roman" w:hAnsi="Times New Roman" w:cs="Times New Roman"/>
        </w:rPr>
        <w:t xml:space="preserve">. </w:t>
      </w:r>
      <w:r w:rsidR="002A7EB7">
        <w:rPr>
          <w:rFonts w:ascii="Times New Roman" w:hAnsi="Times New Roman" w:cs="Times New Roman"/>
        </w:rPr>
        <w:t>Exhibits 3 and 4 display the number of respondents</w:t>
      </w:r>
      <w:r w:rsidR="00D01FAB">
        <w:rPr>
          <w:rFonts w:ascii="Times New Roman" w:hAnsi="Times New Roman" w:cs="Times New Roman"/>
        </w:rPr>
        <w:t xml:space="preserve"> to participate in the antibiotic use c</w:t>
      </w:r>
      <w:r w:rsidR="002A7EB7">
        <w:rPr>
          <w:rFonts w:ascii="Times New Roman" w:hAnsi="Times New Roman" w:cs="Times New Roman"/>
        </w:rPr>
        <w:t xml:space="preserve">ampaign formative research. </w:t>
      </w:r>
      <w:r w:rsidR="00720E37">
        <w:rPr>
          <w:rFonts w:ascii="Times New Roman" w:hAnsi="Times New Roman" w:cs="Times New Roman"/>
        </w:rPr>
        <w:t xml:space="preserve">A total of 63 participants will be recruited for </w:t>
      </w:r>
      <w:r w:rsidR="001D4996">
        <w:rPr>
          <w:rFonts w:ascii="Times New Roman" w:hAnsi="Times New Roman" w:cs="Times New Roman"/>
        </w:rPr>
        <w:t xml:space="preserve">the sepsis formative research and 60 </w:t>
      </w:r>
      <w:r w:rsidR="003E1BF5">
        <w:rPr>
          <w:rFonts w:ascii="Times New Roman" w:hAnsi="Times New Roman" w:cs="Times New Roman"/>
        </w:rPr>
        <w:t xml:space="preserve">participants </w:t>
      </w:r>
      <w:r w:rsidR="001D4996">
        <w:rPr>
          <w:rFonts w:ascii="Times New Roman" w:hAnsi="Times New Roman" w:cs="Times New Roman"/>
        </w:rPr>
        <w:t xml:space="preserve">for </w:t>
      </w:r>
      <w:r w:rsidR="003E1BF5">
        <w:rPr>
          <w:rFonts w:ascii="Times New Roman" w:hAnsi="Times New Roman" w:cs="Times New Roman"/>
        </w:rPr>
        <w:t xml:space="preserve">the </w:t>
      </w:r>
      <w:r w:rsidR="001D4996">
        <w:rPr>
          <w:rFonts w:ascii="Times New Roman" w:hAnsi="Times New Roman" w:cs="Times New Roman"/>
        </w:rPr>
        <w:t>antibiotic use</w:t>
      </w:r>
      <w:r w:rsidR="003E1BF5">
        <w:rPr>
          <w:rFonts w:ascii="Times New Roman" w:hAnsi="Times New Roman" w:cs="Times New Roman"/>
        </w:rPr>
        <w:t xml:space="preserve"> formative research</w:t>
      </w:r>
      <w:r w:rsidR="00720E37">
        <w:rPr>
          <w:rFonts w:ascii="Times New Roman" w:hAnsi="Times New Roman" w:cs="Times New Roman"/>
        </w:rPr>
        <w:t>.</w:t>
      </w:r>
      <w:r w:rsidR="00560411">
        <w:rPr>
          <w:rFonts w:ascii="Times New Roman" w:hAnsi="Times New Roman" w:cs="Times New Roman"/>
        </w:rPr>
        <w:t xml:space="preserve"> We will conduct focus groups (FGs) with consumer</w:t>
      </w:r>
      <w:r w:rsidR="00C52961">
        <w:rPr>
          <w:rFonts w:ascii="Times New Roman" w:hAnsi="Times New Roman" w:cs="Times New Roman"/>
        </w:rPr>
        <w:t>s</w:t>
      </w:r>
      <w:r w:rsidR="00560411">
        <w:rPr>
          <w:rFonts w:ascii="Times New Roman" w:hAnsi="Times New Roman" w:cs="Times New Roman"/>
        </w:rPr>
        <w:t xml:space="preserve"> and individual in-depth interviews (IDIs) with HCPs.</w:t>
      </w:r>
    </w:p>
    <w:p w14:paraId="143001F7" w14:textId="77777777" w:rsidR="00133DA3" w:rsidRPr="002115E2" w:rsidRDefault="00133DA3" w:rsidP="00ED626D">
      <w:pPr>
        <w:ind w:left="0"/>
        <w:rPr>
          <w:rFonts w:ascii="Times New Roman" w:hAnsi="Times New Roman" w:cs="Times New Roman"/>
        </w:rPr>
      </w:pPr>
    </w:p>
    <w:p w14:paraId="2DCD0290" w14:textId="49A5ECE6" w:rsidR="002115E2" w:rsidRPr="002115E2" w:rsidRDefault="00C07E9E" w:rsidP="002115E2">
      <w:pPr>
        <w:ind w:left="0"/>
        <w:rPr>
          <w:rFonts w:ascii="Times New Roman" w:hAnsi="Times New Roman" w:cs="Times New Roman"/>
          <w:b/>
        </w:rPr>
      </w:pPr>
      <w:r>
        <w:rPr>
          <w:rFonts w:ascii="Times New Roman" w:hAnsi="Times New Roman" w:cs="Times New Roman"/>
          <w:b/>
        </w:rPr>
        <w:t>Exhibit 1</w:t>
      </w:r>
      <w:r w:rsidR="002115E2" w:rsidRPr="002115E2">
        <w:rPr>
          <w:rFonts w:ascii="Times New Roman" w:hAnsi="Times New Roman" w:cs="Times New Roman"/>
          <w:b/>
        </w:rPr>
        <w:t xml:space="preserve">.  Number of </w:t>
      </w:r>
      <w:r w:rsidR="00720E37">
        <w:rPr>
          <w:rFonts w:ascii="Times New Roman" w:hAnsi="Times New Roman" w:cs="Times New Roman"/>
          <w:b/>
        </w:rPr>
        <w:t xml:space="preserve">Consumer </w:t>
      </w:r>
      <w:r w:rsidR="002115E2" w:rsidRPr="002115E2">
        <w:rPr>
          <w:rFonts w:ascii="Times New Roman" w:hAnsi="Times New Roman" w:cs="Times New Roman"/>
          <w:b/>
        </w:rPr>
        <w:t>Participants for Sepsis Campaign Data Collection</w:t>
      </w:r>
    </w:p>
    <w:tbl>
      <w:tblPr>
        <w:tblStyle w:val="TableGrid1"/>
        <w:tblW w:w="4955" w:type="pct"/>
        <w:tblLayout w:type="fixed"/>
        <w:tblLook w:val="04A0" w:firstRow="1" w:lastRow="0" w:firstColumn="1" w:lastColumn="0" w:noHBand="0" w:noVBand="1"/>
      </w:tblPr>
      <w:tblGrid>
        <w:gridCol w:w="1885"/>
        <w:gridCol w:w="990"/>
        <w:gridCol w:w="1080"/>
        <w:gridCol w:w="1171"/>
        <w:gridCol w:w="1169"/>
        <w:gridCol w:w="2252"/>
        <w:gridCol w:w="719"/>
      </w:tblGrid>
      <w:tr w:rsidR="002A7EB7" w:rsidRPr="004615B1" w14:paraId="709F458D" w14:textId="77777777" w:rsidTr="00820828">
        <w:tc>
          <w:tcPr>
            <w:tcW w:w="1885" w:type="dxa"/>
            <w:shd w:val="clear" w:color="auto" w:fill="323E4F"/>
            <w:tcMar>
              <w:left w:w="58" w:type="dxa"/>
              <w:right w:w="43" w:type="dxa"/>
            </w:tcMar>
          </w:tcPr>
          <w:p w14:paraId="33708505" w14:textId="77777777" w:rsidR="002A7EB7" w:rsidRPr="00E3619B" w:rsidRDefault="002A7EB7" w:rsidP="00820828">
            <w:pPr>
              <w:spacing w:after="120"/>
              <w:ind w:left="0"/>
              <w:jc w:val="center"/>
              <w:rPr>
                <w:rFonts w:ascii="Tw Cen MT" w:eastAsia="Times New Roman" w:hAnsi="Tw Cen MT"/>
                <w:sz w:val="21"/>
                <w:szCs w:val="21"/>
              </w:rPr>
            </w:pPr>
            <w:r w:rsidRPr="00E3619B">
              <w:rPr>
                <w:rFonts w:ascii="Tw Cen MT" w:eastAsia="Times New Roman" w:hAnsi="Tw Cen MT"/>
                <w:sz w:val="21"/>
                <w:szCs w:val="21"/>
              </w:rPr>
              <w:t>Activity/</w:t>
            </w:r>
            <w:r>
              <w:rPr>
                <w:rFonts w:ascii="Tw Cen MT" w:eastAsia="Times New Roman" w:hAnsi="Tw Cen MT"/>
                <w:sz w:val="21"/>
                <w:szCs w:val="21"/>
              </w:rPr>
              <w:t xml:space="preserve"> </w:t>
            </w:r>
            <w:r w:rsidRPr="00E3619B">
              <w:rPr>
                <w:rFonts w:ascii="Tw Cen MT" w:eastAsia="Times New Roman" w:hAnsi="Tw Cen MT"/>
                <w:sz w:val="21"/>
                <w:szCs w:val="21"/>
              </w:rPr>
              <w:t>Geographic Areas</w:t>
            </w:r>
          </w:p>
        </w:tc>
        <w:tc>
          <w:tcPr>
            <w:tcW w:w="990" w:type="dxa"/>
            <w:shd w:val="clear" w:color="auto" w:fill="323E4F"/>
            <w:tcMar>
              <w:left w:w="58" w:type="dxa"/>
              <w:right w:w="43" w:type="dxa"/>
            </w:tcMar>
          </w:tcPr>
          <w:p w14:paraId="7EABCFC1" w14:textId="77777777" w:rsidR="002A7EB7" w:rsidRPr="00E3619B" w:rsidRDefault="002A7EB7" w:rsidP="00820828">
            <w:pPr>
              <w:spacing w:after="120"/>
              <w:ind w:left="0"/>
              <w:jc w:val="center"/>
              <w:rPr>
                <w:rFonts w:ascii="Tw Cen MT" w:eastAsia="Times New Roman" w:hAnsi="Tw Cen MT"/>
                <w:sz w:val="21"/>
                <w:szCs w:val="21"/>
              </w:rPr>
            </w:pPr>
            <w:r>
              <w:rPr>
                <w:rFonts w:ascii="Tw Cen MT" w:eastAsia="Times New Roman" w:hAnsi="Tw Cen MT"/>
                <w:sz w:val="21"/>
                <w:szCs w:val="21"/>
              </w:rPr>
              <w:t>Urgent Care</w:t>
            </w:r>
            <w:r w:rsidRPr="00E3619B">
              <w:rPr>
                <w:rFonts w:ascii="Tw Cen MT" w:eastAsia="Times New Roman" w:hAnsi="Tw Cen MT"/>
                <w:sz w:val="21"/>
                <w:szCs w:val="21"/>
              </w:rPr>
              <w:t xml:space="preserve"> </w:t>
            </w:r>
            <w:r>
              <w:rPr>
                <w:rFonts w:ascii="Tw Cen MT" w:eastAsia="Times New Roman" w:hAnsi="Tw Cen MT"/>
                <w:sz w:val="21"/>
                <w:szCs w:val="21"/>
              </w:rPr>
              <w:t>PAs</w:t>
            </w:r>
          </w:p>
          <w:p w14:paraId="204E0F22" w14:textId="77777777" w:rsidR="002A7EB7" w:rsidRPr="00E3619B" w:rsidRDefault="002A7EB7" w:rsidP="00820828">
            <w:pPr>
              <w:ind w:left="0"/>
              <w:jc w:val="center"/>
              <w:rPr>
                <w:rFonts w:ascii="Tw Cen MT" w:eastAsia="Times New Roman" w:hAnsi="Tw Cen MT"/>
                <w:sz w:val="21"/>
                <w:szCs w:val="21"/>
              </w:rPr>
            </w:pPr>
          </w:p>
        </w:tc>
        <w:tc>
          <w:tcPr>
            <w:tcW w:w="1080" w:type="dxa"/>
            <w:shd w:val="clear" w:color="auto" w:fill="323E4F"/>
          </w:tcPr>
          <w:p w14:paraId="6DA7541B" w14:textId="77777777" w:rsidR="002A7EB7" w:rsidRPr="00E3619B" w:rsidRDefault="002A7EB7" w:rsidP="00820828">
            <w:pPr>
              <w:spacing w:after="120"/>
              <w:ind w:left="0"/>
              <w:jc w:val="center"/>
              <w:rPr>
                <w:rFonts w:ascii="Tw Cen MT" w:eastAsia="Times New Roman" w:hAnsi="Tw Cen MT"/>
                <w:sz w:val="21"/>
                <w:szCs w:val="21"/>
              </w:rPr>
            </w:pPr>
            <w:r>
              <w:rPr>
                <w:rFonts w:ascii="Tw Cen MT" w:eastAsia="Times New Roman" w:hAnsi="Tw Cen MT"/>
                <w:sz w:val="21"/>
                <w:szCs w:val="21"/>
              </w:rPr>
              <w:t>Urgent Care NPs</w:t>
            </w:r>
          </w:p>
          <w:p w14:paraId="475277F5" w14:textId="77777777" w:rsidR="002A7EB7" w:rsidRPr="00E3619B" w:rsidRDefault="002A7EB7" w:rsidP="00820828">
            <w:pPr>
              <w:ind w:left="0"/>
              <w:rPr>
                <w:rFonts w:ascii="Tw Cen MT" w:eastAsia="Times New Roman" w:hAnsi="Tw Cen MT"/>
                <w:sz w:val="21"/>
                <w:szCs w:val="21"/>
              </w:rPr>
            </w:pPr>
          </w:p>
        </w:tc>
        <w:tc>
          <w:tcPr>
            <w:tcW w:w="1171" w:type="dxa"/>
            <w:shd w:val="clear" w:color="auto" w:fill="323E4F"/>
            <w:tcMar>
              <w:left w:w="58" w:type="dxa"/>
              <w:right w:w="43" w:type="dxa"/>
            </w:tcMar>
          </w:tcPr>
          <w:p w14:paraId="41D0DE6D" w14:textId="77777777" w:rsidR="002A7EB7" w:rsidRPr="00E3619B" w:rsidRDefault="002A7EB7" w:rsidP="00820828">
            <w:pPr>
              <w:spacing w:after="120"/>
              <w:ind w:left="0"/>
              <w:jc w:val="center"/>
              <w:rPr>
                <w:rFonts w:ascii="Tw Cen MT" w:eastAsia="Times New Roman" w:hAnsi="Tw Cen MT"/>
                <w:sz w:val="21"/>
                <w:szCs w:val="21"/>
              </w:rPr>
            </w:pPr>
            <w:r w:rsidRPr="00E3619B">
              <w:rPr>
                <w:rFonts w:ascii="Tw Cen MT" w:eastAsia="Times New Roman" w:hAnsi="Tw Cen MT"/>
                <w:sz w:val="21"/>
                <w:szCs w:val="21"/>
              </w:rPr>
              <w:t>Emergency</w:t>
            </w:r>
            <w:r>
              <w:rPr>
                <w:rFonts w:ascii="Tw Cen MT" w:eastAsia="Times New Roman" w:hAnsi="Tw Cen MT"/>
                <w:sz w:val="21"/>
                <w:szCs w:val="21"/>
              </w:rPr>
              <w:t xml:space="preserve"> Dept Triage Nurses</w:t>
            </w:r>
            <w:r w:rsidRPr="00E3619B">
              <w:rPr>
                <w:rFonts w:ascii="Tw Cen MT" w:eastAsia="Times New Roman" w:hAnsi="Tw Cen MT"/>
                <w:sz w:val="21"/>
                <w:szCs w:val="21"/>
              </w:rPr>
              <w:t xml:space="preserve"> </w:t>
            </w:r>
          </w:p>
        </w:tc>
        <w:tc>
          <w:tcPr>
            <w:tcW w:w="1169" w:type="dxa"/>
            <w:shd w:val="clear" w:color="auto" w:fill="323E4F"/>
          </w:tcPr>
          <w:p w14:paraId="04F1CF12" w14:textId="77777777" w:rsidR="002A7EB7" w:rsidRPr="00E3619B" w:rsidRDefault="002A7EB7" w:rsidP="00820828">
            <w:pPr>
              <w:ind w:left="0"/>
              <w:jc w:val="center"/>
              <w:rPr>
                <w:rFonts w:ascii="Tw Cen MT" w:eastAsia="Times New Roman" w:hAnsi="Tw Cen MT"/>
                <w:sz w:val="21"/>
                <w:szCs w:val="21"/>
              </w:rPr>
            </w:pPr>
            <w:r>
              <w:rPr>
                <w:rFonts w:ascii="Tw Cen MT" w:eastAsia="Times New Roman" w:hAnsi="Tw Cen MT"/>
                <w:sz w:val="21"/>
                <w:szCs w:val="21"/>
              </w:rPr>
              <w:t>Primary Care Physicians</w:t>
            </w:r>
          </w:p>
        </w:tc>
        <w:tc>
          <w:tcPr>
            <w:tcW w:w="2252" w:type="dxa"/>
            <w:shd w:val="clear" w:color="auto" w:fill="323E4F"/>
            <w:tcMar>
              <w:left w:w="58" w:type="dxa"/>
              <w:right w:w="43" w:type="dxa"/>
            </w:tcMar>
          </w:tcPr>
          <w:p w14:paraId="4BA1A65A" w14:textId="77777777" w:rsidR="002A7EB7" w:rsidRPr="00E3619B" w:rsidRDefault="002A7EB7" w:rsidP="00820828">
            <w:pPr>
              <w:ind w:left="0"/>
              <w:jc w:val="center"/>
              <w:rPr>
                <w:rFonts w:ascii="Tw Cen MT" w:eastAsia="Times New Roman" w:hAnsi="Tw Cen MT"/>
                <w:sz w:val="21"/>
                <w:szCs w:val="21"/>
              </w:rPr>
            </w:pPr>
            <w:r w:rsidRPr="00E3619B">
              <w:rPr>
                <w:rFonts w:ascii="Tw Cen MT" w:hAnsi="Tw Cen MT" w:cs="Arial"/>
                <w:sz w:val="21"/>
                <w:szCs w:val="21"/>
              </w:rPr>
              <w:t>General Medical Ward Staff, Nursing Home staff, Home Healthcare providers</w:t>
            </w:r>
          </w:p>
        </w:tc>
        <w:tc>
          <w:tcPr>
            <w:tcW w:w="719" w:type="dxa"/>
            <w:shd w:val="clear" w:color="auto" w:fill="323E4F"/>
            <w:tcMar>
              <w:left w:w="58" w:type="dxa"/>
              <w:right w:w="43" w:type="dxa"/>
            </w:tcMar>
          </w:tcPr>
          <w:p w14:paraId="1377A91C" w14:textId="77777777" w:rsidR="002A7EB7" w:rsidRPr="00E3619B" w:rsidRDefault="002A7EB7" w:rsidP="00820828">
            <w:pPr>
              <w:spacing w:after="120"/>
              <w:ind w:left="0"/>
              <w:jc w:val="center"/>
              <w:rPr>
                <w:rFonts w:ascii="Tw Cen MT" w:eastAsia="Times New Roman" w:hAnsi="Tw Cen MT"/>
                <w:sz w:val="21"/>
                <w:szCs w:val="21"/>
              </w:rPr>
            </w:pPr>
            <w:r w:rsidRPr="00E3619B">
              <w:rPr>
                <w:rFonts w:ascii="Tw Cen MT" w:eastAsia="Times New Roman" w:hAnsi="Tw Cen MT"/>
                <w:sz w:val="21"/>
                <w:szCs w:val="21"/>
              </w:rPr>
              <w:t>Total</w:t>
            </w:r>
          </w:p>
        </w:tc>
      </w:tr>
      <w:tr w:rsidR="002A7EB7" w:rsidRPr="004615B1" w14:paraId="6DC5F7BB" w14:textId="77777777" w:rsidTr="00820828">
        <w:trPr>
          <w:trHeight w:val="260"/>
        </w:trPr>
        <w:tc>
          <w:tcPr>
            <w:tcW w:w="1885" w:type="dxa"/>
            <w:tcMar>
              <w:left w:w="58" w:type="dxa"/>
              <w:right w:w="43" w:type="dxa"/>
            </w:tcMar>
          </w:tcPr>
          <w:p w14:paraId="293C1CC6" w14:textId="38F72E6C" w:rsidR="002A7EB7" w:rsidRPr="00820828" w:rsidRDefault="00A556F8" w:rsidP="00A556F8">
            <w:pPr>
              <w:ind w:left="0"/>
              <w:rPr>
                <w:rFonts w:ascii="Tw Cen MT" w:eastAsia="Times New Roman" w:hAnsi="Tw Cen MT"/>
                <w:sz w:val="21"/>
                <w:szCs w:val="21"/>
              </w:rPr>
            </w:pPr>
            <w:r>
              <w:rPr>
                <w:rFonts w:ascii="Tw Cen MT" w:hAnsi="Tw Cen MT" w:cs="Arial"/>
                <w:sz w:val="21"/>
                <w:szCs w:val="21"/>
              </w:rPr>
              <w:t xml:space="preserve">Consumer Focus Group and PDIS / </w:t>
            </w:r>
            <w:r w:rsidR="0094080B">
              <w:rPr>
                <w:rFonts w:ascii="Tw Cen MT" w:hAnsi="Tw Cen MT" w:cs="Arial"/>
                <w:sz w:val="21"/>
                <w:szCs w:val="21"/>
              </w:rPr>
              <w:t>All U.S. c</w:t>
            </w:r>
            <w:r w:rsidR="0094080B" w:rsidRPr="008F3FCD">
              <w:rPr>
                <w:rFonts w:ascii="Tw Cen MT" w:hAnsi="Tw Cen MT" w:cs="Arial"/>
                <w:sz w:val="21"/>
                <w:szCs w:val="21"/>
              </w:rPr>
              <w:t xml:space="preserve">ensus </w:t>
            </w:r>
            <w:r w:rsidR="0094080B">
              <w:rPr>
                <w:rFonts w:ascii="Tw Cen MT" w:hAnsi="Tw Cen MT" w:cs="Arial"/>
                <w:sz w:val="21"/>
                <w:szCs w:val="21"/>
              </w:rPr>
              <w:t>regions: south census region (18</w:t>
            </w:r>
            <w:r w:rsidR="0094080B" w:rsidRPr="008F3FCD">
              <w:rPr>
                <w:rFonts w:ascii="Tw Cen MT" w:hAnsi="Tw Cen MT" w:cs="Arial"/>
                <w:sz w:val="21"/>
                <w:szCs w:val="21"/>
              </w:rPr>
              <w:t>); other census regions (18)</w:t>
            </w:r>
          </w:p>
        </w:tc>
        <w:tc>
          <w:tcPr>
            <w:tcW w:w="990" w:type="dxa"/>
            <w:tcMar>
              <w:left w:w="58" w:type="dxa"/>
              <w:right w:w="43" w:type="dxa"/>
            </w:tcMar>
          </w:tcPr>
          <w:p w14:paraId="022896CC" w14:textId="77777777" w:rsidR="002A7EB7" w:rsidRPr="00820828" w:rsidRDefault="002A7EB7" w:rsidP="00820828">
            <w:pPr>
              <w:ind w:left="0"/>
              <w:jc w:val="center"/>
              <w:rPr>
                <w:rFonts w:ascii="Tw Cen MT" w:eastAsia="Times New Roman" w:hAnsi="Tw Cen MT"/>
                <w:sz w:val="21"/>
                <w:szCs w:val="21"/>
              </w:rPr>
            </w:pPr>
            <w:r>
              <w:rPr>
                <w:rFonts w:ascii="Tw Cen MT" w:eastAsia="Times New Roman" w:hAnsi="Tw Cen MT"/>
                <w:sz w:val="21"/>
                <w:szCs w:val="21"/>
              </w:rPr>
              <w:t>4</w:t>
            </w:r>
          </w:p>
        </w:tc>
        <w:tc>
          <w:tcPr>
            <w:tcW w:w="1080" w:type="dxa"/>
            <w:tcMar>
              <w:left w:w="58" w:type="dxa"/>
              <w:right w:w="43" w:type="dxa"/>
            </w:tcMar>
          </w:tcPr>
          <w:p w14:paraId="6A2DD2CB" w14:textId="77777777" w:rsidR="002A7EB7" w:rsidRPr="00820828" w:rsidRDefault="002A7EB7" w:rsidP="00820828">
            <w:pPr>
              <w:ind w:left="0"/>
              <w:jc w:val="center"/>
              <w:rPr>
                <w:rFonts w:ascii="Tw Cen MT" w:eastAsia="Times New Roman" w:hAnsi="Tw Cen MT"/>
                <w:sz w:val="21"/>
                <w:szCs w:val="21"/>
              </w:rPr>
            </w:pPr>
            <w:r>
              <w:rPr>
                <w:rFonts w:ascii="Tw Cen MT" w:eastAsia="Times New Roman" w:hAnsi="Tw Cen MT"/>
                <w:sz w:val="21"/>
                <w:szCs w:val="21"/>
              </w:rPr>
              <w:t>5</w:t>
            </w:r>
          </w:p>
        </w:tc>
        <w:tc>
          <w:tcPr>
            <w:tcW w:w="1171" w:type="dxa"/>
            <w:shd w:val="clear" w:color="auto" w:fill="FFFFFF"/>
            <w:tcMar>
              <w:left w:w="58" w:type="dxa"/>
              <w:right w:w="43" w:type="dxa"/>
            </w:tcMar>
          </w:tcPr>
          <w:p w14:paraId="7AFCA8E9" w14:textId="77777777" w:rsidR="002A7EB7" w:rsidRPr="00820828" w:rsidDel="00441705" w:rsidRDefault="002A7EB7" w:rsidP="00820828">
            <w:pPr>
              <w:ind w:left="0"/>
              <w:jc w:val="center"/>
              <w:rPr>
                <w:rFonts w:ascii="Tw Cen MT" w:eastAsia="Times New Roman" w:hAnsi="Tw Cen MT"/>
                <w:sz w:val="21"/>
                <w:szCs w:val="21"/>
              </w:rPr>
            </w:pPr>
            <w:r>
              <w:rPr>
                <w:rFonts w:ascii="Tw Cen MT" w:eastAsia="Times New Roman" w:hAnsi="Tw Cen MT"/>
                <w:sz w:val="21"/>
                <w:szCs w:val="21"/>
              </w:rPr>
              <w:t>9</w:t>
            </w:r>
          </w:p>
        </w:tc>
        <w:tc>
          <w:tcPr>
            <w:tcW w:w="1169" w:type="dxa"/>
            <w:shd w:val="clear" w:color="auto" w:fill="FFFFFF"/>
            <w:tcMar>
              <w:left w:w="58" w:type="dxa"/>
              <w:right w:w="43" w:type="dxa"/>
            </w:tcMar>
          </w:tcPr>
          <w:p w14:paraId="49E8EA74" w14:textId="77777777" w:rsidR="002A7EB7" w:rsidRPr="00820828" w:rsidRDefault="002A7EB7" w:rsidP="00820828">
            <w:pPr>
              <w:ind w:left="0"/>
              <w:jc w:val="center"/>
              <w:rPr>
                <w:rFonts w:ascii="Tw Cen MT" w:eastAsia="Times New Roman" w:hAnsi="Tw Cen MT"/>
                <w:sz w:val="21"/>
                <w:szCs w:val="21"/>
              </w:rPr>
            </w:pPr>
            <w:r>
              <w:rPr>
                <w:rFonts w:ascii="Tw Cen MT" w:eastAsia="Times New Roman" w:hAnsi="Tw Cen MT"/>
                <w:sz w:val="21"/>
                <w:szCs w:val="21"/>
              </w:rPr>
              <w:t>9</w:t>
            </w:r>
          </w:p>
        </w:tc>
        <w:tc>
          <w:tcPr>
            <w:tcW w:w="2252" w:type="dxa"/>
            <w:shd w:val="clear" w:color="auto" w:fill="FFFFFF"/>
            <w:tcMar>
              <w:left w:w="58" w:type="dxa"/>
              <w:right w:w="43" w:type="dxa"/>
            </w:tcMar>
          </w:tcPr>
          <w:p w14:paraId="07774F11" w14:textId="77777777" w:rsidR="002A7EB7" w:rsidRDefault="002A7EB7" w:rsidP="00820828">
            <w:pPr>
              <w:ind w:left="0"/>
              <w:jc w:val="center"/>
              <w:rPr>
                <w:rFonts w:ascii="Tw Cen MT" w:eastAsia="Times New Roman" w:hAnsi="Tw Cen MT"/>
                <w:sz w:val="21"/>
                <w:szCs w:val="21"/>
              </w:rPr>
            </w:pPr>
            <w:r>
              <w:rPr>
                <w:rFonts w:ascii="Tw Cen MT" w:eastAsia="Times New Roman" w:hAnsi="Tw Cen MT"/>
                <w:sz w:val="21"/>
                <w:szCs w:val="21"/>
              </w:rPr>
              <w:t xml:space="preserve">9 </w:t>
            </w:r>
          </w:p>
          <w:p w14:paraId="0720FA5F" w14:textId="77777777" w:rsidR="002A7EB7" w:rsidRPr="00820828" w:rsidRDefault="002A7EB7" w:rsidP="00820828">
            <w:pPr>
              <w:ind w:left="0"/>
              <w:jc w:val="center"/>
              <w:rPr>
                <w:rFonts w:ascii="Tw Cen MT" w:eastAsia="Times New Roman" w:hAnsi="Tw Cen MT"/>
                <w:sz w:val="21"/>
                <w:szCs w:val="21"/>
              </w:rPr>
            </w:pPr>
            <w:r>
              <w:rPr>
                <w:rFonts w:ascii="Tw Cen MT" w:eastAsia="Times New Roman" w:hAnsi="Tw Cen MT"/>
                <w:sz w:val="21"/>
                <w:szCs w:val="21"/>
              </w:rPr>
              <w:t>(n=3 from each group</w:t>
            </w:r>
          </w:p>
        </w:tc>
        <w:tc>
          <w:tcPr>
            <w:tcW w:w="719" w:type="dxa"/>
            <w:shd w:val="clear" w:color="auto" w:fill="FFFFFF"/>
            <w:tcMar>
              <w:left w:w="58" w:type="dxa"/>
              <w:right w:w="43" w:type="dxa"/>
            </w:tcMar>
          </w:tcPr>
          <w:p w14:paraId="1731D506" w14:textId="77777777" w:rsidR="002A7EB7" w:rsidRPr="00820828" w:rsidRDefault="002A7EB7" w:rsidP="00820828">
            <w:pPr>
              <w:ind w:left="0"/>
              <w:jc w:val="center"/>
              <w:rPr>
                <w:rFonts w:ascii="Tw Cen MT" w:eastAsia="Times New Roman" w:hAnsi="Tw Cen MT"/>
                <w:sz w:val="21"/>
                <w:szCs w:val="21"/>
              </w:rPr>
            </w:pPr>
            <w:r>
              <w:rPr>
                <w:rFonts w:ascii="Tw Cen MT" w:eastAsia="Times New Roman" w:hAnsi="Tw Cen MT"/>
                <w:sz w:val="21"/>
                <w:szCs w:val="21"/>
              </w:rPr>
              <w:t>36</w:t>
            </w:r>
          </w:p>
        </w:tc>
      </w:tr>
    </w:tbl>
    <w:p w14:paraId="550C954B" w14:textId="77777777" w:rsidR="002115E2" w:rsidRDefault="002115E2" w:rsidP="002115E2">
      <w:pPr>
        <w:ind w:left="0"/>
        <w:rPr>
          <w:rFonts w:ascii="Times New Roman" w:hAnsi="Times New Roman" w:cs="Times New Roman"/>
        </w:rPr>
      </w:pPr>
    </w:p>
    <w:p w14:paraId="387218B0" w14:textId="6728351F" w:rsidR="00720E37" w:rsidRPr="002115E2" w:rsidRDefault="00C07E9E" w:rsidP="00720E37">
      <w:pPr>
        <w:ind w:left="0"/>
        <w:rPr>
          <w:rFonts w:ascii="Times New Roman" w:hAnsi="Times New Roman" w:cs="Times New Roman"/>
          <w:b/>
        </w:rPr>
      </w:pPr>
      <w:r>
        <w:rPr>
          <w:rFonts w:ascii="Times New Roman" w:hAnsi="Times New Roman" w:cs="Times New Roman"/>
          <w:b/>
        </w:rPr>
        <w:t>Exhibit 2</w:t>
      </w:r>
      <w:r w:rsidR="00720E37" w:rsidRPr="002115E2">
        <w:rPr>
          <w:rFonts w:ascii="Times New Roman" w:hAnsi="Times New Roman" w:cs="Times New Roman"/>
          <w:b/>
        </w:rPr>
        <w:t xml:space="preserve">.  Number of </w:t>
      </w:r>
      <w:r w:rsidR="00720E37">
        <w:rPr>
          <w:rFonts w:ascii="Times New Roman" w:hAnsi="Times New Roman" w:cs="Times New Roman"/>
          <w:b/>
        </w:rPr>
        <w:t xml:space="preserve">HCP </w:t>
      </w:r>
      <w:r w:rsidR="00720E37" w:rsidRPr="002115E2">
        <w:rPr>
          <w:rFonts w:ascii="Times New Roman" w:hAnsi="Times New Roman" w:cs="Times New Roman"/>
          <w:b/>
        </w:rPr>
        <w:t>Participants for Sepsis Campaign Data Collection</w:t>
      </w:r>
    </w:p>
    <w:tbl>
      <w:tblPr>
        <w:tblStyle w:val="TableGrid"/>
        <w:tblW w:w="5000" w:type="pct"/>
        <w:tblLayout w:type="fixed"/>
        <w:tblLook w:val="04A0" w:firstRow="1" w:lastRow="0" w:firstColumn="1" w:lastColumn="0" w:noHBand="0" w:noVBand="1"/>
      </w:tblPr>
      <w:tblGrid>
        <w:gridCol w:w="2338"/>
        <w:gridCol w:w="2068"/>
        <w:gridCol w:w="2070"/>
        <w:gridCol w:w="1892"/>
        <w:gridCol w:w="982"/>
      </w:tblGrid>
      <w:tr w:rsidR="002A7EB7" w:rsidRPr="004615B1" w14:paraId="3FD60B94" w14:textId="77777777" w:rsidTr="00820828">
        <w:trPr>
          <w:trHeight w:val="800"/>
        </w:trPr>
        <w:tc>
          <w:tcPr>
            <w:tcW w:w="1250" w:type="pct"/>
            <w:shd w:val="clear" w:color="auto" w:fill="323E4F"/>
          </w:tcPr>
          <w:p w14:paraId="6E17545A" w14:textId="77777777" w:rsidR="002A7EB7" w:rsidRPr="004615B1" w:rsidRDefault="002A7EB7" w:rsidP="00820828">
            <w:pPr>
              <w:ind w:left="0"/>
              <w:jc w:val="center"/>
              <w:rPr>
                <w:rFonts w:ascii="Tw Cen MT" w:hAnsi="Tw Cen MT" w:cs="Arial"/>
              </w:rPr>
            </w:pPr>
            <w:r>
              <w:rPr>
                <w:rFonts w:ascii="Tw Cen MT" w:hAnsi="Tw Cen MT" w:cs="Arial"/>
                <w:sz w:val="21"/>
                <w:szCs w:val="21"/>
              </w:rPr>
              <w:t>Activity/ Geographic Area</w:t>
            </w:r>
          </w:p>
        </w:tc>
        <w:tc>
          <w:tcPr>
            <w:tcW w:w="1106" w:type="pct"/>
            <w:shd w:val="clear" w:color="auto" w:fill="323E4F"/>
          </w:tcPr>
          <w:p w14:paraId="100BDFC8" w14:textId="77777777" w:rsidR="002A7EB7" w:rsidRPr="004615B1" w:rsidRDefault="002A7EB7" w:rsidP="00820828">
            <w:pPr>
              <w:ind w:left="0"/>
              <w:jc w:val="center"/>
              <w:rPr>
                <w:rFonts w:ascii="Tw Cen MT" w:hAnsi="Tw Cen MT" w:cs="Arial"/>
              </w:rPr>
            </w:pPr>
            <w:r w:rsidRPr="004615B1">
              <w:rPr>
                <w:rFonts w:ascii="Tw Cen MT" w:hAnsi="Tw Cen MT" w:cs="Arial"/>
                <w:sz w:val="21"/>
                <w:szCs w:val="21"/>
              </w:rPr>
              <w:t>Mothers (age 30-54) with infants (≤1) and aging parents</w:t>
            </w:r>
          </w:p>
        </w:tc>
        <w:tc>
          <w:tcPr>
            <w:tcW w:w="1107" w:type="pct"/>
            <w:shd w:val="clear" w:color="auto" w:fill="323E4F"/>
          </w:tcPr>
          <w:p w14:paraId="3294C277" w14:textId="77777777" w:rsidR="002A7EB7" w:rsidRPr="004615B1" w:rsidRDefault="002A7EB7" w:rsidP="00820828">
            <w:pPr>
              <w:ind w:left="0"/>
              <w:jc w:val="center"/>
              <w:rPr>
                <w:rFonts w:ascii="Tw Cen MT" w:hAnsi="Tw Cen MT" w:cs="Arial"/>
              </w:rPr>
            </w:pPr>
            <w:r w:rsidRPr="004615B1">
              <w:rPr>
                <w:rFonts w:ascii="Tw Cen MT" w:hAnsi="Tw Cen MT" w:cs="Arial"/>
                <w:sz w:val="21"/>
                <w:szCs w:val="21"/>
              </w:rPr>
              <w:t>African American Men with one or more  chronic condition</w:t>
            </w:r>
          </w:p>
        </w:tc>
        <w:tc>
          <w:tcPr>
            <w:tcW w:w="1012" w:type="pct"/>
            <w:shd w:val="clear" w:color="auto" w:fill="323E4F"/>
          </w:tcPr>
          <w:p w14:paraId="0FF51BA9" w14:textId="77777777" w:rsidR="002A7EB7" w:rsidRPr="004615B1" w:rsidRDefault="002A7EB7" w:rsidP="00820828">
            <w:pPr>
              <w:ind w:left="0"/>
              <w:jc w:val="center"/>
              <w:rPr>
                <w:rFonts w:ascii="Tw Cen MT" w:hAnsi="Tw Cen MT" w:cs="Arial"/>
              </w:rPr>
            </w:pPr>
            <w:r w:rsidRPr="004615B1">
              <w:rPr>
                <w:rFonts w:ascii="Tw Cen MT" w:hAnsi="Tw Cen MT" w:cs="Arial"/>
                <w:sz w:val="21"/>
                <w:szCs w:val="21"/>
              </w:rPr>
              <w:t>Healthy adults and caregivers ≥65</w:t>
            </w:r>
          </w:p>
        </w:tc>
        <w:tc>
          <w:tcPr>
            <w:tcW w:w="525" w:type="pct"/>
            <w:shd w:val="clear" w:color="auto" w:fill="323E4F"/>
          </w:tcPr>
          <w:p w14:paraId="4932E05C" w14:textId="77777777" w:rsidR="002A7EB7" w:rsidRPr="00547F3B" w:rsidDel="00441705" w:rsidRDefault="002A7EB7" w:rsidP="00820828">
            <w:pPr>
              <w:ind w:left="0"/>
              <w:jc w:val="center"/>
              <w:rPr>
                <w:rFonts w:ascii="Tw Cen MT" w:hAnsi="Tw Cen MT" w:cs="Arial"/>
              </w:rPr>
            </w:pPr>
            <w:r w:rsidRPr="00547F3B">
              <w:rPr>
                <w:rFonts w:ascii="Tw Cen MT" w:hAnsi="Tw Cen MT" w:cs="Arial"/>
              </w:rPr>
              <w:t>Total</w:t>
            </w:r>
          </w:p>
        </w:tc>
      </w:tr>
      <w:tr w:rsidR="002A7EB7" w:rsidRPr="00E3619B" w14:paraId="76A12043" w14:textId="77777777" w:rsidTr="00820828">
        <w:trPr>
          <w:trHeight w:val="1317"/>
        </w:trPr>
        <w:tc>
          <w:tcPr>
            <w:tcW w:w="1250" w:type="pct"/>
            <w:noWrap/>
          </w:tcPr>
          <w:p w14:paraId="118704A9" w14:textId="7DBCB255" w:rsidR="002A7EB7" w:rsidRPr="00E3619B" w:rsidRDefault="00A556F8">
            <w:pPr>
              <w:ind w:left="0"/>
              <w:rPr>
                <w:rFonts w:ascii="Tw Cen MT" w:hAnsi="Tw Cen MT" w:cs="Arial"/>
              </w:rPr>
            </w:pPr>
            <w:r>
              <w:rPr>
                <w:rFonts w:ascii="Tw Cen MT" w:hAnsi="Tw Cen MT" w:cs="Arial"/>
              </w:rPr>
              <w:t xml:space="preserve">HCP IDIs and PDIS / </w:t>
            </w:r>
            <w:r w:rsidR="0094080B">
              <w:rPr>
                <w:rFonts w:ascii="Tw Cen MT" w:hAnsi="Tw Cen MT" w:cs="Arial"/>
                <w:sz w:val="21"/>
                <w:szCs w:val="21"/>
              </w:rPr>
              <w:t>All U.S. c</w:t>
            </w:r>
            <w:r w:rsidR="0094080B" w:rsidRPr="008F3FCD">
              <w:rPr>
                <w:rFonts w:ascii="Tw Cen MT" w:hAnsi="Tw Cen MT" w:cs="Arial"/>
                <w:sz w:val="21"/>
                <w:szCs w:val="21"/>
              </w:rPr>
              <w:t xml:space="preserve">ensus </w:t>
            </w:r>
            <w:r w:rsidR="0094080B">
              <w:rPr>
                <w:rFonts w:ascii="Tw Cen MT" w:hAnsi="Tw Cen MT" w:cs="Arial"/>
                <w:sz w:val="21"/>
                <w:szCs w:val="21"/>
              </w:rPr>
              <w:t>regions: south census region (14); other census regions (13</w:t>
            </w:r>
            <w:r w:rsidR="0094080B" w:rsidRPr="008F3FCD">
              <w:rPr>
                <w:rFonts w:ascii="Tw Cen MT" w:hAnsi="Tw Cen MT" w:cs="Arial"/>
                <w:sz w:val="21"/>
                <w:szCs w:val="21"/>
              </w:rPr>
              <w:t>)</w:t>
            </w:r>
          </w:p>
        </w:tc>
        <w:tc>
          <w:tcPr>
            <w:tcW w:w="1106" w:type="pct"/>
          </w:tcPr>
          <w:p w14:paraId="03CA7D59" w14:textId="77777777" w:rsidR="002A7EB7" w:rsidRPr="004615B1" w:rsidRDefault="002A7EB7" w:rsidP="00820828">
            <w:pPr>
              <w:ind w:left="0"/>
              <w:jc w:val="center"/>
              <w:rPr>
                <w:rFonts w:ascii="Tw Cen MT" w:hAnsi="Tw Cen MT" w:cs="Arial"/>
                <w:sz w:val="21"/>
                <w:szCs w:val="21"/>
              </w:rPr>
            </w:pPr>
            <w:r w:rsidRPr="004615B1">
              <w:rPr>
                <w:rFonts w:ascii="Tw Cen MT" w:hAnsi="Tw Cen MT" w:cs="Arial"/>
                <w:sz w:val="21"/>
                <w:szCs w:val="21"/>
              </w:rPr>
              <w:t>3 (n=3)</w:t>
            </w:r>
          </w:p>
          <w:p w14:paraId="0A376A6B" w14:textId="77777777" w:rsidR="002A7EB7" w:rsidRPr="004615B1" w:rsidRDefault="002A7EB7" w:rsidP="002A7EB7">
            <w:pPr>
              <w:pStyle w:val="ListParagraph"/>
              <w:numPr>
                <w:ilvl w:val="0"/>
                <w:numId w:val="31"/>
              </w:numPr>
              <w:spacing w:line="276" w:lineRule="auto"/>
              <w:ind w:left="216" w:hanging="216"/>
              <w:rPr>
                <w:rFonts w:ascii="Tw Cen MT" w:hAnsi="Tw Cen MT" w:cs="Arial"/>
                <w:sz w:val="21"/>
                <w:szCs w:val="21"/>
              </w:rPr>
            </w:pPr>
            <w:r w:rsidRPr="004615B1">
              <w:rPr>
                <w:rFonts w:ascii="Tw Cen MT" w:hAnsi="Tw Cen MT" w:cs="Arial"/>
                <w:sz w:val="21"/>
                <w:szCs w:val="21"/>
              </w:rPr>
              <w:t>2 FGs with AA women</w:t>
            </w:r>
          </w:p>
          <w:p w14:paraId="0AFA4F5C" w14:textId="77777777" w:rsidR="002A7EB7" w:rsidRPr="00E3619B" w:rsidRDefault="002A7EB7" w:rsidP="002A7EB7">
            <w:pPr>
              <w:numPr>
                <w:ilvl w:val="0"/>
                <w:numId w:val="31"/>
              </w:numPr>
              <w:ind w:left="216" w:hanging="216"/>
              <w:rPr>
                <w:rFonts w:ascii="Tw Cen MT" w:hAnsi="Tw Cen MT" w:cs="Arial"/>
              </w:rPr>
            </w:pPr>
            <w:r w:rsidRPr="004615B1">
              <w:rPr>
                <w:rFonts w:ascii="Tw Cen MT" w:hAnsi="Tw Cen MT" w:cs="Arial"/>
                <w:sz w:val="21"/>
                <w:szCs w:val="21"/>
              </w:rPr>
              <w:t>1 FG with white women</w:t>
            </w:r>
          </w:p>
        </w:tc>
        <w:tc>
          <w:tcPr>
            <w:tcW w:w="1107" w:type="pct"/>
            <w:shd w:val="clear" w:color="auto" w:fill="FFFFFF" w:themeFill="background1"/>
          </w:tcPr>
          <w:p w14:paraId="3FC330A6" w14:textId="77777777" w:rsidR="002A7EB7" w:rsidRPr="00E3619B" w:rsidRDefault="002A7EB7" w:rsidP="00820828">
            <w:pPr>
              <w:ind w:left="0"/>
              <w:jc w:val="center"/>
              <w:rPr>
                <w:rFonts w:ascii="Tw Cen MT" w:hAnsi="Tw Cen MT" w:cs="Arial"/>
              </w:rPr>
            </w:pPr>
            <w:r w:rsidRPr="004615B1">
              <w:rPr>
                <w:rFonts w:ascii="Tw Cen MT" w:hAnsi="Tw Cen MT" w:cs="Arial"/>
                <w:sz w:val="21"/>
                <w:szCs w:val="21"/>
              </w:rPr>
              <w:t>3 (n=3)</w:t>
            </w:r>
          </w:p>
        </w:tc>
        <w:tc>
          <w:tcPr>
            <w:tcW w:w="1012" w:type="pct"/>
            <w:shd w:val="clear" w:color="auto" w:fill="FFFFFF" w:themeFill="background1"/>
          </w:tcPr>
          <w:p w14:paraId="3E2E1AEF" w14:textId="77777777" w:rsidR="002A7EB7" w:rsidRPr="004615B1" w:rsidRDefault="002A7EB7" w:rsidP="00820828">
            <w:pPr>
              <w:ind w:left="0"/>
              <w:jc w:val="center"/>
              <w:rPr>
                <w:rFonts w:ascii="Tw Cen MT" w:hAnsi="Tw Cen MT" w:cs="Arial"/>
                <w:sz w:val="21"/>
                <w:szCs w:val="21"/>
              </w:rPr>
            </w:pPr>
            <w:r w:rsidRPr="004615B1">
              <w:rPr>
                <w:rFonts w:ascii="Tw Cen MT" w:hAnsi="Tw Cen MT" w:cs="Arial"/>
                <w:sz w:val="21"/>
                <w:szCs w:val="21"/>
              </w:rPr>
              <w:t>3 (n=3)</w:t>
            </w:r>
          </w:p>
          <w:p w14:paraId="09CC195F" w14:textId="77777777" w:rsidR="002A7EB7" w:rsidRPr="004615B1" w:rsidRDefault="002A7EB7" w:rsidP="002A7EB7">
            <w:pPr>
              <w:pStyle w:val="ListParagraph"/>
              <w:numPr>
                <w:ilvl w:val="0"/>
                <w:numId w:val="31"/>
              </w:numPr>
              <w:spacing w:line="276" w:lineRule="auto"/>
              <w:ind w:left="216" w:hanging="216"/>
              <w:rPr>
                <w:rFonts w:ascii="Tw Cen MT" w:hAnsi="Tw Cen MT" w:cs="Arial"/>
                <w:sz w:val="21"/>
                <w:szCs w:val="21"/>
              </w:rPr>
            </w:pPr>
            <w:r w:rsidRPr="004615B1">
              <w:rPr>
                <w:rFonts w:ascii="Tw Cen MT" w:hAnsi="Tw Cen MT" w:cs="Arial"/>
                <w:sz w:val="21"/>
                <w:szCs w:val="21"/>
              </w:rPr>
              <w:t>2 FGs with white women</w:t>
            </w:r>
          </w:p>
          <w:p w14:paraId="75F5FD1E" w14:textId="77777777" w:rsidR="002A7EB7" w:rsidRPr="00E3619B" w:rsidRDefault="002A7EB7" w:rsidP="002A7EB7">
            <w:pPr>
              <w:numPr>
                <w:ilvl w:val="0"/>
                <w:numId w:val="31"/>
              </w:numPr>
              <w:ind w:left="216" w:hanging="216"/>
              <w:rPr>
                <w:rFonts w:ascii="Tw Cen MT" w:hAnsi="Tw Cen MT" w:cs="Arial"/>
              </w:rPr>
            </w:pPr>
            <w:r w:rsidRPr="004615B1">
              <w:rPr>
                <w:rFonts w:ascii="Tw Cen MT" w:hAnsi="Tw Cen MT" w:cs="Arial"/>
                <w:sz w:val="21"/>
                <w:szCs w:val="21"/>
              </w:rPr>
              <w:t>1 FG with AA women)</w:t>
            </w:r>
          </w:p>
        </w:tc>
        <w:tc>
          <w:tcPr>
            <w:tcW w:w="525" w:type="pct"/>
            <w:shd w:val="clear" w:color="auto" w:fill="FFFFFF" w:themeFill="background1"/>
          </w:tcPr>
          <w:p w14:paraId="78FC5D28" w14:textId="77777777" w:rsidR="002A7EB7" w:rsidRPr="00E3619B" w:rsidRDefault="002A7EB7" w:rsidP="00820828">
            <w:pPr>
              <w:ind w:left="0"/>
              <w:jc w:val="center"/>
              <w:rPr>
                <w:rFonts w:ascii="Tw Cen MT" w:hAnsi="Tw Cen MT" w:cs="Arial"/>
                <w:sz w:val="21"/>
                <w:szCs w:val="21"/>
              </w:rPr>
            </w:pPr>
            <w:r w:rsidRPr="00E3619B">
              <w:rPr>
                <w:rFonts w:ascii="Tw Cen MT" w:hAnsi="Tw Cen MT" w:cs="Arial"/>
                <w:sz w:val="21"/>
                <w:szCs w:val="21"/>
              </w:rPr>
              <w:t>9 FGs</w:t>
            </w:r>
          </w:p>
          <w:p w14:paraId="048ED214" w14:textId="77777777" w:rsidR="002A7EB7" w:rsidRPr="00E3619B" w:rsidDel="00441705" w:rsidRDefault="002A7EB7" w:rsidP="00820828">
            <w:pPr>
              <w:ind w:left="0"/>
              <w:jc w:val="center"/>
              <w:rPr>
                <w:rFonts w:ascii="Tw Cen MT" w:hAnsi="Tw Cen MT" w:cs="Arial"/>
                <w:sz w:val="21"/>
                <w:szCs w:val="21"/>
              </w:rPr>
            </w:pPr>
            <w:r w:rsidRPr="00E3619B">
              <w:rPr>
                <w:rFonts w:ascii="Tw Cen MT" w:hAnsi="Tw Cen MT" w:cs="Arial"/>
                <w:sz w:val="21"/>
                <w:szCs w:val="21"/>
              </w:rPr>
              <w:t>(n=27)</w:t>
            </w:r>
          </w:p>
          <w:p w14:paraId="761DF732" w14:textId="77777777" w:rsidR="002A7EB7" w:rsidRPr="00E3619B" w:rsidDel="00441705" w:rsidRDefault="002A7EB7" w:rsidP="00820828">
            <w:pPr>
              <w:ind w:left="0"/>
              <w:rPr>
                <w:rFonts w:ascii="Tw Cen MT" w:hAnsi="Tw Cen MT" w:cs="Arial"/>
                <w:b/>
              </w:rPr>
            </w:pPr>
          </w:p>
        </w:tc>
      </w:tr>
    </w:tbl>
    <w:p w14:paraId="3C503A9D" w14:textId="77777777" w:rsidR="00720E37" w:rsidRPr="002115E2" w:rsidRDefault="00720E37" w:rsidP="002115E2">
      <w:pPr>
        <w:ind w:left="0"/>
        <w:rPr>
          <w:rFonts w:ascii="Times New Roman" w:hAnsi="Times New Roman" w:cs="Times New Roman"/>
        </w:rPr>
      </w:pPr>
    </w:p>
    <w:p w14:paraId="72111B90" w14:textId="381DDBA6" w:rsidR="002115E2" w:rsidRDefault="002A7EB7" w:rsidP="002115E2">
      <w:pPr>
        <w:ind w:left="0"/>
        <w:rPr>
          <w:rFonts w:ascii="Times New Roman" w:hAnsi="Times New Roman" w:cs="Times New Roman"/>
          <w:b/>
        </w:rPr>
      </w:pPr>
      <w:r w:rsidRPr="00D1065C">
        <w:rPr>
          <w:rFonts w:ascii="Times New Roman" w:hAnsi="Times New Roman" w:cs="Times New Roman"/>
          <w:b/>
        </w:rPr>
        <w:t>Exhibit 3.</w:t>
      </w:r>
      <w:r>
        <w:rPr>
          <w:rFonts w:ascii="Times New Roman" w:hAnsi="Times New Roman" w:cs="Times New Roman"/>
        </w:rPr>
        <w:t xml:space="preserve"> </w:t>
      </w:r>
      <w:r w:rsidRPr="002115E2">
        <w:rPr>
          <w:rFonts w:ascii="Times New Roman" w:hAnsi="Times New Roman" w:cs="Times New Roman"/>
          <w:b/>
        </w:rPr>
        <w:t xml:space="preserve">Number of </w:t>
      </w:r>
      <w:r>
        <w:rPr>
          <w:rFonts w:ascii="Times New Roman" w:hAnsi="Times New Roman" w:cs="Times New Roman"/>
          <w:b/>
        </w:rPr>
        <w:t xml:space="preserve">HCP </w:t>
      </w:r>
      <w:r w:rsidRPr="002115E2">
        <w:rPr>
          <w:rFonts w:ascii="Times New Roman" w:hAnsi="Times New Roman" w:cs="Times New Roman"/>
          <w:b/>
        </w:rPr>
        <w:t xml:space="preserve">Participants for </w:t>
      </w:r>
      <w:r>
        <w:rPr>
          <w:rFonts w:ascii="Times New Roman" w:hAnsi="Times New Roman" w:cs="Times New Roman"/>
          <w:b/>
        </w:rPr>
        <w:t xml:space="preserve">Antibiotic Use </w:t>
      </w:r>
      <w:r w:rsidRPr="002115E2">
        <w:rPr>
          <w:rFonts w:ascii="Times New Roman" w:hAnsi="Times New Roman" w:cs="Times New Roman"/>
          <w:b/>
        </w:rPr>
        <w:t>Campaign Data Collection</w:t>
      </w:r>
    </w:p>
    <w:tbl>
      <w:tblPr>
        <w:tblStyle w:val="TableGrid1"/>
        <w:tblW w:w="4955" w:type="pct"/>
        <w:tblLayout w:type="fixed"/>
        <w:tblLook w:val="04A0" w:firstRow="1" w:lastRow="0" w:firstColumn="1" w:lastColumn="0" w:noHBand="0" w:noVBand="1"/>
      </w:tblPr>
      <w:tblGrid>
        <w:gridCol w:w="1976"/>
        <w:gridCol w:w="1169"/>
        <w:gridCol w:w="991"/>
        <w:gridCol w:w="1351"/>
        <w:gridCol w:w="1529"/>
        <w:gridCol w:w="1529"/>
        <w:gridCol w:w="721"/>
      </w:tblGrid>
      <w:tr w:rsidR="002A7EB7" w:rsidRPr="00834EEA" w14:paraId="4D67ABF8" w14:textId="77777777" w:rsidTr="00820828">
        <w:trPr>
          <w:trHeight w:val="70"/>
        </w:trPr>
        <w:tc>
          <w:tcPr>
            <w:tcW w:w="1066" w:type="pct"/>
            <w:vMerge w:val="restart"/>
            <w:shd w:val="clear" w:color="auto" w:fill="323E4F"/>
            <w:tcMar>
              <w:left w:w="58" w:type="dxa"/>
              <w:right w:w="43" w:type="dxa"/>
            </w:tcMar>
          </w:tcPr>
          <w:p w14:paraId="3D1716B6" w14:textId="77777777" w:rsidR="002A7EB7" w:rsidRPr="00834EEA" w:rsidRDefault="002A7EB7" w:rsidP="00820828">
            <w:pPr>
              <w:spacing w:after="120"/>
              <w:ind w:left="0"/>
              <w:jc w:val="center"/>
              <w:rPr>
                <w:rFonts w:ascii="Tw Cen MT" w:eastAsia="Times New Roman" w:hAnsi="Tw Cen MT"/>
                <w:sz w:val="21"/>
                <w:szCs w:val="21"/>
              </w:rPr>
            </w:pPr>
            <w:r w:rsidRPr="00834EEA">
              <w:rPr>
                <w:rFonts w:ascii="Tw Cen MT" w:eastAsia="Times New Roman" w:hAnsi="Tw Cen MT"/>
                <w:sz w:val="21"/>
                <w:szCs w:val="21"/>
              </w:rPr>
              <w:t>Activity/Geographic Areas</w:t>
            </w:r>
          </w:p>
        </w:tc>
        <w:tc>
          <w:tcPr>
            <w:tcW w:w="1166" w:type="pct"/>
            <w:gridSpan w:val="2"/>
            <w:shd w:val="clear" w:color="auto" w:fill="323E4F"/>
            <w:tcMar>
              <w:left w:w="58" w:type="dxa"/>
              <w:right w:w="43" w:type="dxa"/>
            </w:tcMar>
          </w:tcPr>
          <w:p w14:paraId="39CF1C62" w14:textId="77777777" w:rsidR="002A7EB7" w:rsidRPr="00834EEA" w:rsidRDefault="002A7EB7" w:rsidP="00820828">
            <w:pPr>
              <w:spacing w:after="120"/>
              <w:ind w:left="0"/>
              <w:jc w:val="center"/>
              <w:rPr>
                <w:rFonts w:ascii="Tw Cen MT" w:eastAsia="Times New Roman" w:hAnsi="Tw Cen MT"/>
                <w:sz w:val="21"/>
                <w:szCs w:val="21"/>
              </w:rPr>
            </w:pPr>
            <w:r w:rsidRPr="00834EEA">
              <w:rPr>
                <w:rFonts w:ascii="Tw Cen MT" w:eastAsia="Times New Roman" w:hAnsi="Tw Cen MT"/>
                <w:sz w:val="21"/>
                <w:szCs w:val="21"/>
              </w:rPr>
              <w:t>Family HCPs</w:t>
            </w:r>
          </w:p>
        </w:tc>
        <w:tc>
          <w:tcPr>
            <w:tcW w:w="1554" w:type="pct"/>
            <w:gridSpan w:val="2"/>
            <w:shd w:val="clear" w:color="auto" w:fill="323E4F"/>
            <w:tcMar>
              <w:left w:w="58" w:type="dxa"/>
              <w:right w:w="43" w:type="dxa"/>
            </w:tcMar>
          </w:tcPr>
          <w:p w14:paraId="5980B464" w14:textId="77777777" w:rsidR="002A7EB7" w:rsidRPr="00834EEA" w:rsidRDefault="002A7EB7" w:rsidP="00820828">
            <w:pPr>
              <w:spacing w:after="120"/>
              <w:ind w:left="0"/>
              <w:jc w:val="center"/>
              <w:rPr>
                <w:rFonts w:ascii="Tw Cen MT" w:eastAsia="Times New Roman" w:hAnsi="Tw Cen MT"/>
                <w:sz w:val="21"/>
                <w:szCs w:val="21"/>
              </w:rPr>
            </w:pPr>
            <w:r w:rsidRPr="00834EEA">
              <w:rPr>
                <w:rFonts w:ascii="Tw Cen MT" w:eastAsia="Times New Roman" w:hAnsi="Tw Cen MT"/>
                <w:sz w:val="21"/>
                <w:szCs w:val="21"/>
              </w:rPr>
              <w:t xml:space="preserve">Emergency/Urgent Care HCPs </w:t>
            </w:r>
          </w:p>
        </w:tc>
        <w:tc>
          <w:tcPr>
            <w:tcW w:w="825" w:type="pct"/>
            <w:shd w:val="clear" w:color="auto" w:fill="323E4F"/>
            <w:tcMar>
              <w:left w:w="58" w:type="dxa"/>
              <w:right w:w="43" w:type="dxa"/>
            </w:tcMar>
          </w:tcPr>
          <w:p w14:paraId="39954389" w14:textId="77777777" w:rsidR="002A7EB7" w:rsidRPr="00834EEA" w:rsidRDefault="002A7EB7" w:rsidP="00820828">
            <w:pPr>
              <w:spacing w:after="120"/>
              <w:ind w:left="0"/>
              <w:jc w:val="center"/>
              <w:rPr>
                <w:rFonts w:ascii="Tw Cen MT" w:eastAsia="Times New Roman" w:hAnsi="Tw Cen MT"/>
                <w:sz w:val="21"/>
                <w:szCs w:val="21"/>
              </w:rPr>
            </w:pPr>
            <w:r w:rsidRPr="00834EEA">
              <w:rPr>
                <w:rFonts w:ascii="Tw Cen MT" w:eastAsia="Times New Roman" w:hAnsi="Tw Cen MT"/>
                <w:sz w:val="21"/>
                <w:szCs w:val="21"/>
              </w:rPr>
              <w:t>Hospitalists</w:t>
            </w:r>
          </w:p>
        </w:tc>
        <w:tc>
          <w:tcPr>
            <w:tcW w:w="389" w:type="pct"/>
            <w:vMerge w:val="restart"/>
            <w:shd w:val="clear" w:color="auto" w:fill="323E4F"/>
            <w:tcMar>
              <w:left w:w="58" w:type="dxa"/>
              <w:right w:w="43" w:type="dxa"/>
            </w:tcMar>
          </w:tcPr>
          <w:p w14:paraId="2E4CA521" w14:textId="77777777" w:rsidR="002A7EB7" w:rsidRPr="00834EEA" w:rsidRDefault="002A7EB7" w:rsidP="00820828">
            <w:pPr>
              <w:spacing w:after="120"/>
              <w:ind w:left="0"/>
              <w:jc w:val="center"/>
              <w:rPr>
                <w:rFonts w:ascii="Tw Cen MT" w:eastAsia="Times New Roman" w:hAnsi="Tw Cen MT"/>
                <w:sz w:val="21"/>
                <w:szCs w:val="21"/>
              </w:rPr>
            </w:pPr>
            <w:r w:rsidRPr="00834EEA">
              <w:rPr>
                <w:rFonts w:ascii="Tw Cen MT" w:eastAsia="Times New Roman" w:hAnsi="Tw Cen MT"/>
                <w:sz w:val="21"/>
                <w:szCs w:val="21"/>
              </w:rPr>
              <w:t>Total</w:t>
            </w:r>
          </w:p>
        </w:tc>
      </w:tr>
      <w:tr w:rsidR="002A7EB7" w:rsidRPr="00834EEA" w14:paraId="0BA96D3F" w14:textId="77777777" w:rsidTr="00820828">
        <w:trPr>
          <w:trHeight w:val="332"/>
        </w:trPr>
        <w:tc>
          <w:tcPr>
            <w:tcW w:w="1066" w:type="pct"/>
            <w:vMerge/>
            <w:shd w:val="clear" w:color="auto" w:fill="BFBFBF"/>
            <w:tcMar>
              <w:left w:w="58" w:type="dxa"/>
              <w:right w:w="43" w:type="dxa"/>
            </w:tcMar>
          </w:tcPr>
          <w:p w14:paraId="1D3D1FCA" w14:textId="77777777" w:rsidR="002A7EB7" w:rsidRPr="00834EEA" w:rsidRDefault="002A7EB7" w:rsidP="00820828">
            <w:pPr>
              <w:ind w:left="0"/>
              <w:jc w:val="center"/>
              <w:rPr>
                <w:rFonts w:ascii="Tw Cen MT" w:eastAsia="Times New Roman" w:hAnsi="Tw Cen MT"/>
                <w:sz w:val="21"/>
                <w:szCs w:val="21"/>
              </w:rPr>
            </w:pPr>
          </w:p>
        </w:tc>
        <w:tc>
          <w:tcPr>
            <w:tcW w:w="631" w:type="pct"/>
            <w:shd w:val="clear" w:color="auto" w:fill="D5DCE4"/>
            <w:tcMar>
              <w:left w:w="58" w:type="dxa"/>
              <w:right w:w="43" w:type="dxa"/>
            </w:tcMar>
          </w:tcPr>
          <w:p w14:paraId="4CF941ED" w14:textId="77777777" w:rsidR="002A7EB7" w:rsidRPr="00834EEA" w:rsidRDefault="002A7EB7" w:rsidP="00820828">
            <w:pPr>
              <w:ind w:left="0"/>
              <w:jc w:val="center"/>
              <w:rPr>
                <w:rFonts w:ascii="Tw Cen MT" w:eastAsia="Times New Roman" w:hAnsi="Tw Cen MT"/>
                <w:sz w:val="21"/>
                <w:szCs w:val="21"/>
              </w:rPr>
            </w:pPr>
            <w:r w:rsidRPr="00834EEA">
              <w:rPr>
                <w:rFonts w:ascii="Tw Cen MT" w:eastAsia="Times New Roman" w:hAnsi="Tw Cen MT"/>
                <w:sz w:val="21"/>
                <w:szCs w:val="21"/>
              </w:rPr>
              <w:t>Family Practitioners</w:t>
            </w:r>
          </w:p>
        </w:tc>
        <w:tc>
          <w:tcPr>
            <w:tcW w:w="535" w:type="pct"/>
            <w:shd w:val="clear" w:color="auto" w:fill="D5DCE4"/>
            <w:tcMar>
              <w:left w:w="58" w:type="dxa"/>
              <w:right w:w="43" w:type="dxa"/>
            </w:tcMar>
          </w:tcPr>
          <w:p w14:paraId="11630E1F" w14:textId="77777777" w:rsidR="002A7EB7" w:rsidRPr="00834EEA" w:rsidRDefault="002A7EB7" w:rsidP="00820828">
            <w:pPr>
              <w:ind w:left="0"/>
              <w:jc w:val="center"/>
              <w:rPr>
                <w:rFonts w:ascii="Tw Cen MT" w:eastAsia="Times New Roman" w:hAnsi="Tw Cen MT"/>
                <w:sz w:val="21"/>
                <w:szCs w:val="21"/>
              </w:rPr>
            </w:pPr>
            <w:r w:rsidRPr="00834EEA">
              <w:rPr>
                <w:rFonts w:ascii="Tw Cen MT" w:eastAsia="Times New Roman" w:hAnsi="Tw Cen MT"/>
                <w:sz w:val="21"/>
                <w:szCs w:val="21"/>
              </w:rPr>
              <w:t>NPs/PAs</w:t>
            </w:r>
          </w:p>
        </w:tc>
        <w:tc>
          <w:tcPr>
            <w:tcW w:w="729" w:type="pct"/>
            <w:shd w:val="clear" w:color="auto" w:fill="D5DCE4"/>
            <w:tcMar>
              <w:left w:w="58" w:type="dxa"/>
              <w:right w:w="43" w:type="dxa"/>
            </w:tcMar>
          </w:tcPr>
          <w:p w14:paraId="202179C1" w14:textId="77777777" w:rsidR="002A7EB7" w:rsidRPr="00834EEA" w:rsidRDefault="002A7EB7" w:rsidP="00820828">
            <w:pPr>
              <w:ind w:left="0"/>
              <w:jc w:val="center"/>
              <w:rPr>
                <w:rFonts w:ascii="Tw Cen MT" w:eastAsia="Times New Roman" w:hAnsi="Tw Cen MT"/>
                <w:sz w:val="21"/>
                <w:szCs w:val="21"/>
              </w:rPr>
            </w:pPr>
            <w:r w:rsidRPr="00834EEA">
              <w:rPr>
                <w:rFonts w:ascii="Tw Cen MT" w:eastAsia="Times New Roman" w:hAnsi="Tw Cen MT"/>
                <w:sz w:val="21"/>
                <w:szCs w:val="21"/>
              </w:rPr>
              <w:t>ED Attending Physicians</w:t>
            </w:r>
          </w:p>
        </w:tc>
        <w:tc>
          <w:tcPr>
            <w:tcW w:w="825" w:type="pct"/>
            <w:shd w:val="clear" w:color="auto" w:fill="D5DCE4"/>
            <w:tcMar>
              <w:left w:w="58" w:type="dxa"/>
              <w:right w:w="43" w:type="dxa"/>
            </w:tcMar>
          </w:tcPr>
          <w:p w14:paraId="3F48A752" w14:textId="77777777" w:rsidR="002A7EB7" w:rsidRPr="00834EEA" w:rsidRDefault="002A7EB7" w:rsidP="00820828">
            <w:pPr>
              <w:ind w:left="0"/>
              <w:jc w:val="center"/>
              <w:rPr>
                <w:rFonts w:ascii="Tw Cen MT" w:eastAsia="Times New Roman" w:hAnsi="Tw Cen MT"/>
                <w:sz w:val="21"/>
                <w:szCs w:val="21"/>
              </w:rPr>
            </w:pPr>
            <w:r w:rsidRPr="00834EEA">
              <w:rPr>
                <w:rFonts w:ascii="Tw Cen MT" w:eastAsia="Times New Roman" w:hAnsi="Tw Cen MT"/>
                <w:sz w:val="21"/>
                <w:szCs w:val="21"/>
              </w:rPr>
              <w:t>Urgent Care Owner-Physicians</w:t>
            </w:r>
          </w:p>
        </w:tc>
        <w:tc>
          <w:tcPr>
            <w:tcW w:w="825" w:type="pct"/>
            <w:shd w:val="clear" w:color="auto" w:fill="D5DCE4"/>
            <w:tcMar>
              <w:left w:w="58" w:type="dxa"/>
              <w:right w:w="43" w:type="dxa"/>
            </w:tcMar>
          </w:tcPr>
          <w:p w14:paraId="6147D632" w14:textId="77777777" w:rsidR="002A7EB7" w:rsidRPr="00834EEA" w:rsidRDefault="002A7EB7" w:rsidP="00820828">
            <w:pPr>
              <w:ind w:left="0"/>
              <w:jc w:val="center"/>
              <w:rPr>
                <w:rFonts w:ascii="Tw Cen MT" w:eastAsia="Times New Roman" w:hAnsi="Tw Cen MT"/>
                <w:sz w:val="21"/>
                <w:szCs w:val="21"/>
              </w:rPr>
            </w:pPr>
            <w:r w:rsidRPr="00834EEA">
              <w:rPr>
                <w:rFonts w:ascii="Tw Cen MT" w:eastAsia="Times New Roman" w:hAnsi="Tw Cen MT"/>
                <w:sz w:val="21"/>
                <w:szCs w:val="21"/>
              </w:rPr>
              <w:t>Non-Critical Care Hospitalists</w:t>
            </w:r>
          </w:p>
        </w:tc>
        <w:tc>
          <w:tcPr>
            <w:tcW w:w="389" w:type="pct"/>
            <w:vMerge/>
            <w:shd w:val="clear" w:color="auto" w:fill="BFBFBF"/>
            <w:tcMar>
              <w:left w:w="58" w:type="dxa"/>
              <w:right w:w="43" w:type="dxa"/>
            </w:tcMar>
          </w:tcPr>
          <w:p w14:paraId="1BF11B1A" w14:textId="77777777" w:rsidR="002A7EB7" w:rsidRPr="00834EEA" w:rsidRDefault="002A7EB7" w:rsidP="00820828">
            <w:pPr>
              <w:ind w:left="0"/>
              <w:jc w:val="center"/>
              <w:rPr>
                <w:rFonts w:ascii="Tw Cen MT" w:eastAsia="Times New Roman" w:hAnsi="Tw Cen MT"/>
                <w:sz w:val="21"/>
                <w:szCs w:val="21"/>
              </w:rPr>
            </w:pPr>
          </w:p>
        </w:tc>
      </w:tr>
      <w:tr w:rsidR="002A7EB7" w:rsidRPr="00834EEA" w14:paraId="2A13FB7E" w14:textId="77777777" w:rsidTr="00820828">
        <w:trPr>
          <w:trHeight w:val="260"/>
        </w:trPr>
        <w:tc>
          <w:tcPr>
            <w:tcW w:w="1066" w:type="pct"/>
            <w:tcMar>
              <w:left w:w="58" w:type="dxa"/>
              <w:right w:w="43" w:type="dxa"/>
            </w:tcMar>
          </w:tcPr>
          <w:p w14:paraId="7DD0B138" w14:textId="02179E09" w:rsidR="002A7EB7" w:rsidRPr="00834EEA" w:rsidRDefault="002A7EB7" w:rsidP="00A556F8">
            <w:pPr>
              <w:ind w:left="0"/>
              <w:rPr>
                <w:rFonts w:ascii="Tw Cen MT" w:eastAsia="Times New Roman" w:hAnsi="Tw Cen MT"/>
                <w:sz w:val="21"/>
                <w:szCs w:val="21"/>
              </w:rPr>
            </w:pPr>
            <w:r w:rsidRPr="00834EEA">
              <w:rPr>
                <w:rFonts w:ascii="Tw Cen MT" w:eastAsia="Times New Roman" w:hAnsi="Tw Cen MT"/>
                <w:sz w:val="21"/>
                <w:szCs w:val="21"/>
              </w:rPr>
              <w:t>HCP IDIs and PDIS</w:t>
            </w:r>
            <w:r w:rsidR="00A556F8">
              <w:rPr>
                <w:rFonts w:ascii="Tw Cen MT" w:eastAsia="Times New Roman" w:hAnsi="Tw Cen MT"/>
                <w:sz w:val="21"/>
                <w:szCs w:val="21"/>
              </w:rPr>
              <w:t xml:space="preserve"> /</w:t>
            </w:r>
            <w:r w:rsidR="0094080B">
              <w:rPr>
                <w:rFonts w:ascii="Tw Cen MT" w:eastAsia="Times New Roman" w:hAnsi="Tw Cen MT"/>
                <w:sz w:val="21"/>
                <w:szCs w:val="21"/>
              </w:rPr>
              <w:t>All U.S. census regions:</w:t>
            </w:r>
            <w:r w:rsidR="00A556F8">
              <w:rPr>
                <w:rFonts w:ascii="Tw Cen MT" w:eastAsia="Times New Roman" w:hAnsi="Tw Cen MT"/>
                <w:sz w:val="21"/>
                <w:szCs w:val="21"/>
              </w:rPr>
              <w:t xml:space="preserve"> </w:t>
            </w:r>
            <w:r w:rsidR="0094080B">
              <w:rPr>
                <w:rFonts w:ascii="Tw Cen MT" w:eastAsia="Times New Roman" w:hAnsi="Tw Cen MT"/>
                <w:sz w:val="21"/>
                <w:szCs w:val="21"/>
              </w:rPr>
              <w:t>s</w:t>
            </w:r>
            <w:r w:rsidR="0094080B" w:rsidRPr="008F3FCD">
              <w:rPr>
                <w:rFonts w:ascii="Tw Cen MT" w:eastAsia="Times New Roman" w:hAnsi="Tw Cen MT"/>
                <w:sz w:val="21"/>
                <w:szCs w:val="21"/>
              </w:rPr>
              <w:t>outh census region (12); other census regions (12)</w:t>
            </w:r>
          </w:p>
        </w:tc>
        <w:tc>
          <w:tcPr>
            <w:tcW w:w="631" w:type="pct"/>
            <w:tcMar>
              <w:left w:w="58" w:type="dxa"/>
              <w:right w:w="43" w:type="dxa"/>
            </w:tcMar>
          </w:tcPr>
          <w:p w14:paraId="4A2BBF68" w14:textId="77777777" w:rsidR="002A7EB7" w:rsidRPr="00834EEA" w:rsidRDefault="002A7EB7" w:rsidP="00820828">
            <w:pPr>
              <w:spacing w:after="120"/>
              <w:ind w:left="0"/>
              <w:jc w:val="center"/>
              <w:rPr>
                <w:rFonts w:ascii="Tw Cen MT" w:eastAsia="Times New Roman" w:hAnsi="Tw Cen MT"/>
                <w:sz w:val="21"/>
                <w:szCs w:val="21"/>
              </w:rPr>
            </w:pPr>
            <w:r w:rsidRPr="00834EEA">
              <w:rPr>
                <w:rFonts w:ascii="Tw Cen MT" w:eastAsia="Times New Roman" w:hAnsi="Tw Cen MT"/>
                <w:sz w:val="21"/>
                <w:szCs w:val="21"/>
              </w:rPr>
              <w:t>5</w:t>
            </w:r>
          </w:p>
        </w:tc>
        <w:tc>
          <w:tcPr>
            <w:tcW w:w="535" w:type="pct"/>
            <w:tcMar>
              <w:left w:w="58" w:type="dxa"/>
              <w:right w:w="43" w:type="dxa"/>
            </w:tcMar>
          </w:tcPr>
          <w:p w14:paraId="0B5AE19C" w14:textId="77777777" w:rsidR="002A7EB7" w:rsidRPr="00834EEA" w:rsidRDefault="002A7EB7" w:rsidP="00820828">
            <w:pPr>
              <w:spacing w:after="120"/>
              <w:ind w:left="0"/>
              <w:jc w:val="center"/>
              <w:rPr>
                <w:rFonts w:ascii="Tw Cen MT" w:eastAsia="Times New Roman" w:hAnsi="Tw Cen MT"/>
                <w:sz w:val="21"/>
                <w:szCs w:val="21"/>
              </w:rPr>
            </w:pPr>
            <w:r w:rsidRPr="00834EEA">
              <w:rPr>
                <w:rFonts w:ascii="Tw Cen MT" w:eastAsia="Times New Roman" w:hAnsi="Tw Cen MT"/>
                <w:sz w:val="21"/>
                <w:szCs w:val="21"/>
              </w:rPr>
              <w:t>4</w:t>
            </w:r>
          </w:p>
        </w:tc>
        <w:tc>
          <w:tcPr>
            <w:tcW w:w="729" w:type="pct"/>
            <w:shd w:val="clear" w:color="auto" w:fill="FFFFFF"/>
            <w:tcMar>
              <w:left w:w="58" w:type="dxa"/>
              <w:right w:w="43" w:type="dxa"/>
            </w:tcMar>
          </w:tcPr>
          <w:p w14:paraId="388DD592" w14:textId="77777777" w:rsidR="002A7EB7" w:rsidRPr="00834EEA" w:rsidDel="00441705" w:rsidRDefault="002A7EB7" w:rsidP="00820828">
            <w:pPr>
              <w:spacing w:after="120"/>
              <w:ind w:left="0"/>
              <w:jc w:val="center"/>
              <w:rPr>
                <w:rFonts w:ascii="Tw Cen MT" w:eastAsia="Times New Roman" w:hAnsi="Tw Cen MT"/>
                <w:sz w:val="21"/>
                <w:szCs w:val="21"/>
              </w:rPr>
            </w:pPr>
            <w:r w:rsidRPr="00834EEA">
              <w:rPr>
                <w:rFonts w:ascii="Tw Cen MT" w:eastAsia="Times New Roman" w:hAnsi="Tw Cen MT"/>
                <w:sz w:val="21"/>
                <w:szCs w:val="21"/>
              </w:rPr>
              <w:t>4</w:t>
            </w:r>
          </w:p>
        </w:tc>
        <w:tc>
          <w:tcPr>
            <w:tcW w:w="825" w:type="pct"/>
            <w:shd w:val="clear" w:color="auto" w:fill="FFFFFF"/>
            <w:tcMar>
              <w:left w:w="58" w:type="dxa"/>
              <w:right w:w="43" w:type="dxa"/>
            </w:tcMar>
          </w:tcPr>
          <w:p w14:paraId="344708D9" w14:textId="77777777" w:rsidR="002A7EB7" w:rsidRPr="00834EEA" w:rsidRDefault="002A7EB7" w:rsidP="00820828">
            <w:pPr>
              <w:spacing w:after="120"/>
              <w:ind w:left="0"/>
              <w:jc w:val="center"/>
              <w:rPr>
                <w:rFonts w:ascii="Tw Cen MT" w:eastAsia="Times New Roman" w:hAnsi="Tw Cen MT"/>
                <w:sz w:val="21"/>
                <w:szCs w:val="21"/>
              </w:rPr>
            </w:pPr>
            <w:r w:rsidRPr="00834EEA">
              <w:rPr>
                <w:rFonts w:ascii="Tw Cen MT" w:eastAsia="Times New Roman" w:hAnsi="Tw Cen MT"/>
                <w:sz w:val="21"/>
                <w:szCs w:val="21"/>
              </w:rPr>
              <w:t>5</w:t>
            </w:r>
          </w:p>
        </w:tc>
        <w:tc>
          <w:tcPr>
            <w:tcW w:w="825" w:type="pct"/>
            <w:shd w:val="clear" w:color="auto" w:fill="FFFFFF"/>
            <w:tcMar>
              <w:left w:w="58" w:type="dxa"/>
              <w:right w:w="43" w:type="dxa"/>
            </w:tcMar>
          </w:tcPr>
          <w:p w14:paraId="242B3943" w14:textId="77777777" w:rsidR="002A7EB7" w:rsidRPr="00834EEA" w:rsidRDefault="002A7EB7" w:rsidP="00820828">
            <w:pPr>
              <w:spacing w:after="120"/>
              <w:ind w:left="0"/>
              <w:jc w:val="center"/>
              <w:rPr>
                <w:rFonts w:ascii="Tw Cen MT" w:eastAsia="Times New Roman" w:hAnsi="Tw Cen MT"/>
                <w:sz w:val="21"/>
                <w:szCs w:val="21"/>
              </w:rPr>
            </w:pPr>
            <w:r w:rsidRPr="00834EEA">
              <w:rPr>
                <w:rFonts w:ascii="Tw Cen MT" w:eastAsia="Times New Roman" w:hAnsi="Tw Cen MT"/>
                <w:sz w:val="21"/>
                <w:szCs w:val="21"/>
              </w:rPr>
              <w:t>6</w:t>
            </w:r>
          </w:p>
        </w:tc>
        <w:tc>
          <w:tcPr>
            <w:tcW w:w="389" w:type="pct"/>
            <w:shd w:val="clear" w:color="auto" w:fill="FFFFFF"/>
            <w:tcMar>
              <w:left w:w="58" w:type="dxa"/>
              <w:right w:w="43" w:type="dxa"/>
            </w:tcMar>
          </w:tcPr>
          <w:p w14:paraId="29407D4F" w14:textId="77777777" w:rsidR="002A7EB7" w:rsidRPr="00834EEA" w:rsidRDefault="002A7EB7" w:rsidP="00820828">
            <w:pPr>
              <w:spacing w:after="120"/>
              <w:ind w:left="0"/>
              <w:jc w:val="center"/>
              <w:rPr>
                <w:rFonts w:ascii="Tw Cen MT" w:eastAsia="Times New Roman" w:hAnsi="Tw Cen MT"/>
                <w:sz w:val="21"/>
                <w:szCs w:val="21"/>
              </w:rPr>
            </w:pPr>
            <w:r w:rsidRPr="00834EEA">
              <w:rPr>
                <w:rFonts w:ascii="Tw Cen MT" w:eastAsia="Times New Roman" w:hAnsi="Tw Cen MT"/>
                <w:sz w:val="21"/>
                <w:szCs w:val="21"/>
              </w:rPr>
              <w:t>24</w:t>
            </w:r>
          </w:p>
        </w:tc>
      </w:tr>
    </w:tbl>
    <w:p w14:paraId="4DC29691" w14:textId="77777777" w:rsidR="002A7EB7" w:rsidRDefault="002A7EB7" w:rsidP="002115E2">
      <w:pPr>
        <w:ind w:left="0"/>
        <w:rPr>
          <w:rFonts w:ascii="Times New Roman" w:hAnsi="Times New Roman" w:cs="Times New Roman"/>
          <w:b/>
        </w:rPr>
      </w:pPr>
    </w:p>
    <w:p w14:paraId="5BA3E8AA" w14:textId="15525366" w:rsidR="002A7EB7" w:rsidRDefault="002A7EB7" w:rsidP="002115E2">
      <w:pPr>
        <w:ind w:left="0"/>
        <w:rPr>
          <w:rFonts w:ascii="Times New Roman" w:hAnsi="Times New Roman" w:cs="Times New Roman"/>
          <w:b/>
        </w:rPr>
      </w:pPr>
      <w:r>
        <w:rPr>
          <w:rFonts w:ascii="Times New Roman" w:hAnsi="Times New Roman" w:cs="Times New Roman"/>
          <w:b/>
        </w:rPr>
        <w:t xml:space="preserve">Exhibit 4: </w:t>
      </w:r>
      <w:r w:rsidRPr="002115E2">
        <w:rPr>
          <w:rFonts w:ascii="Times New Roman" w:hAnsi="Times New Roman" w:cs="Times New Roman"/>
          <w:b/>
        </w:rPr>
        <w:t xml:space="preserve">Number of </w:t>
      </w:r>
      <w:r>
        <w:rPr>
          <w:rFonts w:ascii="Times New Roman" w:hAnsi="Times New Roman" w:cs="Times New Roman"/>
          <w:b/>
        </w:rPr>
        <w:t xml:space="preserve">Consumer </w:t>
      </w:r>
      <w:r w:rsidRPr="002115E2">
        <w:rPr>
          <w:rFonts w:ascii="Times New Roman" w:hAnsi="Times New Roman" w:cs="Times New Roman"/>
          <w:b/>
        </w:rPr>
        <w:t xml:space="preserve">Participants for </w:t>
      </w:r>
      <w:r>
        <w:rPr>
          <w:rFonts w:ascii="Times New Roman" w:hAnsi="Times New Roman" w:cs="Times New Roman"/>
          <w:b/>
        </w:rPr>
        <w:t xml:space="preserve">Antibiotic Use </w:t>
      </w:r>
      <w:r w:rsidRPr="002115E2">
        <w:rPr>
          <w:rFonts w:ascii="Times New Roman" w:hAnsi="Times New Roman" w:cs="Times New Roman"/>
          <w:b/>
        </w:rPr>
        <w:t>Campaign Data Collection</w:t>
      </w:r>
    </w:p>
    <w:tbl>
      <w:tblPr>
        <w:tblStyle w:val="TableGrid1"/>
        <w:tblW w:w="4956" w:type="pct"/>
        <w:tblLook w:val="04A0" w:firstRow="1" w:lastRow="0" w:firstColumn="1" w:lastColumn="0" w:noHBand="0" w:noVBand="1"/>
      </w:tblPr>
      <w:tblGrid>
        <w:gridCol w:w="1907"/>
        <w:gridCol w:w="1416"/>
        <w:gridCol w:w="1956"/>
        <w:gridCol w:w="1505"/>
        <w:gridCol w:w="1778"/>
        <w:gridCol w:w="706"/>
      </w:tblGrid>
      <w:tr w:rsidR="002A7EB7" w:rsidRPr="00834EEA" w14:paraId="0AF8B278" w14:textId="77777777" w:rsidTr="00820828">
        <w:trPr>
          <w:trHeight w:val="152"/>
        </w:trPr>
        <w:tc>
          <w:tcPr>
            <w:tcW w:w="1029" w:type="pct"/>
            <w:vMerge w:val="restart"/>
            <w:shd w:val="clear" w:color="auto" w:fill="323E4F"/>
            <w:tcMar>
              <w:left w:w="58" w:type="dxa"/>
              <w:right w:w="43" w:type="dxa"/>
            </w:tcMar>
          </w:tcPr>
          <w:p w14:paraId="536FF224" w14:textId="77777777" w:rsidR="002A7EB7" w:rsidRPr="00834EEA" w:rsidRDefault="002A7EB7" w:rsidP="00820828">
            <w:pPr>
              <w:spacing w:after="120"/>
              <w:ind w:left="0"/>
              <w:jc w:val="center"/>
              <w:rPr>
                <w:rFonts w:ascii="Tw Cen MT" w:eastAsia="Times New Roman" w:hAnsi="Tw Cen MT"/>
                <w:sz w:val="21"/>
                <w:szCs w:val="21"/>
              </w:rPr>
            </w:pPr>
            <w:r w:rsidRPr="00834EEA">
              <w:rPr>
                <w:rFonts w:ascii="Tw Cen MT" w:eastAsia="Times New Roman" w:hAnsi="Tw Cen MT"/>
                <w:sz w:val="21"/>
                <w:szCs w:val="21"/>
              </w:rPr>
              <w:t>Activity/Geographic Areas</w:t>
            </w:r>
          </w:p>
        </w:tc>
        <w:tc>
          <w:tcPr>
            <w:tcW w:w="764" w:type="pct"/>
            <w:shd w:val="clear" w:color="auto" w:fill="323E4F"/>
            <w:tcMar>
              <w:left w:w="58" w:type="dxa"/>
              <w:right w:w="43" w:type="dxa"/>
            </w:tcMar>
          </w:tcPr>
          <w:p w14:paraId="08A94039" w14:textId="77777777" w:rsidR="002A7EB7" w:rsidRPr="00834EEA" w:rsidRDefault="002A7EB7" w:rsidP="00820828">
            <w:pPr>
              <w:spacing w:after="120"/>
              <w:ind w:left="0"/>
              <w:jc w:val="center"/>
              <w:rPr>
                <w:rFonts w:ascii="Tw Cen MT" w:eastAsia="Times New Roman" w:hAnsi="Tw Cen MT"/>
                <w:sz w:val="21"/>
                <w:szCs w:val="21"/>
              </w:rPr>
            </w:pPr>
            <w:r w:rsidRPr="00834EEA">
              <w:rPr>
                <w:rFonts w:ascii="Tw Cen MT" w:eastAsia="Times New Roman" w:hAnsi="Tw Cen MT"/>
                <w:sz w:val="21"/>
                <w:szCs w:val="21"/>
              </w:rPr>
              <w:t xml:space="preserve">Self-Demanders </w:t>
            </w:r>
          </w:p>
        </w:tc>
        <w:tc>
          <w:tcPr>
            <w:tcW w:w="1055" w:type="pct"/>
            <w:shd w:val="clear" w:color="auto" w:fill="323E4F"/>
            <w:tcMar>
              <w:left w:w="58" w:type="dxa"/>
              <w:right w:w="43" w:type="dxa"/>
            </w:tcMar>
          </w:tcPr>
          <w:p w14:paraId="601188D2" w14:textId="77777777" w:rsidR="002A7EB7" w:rsidRPr="00834EEA" w:rsidRDefault="002A7EB7" w:rsidP="00820828">
            <w:pPr>
              <w:spacing w:after="120"/>
              <w:ind w:left="0"/>
              <w:jc w:val="center"/>
              <w:rPr>
                <w:rFonts w:ascii="Tw Cen MT" w:eastAsia="Times New Roman" w:hAnsi="Tw Cen MT"/>
                <w:sz w:val="21"/>
                <w:szCs w:val="21"/>
              </w:rPr>
            </w:pPr>
            <w:r w:rsidRPr="00834EEA">
              <w:rPr>
                <w:rFonts w:ascii="Tw Cen MT" w:eastAsia="Times New Roman" w:hAnsi="Tw Cen MT"/>
                <w:sz w:val="21"/>
                <w:szCs w:val="21"/>
              </w:rPr>
              <w:t xml:space="preserve">Caregiver-Demanders </w:t>
            </w:r>
          </w:p>
        </w:tc>
        <w:tc>
          <w:tcPr>
            <w:tcW w:w="812" w:type="pct"/>
            <w:shd w:val="clear" w:color="auto" w:fill="323E4F"/>
            <w:tcMar>
              <w:left w:w="58" w:type="dxa"/>
              <w:right w:w="43" w:type="dxa"/>
            </w:tcMar>
          </w:tcPr>
          <w:p w14:paraId="1BBAD062" w14:textId="77777777" w:rsidR="002A7EB7" w:rsidRPr="00834EEA" w:rsidRDefault="002A7EB7" w:rsidP="00820828">
            <w:pPr>
              <w:spacing w:after="120"/>
              <w:ind w:left="0"/>
              <w:jc w:val="center"/>
              <w:rPr>
                <w:rFonts w:ascii="Tw Cen MT" w:eastAsia="Times New Roman" w:hAnsi="Tw Cen MT"/>
                <w:sz w:val="21"/>
                <w:szCs w:val="21"/>
              </w:rPr>
            </w:pPr>
            <w:r w:rsidRPr="00834EEA">
              <w:rPr>
                <w:rFonts w:ascii="Tw Cen MT" w:eastAsia="Times New Roman" w:hAnsi="Tw Cen MT"/>
                <w:sz w:val="21"/>
                <w:szCs w:val="21"/>
              </w:rPr>
              <w:t xml:space="preserve">Self-Expectors </w:t>
            </w:r>
          </w:p>
        </w:tc>
        <w:tc>
          <w:tcPr>
            <w:tcW w:w="959" w:type="pct"/>
            <w:shd w:val="clear" w:color="auto" w:fill="323E4F"/>
            <w:tcMar>
              <w:left w:w="58" w:type="dxa"/>
              <w:right w:w="43" w:type="dxa"/>
            </w:tcMar>
          </w:tcPr>
          <w:p w14:paraId="68D90F40" w14:textId="77777777" w:rsidR="002A7EB7" w:rsidRPr="00834EEA" w:rsidRDefault="002A7EB7" w:rsidP="00820828">
            <w:pPr>
              <w:spacing w:after="120"/>
              <w:ind w:left="0"/>
              <w:jc w:val="center"/>
              <w:rPr>
                <w:rFonts w:ascii="Tw Cen MT" w:eastAsia="Times New Roman" w:hAnsi="Tw Cen MT"/>
                <w:sz w:val="21"/>
                <w:szCs w:val="21"/>
              </w:rPr>
            </w:pPr>
            <w:r w:rsidRPr="00834EEA">
              <w:rPr>
                <w:rFonts w:ascii="Tw Cen MT" w:eastAsia="Times New Roman" w:hAnsi="Tw Cen MT"/>
                <w:sz w:val="21"/>
                <w:szCs w:val="21"/>
              </w:rPr>
              <w:t>Caregiver-Expectors</w:t>
            </w:r>
          </w:p>
        </w:tc>
        <w:tc>
          <w:tcPr>
            <w:tcW w:w="381" w:type="pct"/>
            <w:vMerge w:val="restart"/>
            <w:shd w:val="clear" w:color="auto" w:fill="323E4F"/>
            <w:tcMar>
              <w:left w:w="58" w:type="dxa"/>
              <w:right w:w="43" w:type="dxa"/>
            </w:tcMar>
          </w:tcPr>
          <w:p w14:paraId="6A2AE74F" w14:textId="77777777" w:rsidR="002A7EB7" w:rsidRPr="00834EEA" w:rsidRDefault="002A7EB7" w:rsidP="00820828">
            <w:pPr>
              <w:spacing w:after="120"/>
              <w:ind w:left="0"/>
              <w:jc w:val="center"/>
              <w:rPr>
                <w:rFonts w:ascii="Tw Cen MT" w:eastAsia="Times New Roman" w:hAnsi="Tw Cen MT"/>
                <w:sz w:val="21"/>
                <w:szCs w:val="21"/>
              </w:rPr>
            </w:pPr>
            <w:r w:rsidRPr="00834EEA">
              <w:rPr>
                <w:rFonts w:ascii="Tw Cen MT" w:eastAsia="Times New Roman" w:hAnsi="Tw Cen MT"/>
                <w:sz w:val="21"/>
                <w:szCs w:val="21"/>
              </w:rPr>
              <w:t>Total</w:t>
            </w:r>
          </w:p>
        </w:tc>
      </w:tr>
      <w:tr w:rsidR="002A7EB7" w:rsidRPr="00834EEA" w14:paraId="0AD174B7" w14:textId="77777777" w:rsidTr="00820828">
        <w:trPr>
          <w:trHeight w:val="800"/>
        </w:trPr>
        <w:tc>
          <w:tcPr>
            <w:tcW w:w="1029" w:type="pct"/>
            <w:vMerge/>
            <w:shd w:val="clear" w:color="auto" w:fill="BFBFBF"/>
            <w:tcMar>
              <w:left w:w="58" w:type="dxa"/>
              <w:right w:w="43" w:type="dxa"/>
            </w:tcMar>
          </w:tcPr>
          <w:p w14:paraId="01E3673C" w14:textId="77777777" w:rsidR="002A7EB7" w:rsidRPr="00834EEA" w:rsidRDefault="002A7EB7" w:rsidP="00820828">
            <w:pPr>
              <w:ind w:left="0"/>
              <w:jc w:val="center"/>
              <w:rPr>
                <w:rFonts w:ascii="Tw Cen MT" w:eastAsia="Times New Roman" w:hAnsi="Tw Cen MT"/>
                <w:sz w:val="21"/>
                <w:szCs w:val="21"/>
              </w:rPr>
            </w:pPr>
          </w:p>
        </w:tc>
        <w:tc>
          <w:tcPr>
            <w:tcW w:w="764" w:type="pct"/>
            <w:shd w:val="clear" w:color="auto" w:fill="D5DCE4"/>
            <w:tcMar>
              <w:left w:w="58" w:type="dxa"/>
              <w:right w:w="43" w:type="dxa"/>
            </w:tcMar>
          </w:tcPr>
          <w:p w14:paraId="0BFC20C6" w14:textId="77777777" w:rsidR="002A7EB7" w:rsidRPr="00834EEA" w:rsidRDefault="002A7EB7" w:rsidP="00820828">
            <w:pPr>
              <w:ind w:left="0"/>
              <w:jc w:val="center"/>
              <w:rPr>
                <w:rFonts w:ascii="Tw Cen MT" w:eastAsia="Times New Roman" w:hAnsi="Tw Cen MT"/>
                <w:sz w:val="21"/>
                <w:szCs w:val="21"/>
              </w:rPr>
            </w:pPr>
            <w:r w:rsidRPr="00834EEA">
              <w:rPr>
                <w:rFonts w:ascii="Tw Cen MT" w:eastAsia="Times New Roman" w:hAnsi="Tw Cen MT"/>
                <w:sz w:val="21"/>
                <w:szCs w:val="21"/>
              </w:rPr>
              <w:t>White Female Healthy, 21–45 years</w:t>
            </w:r>
          </w:p>
        </w:tc>
        <w:tc>
          <w:tcPr>
            <w:tcW w:w="1055" w:type="pct"/>
            <w:shd w:val="clear" w:color="auto" w:fill="D5DCE4"/>
            <w:tcMar>
              <w:left w:w="58" w:type="dxa"/>
              <w:right w:w="43" w:type="dxa"/>
            </w:tcMar>
          </w:tcPr>
          <w:p w14:paraId="6281F358" w14:textId="77777777" w:rsidR="002A7EB7" w:rsidRPr="00834EEA" w:rsidRDefault="002A7EB7" w:rsidP="00820828">
            <w:pPr>
              <w:ind w:left="0"/>
              <w:jc w:val="center"/>
              <w:rPr>
                <w:rFonts w:ascii="Tw Cen MT" w:eastAsia="Times New Roman" w:hAnsi="Tw Cen MT"/>
                <w:sz w:val="21"/>
                <w:szCs w:val="21"/>
              </w:rPr>
            </w:pPr>
            <w:r w:rsidRPr="00834EEA">
              <w:rPr>
                <w:rFonts w:ascii="Tw Cen MT" w:eastAsia="Times New Roman" w:hAnsi="Tw Cen MT"/>
                <w:sz w:val="21"/>
                <w:szCs w:val="21"/>
              </w:rPr>
              <w:t>White Female Healthy, Child &lt; 5 years, 30-54 years</w:t>
            </w:r>
          </w:p>
        </w:tc>
        <w:tc>
          <w:tcPr>
            <w:tcW w:w="812" w:type="pct"/>
            <w:shd w:val="clear" w:color="auto" w:fill="D5DCE4"/>
            <w:tcMar>
              <w:left w:w="58" w:type="dxa"/>
              <w:right w:w="43" w:type="dxa"/>
            </w:tcMar>
          </w:tcPr>
          <w:p w14:paraId="2E615645" w14:textId="77777777" w:rsidR="002A7EB7" w:rsidRPr="00834EEA" w:rsidRDefault="002A7EB7" w:rsidP="00820828">
            <w:pPr>
              <w:ind w:left="0"/>
              <w:jc w:val="center"/>
              <w:rPr>
                <w:rFonts w:ascii="Tw Cen MT" w:eastAsia="Times New Roman" w:hAnsi="Tw Cen MT"/>
                <w:sz w:val="21"/>
                <w:szCs w:val="21"/>
              </w:rPr>
            </w:pPr>
            <w:r w:rsidRPr="00834EEA">
              <w:rPr>
                <w:rFonts w:ascii="Tw Cen MT" w:eastAsia="Times New Roman" w:hAnsi="Tw Cen MT"/>
                <w:sz w:val="21"/>
                <w:szCs w:val="21"/>
              </w:rPr>
              <w:t>Hispanic Female, Healthy, 30–45 years</w:t>
            </w:r>
          </w:p>
        </w:tc>
        <w:tc>
          <w:tcPr>
            <w:tcW w:w="959" w:type="pct"/>
            <w:shd w:val="clear" w:color="auto" w:fill="D5DCE4"/>
            <w:tcMar>
              <w:left w:w="58" w:type="dxa"/>
              <w:right w:w="43" w:type="dxa"/>
            </w:tcMar>
          </w:tcPr>
          <w:p w14:paraId="6737616B" w14:textId="77777777" w:rsidR="002A7EB7" w:rsidRPr="00834EEA" w:rsidRDefault="002A7EB7" w:rsidP="00820828">
            <w:pPr>
              <w:ind w:left="0"/>
              <w:jc w:val="center"/>
              <w:rPr>
                <w:rFonts w:ascii="Tw Cen MT" w:eastAsia="Times New Roman" w:hAnsi="Tw Cen MT"/>
                <w:sz w:val="21"/>
                <w:szCs w:val="21"/>
              </w:rPr>
            </w:pPr>
            <w:r w:rsidRPr="00834EEA">
              <w:rPr>
                <w:rFonts w:ascii="Tw Cen MT" w:eastAsia="Times New Roman" w:hAnsi="Tw Cen MT"/>
                <w:sz w:val="21"/>
                <w:szCs w:val="21"/>
              </w:rPr>
              <w:t xml:space="preserve"> AA Female, Healthy, First-Time Mothers, 30–45 years</w:t>
            </w:r>
          </w:p>
        </w:tc>
        <w:tc>
          <w:tcPr>
            <w:tcW w:w="381" w:type="pct"/>
            <w:vMerge/>
            <w:shd w:val="clear" w:color="auto" w:fill="BFBFBF"/>
            <w:tcMar>
              <w:left w:w="58" w:type="dxa"/>
              <w:right w:w="43" w:type="dxa"/>
            </w:tcMar>
          </w:tcPr>
          <w:p w14:paraId="52A1233B" w14:textId="77777777" w:rsidR="002A7EB7" w:rsidRPr="00834EEA" w:rsidRDefault="002A7EB7" w:rsidP="00820828">
            <w:pPr>
              <w:ind w:left="0"/>
              <w:jc w:val="center"/>
              <w:rPr>
                <w:rFonts w:ascii="Tw Cen MT" w:eastAsia="Times New Roman" w:hAnsi="Tw Cen MT"/>
                <w:sz w:val="21"/>
                <w:szCs w:val="21"/>
              </w:rPr>
            </w:pPr>
          </w:p>
        </w:tc>
      </w:tr>
      <w:tr w:rsidR="002A7EB7" w:rsidRPr="00834EEA" w14:paraId="64E7EEAE" w14:textId="77777777" w:rsidTr="00820828">
        <w:trPr>
          <w:trHeight w:val="413"/>
        </w:trPr>
        <w:tc>
          <w:tcPr>
            <w:tcW w:w="1029" w:type="pct"/>
            <w:tcMar>
              <w:left w:w="58" w:type="dxa"/>
              <w:right w:w="43" w:type="dxa"/>
            </w:tcMar>
          </w:tcPr>
          <w:p w14:paraId="207741A3" w14:textId="39BC5977" w:rsidR="002A7EB7" w:rsidRPr="004615B1" w:rsidRDefault="002A7EB7">
            <w:pPr>
              <w:ind w:left="0"/>
              <w:rPr>
                <w:rFonts w:ascii="Tw Cen MT" w:eastAsia="Times New Roman" w:hAnsi="Tw Cen MT"/>
                <w:sz w:val="21"/>
                <w:szCs w:val="21"/>
              </w:rPr>
            </w:pPr>
            <w:r w:rsidRPr="004615B1">
              <w:rPr>
                <w:rFonts w:ascii="Tw Cen MT" w:eastAsia="Times New Roman" w:hAnsi="Tw Cen MT"/>
                <w:sz w:val="21"/>
                <w:szCs w:val="21"/>
              </w:rPr>
              <w:t>Consumer focus groups and PDIS</w:t>
            </w:r>
            <w:r w:rsidR="008C31C2">
              <w:rPr>
                <w:rFonts w:ascii="Tw Cen MT" w:eastAsia="Times New Roman" w:hAnsi="Tw Cen MT"/>
                <w:sz w:val="21"/>
                <w:szCs w:val="21"/>
              </w:rPr>
              <w:t xml:space="preserve"> / </w:t>
            </w:r>
            <w:r w:rsidR="0094080B" w:rsidRPr="008F3FCD">
              <w:rPr>
                <w:rFonts w:ascii="Tw Cen MT" w:eastAsia="Times New Roman" w:hAnsi="Tw Cen MT"/>
                <w:sz w:val="21"/>
                <w:szCs w:val="21"/>
              </w:rPr>
              <w:t>All U.S</w:t>
            </w:r>
            <w:r w:rsidR="0094080B">
              <w:rPr>
                <w:rFonts w:ascii="Tw Cen MT" w:eastAsia="Times New Roman" w:hAnsi="Tw Cen MT"/>
                <w:sz w:val="21"/>
                <w:szCs w:val="21"/>
              </w:rPr>
              <w:t>. census regions: s</w:t>
            </w:r>
            <w:r w:rsidR="0094080B" w:rsidRPr="008F3FCD">
              <w:rPr>
                <w:rFonts w:ascii="Tw Cen MT" w:eastAsia="Times New Roman" w:hAnsi="Tw Cen MT"/>
                <w:sz w:val="21"/>
                <w:szCs w:val="21"/>
              </w:rPr>
              <w:t>outh census region (18); other census regions (18)</w:t>
            </w:r>
          </w:p>
        </w:tc>
        <w:tc>
          <w:tcPr>
            <w:tcW w:w="764" w:type="pct"/>
            <w:tcMar>
              <w:left w:w="58" w:type="dxa"/>
              <w:right w:w="43" w:type="dxa"/>
            </w:tcMar>
          </w:tcPr>
          <w:p w14:paraId="1A1DC3B0" w14:textId="77777777" w:rsidR="002A7EB7" w:rsidRPr="004615B1" w:rsidRDefault="002A7EB7" w:rsidP="00820828">
            <w:pPr>
              <w:ind w:left="0"/>
              <w:jc w:val="center"/>
              <w:rPr>
                <w:rFonts w:ascii="Tw Cen MT" w:eastAsia="Times New Roman" w:hAnsi="Tw Cen MT"/>
                <w:sz w:val="21"/>
                <w:szCs w:val="21"/>
              </w:rPr>
            </w:pPr>
            <w:r w:rsidRPr="004615B1">
              <w:rPr>
                <w:rFonts w:ascii="Tw Cen MT" w:eastAsia="Times New Roman" w:hAnsi="Tw Cen MT"/>
                <w:sz w:val="21"/>
                <w:szCs w:val="21"/>
              </w:rPr>
              <w:t>3 (n=3)</w:t>
            </w:r>
          </w:p>
        </w:tc>
        <w:tc>
          <w:tcPr>
            <w:tcW w:w="1055" w:type="pct"/>
            <w:tcMar>
              <w:left w:w="58" w:type="dxa"/>
              <w:right w:w="43" w:type="dxa"/>
            </w:tcMar>
          </w:tcPr>
          <w:p w14:paraId="02E8F6A1" w14:textId="77777777" w:rsidR="002A7EB7" w:rsidRPr="004615B1" w:rsidRDefault="002A7EB7" w:rsidP="00820828">
            <w:pPr>
              <w:ind w:left="0"/>
              <w:jc w:val="center"/>
              <w:rPr>
                <w:rFonts w:ascii="Tw Cen MT" w:eastAsia="Times New Roman" w:hAnsi="Tw Cen MT"/>
                <w:sz w:val="21"/>
                <w:szCs w:val="21"/>
              </w:rPr>
            </w:pPr>
            <w:r w:rsidRPr="004615B1">
              <w:rPr>
                <w:rFonts w:ascii="Tw Cen MT" w:eastAsia="Times New Roman" w:hAnsi="Tw Cen MT"/>
                <w:sz w:val="21"/>
                <w:szCs w:val="21"/>
              </w:rPr>
              <w:t>3 (n=3)</w:t>
            </w:r>
          </w:p>
        </w:tc>
        <w:tc>
          <w:tcPr>
            <w:tcW w:w="812" w:type="pct"/>
            <w:shd w:val="clear" w:color="auto" w:fill="FFFFFF"/>
            <w:tcMar>
              <w:left w:w="58" w:type="dxa"/>
              <w:right w:w="43" w:type="dxa"/>
            </w:tcMar>
          </w:tcPr>
          <w:p w14:paraId="3E4A411A" w14:textId="77777777" w:rsidR="002A7EB7" w:rsidRPr="004615B1" w:rsidDel="00441705" w:rsidRDefault="002A7EB7" w:rsidP="00820828">
            <w:pPr>
              <w:ind w:left="0"/>
              <w:jc w:val="center"/>
              <w:rPr>
                <w:rFonts w:ascii="Tw Cen MT" w:eastAsia="Times New Roman" w:hAnsi="Tw Cen MT"/>
                <w:sz w:val="21"/>
                <w:szCs w:val="21"/>
              </w:rPr>
            </w:pPr>
            <w:r w:rsidRPr="004615B1">
              <w:rPr>
                <w:rFonts w:ascii="Tw Cen MT" w:eastAsia="Times New Roman" w:hAnsi="Tw Cen MT"/>
                <w:sz w:val="21"/>
                <w:szCs w:val="21"/>
              </w:rPr>
              <w:t>3 (n=3)</w:t>
            </w:r>
          </w:p>
        </w:tc>
        <w:tc>
          <w:tcPr>
            <w:tcW w:w="959" w:type="pct"/>
            <w:shd w:val="clear" w:color="auto" w:fill="FFFFFF"/>
            <w:tcMar>
              <w:left w:w="58" w:type="dxa"/>
              <w:right w:w="43" w:type="dxa"/>
            </w:tcMar>
          </w:tcPr>
          <w:p w14:paraId="41B04848" w14:textId="77777777" w:rsidR="002A7EB7" w:rsidRPr="004615B1" w:rsidRDefault="002A7EB7" w:rsidP="00820828">
            <w:pPr>
              <w:ind w:left="0"/>
              <w:jc w:val="center"/>
              <w:rPr>
                <w:rFonts w:ascii="Tw Cen MT" w:eastAsia="Times New Roman" w:hAnsi="Tw Cen MT"/>
                <w:sz w:val="21"/>
                <w:szCs w:val="21"/>
              </w:rPr>
            </w:pPr>
            <w:r w:rsidRPr="004615B1">
              <w:rPr>
                <w:rFonts w:ascii="Tw Cen MT" w:eastAsia="Times New Roman" w:hAnsi="Tw Cen MT"/>
                <w:sz w:val="21"/>
                <w:szCs w:val="21"/>
              </w:rPr>
              <w:t>3 (n=3)</w:t>
            </w:r>
          </w:p>
        </w:tc>
        <w:tc>
          <w:tcPr>
            <w:tcW w:w="381" w:type="pct"/>
            <w:shd w:val="clear" w:color="auto" w:fill="FFFFFF"/>
            <w:tcMar>
              <w:left w:w="58" w:type="dxa"/>
              <w:right w:w="43" w:type="dxa"/>
            </w:tcMar>
          </w:tcPr>
          <w:p w14:paraId="22D1C7BA" w14:textId="77777777" w:rsidR="002A7EB7" w:rsidRPr="004615B1" w:rsidRDefault="002A7EB7" w:rsidP="00820828">
            <w:pPr>
              <w:ind w:left="0"/>
              <w:jc w:val="center"/>
              <w:rPr>
                <w:rFonts w:ascii="Tw Cen MT" w:eastAsia="Times New Roman" w:hAnsi="Tw Cen MT"/>
                <w:sz w:val="21"/>
                <w:szCs w:val="21"/>
              </w:rPr>
            </w:pPr>
            <w:r w:rsidRPr="004615B1">
              <w:rPr>
                <w:rFonts w:ascii="Tw Cen MT" w:eastAsia="Times New Roman" w:hAnsi="Tw Cen MT"/>
                <w:sz w:val="21"/>
                <w:szCs w:val="21"/>
              </w:rPr>
              <w:t>12 (n=36)</w:t>
            </w:r>
          </w:p>
        </w:tc>
      </w:tr>
    </w:tbl>
    <w:p w14:paraId="6C8045EB" w14:textId="4F541CCF" w:rsidR="002A7EB7" w:rsidRPr="002115E2" w:rsidRDefault="00A556F8" w:rsidP="00D1065C">
      <w:pPr>
        <w:tabs>
          <w:tab w:val="left" w:pos="2055"/>
        </w:tabs>
        <w:ind w:left="0"/>
        <w:rPr>
          <w:rFonts w:ascii="Times New Roman" w:hAnsi="Times New Roman" w:cs="Times New Roman"/>
        </w:rPr>
      </w:pPr>
      <w:r>
        <w:rPr>
          <w:rFonts w:ascii="Times New Roman" w:hAnsi="Times New Roman" w:cs="Times New Roman"/>
        </w:rPr>
        <w:tab/>
      </w:r>
    </w:p>
    <w:p w14:paraId="155B58F4" w14:textId="7F6C5F92" w:rsidR="002115E2" w:rsidRDefault="002115E2" w:rsidP="002115E2">
      <w:pPr>
        <w:ind w:left="0"/>
        <w:rPr>
          <w:rFonts w:ascii="Times New Roman" w:hAnsi="Times New Roman" w:cs="Times New Roman"/>
        </w:rPr>
      </w:pPr>
      <w:r w:rsidRPr="002115E2">
        <w:rPr>
          <w:rFonts w:ascii="Times New Roman" w:hAnsi="Times New Roman" w:cs="Times New Roman"/>
        </w:rPr>
        <w:t xml:space="preserve">The respondent universe and sampling methods are described below for the </w:t>
      </w:r>
      <w:r w:rsidR="003E1BF5">
        <w:rPr>
          <w:rFonts w:ascii="Times New Roman" w:hAnsi="Times New Roman" w:cs="Times New Roman"/>
        </w:rPr>
        <w:t>s</w:t>
      </w:r>
      <w:r w:rsidR="00E97F5D">
        <w:rPr>
          <w:rFonts w:ascii="Times New Roman" w:hAnsi="Times New Roman" w:cs="Times New Roman"/>
        </w:rPr>
        <w:t xml:space="preserve">epsis and </w:t>
      </w:r>
      <w:r w:rsidR="003E1BF5">
        <w:rPr>
          <w:rFonts w:ascii="Times New Roman" w:hAnsi="Times New Roman" w:cs="Times New Roman"/>
        </w:rPr>
        <w:t>a</w:t>
      </w:r>
      <w:r w:rsidR="00E97F5D">
        <w:rPr>
          <w:rFonts w:ascii="Times New Roman" w:hAnsi="Times New Roman" w:cs="Times New Roman"/>
        </w:rPr>
        <w:t xml:space="preserve">ntibiotic </w:t>
      </w:r>
      <w:r w:rsidR="003E1BF5">
        <w:rPr>
          <w:rFonts w:ascii="Times New Roman" w:hAnsi="Times New Roman" w:cs="Times New Roman"/>
        </w:rPr>
        <w:t>u</w:t>
      </w:r>
      <w:r w:rsidR="00E97F5D">
        <w:rPr>
          <w:rFonts w:ascii="Times New Roman" w:hAnsi="Times New Roman" w:cs="Times New Roman"/>
        </w:rPr>
        <w:t xml:space="preserve">se </w:t>
      </w:r>
      <w:r w:rsidRPr="002115E2">
        <w:rPr>
          <w:rFonts w:ascii="Times New Roman" w:hAnsi="Times New Roman" w:cs="Times New Roman"/>
        </w:rPr>
        <w:t>data collection activities</w:t>
      </w:r>
      <w:r w:rsidR="00E97F5D">
        <w:rPr>
          <w:rFonts w:ascii="Times New Roman" w:hAnsi="Times New Roman" w:cs="Times New Roman"/>
        </w:rPr>
        <w:t>.</w:t>
      </w:r>
    </w:p>
    <w:p w14:paraId="4AE4EBDC" w14:textId="77777777" w:rsidR="009506F7" w:rsidRPr="002115E2" w:rsidRDefault="009506F7" w:rsidP="002115E2">
      <w:pPr>
        <w:ind w:left="0"/>
        <w:rPr>
          <w:rFonts w:ascii="Times New Roman" w:hAnsi="Times New Roman" w:cs="Times New Roman"/>
        </w:rPr>
      </w:pPr>
    </w:p>
    <w:p w14:paraId="2E3CF065" w14:textId="17B26719" w:rsidR="00DF7D7D" w:rsidRPr="00813B9B" w:rsidRDefault="00E97F5D" w:rsidP="00D1065C">
      <w:pPr>
        <w:pStyle w:val="ListParagraph"/>
        <w:numPr>
          <w:ilvl w:val="0"/>
          <w:numId w:val="29"/>
        </w:numPr>
        <w:jc w:val="both"/>
        <w:rPr>
          <w:rFonts w:ascii="Times New Roman" w:hAnsi="Times New Roman" w:cs="Times New Roman"/>
        </w:rPr>
      </w:pPr>
      <w:r>
        <w:rPr>
          <w:rFonts w:ascii="Times New Roman" w:hAnsi="Times New Roman" w:cs="Times New Roman"/>
          <w:b/>
        </w:rPr>
        <w:t xml:space="preserve">Sepsis </w:t>
      </w:r>
      <w:r w:rsidR="002115E2" w:rsidRPr="00813B9B">
        <w:rPr>
          <w:rFonts w:ascii="Times New Roman" w:hAnsi="Times New Roman" w:cs="Times New Roman"/>
          <w:b/>
        </w:rPr>
        <w:t xml:space="preserve">Consumer </w:t>
      </w:r>
      <w:r w:rsidR="004E2935" w:rsidRPr="00813B9B">
        <w:rPr>
          <w:rFonts w:ascii="Times New Roman" w:hAnsi="Times New Roman" w:cs="Times New Roman"/>
          <w:b/>
        </w:rPr>
        <w:t>Focus Groups</w:t>
      </w:r>
      <w:r w:rsidR="002115E2" w:rsidRPr="00813B9B">
        <w:rPr>
          <w:rFonts w:ascii="Times New Roman" w:hAnsi="Times New Roman" w:cs="Times New Roman"/>
        </w:rPr>
        <w:t xml:space="preserve">: </w:t>
      </w:r>
      <w:r w:rsidR="00DF7D7D" w:rsidRPr="00813B9B">
        <w:rPr>
          <w:rFonts w:ascii="Times New Roman" w:hAnsi="Times New Roman" w:cs="Times New Roman"/>
        </w:rPr>
        <w:t xml:space="preserve">Up to 27 consumers will participate in formative research data collection for the sepsis campaign. </w:t>
      </w:r>
      <w:r w:rsidR="002115E2" w:rsidRPr="00813B9B">
        <w:rPr>
          <w:rFonts w:ascii="Times New Roman" w:hAnsi="Times New Roman" w:cs="Times New Roman"/>
        </w:rPr>
        <w:t>A stratified, non-probability, purposive sample will be used to recruit cons</w:t>
      </w:r>
      <w:r w:rsidR="00DF7D7D" w:rsidRPr="00813B9B">
        <w:rPr>
          <w:rFonts w:ascii="Times New Roman" w:hAnsi="Times New Roman" w:cs="Times New Roman"/>
        </w:rPr>
        <w:t xml:space="preserve">umer participants. A professional recruitment firm </w:t>
      </w:r>
      <w:r w:rsidR="002115E2" w:rsidRPr="00813B9B">
        <w:rPr>
          <w:rFonts w:ascii="Times New Roman" w:hAnsi="Times New Roman" w:cs="Times New Roman"/>
        </w:rPr>
        <w:t>will conduct all recruitment using the inclusion criteria</w:t>
      </w:r>
      <w:r w:rsidR="00C77249" w:rsidRPr="00813B9B">
        <w:rPr>
          <w:rFonts w:ascii="Times New Roman" w:hAnsi="Times New Roman" w:cs="Times New Roman"/>
        </w:rPr>
        <w:t xml:space="preserve"> identified in </w:t>
      </w:r>
      <w:r w:rsidR="00C07E9E" w:rsidRPr="00813B9B">
        <w:rPr>
          <w:rFonts w:ascii="Times New Roman" w:hAnsi="Times New Roman" w:cs="Times New Roman"/>
        </w:rPr>
        <w:t>Exhibit 1</w:t>
      </w:r>
      <w:r w:rsidR="00C77249" w:rsidRPr="00813B9B">
        <w:rPr>
          <w:rFonts w:ascii="Times New Roman" w:hAnsi="Times New Roman" w:cs="Times New Roman"/>
        </w:rPr>
        <w:t xml:space="preserve"> above</w:t>
      </w:r>
      <w:r w:rsidR="001D4996">
        <w:rPr>
          <w:rFonts w:ascii="Times New Roman" w:hAnsi="Times New Roman" w:cs="Times New Roman"/>
        </w:rPr>
        <w:t>.</w:t>
      </w:r>
      <w:r w:rsidR="00C77249" w:rsidRPr="0042104E">
        <w:rPr>
          <w:rFonts w:ascii="Times New Roman" w:hAnsi="Times New Roman" w:cs="Times New Roman"/>
        </w:rPr>
        <w:t xml:space="preserve"> </w:t>
      </w:r>
      <w:r w:rsidR="0094080B">
        <w:rPr>
          <w:rFonts w:ascii="Times New Roman" w:hAnsi="Times New Roman" w:cs="Times New Roman"/>
        </w:rPr>
        <w:t xml:space="preserve">Fifty percent of </w:t>
      </w:r>
      <w:r w:rsidR="0094080B" w:rsidRPr="00813B9B">
        <w:rPr>
          <w:rFonts w:ascii="Times New Roman" w:hAnsi="Times New Roman" w:cs="Times New Roman"/>
        </w:rPr>
        <w:t>consumers will</w:t>
      </w:r>
      <w:r w:rsidR="00855210">
        <w:rPr>
          <w:rFonts w:ascii="Times New Roman" w:hAnsi="Times New Roman" w:cs="Times New Roman"/>
        </w:rPr>
        <w:t xml:space="preserve"> be sampled from the U.S. s</w:t>
      </w:r>
      <w:r w:rsidR="0094080B">
        <w:rPr>
          <w:rFonts w:ascii="Times New Roman" w:hAnsi="Times New Roman" w:cs="Times New Roman"/>
        </w:rPr>
        <w:t>outh</w:t>
      </w:r>
      <w:r w:rsidR="00855210">
        <w:rPr>
          <w:rFonts w:ascii="Times New Roman" w:hAnsi="Times New Roman" w:cs="Times New Roman"/>
        </w:rPr>
        <w:t xml:space="preserve"> census region</w:t>
      </w:r>
      <w:r w:rsidR="0094080B">
        <w:rPr>
          <w:rFonts w:ascii="Times New Roman" w:hAnsi="Times New Roman" w:cs="Times New Roman"/>
          <w:color w:val="181818"/>
          <w:szCs w:val="24"/>
        </w:rPr>
        <w:t>—</w:t>
      </w:r>
      <w:r w:rsidR="0094080B">
        <w:rPr>
          <w:rFonts w:ascii="Times New Roman" w:hAnsi="Times New Roman" w:cs="Times New Roman"/>
        </w:rPr>
        <w:t>as this region has the highest rates of sepsis and chronic conditions that place individuals at risk of sepsis</w:t>
      </w:r>
      <w:r w:rsidR="0094080B">
        <w:rPr>
          <w:rFonts w:ascii="Times New Roman" w:hAnsi="Times New Roman" w:cs="Times New Roman"/>
          <w:color w:val="181818"/>
          <w:szCs w:val="24"/>
        </w:rPr>
        <w:t>—</w:t>
      </w:r>
      <w:r w:rsidR="0094080B" w:rsidRPr="00813B9B">
        <w:rPr>
          <w:rFonts w:ascii="Times New Roman" w:hAnsi="Times New Roman" w:cs="Times New Roman"/>
        </w:rPr>
        <w:t xml:space="preserve">and </w:t>
      </w:r>
      <w:r w:rsidR="0094080B">
        <w:rPr>
          <w:rFonts w:ascii="Times New Roman" w:hAnsi="Times New Roman" w:cs="Times New Roman"/>
        </w:rPr>
        <w:t xml:space="preserve">the remainder of consumers will be sampled from various other census regions. </w:t>
      </w:r>
      <w:r w:rsidR="00813B9B" w:rsidRPr="00813B9B">
        <w:rPr>
          <w:rFonts w:ascii="Times New Roman" w:hAnsi="Times New Roman" w:cs="Times New Roman"/>
        </w:rPr>
        <w:t>A professional recruitment firm will conduct all recruitment, including delivering the consumer screener to potential participants to determine their eligibility and distributing/collecting the consumer pre-discussion information sheet (PDIS) from all e</w:t>
      </w:r>
      <w:r w:rsidR="00813B9B">
        <w:rPr>
          <w:rFonts w:ascii="Times New Roman" w:hAnsi="Times New Roman" w:cs="Times New Roman"/>
        </w:rPr>
        <w:t xml:space="preserve">ligible participants </w:t>
      </w:r>
      <w:r w:rsidR="00813B9B" w:rsidRPr="00813B9B">
        <w:rPr>
          <w:rFonts w:ascii="Times New Roman" w:hAnsi="Times New Roman" w:cs="Times New Roman"/>
        </w:rPr>
        <w:t>prior to the focus groups.</w:t>
      </w:r>
    </w:p>
    <w:p w14:paraId="5E377E81" w14:textId="77777777" w:rsidR="009506F7" w:rsidRPr="00DF7D7D" w:rsidRDefault="009506F7" w:rsidP="00D1065C">
      <w:pPr>
        <w:ind w:left="360"/>
        <w:jc w:val="both"/>
        <w:rPr>
          <w:rFonts w:ascii="Times New Roman" w:hAnsi="Times New Roman" w:cs="Times New Roman"/>
        </w:rPr>
      </w:pPr>
    </w:p>
    <w:p w14:paraId="7BE01186" w14:textId="4EC1726B" w:rsidR="00813B9B" w:rsidRPr="00813B9B" w:rsidRDefault="00E97F5D" w:rsidP="00D1065C">
      <w:pPr>
        <w:pStyle w:val="ListParagraph"/>
        <w:numPr>
          <w:ilvl w:val="0"/>
          <w:numId w:val="29"/>
        </w:numPr>
        <w:jc w:val="both"/>
        <w:rPr>
          <w:rFonts w:ascii="Times New Roman" w:hAnsi="Times New Roman" w:cs="Times New Roman"/>
        </w:rPr>
      </w:pPr>
      <w:r>
        <w:rPr>
          <w:rFonts w:ascii="Times New Roman" w:hAnsi="Times New Roman" w:cs="Times New Roman"/>
          <w:b/>
        </w:rPr>
        <w:t xml:space="preserve">Sepsis HCP </w:t>
      </w:r>
      <w:r w:rsidR="002115E2" w:rsidRPr="00813B9B">
        <w:rPr>
          <w:rFonts w:ascii="Times New Roman" w:hAnsi="Times New Roman" w:cs="Times New Roman"/>
          <w:b/>
        </w:rPr>
        <w:t>Individual In-Depth Interviews</w:t>
      </w:r>
      <w:r>
        <w:rPr>
          <w:rFonts w:ascii="Times New Roman" w:hAnsi="Times New Roman" w:cs="Times New Roman"/>
          <w:b/>
        </w:rPr>
        <w:t xml:space="preserve"> (IDIs)</w:t>
      </w:r>
      <w:r w:rsidR="002115E2" w:rsidRPr="00813B9B">
        <w:rPr>
          <w:rFonts w:ascii="Times New Roman" w:hAnsi="Times New Roman" w:cs="Times New Roman"/>
          <w:b/>
        </w:rPr>
        <w:t xml:space="preserve">: </w:t>
      </w:r>
      <w:r w:rsidR="009506F7" w:rsidRPr="00813B9B">
        <w:rPr>
          <w:rFonts w:ascii="Times New Roman" w:hAnsi="Times New Roman" w:cs="Times New Roman"/>
        </w:rPr>
        <w:t xml:space="preserve">Up to 36 healthcare professionals will participate in the formative research data collection for the sepsis campaign. </w:t>
      </w:r>
      <w:r w:rsidR="002115E2" w:rsidRPr="00813B9B">
        <w:rPr>
          <w:rFonts w:ascii="Times New Roman" w:hAnsi="Times New Roman" w:cs="Times New Roman"/>
        </w:rPr>
        <w:t xml:space="preserve">A stratified, non-probability, purposive sample will be used to recruit </w:t>
      </w:r>
      <w:r w:rsidR="002115E2" w:rsidRPr="00577892">
        <w:rPr>
          <w:rFonts w:ascii="Times New Roman" w:hAnsi="Times New Roman" w:cs="Times New Roman"/>
        </w:rPr>
        <w:t xml:space="preserve">healthcare professional participants. </w:t>
      </w:r>
      <w:r w:rsidR="00577892" w:rsidRPr="00577892">
        <w:rPr>
          <w:rFonts w:ascii="Times New Roman" w:hAnsi="Times New Roman" w:cs="Times New Roman"/>
        </w:rPr>
        <w:t xml:space="preserve">The contractor will work with a third party recruitment firm to create participant lists of healthcare professionals </w:t>
      </w:r>
      <w:r w:rsidR="00D9423B">
        <w:rPr>
          <w:rFonts w:ascii="Times New Roman" w:hAnsi="Times New Roman" w:cs="Times New Roman"/>
        </w:rPr>
        <w:t>that are part of th</w:t>
      </w:r>
      <w:r w:rsidR="00577892" w:rsidRPr="00577892">
        <w:rPr>
          <w:rFonts w:ascii="Times New Roman" w:hAnsi="Times New Roman" w:cs="Times New Roman"/>
        </w:rPr>
        <w:t xml:space="preserve">e campaign target audiences. </w:t>
      </w:r>
      <w:r w:rsidR="002115E2" w:rsidRPr="00577892">
        <w:rPr>
          <w:rFonts w:ascii="Times New Roman" w:hAnsi="Times New Roman" w:cs="Times New Roman"/>
        </w:rPr>
        <w:t xml:space="preserve">A </w:t>
      </w:r>
      <w:r w:rsidR="00A55B59" w:rsidRPr="00577892">
        <w:rPr>
          <w:rFonts w:ascii="Times New Roman" w:hAnsi="Times New Roman" w:cs="Times New Roman"/>
        </w:rPr>
        <w:t>professional</w:t>
      </w:r>
      <w:r w:rsidR="00A55B59" w:rsidRPr="00813B9B">
        <w:rPr>
          <w:rFonts w:ascii="Times New Roman" w:hAnsi="Times New Roman" w:cs="Times New Roman"/>
        </w:rPr>
        <w:t xml:space="preserve"> recruitment firm</w:t>
      </w:r>
      <w:r w:rsidR="002115E2" w:rsidRPr="00813B9B">
        <w:rPr>
          <w:rFonts w:ascii="Times New Roman" w:hAnsi="Times New Roman" w:cs="Times New Roman"/>
        </w:rPr>
        <w:t xml:space="preserve"> will conduct all recruitment using the inclusion criteria identified in </w:t>
      </w:r>
      <w:r w:rsidR="00C07E9E" w:rsidRPr="00813B9B">
        <w:rPr>
          <w:rFonts w:ascii="Times New Roman" w:hAnsi="Times New Roman" w:cs="Times New Roman"/>
        </w:rPr>
        <w:t>Exhibit 2</w:t>
      </w:r>
      <w:r w:rsidR="002115E2" w:rsidRPr="00813B9B">
        <w:rPr>
          <w:rFonts w:ascii="Times New Roman" w:hAnsi="Times New Roman" w:cs="Times New Roman"/>
        </w:rPr>
        <w:t xml:space="preserve"> </w:t>
      </w:r>
      <w:r w:rsidR="00A55B59" w:rsidRPr="00813B9B">
        <w:rPr>
          <w:rFonts w:ascii="Times New Roman" w:hAnsi="Times New Roman" w:cs="Times New Roman"/>
        </w:rPr>
        <w:t>above, using a sampling panel.</w:t>
      </w:r>
      <w:r w:rsidR="0094080B">
        <w:rPr>
          <w:rFonts w:ascii="Times New Roman" w:hAnsi="Times New Roman" w:cs="Times New Roman"/>
        </w:rPr>
        <w:t xml:space="preserve"> Approximately fifty percent of the h</w:t>
      </w:r>
      <w:r w:rsidR="0094080B" w:rsidRPr="00813B9B">
        <w:rPr>
          <w:rFonts w:ascii="Times New Roman" w:hAnsi="Times New Roman" w:cs="Times New Roman"/>
        </w:rPr>
        <w:t xml:space="preserve">ealthcare </w:t>
      </w:r>
      <w:r w:rsidR="0094080B">
        <w:rPr>
          <w:rFonts w:ascii="Times New Roman" w:hAnsi="Times New Roman" w:cs="Times New Roman"/>
        </w:rPr>
        <w:t>professionals will be sampled</w:t>
      </w:r>
      <w:r w:rsidR="00855210">
        <w:rPr>
          <w:rFonts w:ascii="Times New Roman" w:hAnsi="Times New Roman" w:cs="Times New Roman"/>
        </w:rPr>
        <w:t xml:space="preserve"> from the U.S. so</w:t>
      </w:r>
      <w:r w:rsidR="0094080B" w:rsidRPr="00813B9B">
        <w:rPr>
          <w:rFonts w:ascii="Times New Roman" w:hAnsi="Times New Roman" w:cs="Times New Roman"/>
        </w:rPr>
        <w:t>uth</w:t>
      </w:r>
      <w:r w:rsidR="00855210">
        <w:rPr>
          <w:rFonts w:ascii="Times New Roman" w:hAnsi="Times New Roman" w:cs="Times New Roman"/>
        </w:rPr>
        <w:t xml:space="preserve"> census region</w:t>
      </w:r>
      <w:r w:rsidR="0094080B">
        <w:rPr>
          <w:rFonts w:ascii="Times New Roman" w:hAnsi="Times New Roman" w:cs="Times New Roman"/>
          <w:color w:val="181818"/>
          <w:szCs w:val="24"/>
        </w:rPr>
        <w:t>—</w:t>
      </w:r>
      <w:r w:rsidR="0094080B">
        <w:rPr>
          <w:rFonts w:ascii="Times New Roman" w:hAnsi="Times New Roman" w:cs="Times New Roman"/>
        </w:rPr>
        <w:t>as this region has the highest rates of sepsis and chronic conditions that place individuals at risk of sepsis</w:t>
      </w:r>
      <w:r w:rsidR="0094080B">
        <w:rPr>
          <w:rFonts w:ascii="Times New Roman" w:hAnsi="Times New Roman" w:cs="Times New Roman"/>
          <w:color w:val="181818"/>
          <w:szCs w:val="24"/>
        </w:rPr>
        <w:t>—</w:t>
      </w:r>
      <w:r w:rsidR="0094080B" w:rsidRPr="00813B9B">
        <w:rPr>
          <w:rFonts w:ascii="Times New Roman" w:hAnsi="Times New Roman" w:cs="Times New Roman"/>
        </w:rPr>
        <w:t xml:space="preserve">and </w:t>
      </w:r>
      <w:r w:rsidR="0094080B">
        <w:rPr>
          <w:rFonts w:ascii="Times New Roman" w:hAnsi="Times New Roman" w:cs="Times New Roman"/>
        </w:rPr>
        <w:t xml:space="preserve">the remainder of consumers will be sampled from various other census regions. </w:t>
      </w:r>
      <w:r w:rsidR="00813B9B" w:rsidRPr="00813B9B">
        <w:rPr>
          <w:rFonts w:ascii="Times New Roman" w:hAnsi="Times New Roman" w:cs="Times New Roman"/>
        </w:rPr>
        <w:t>A professional recruitment firm will conduct all recruitment, including delivering the HCP screener to potential participants to determine their eligibility and distributing/collecting the HCP PDIS from all e</w:t>
      </w:r>
      <w:r w:rsidR="00813B9B">
        <w:rPr>
          <w:rFonts w:ascii="Times New Roman" w:hAnsi="Times New Roman" w:cs="Times New Roman"/>
        </w:rPr>
        <w:t xml:space="preserve">ligible participants </w:t>
      </w:r>
      <w:r w:rsidR="00813B9B" w:rsidRPr="00813B9B">
        <w:rPr>
          <w:rFonts w:ascii="Times New Roman" w:hAnsi="Times New Roman" w:cs="Times New Roman"/>
        </w:rPr>
        <w:t>prior to the focus groups.</w:t>
      </w:r>
    </w:p>
    <w:p w14:paraId="76D32E0A" w14:textId="7DE20C93" w:rsidR="00DF7D7D" w:rsidRDefault="00DF7D7D" w:rsidP="00D1065C">
      <w:pPr>
        <w:ind w:left="360"/>
        <w:jc w:val="both"/>
        <w:rPr>
          <w:rFonts w:ascii="Times New Roman" w:hAnsi="Times New Roman" w:cs="Times New Roman"/>
        </w:rPr>
      </w:pPr>
    </w:p>
    <w:p w14:paraId="1F1F9EB7" w14:textId="55E3D138" w:rsidR="006D0FD7" w:rsidRPr="00B5769B" w:rsidRDefault="00E97F5D" w:rsidP="00D1065C">
      <w:pPr>
        <w:pStyle w:val="BHTCCBody"/>
        <w:numPr>
          <w:ilvl w:val="0"/>
          <w:numId w:val="29"/>
        </w:numPr>
        <w:tabs>
          <w:tab w:val="left" w:pos="1563"/>
        </w:tabs>
        <w:spacing w:line="276" w:lineRule="auto"/>
        <w:rPr>
          <w:rFonts w:ascii="Times New Roman" w:hAnsi="Times New Roman" w:cs="Times New Roman"/>
          <w:color w:val="181818"/>
          <w:sz w:val="22"/>
          <w:szCs w:val="24"/>
        </w:rPr>
      </w:pPr>
      <w:r>
        <w:rPr>
          <w:rFonts w:ascii="Times New Roman" w:hAnsi="Times New Roman" w:cs="Times New Roman"/>
          <w:b/>
          <w:sz w:val="22"/>
          <w:szCs w:val="24"/>
        </w:rPr>
        <w:t>A</w:t>
      </w:r>
      <w:r w:rsidR="00D9423B">
        <w:rPr>
          <w:rFonts w:ascii="Times New Roman" w:hAnsi="Times New Roman" w:cs="Times New Roman"/>
          <w:b/>
          <w:sz w:val="22"/>
          <w:szCs w:val="24"/>
        </w:rPr>
        <w:t xml:space="preserve">ntibiotic </w:t>
      </w:r>
      <w:r>
        <w:rPr>
          <w:rFonts w:ascii="Times New Roman" w:hAnsi="Times New Roman" w:cs="Times New Roman"/>
          <w:b/>
          <w:sz w:val="22"/>
          <w:szCs w:val="24"/>
        </w:rPr>
        <w:t>U</w:t>
      </w:r>
      <w:r w:rsidR="00D9423B">
        <w:rPr>
          <w:rFonts w:ascii="Times New Roman" w:hAnsi="Times New Roman" w:cs="Times New Roman"/>
          <w:b/>
          <w:sz w:val="22"/>
          <w:szCs w:val="24"/>
        </w:rPr>
        <w:t>se</w:t>
      </w:r>
      <w:r>
        <w:rPr>
          <w:rFonts w:ascii="Times New Roman" w:hAnsi="Times New Roman" w:cs="Times New Roman"/>
          <w:b/>
          <w:sz w:val="22"/>
          <w:szCs w:val="24"/>
        </w:rPr>
        <w:t xml:space="preserve"> </w:t>
      </w:r>
      <w:r w:rsidR="006D0FD7" w:rsidRPr="00801F67">
        <w:rPr>
          <w:rFonts w:ascii="Times New Roman" w:hAnsi="Times New Roman" w:cs="Times New Roman"/>
          <w:b/>
          <w:sz w:val="22"/>
          <w:szCs w:val="24"/>
        </w:rPr>
        <w:t>Consumer Focus Groups</w:t>
      </w:r>
      <w:r w:rsidR="006D0FD7" w:rsidRPr="00801F67">
        <w:rPr>
          <w:rFonts w:ascii="Times New Roman" w:hAnsi="Times New Roman" w:cs="Times New Roman"/>
          <w:color w:val="181818"/>
          <w:sz w:val="22"/>
          <w:szCs w:val="24"/>
        </w:rPr>
        <w:t xml:space="preserve">: Up to 36 consumers will participate in the online, synchronous consumer focus groups. Three focus groups with </w:t>
      </w:r>
      <w:r w:rsidR="006B64E8">
        <w:rPr>
          <w:rFonts w:ascii="Times New Roman" w:hAnsi="Times New Roman" w:cs="Times New Roman"/>
          <w:color w:val="181818"/>
          <w:sz w:val="22"/>
          <w:szCs w:val="24"/>
        </w:rPr>
        <w:t>three</w:t>
      </w:r>
      <w:r w:rsidR="006D0FD7" w:rsidRPr="00801F67">
        <w:rPr>
          <w:rFonts w:ascii="Times New Roman" w:hAnsi="Times New Roman" w:cs="Times New Roman"/>
          <w:color w:val="181818"/>
          <w:sz w:val="22"/>
          <w:szCs w:val="24"/>
        </w:rPr>
        <w:t xml:space="preserve"> participants each will be conducted with each consumer group. </w:t>
      </w:r>
      <w:r w:rsidR="001D4996">
        <w:rPr>
          <w:rFonts w:ascii="Times New Roman" w:hAnsi="Times New Roman" w:cs="Times New Roman"/>
          <w:color w:val="181818"/>
          <w:sz w:val="22"/>
          <w:szCs w:val="24"/>
        </w:rPr>
        <w:t>A professional recruiting firm will use a</w:t>
      </w:r>
      <w:r w:rsidR="006D0FD7" w:rsidRPr="00801F67">
        <w:rPr>
          <w:rFonts w:ascii="Times New Roman" w:hAnsi="Times New Roman" w:cs="Times New Roman"/>
          <w:color w:val="181818"/>
          <w:sz w:val="22"/>
          <w:szCs w:val="24"/>
        </w:rPr>
        <w:t xml:space="preserve"> stratified, non-probability, purposive sample</w:t>
      </w:r>
      <w:r w:rsidR="006D0FD7" w:rsidRPr="00801F67">
        <w:rPr>
          <w:sz w:val="18"/>
        </w:rPr>
        <w:t xml:space="preserve"> </w:t>
      </w:r>
      <w:r w:rsidR="006D0FD7" w:rsidRPr="00801F67">
        <w:rPr>
          <w:rFonts w:ascii="Times New Roman" w:hAnsi="Times New Roman" w:cs="Times New Roman"/>
          <w:color w:val="181818"/>
          <w:sz w:val="22"/>
          <w:szCs w:val="24"/>
        </w:rPr>
        <w:t xml:space="preserve">to recruit consumer participants. </w:t>
      </w:r>
      <w:r w:rsidR="001D4996">
        <w:rPr>
          <w:rFonts w:ascii="Times New Roman" w:hAnsi="Times New Roman" w:cs="Times New Roman"/>
          <w:color w:val="181818"/>
          <w:sz w:val="22"/>
          <w:szCs w:val="24"/>
        </w:rPr>
        <w:t xml:space="preserve">In addition to the criteria in Exhibit 4, </w:t>
      </w:r>
      <w:r w:rsidR="00830448">
        <w:rPr>
          <w:rFonts w:ascii="Times New Roman" w:hAnsi="Times New Roman" w:cs="Times New Roman"/>
          <w:color w:val="181818"/>
          <w:sz w:val="22"/>
          <w:szCs w:val="24"/>
        </w:rPr>
        <w:t xml:space="preserve">the recruiter will screen participants as follows: </w:t>
      </w:r>
      <w:r w:rsidR="001D4996">
        <w:rPr>
          <w:rFonts w:ascii="Times New Roman" w:hAnsi="Times New Roman" w:cs="Times New Roman"/>
          <w:color w:val="181818"/>
          <w:sz w:val="22"/>
          <w:szCs w:val="24"/>
        </w:rPr>
        <w:t xml:space="preserve">consumers </w:t>
      </w:r>
      <w:r w:rsidR="000E4F79">
        <w:rPr>
          <w:rFonts w:ascii="Times New Roman" w:hAnsi="Times New Roman" w:cs="Times New Roman"/>
          <w:color w:val="181818"/>
          <w:sz w:val="22"/>
          <w:szCs w:val="24"/>
        </w:rPr>
        <w:t xml:space="preserve">(self-demander and self-expector) </w:t>
      </w:r>
      <w:r w:rsidR="001D4996">
        <w:rPr>
          <w:rFonts w:ascii="Times New Roman" w:hAnsi="Times New Roman" w:cs="Times New Roman"/>
          <w:color w:val="181818"/>
          <w:sz w:val="22"/>
          <w:szCs w:val="24"/>
        </w:rPr>
        <w:t xml:space="preserve">and/or their children </w:t>
      </w:r>
      <w:r w:rsidR="000E4F79">
        <w:rPr>
          <w:rFonts w:ascii="Times New Roman" w:hAnsi="Times New Roman" w:cs="Times New Roman"/>
          <w:color w:val="181818"/>
          <w:sz w:val="22"/>
          <w:szCs w:val="24"/>
        </w:rPr>
        <w:t xml:space="preserve">(caregiver-demander and caregiver-expector) </w:t>
      </w:r>
      <w:r w:rsidR="001D4996">
        <w:rPr>
          <w:rFonts w:ascii="Times New Roman" w:hAnsi="Times New Roman" w:cs="Times New Roman"/>
          <w:color w:val="181818"/>
          <w:sz w:val="22"/>
          <w:szCs w:val="24"/>
        </w:rPr>
        <w:t xml:space="preserve">must have been prescribed an antibiotic in the previous year and must have </w:t>
      </w:r>
      <w:r w:rsidR="00830448">
        <w:rPr>
          <w:rFonts w:ascii="Times New Roman" w:hAnsi="Times New Roman" w:cs="Times New Roman"/>
          <w:color w:val="181818"/>
          <w:sz w:val="22"/>
          <w:szCs w:val="24"/>
        </w:rPr>
        <w:t xml:space="preserve">either </w:t>
      </w:r>
      <w:r w:rsidR="001D4996">
        <w:rPr>
          <w:rFonts w:ascii="Times New Roman" w:hAnsi="Times New Roman" w:cs="Times New Roman"/>
          <w:color w:val="181818"/>
          <w:sz w:val="22"/>
          <w:szCs w:val="24"/>
        </w:rPr>
        <w:t xml:space="preserve">outright requested an antibiotic in the past for themselves (self-demander) or their child (caregiver demander) </w:t>
      </w:r>
      <w:r w:rsidR="00830448">
        <w:rPr>
          <w:rFonts w:ascii="Times New Roman" w:hAnsi="Times New Roman" w:cs="Times New Roman"/>
          <w:color w:val="181818"/>
          <w:sz w:val="22"/>
          <w:szCs w:val="24"/>
        </w:rPr>
        <w:t>OR</w:t>
      </w:r>
      <w:r w:rsidR="001D4996">
        <w:rPr>
          <w:rFonts w:ascii="Times New Roman" w:hAnsi="Times New Roman" w:cs="Times New Roman"/>
          <w:color w:val="181818"/>
          <w:sz w:val="22"/>
          <w:szCs w:val="24"/>
        </w:rPr>
        <w:t xml:space="preserve"> expected an antibiotic for themselves (self-expector) or their child </w:t>
      </w:r>
      <w:r w:rsidR="001D4996">
        <w:rPr>
          <w:rFonts w:ascii="Times New Roman" w:hAnsi="Times New Roman" w:cs="Times New Roman"/>
          <w:color w:val="181818"/>
          <w:sz w:val="22"/>
          <w:szCs w:val="24"/>
        </w:rPr>
        <w:lastRenderedPageBreak/>
        <w:t xml:space="preserve">(caregiver expector). </w:t>
      </w:r>
      <w:r w:rsidR="0094080B">
        <w:rPr>
          <w:rFonts w:ascii="Times New Roman" w:hAnsi="Times New Roman" w:cs="Times New Roman"/>
          <w:color w:val="181818"/>
          <w:sz w:val="22"/>
          <w:szCs w:val="24"/>
        </w:rPr>
        <w:t>Half of c</w:t>
      </w:r>
      <w:r w:rsidR="0094080B" w:rsidRPr="00801F67">
        <w:rPr>
          <w:rFonts w:ascii="Times New Roman" w:hAnsi="Times New Roman" w:cs="Times New Roman"/>
          <w:color w:val="181818"/>
          <w:sz w:val="22"/>
          <w:szCs w:val="24"/>
        </w:rPr>
        <w:t>onsumer participants w</w:t>
      </w:r>
      <w:r w:rsidR="0094080B">
        <w:rPr>
          <w:rFonts w:ascii="Times New Roman" w:hAnsi="Times New Roman" w:cs="Times New Roman"/>
          <w:color w:val="181818"/>
          <w:sz w:val="22"/>
          <w:szCs w:val="24"/>
        </w:rPr>
        <w:t>ill be recruited from the U.S. s</w:t>
      </w:r>
      <w:r w:rsidR="0094080B" w:rsidRPr="00801F67">
        <w:rPr>
          <w:rFonts w:ascii="Times New Roman" w:hAnsi="Times New Roman" w:cs="Times New Roman"/>
          <w:color w:val="181818"/>
          <w:sz w:val="22"/>
          <w:szCs w:val="24"/>
        </w:rPr>
        <w:t>outh census region</w:t>
      </w:r>
      <w:r w:rsidR="0094080B">
        <w:rPr>
          <w:rFonts w:ascii="Times New Roman" w:hAnsi="Times New Roman" w:cs="Times New Roman"/>
          <w:color w:val="181818"/>
          <w:sz w:val="22"/>
          <w:szCs w:val="24"/>
        </w:rPr>
        <w:t>—states in which antibiotic prescribing is the highest</w:t>
      </w:r>
      <w:r w:rsidR="0094080B" w:rsidRPr="00801F67">
        <w:rPr>
          <w:rFonts w:ascii="Times New Roman" w:hAnsi="Times New Roman" w:cs="Times New Roman"/>
          <w:color w:val="181818"/>
          <w:sz w:val="22"/>
          <w:szCs w:val="24"/>
        </w:rPr>
        <w:t xml:space="preserve">. </w:t>
      </w:r>
      <w:r w:rsidR="0094080B">
        <w:rPr>
          <w:rFonts w:ascii="Times New Roman" w:hAnsi="Times New Roman" w:cs="Times New Roman"/>
          <w:color w:val="181818"/>
          <w:sz w:val="22"/>
          <w:szCs w:val="24"/>
        </w:rPr>
        <w:t xml:space="preserve">The other half of participants will be recruited from all other US census regions. </w:t>
      </w:r>
      <w:r w:rsidR="006D0FD7" w:rsidRPr="00801F67">
        <w:rPr>
          <w:rFonts w:ascii="Times New Roman" w:hAnsi="Times New Roman" w:cs="Times New Roman"/>
          <w:color w:val="181818"/>
          <w:sz w:val="22"/>
          <w:szCs w:val="24"/>
        </w:rPr>
        <w:t>A professional recruitment firm will conduct all recruitment</w:t>
      </w:r>
      <w:r w:rsidR="006D0FD7" w:rsidRPr="00B5769B">
        <w:rPr>
          <w:rFonts w:ascii="Times New Roman" w:hAnsi="Times New Roman" w:cs="Times New Roman"/>
          <w:color w:val="181818"/>
          <w:sz w:val="22"/>
          <w:szCs w:val="24"/>
        </w:rPr>
        <w:t>, including delivering the consumer screener to potential participants to determine their eligibility and distributing/collecting the consumer PDIS from all eligible participants (i.e., 36) prior to the focus groups.</w:t>
      </w:r>
    </w:p>
    <w:p w14:paraId="1B189D69" w14:textId="547BDF25" w:rsidR="006D0FD7" w:rsidRPr="00801F67" w:rsidRDefault="00E97F5D" w:rsidP="00D1065C">
      <w:pPr>
        <w:pStyle w:val="BHTCCBody"/>
        <w:numPr>
          <w:ilvl w:val="0"/>
          <w:numId w:val="29"/>
        </w:numPr>
        <w:tabs>
          <w:tab w:val="left" w:pos="1563"/>
        </w:tabs>
        <w:spacing w:line="276" w:lineRule="auto"/>
        <w:rPr>
          <w:rFonts w:ascii="Times New Roman" w:hAnsi="Times New Roman" w:cs="Times New Roman"/>
          <w:color w:val="181818"/>
          <w:sz w:val="22"/>
          <w:szCs w:val="24"/>
        </w:rPr>
      </w:pPr>
      <w:r>
        <w:rPr>
          <w:rFonts w:ascii="Times New Roman" w:hAnsi="Times New Roman" w:cs="Times New Roman"/>
          <w:b/>
          <w:sz w:val="22"/>
          <w:szCs w:val="24"/>
        </w:rPr>
        <w:t>A</w:t>
      </w:r>
      <w:r w:rsidR="00D9423B">
        <w:rPr>
          <w:rFonts w:ascii="Times New Roman" w:hAnsi="Times New Roman" w:cs="Times New Roman"/>
          <w:b/>
          <w:sz w:val="22"/>
          <w:szCs w:val="24"/>
        </w:rPr>
        <w:t xml:space="preserve">ntibiotic </w:t>
      </w:r>
      <w:r>
        <w:rPr>
          <w:rFonts w:ascii="Times New Roman" w:hAnsi="Times New Roman" w:cs="Times New Roman"/>
          <w:b/>
          <w:sz w:val="22"/>
          <w:szCs w:val="24"/>
        </w:rPr>
        <w:t>U</w:t>
      </w:r>
      <w:r w:rsidR="00D9423B">
        <w:rPr>
          <w:rFonts w:ascii="Times New Roman" w:hAnsi="Times New Roman" w:cs="Times New Roman"/>
          <w:b/>
          <w:sz w:val="22"/>
          <w:szCs w:val="24"/>
        </w:rPr>
        <w:t>se</w:t>
      </w:r>
      <w:r>
        <w:rPr>
          <w:rFonts w:ascii="Times New Roman" w:hAnsi="Times New Roman" w:cs="Times New Roman"/>
          <w:b/>
          <w:sz w:val="22"/>
          <w:szCs w:val="24"/>
        </w:rPr>
        <w:t xml:space="preserve"> </w:t>
      </w:r>
      <w:r w:rsidR="006D0FD7" w:rsidRPr="00801F67">
        <w:rPr>
          <w:rFonts w:ascii="Times New Roman" w:hAnsi="Times New Roman" w:cs="Times New Roman"/>
          <w:b/>
          <w:sz w:val="22"/>
          <w:szCs w:val="24"/>
        </w:rPr>
        <w:t xml:space="preserve">Healthcare Professional IDIs: </w:t>
      </w:r>
      <w:r w:rsidR="006D0FD7" w:rsidRPr="00801F67">
        <w:rPr>
          <w:rFonts w:ascii="Times New Roman" w:hAnsi="Times New Roman" w:cs="Times New Roman"/>
          <w:sz w:val="22"/>
          <w:szCs w:val="24"/>
        </w:rPr>
        <w:t>Up to 24 healthcare professionals (HCPs) will participate in the online IDIs.</w:t>
      </w:r>
      <w:r w:rsidR="006D0FD7" w:rsidRPr="00801F67">
        <w:rPr>
          <w:rFonts w:ascii="Times New Roman" w:hAnsi="Times New Roman" w:cs="Times New Roman"/>
          <w:color w:val="181818"/>
          <w:sz w:val="22"/>
          <w:szCs w:val="24"/>
        </w:rPr>
        <w:t xml:space="preserve"> IDIs will be conducted with six types of HCPs—family practitioners, nurse practitioners (NPs), physician assistants (PAs), emergency department (ED) attending physicians, urgent care owner-physicians, and hospitalists. </w:t>
      </w:r>
      <w:r w:rsidR="001D4996">
        <w:rPr>
          <w:rFonts w:ascii="Times New Roman" w:hAnsi="Times New Roman" w:cs="Times New Roman"/>
          <w:color w:val="181818"/>
          <w:sz w:val="22"/>
          <w:szCs w:val="24"/>
        </w:rPr>
        <w:t>A professional recruiting firm will use a</w:t>
      </w:r>
      <w:r w:rsidR="001D4996" w:rsidRPr="00B5769B">
        <w:rPr>
          <w:rFonts w:ascii="Times New Roman" w:hAnsi="Times New Roman" w:cs="Times New Roman"/>
          <w:color w:val="181818"/>
          <w:sz w:val="22"/>
          <w:szCs w:val="24"/>
        </w:rPr>
        <w:t xml:space="preserve"> </w:t>
      </w:r>
      <w:r w:rsidR="006D0FD7" w:rsidRPr="00B5769B">
        <w:rPr>
          <w:rFonts w:ascii="Times New Roman" w:hAnsi="Times New Roman" w:cs="Times New Roman"/>
          <w:color w:val="181818"/>
          <w:sz w:val="22"/>
          <w:szCs w:val="24"/>
        </w:rPr>
        <w:t>stratified, non-probability, purposive sample</w:t>
      </w:r>
      <w:r w:rsidR="006D0FD7" w:rsidRPr="00B5769B">
        <w:rPr>
          <w:sz w:val="18"/>
        </w:rPr>
        <w:t xml:space="preserve"> </w:t>
      </w:r>
      <w:r w:rsidR="006D0FD7" w:rsidRPr="00B5769B">
        <w:rPr>
          <w:rFonts w:ascii="Times New Roman" w:hAnsi="Times New Roman" w:cs="Times New Roman"/>
          <w:color w:val="181818"/>
          <w:sz w:val="22"/>
          <w:szCs w:val="24"/>
        </w:rPr>
        <w:t xml:space="preserve">to recruit HCP participants. </w:t>
      </w:r>
      <w:r w:rsidR="0094080B">
        <w:rPr>
          <w:rFonts w:ascii="Times New Roman" w:hAnsi="Times New Roman" w:cs="Times New Roman"/>
          <w:color w:val="181818"/>
          <w:sz w:val="22"/>
          <w:szCs w:val="24"/>
        </w:rPr>
        <w:t>Half of c</w:t>
      </w:r>
      <w:r w:rsidR="0094080B" w:rsidRPr="00801F67">
        <w:rPr>
          <w:rFonts w:ascii="Times New Roman" w:hAnsi="Times New Roman" w:cs="Times New Roman"/>
          <w:color w:val="181818"/>
          <w:sz w:val="22"/>
          <w:szCs w:val="24"/>
        </w:rPr>
        <w:t>onsumer participants w</w:t>
      </w:r>
      <w:r w:rsidR="0094080B">
        <w:rPr>
          <w:rFonts w:ascii="Times New Roman" w:hAnsi="Times New Roman" w:cs="Times New Roman"/>
          <w:color w:val="181818"/>
          <w:sz w:val="22"/>
          <w:szCs w:val="24"/>
        </w:rPr>
        <w:t>ill be recruited from the U.S. s</w:t>
      </w:r>
      <w:r w:rsidR="0094080B" w:rsidRPr="00801F67">
        <w:rPr>
          <w:rFonts w:ascii="Times New Roman" w:hAnsi="Times New Roman" w:cs="Times New Roman"/>
          <w:color w:val="181818"/>
          <w:sz w:val="22"/>
          <w:szCs w:val="24"/>
        </w:rPr>
        <w:t>outh census region</w:t>
      </w:r>
      <w:r w:rsidR="0094080B">
        <w:rPr>
          <w:rFonts w:ascii="Times New Roman" w:hAnsi="Times New Roman" w:cs="Times New Roman"/>
          <w:color w:val="181818"/>
          <w:sz w:val="22"/>
          <w:szCs w:val="24"/>
        </w:rPr>
        <w:t>—states in which antibiotic prescribing is the highest</w:t>
      </w:r>
      <w:r w:rsidR="0094080B" w:rsidRPr="00801F67">
        <w:rPr>
          <w:rFonts w:ascii="Times New Roman" w:hAnsi="Times New Roman" w:cs="Times New Roman"/>
          <w:color w:val="181818"/>
          <w:sz w:val="22"/>
          <w:szCs w:val="24"/>
        </w:rPr>
        <w:t xml:space="preserve">. </w:t>
      </w:r>
      <w:r w:rsidR="0094080B">
        <w:rPr>
          <w:rFonts w:ascii="Times New Roman" w:hAnsi="Times New Roman" w:cs="Times New Roman"/>
          <w:color w:val="181818"/>
          <w:sz w:val="22"/>
          <w:szCs w:val="24"/>
        </w:rPr>
        <w:t xml:space="preserve">The other half of participants will be recruited from all other US census regions. </w:t>
      </w:r>
      <w:r w:rsidR="006D0FD7" w:rsidRPr="00B5769B">
        <w:rPr>
          <w:rFonts w:ascii="Times New Roman" w:hAnsi="Times New Roman" w:cs="Times New Roman"/>
          <w:color w:val="181818"/>
          <w:sz w:val="22"/>
          <w:szCs w:val="24"/>
        </w:rPr>
        <w:t>A professional recruitment firm will conduct all recruitment, including delivering the HCP screener to potential participants to determine their eligibility and distributing/collecting the HCP PDIS from all eligible participants</w:t>
      </w:r>
      <w:r w:rsidR="006D0FD7" w:rsidRPr="00801F67">
        <w:rPr>
          <w:rFonts w:ascii="Times New Roman" w:hAnsi="Times New Roman" w:cs="Times New Roman"/>
          <w:b/>
          <w:color w:val="181818"/>
          <w:sz w:val="22"/>
          <w:szCs w:val="24"/>
        </w:rPr>
        <w:t xml:space="preserve"> </w:t>
      </w:r>
      <w:r w:rsidR="006D0FD7" w:rsidRPr="00801F67">
        <w:rPr>
          <w:rFonts w:ascii="Times New Roman" w:hAnsi="Times New Roman" w:cs="Times New Roman"/>
          <w:color w:val="181818"/>
          <w:sz w:val="22"/>
          <w:szCs w:val="24"/>
        </w:rPr>
        <w:t>(i.e., 36)</w:t>
      </w:r>
      <w:r w:rsidR="006D0FD7" w:rsidRPr="00801F67">
        <w:rPr>
          <w:rFonts w:ascii="Times New Roman" w:hAnsi="Times New Roman" w:cs="Times New Roman"/>
          <w:b/>
          <w:color w:val="181818"/>
          <w:sz w:val="22"/>
          <w:szCs w:val="24"/>
        </w:rPr>
        <w:t xml:space="preserve"> </w:t>
      </w:r>
      <w:r w:rsidR="006D0FD7" w:rsidRPr="00801F67">
        <w:rPr>
          <w:rFonts w:ascii="Times New Roman" w:hAnsi="Times New Roman" w:cs="Times New Roman"/>
          <w:color w:val="181818"/>
          <w:sz w:val="22"/>
          <w:szCs w:val="24"/>
        </w:rPr>
        <w:t>prior to the focus groups.</w:t>
      </w:r>
    </w:p>
    <w:p w14:paraId="50B622AC" w14:textId="0F66480C" w:rsidR="00907CDA" w:rsidRDefault="00907CDA" w:rsidP="00AE21E9">
      <w:pPr>
        <w:pStyle w:val="Heading4"/>
        <w:rPr>
          <w:rFonts w:ascii="Times New Roman" w:hAnsi="Times New Roman" w:cs="Times New Roman"/>
        </w:rPr>
      </w:pPr>
      <w:bookmarkStart w:id="6" w:name="_Toc472943650"/>
      <w:r w:rsidRPr="00AE21E9">
        <w:rPr>
          <w:rFonts w:ascii="Times New Roman" w:hAnsi="Times New Roman" w:cs="Times New Roman"/>
        </w:rPr>
        <w:t>Information Collection Procedures</w:t>
      </w:r>
      <w:bookmarkStart w:id="7" w:name="_GoBack"/>
      <w:bookmarkEnd w:id="6"/>
      <w:bookmarkEnd w:id="7"/>
    </w:p>
    <w:p w14:paraId="0C1E5D3E" w14:textId="77777777" w:rsidR="006D0FD7" w:rsidRPr="00D1065C" w:rsidRDefault="006D0FD7" w:rsidP="00D1065C">
      <w:pPr>
        <w:pStyle w:val="ICFBodyText"/>
        <w:spacing w:line="276" w:lineRule="auto"/>
        <w:rPr>
          <w:rFonts w:cs="Times New Roman"/>
          <w:i/>
          <w:sz w:val="22"/>
          <w:szCs w:val="22"/>
        </w:rPr>
      </w:pPr>
      <w:r w:rsidRPr="00D1065C">
        <w:rPr>
          <w:rFonts w:cs="Times New Roman"/>
          <w:i/>
          <w:sz w:val="22"/>
          <w:szCs w:val="22"/>
        </w:rPr>
        <w:t>Consumer Focus Groups</w:t>
      </w:r>
    </w:p>
    <w:p w14:paraId="03EBBE17" w14:textId="2B302DEF" w:rsidR="006D0FD7" w:rsidRPr="00D1065C" w:rsidRDefault="006D0FD7" w:rsidP="00D1065C">
      <w:pPr>
        <w:pStyle w:val="ICFBodyText"/>
        <w:spacing w:line="276" w:lineRule="auto"/>
        <w:jc w:val="both"/>
        <w:rPr>
          <w:rFonts w:cs="Times New Roman"/>
          <w:sz w:val="22"/>
          <w:szCs w:val="22"/>
        </w:rPr>
      </w:pPr>
      <w:r w:rsidRPr="00D1065C">
        <w:rPr>
          <w:rFonts w:cs="Times New Roman"/>
          <w:sz w:val="22"/>
          <w:szCs w:val="22"/>
        </w:rPr>
        <w:t xml:space="preserve">Focus groups will be conducted by trained moderators using </w:t>
      </w:r>
      <w:r w:rsidR="000E4F79" w:rsidRPr="00D1065C">
        <w:rPr>
          <w:rFonts w:cs="Times New Roman"/>
          <w:sz w:val="22"/>
          <w:szCs w:val="22"/>
        </w:rPr>
        <w:t xml:space="preserve">an online platform, such as </w:t>
      </w:r>
      <w:r w:rsidRPr="00D1065C">
        <w:rPr>
          <w:rFonts w:cs="Times New Roman"/>
          <w:sz w:val="22"/>
          <w:szCs w:val="22"/>
        </w:rPr>
        <w:t xml:space="preserve">Adobe Connect. </w:t>
      </w:r>
      <w:r w:rsidR="000E4F79" w:rsidRPr="00D1065C">
        <w:rPr>
          <w:sz w:val="22"/>
          <w:szCs w:val="22"/>
        </w:rPr>
        <w:t>S</w:t>
      </w:r>
      <w:r w:rsidR="00790D14" w:rsidRPr="00D1065C">
        <w:rPr>
          <w:sz w:val="22"/>
          <w:szCs w:val="22"/>
        </w:rPr>
        <w:t>tructured moderator guide</w:t>
      </w:r>
      <w:r w:rsidR="000E4F79" w:rsidRPr="00D1065C">
        <w:rPr>
          <w:sz w:val="22"/>
          <w:szCs w:val="22"/>
        </w:rPr>
        <w:t>s</w:t>
      </w:r>
      <w:r w:rsidR="00790D14" w:rsidRPr="00D1065C">
        <w:rPr>
          <w:sz w:val="22"/>
          <w:szCs w:val="22"/>
        </w:rPr>
        <w:t xml:space="preserve"> will be used as the data collection tool</w:t>
      </w:r>
      <w:r w:rsidR="000E4F79" w:rsidRPr="00D1065C">
        <w:rPr>
          <w:sz w:val="22"/>
          <w:szCs w:val="22"/>
        </w:rPr>
        <w:t>s</w:t>
      </w:r>
      <w:r w:rsidR="00790D14" w:rsidRPr="00D1065C">
        <w:rPr>
          <w:sz w:val="22"/>
          <w:szCs w:val="22"/>
        </w:rPr>
        <w:t xml:space="preserve"> (see Attachment</w:t>
      </w:r>
      <w:r w:rsidR="000E4F79" w:rsidRPr="00D1065C">
        <w:rPr>
          <w:sz w:val="22"/>
          <w:szCs w:val="22"/>
        </w:rPr>
        <w:t>s</w:t>
      </w:r>
      <w:r w:rsidR="00790D14" w:rsidRPr="00D1065C">
        <w:rPr>
          <w:sz w:val="22"/>
          <w:szCs w:val="22"/>
        </w:rPr>
        <w:t xml:space="preserve"> </w:t>
      </w:r>
      <w:r w:rsidR="006B64E8" w:rsidRPr="00D1065C">
        <w:rPr>
          <w:sz w:val="22"/>
          <w:szCs w:val="22"/>
        </w:rPr>
        <w:t>11[</w:t>
      </w:r>
      <w:r w:rsidR="000E4F79" w:rsidRPr="00D1065C">
        <w:rPr>
          <w:sz w:val="22"/>
          <w:szCs w:val="22"/>
        </w:rPr>
        <w:t xml:space="preserve">sepsis] and </w:t>
      </w:r>
      <w:r w:rsidR="006B64E8" w:rsidRPr="00D1065C">
        <w:rPr>
          <w:sz w:val="22"/>
          <w:szCs w:val="22"/>
        </w:rPr>
        <w:t>19</w:t>
      </w:r>
      <w:r w:rsidR="000E4F79" w:rsidRPr="00D1065C">
        <w:rPr>
          <w:sz w:val="22"/>
          <w:szCs w:val="22"/>
        </w:rPr>
        <w:t xml:space="preserve"> [AU]</w:t>
      </w:r>
      <w:r w:rsidR="00790D14" w:rsidRPr="00D1065C">
        <w:rPr>
          <w:sz w:val="22"/>
          <w:szCs w:val="22"/>
        </w:rPr>
        <w:t xml:space="preserve">). </w:t>
      </w:r>
      <w:r w:rsidRPr="00D1065C">
        <w:rPr>
          <w:rFonts w:cs="Times New Roman"/>
          <w:sz w:val="22"/>
          <w:szCs w:val="22"/>
        </w:rPr>
        <w:t>A professional recruiting firm will screen, recruit, and schedule all participants for focus groups; three individuals will participate in each focus group</w:t>
      </w:r>
      <w:r w:rsidR="00790D14" w:rsidRPr="00D1065C">
        <w:rPr>
          <w:rFonts w:cs="Times New Roman"/>
          <w:sz w:val="22"/>
          <w:szCs w:val="22"/>
        </w:rPr>
        <w:t xml:space="preserve"> (see Attachment</w:t>
      </w:r>
      <w:r w:rsidR="006B64E8" w:rsidRPr="00D1065C">
        <w:rPr>
          <w:rFonts w:cs="Times New Roman"/>
          <w:sz w:val="22"/>
          <w:szCs w:val="22"/>
        </w:rPr>
        <w:t>s</w:t>
      </w:r>
      <w:r w:rsidR="00790D14" w:rsidRPr="00D1065C">
        <w:rPr>
          <w:rFonts w:cs="Times New Roman"/>
          <w:sz w:val="22"/>
          <w:szCs w:val="22"/>
        </w:rPr>
        <w:t xml:space="preserve"> </w:t>
      </w:r>
      <w:r w:rsidR="006B64E8" w:rsidRPr="00D1065C">
        <w:rPr>
          <w:rFonts w:cs="Times New Roman"/>
          <w:sz w:val="22"/>
          <w:szCs w:val="22"/>
        </w:rPr>
        <w:t xml:space="preserve">2-4 [sepsis] and </w:t>
      </w:r>
      <w:r w:rsidR="00790D14" w:rsidRPr="00D1065C">
        <w:rPr>
          <w:rFonts w:cs="Times New Roman"/>
          <w:sz w:val="22"/>
          <w:szCs w:val="22"/>
        </w:rPr>
        <w:t>14-15</w:t>
      </w:r>
      <w:r w:rsidR="006B64E8" w:rsidRPr="00D1065C">
        <w:rPr>
          <w:rFonts w:cs="Times New Roman"/>
          <w:sz w:val="22"/>
          <w:szCs w:val="22"/>
        </w:rPr>
        <w:t xml:space="preserve"> [AU]</w:t>
      </w:r>
      <w:r w:rsidR="00790D14" w:rsidRPr="00D1065C">
        <w:rPr>
          <w:rFonts w:cs="Times New Roman"/>
          <w:sz w:val="22"/>
          <w:szCs w:val="22"/>
        </w:rPr>
        <w:t>)</w:t>
      </w:r>
      <w:r w:rsidRPr="00D1065C">
        <w:rPr>
          <w:rFonts w:cs="Times New Roman"/>
          <w:sz w:val="22"/>
          <w:szCs w:val="22"/>
        </w:rPr>
        <w:t>. The recruiting firm will contact participants via telephone and e-mail and distribute/collect the consumer PDIS from eligible participants prior to the focus groups</w:t>
      </w:r>
      <w:r w:rsidR="00790D14" w:rsidRPr="00D1065C">
        <w:rPr>
          <w:rFonts w:cs="Times New Roman"/>
          <w:sz w:val="22"/>
          <w:szCs w:val="22"/>
        </w:rPr>
        <w:t xml:space="preserve"> (see Attachment</w:t>
      </w:r>
      <w:r w:rsidR="006B64E8" w:rsidRPr="00D1065C">
        <w:rPr>
          <w:rFonts w:cs="Times New Roman"/>
          <w:sz w:val="22"/>
          <w:szCs w:val="22"/>
        </w:rPr>
        <w:t>s 9 [sepsis] and</w:t>
      </w:r>
      <w:r w:rsidR="00790D14" w:rsidRPr="00D1065C">
        <w:rPr>
          <w:rFonts w:cs="Times New Roman"/>
          <w:sz w:val="22"/>
          <w:szCs w:val="22"/>
        </w:rPr>
        <w:t xml:space="preserve"> 17-18</w:t>
      </w:r>
      <w:r w:rsidR="006B64E8" w:rsidRPr="00D1065C">
        <w:rPr>
          <w:rFonts w:cs="Times New Roman"/>
          <w:sz w:val="22"/>
          <w:szCs w:val="22"/>
        </w:rPr>
        <w:t xml:space="preserve"> [AU]</w:t>
      </w:r>
      <w:r w:rsidR="00790D14" w:rsidRPr="00D1065C">
        <w:rPr>
          <w:rFonts w:cs="Times New Roman"/>
          <w:sz w:val="22"/>
          <w:szCs w:val="22"/>
        </w:rPr>
        <w:t>)</w:t>
      </w:r>
      <w:r w:rsidRPr="00D1065C">
        <w:rPr>
          <w:rFonts w:cs="Times New Roman"/>
          <w:sz w:val="22"/>
          <w:szCs w:val="22"/>
        </w:rPr>
        <w:t xml:space="preserve">. Potential participants will be </w:t>
      </w:r>
      <w:r w:rsidR="007A176B" w:rsidRPr="00D1065C">
        <w:rPr>
          <w:rFonts w:cs="Times New Roman"/>
          <w:sz w:val="22"/>
          <w:szCs w:val="22"/>
        </w:rPr>
        <w:t xml:space="preserve">asked </w:t>
      </w:r>
      <w:r w:rsidRPr="00D1065C">
        <w:rPr>
          <w:rFonts w:cs="Times New Roman"/>
          <w:sz w:val="22"/>
          <w:szCs w:val="22"/>
        </w:rPr>
        <w:t xml:space="preserve">for </w:t>
      </w:r>
      <w:r w:rsidR="00756E1F" w:rsidRPr="00D1065C">
        <w:rPr>
          <w:rFonts w:cs="Times New Roman"/>
          <w:sz w:val="22"/>
          <w:szCs w:val="22"/>
        </w:rPr>
        <w:t>their availability to participate in</w:t>
      </w:r>
      <w:r w:rsidRPr="00D1065C">
        <w:rPr>
          <w:rFonts w:cs="Times New Roman"/>
          <w:sz w:val="22"/>
          <w:szCs w:val="22"/>
        </w:rPr>
        <w:t xml:space="preserve"> the focus group. Once a time that works for a sufficient number of participants</w:t>
      </w:r>
      <w:r w:rsidR="00D9423B" w:rsidRPr="00D1065C">
        <w:rPr>
          <w:rFonts w:cs="Times New Roman"/>
          <w:sz w:val="22"/>
          <w:szCs w:val="22"/>
        </w:rPr>
        <w:t xml:space="preserve"> has been identified</w:t>
      </w:r>
      <w:r w:rsidRPr="00D1065C">
        <w:rPr>
          <w:rFonts w:cs="Times New Roman"/>
          <w:sz w:val="22"/>
          <w:szCs w:val="22"/>
        </w:rPr>
        <w:t xml:space="preserve">, </w:t>
      </w:r>
      <w:r w:rsidR="00E97F5D" w:rsidRPr="00D1065C">
        <w:rPr>
          <w:rFonts w:cs="Times New Roman"/>
          <w:sz w:val="22"/>
          <w:szCs w:val="22"/>
        </w:rPr>
        <w:t>the recruiter</w:t>
      </w:r>
      <w:r w:rsidRPr="00D1065C">
        <w:rPr>
          <w:rFonts w:cs="Times New Roman"/>
          <w:sz w:val="22"/>
          <w:szCs w:val="22"/>
        </w:rPr>
        <w:t xml:space="preserve"> will send a calendar invitation and a link to the online session. A note taker will be present during each focus group. Focus groups will be audio taped to serve as a backup to the notes. CDC staff will have the ability to observe all focus groups by logging into the session. Focus groups will last approximately 90 minutes. </w:t>
      </w:r>
    </w:p>
    <w:p w14:paraId="05E8230F" w14:textId="4186E928" w:rsidR="006D0FD7" w:rsidRPr="00D1065C" w:rsidRDefault="006D0FD7" w:rsidP="00D1065C">
      <w:pPr>
        <w:pStyle w:val="ICFBodyText"/>
        <w:spacing w:line="276" w:lineRule="auto"/>
        <w:jc w:val="both"/>
        <w:rPr>
          <w:rFonts w:cs="Times New Roman"/>
          <w:sz w:val="22"/>
          <w:szCs w:val="22"/>
        </w:rPr>
      </w:pPr>
      <w:r w:rsidRPr="00D1065C">
        <w:rPr>
          <w:rFonts w:cs="Times New Roman"/>
          <w:sz w:val="22"/>
          <w:szCs w:val="22"/>
        </w:rPr>
        <w:t xml:space="preserve">At the start of the focus group, the moderator will obtain verbal consent </w:t>
      </w:r>
      <w:r w:rsidR="00756E1F" w:rsidRPr="00D1065C">
        <w:rPr>
          <w:rFonts w:cs="Times New Roman"/>
          <w:sz w:val="22"/>
          <w:szCs w:val="22"/>
        </w:rPr>
        <w:t xml:space="preserve">from the participants </w:t>
      </w:r>
      <w:r w:rsidRPr="00D1065C">
        <w:rPr>
          <w:rFonts w:cs="Times New Roman"/>
          <w:sz w:val="22"/>
          <w:szCs w:val="22"/>
        </w:rPr>
        <w:t>by reading the informed consent statement aloud and obtaining permission to audio record the fo</w:t>
      </w:r>
      <w:r w:rsidR="00790D14" w:rsidRPr="00D1065C">
        <w:rPr>
          <w:rFonts w:cs="Times New Roman"/>
          <w:sz w:val="22"/>
          <w:szCs w:val="22"/>
        </w:rPr>
        <w:t>cus group (</w:t>
      </w:r>
      <w:r w:rsidR="00F9059A" w:rsidRPr="00D1065C">
        <w:rPr>
          <w:rFonts w:cs="Times New Roman"/>
          <w:sz w:val="22"/>
          <w:szCs w:val="22"/>
        </w:rPr>
        <w:t xml:space="preserve">see </w:t>
      </w:r>
      <w:r w:rsidR="00790D14" w:rsidRPr="00D1065C">
        <w:rPr>
          <w:rFonts w:cs="Times New Roman"/>
          <w:sz w:val="22"/>
          <w:szCs w:val="22"/>
        </w:rPr>
        <w:t>Attachment</w:t>
      </w:r>
      <w:r w:rsidR="007608A5" w:rsidRPr="00D1065C">
        <w:rPr>
          <w:rFonts w:cs="Times New Roman"/>
          <w:sz w:val="22"/>
          <w:szCs w:val="22"/>
        </w:rPr>
        <w:t>s</w:t>
      </w:r>
      <w:r w:rsidR="00790D14" w:rsidRPr="00D1065C">
        <w:rPr>
          <w:rFonts w:cs="Times New Roman"/>
          <w:sz w:val="22"/>
          <w:szCs w:val="22"/>
        </w:rPr>
        <w:t xml:space="preserve"> 2</w:t>
      </w:r>
      <w:r w:rsidR="007608A5" w:rsidRPr="00D1065C">
        <w:rPr>
          <w:rFonts w:cs="Times New Roman"/>
          <w:sz w:val="22"/>
          <w:szCs w:val="22"/>
        </w:rPr>
        <w:t>1 [</w:t>
      </w:r>
      <w:r w:rsidR="00CC2B7F" w:rsidRPr="00D1065C">
        <w:rPr>
          <w:rFonts w:cs="Times New Roman"/>
          <w:sz w:val="22"/>
          <w:szCs w:val="22"/>
        </w:rPr>
        <w:t>AU</w:t>
      </w:r>
      <w:r w:rsidR="007608A5" w:rsidRPr="00D1065C">
        <w:rPr>
          <w:rFonts w:cs="Times New Roman"/>
          <w:sz w:val="22"/>
          <w:szCs w:val="22"/>
        </w:rPr>
        <w:t>] and 23 [</w:t>
      </w:r>
      <w:r w:rsidR="00CC2B7F" w:rsidRPr="00D1065C">
        <w:rPr>
          <w:rFonts w:cs="Times New Roman"/>
          <w:sz w:val="22"/>
          <w:szCs w:val="22"/>
        </w:rPr>
        <w:t>sepsis</w:t>
      </w:r>
      <w:r w:rsidR="007608A5" w:rsidRPr="00D1065C">
        <w:rPr>
          <w:rFonts w:cs="Times New Roman"/>
          <w:sz w:val="22"/>
          <w:szCs w:val="22"/>
        </w:rPr>
        <w:t>]</w:t>
      </w:r>
      <w:r w:rsidR="00790D14" w:rsidRPr="00D1065C">
        <w:rPr>
          <w:rFonts w:cs="Times New Roman"/>
          <w:sz w:val="22"/>
          <w:szCs w:val="22"/>
        </w:rPr>
        <w:t xml:space="preserve">). </w:t>
      </w:r>
      <w:r w:rsidRPr="00D1065C">
        <w:rPr>
          <w:rFonts w:cs="Times New Roman"/>
          <w:sz w:val="22"/>
          <w:szCs w:val="22"/>
        </w:rPr>
        <w:t xml:space="preserve"> </w:t>
      </w:r>
    </w:p>
    <w:p w14:paraId="3595AF33" w14:textId="77777777" w:rsidR="006D0FD7" w:rsidRPr="00D1065C" w:rsidRDefault="006D0FD7" w:rsidP="00D1065C">
      <w:pPr>
        <w:pStyle w:val="ICFBodyText"/>
        <w:spacing w:line="276" w:lineRule="auto"/>
        <w:jc w:val="both"/>
        <w:rPr>
          <w:rFonts w:cs="Times New Roman"/>
          <w:i/>
          <w:sz w:val="22"/>
          <w:szCs w:val="22"/>
        </w:rPr>
      </w:pPr>
      <w:r w:rsidRPr="00D1065C">
        <w:rPr>
          <w:rFonts w:cs="Times New Roman"/>
          <w:i/>
          <w:sz w:val="22"/>
          <w:szCs w:val="22"/>
        </w:rPr>
        <w:t>Healthcare Professional IDIs</w:t>
      </w:r>
    </w:p>
    <w:p w14:paraId="4A6F05AB" w14:textId="64E1C2DE" w:rsidR="006D0FD7" w:rsidRPr="00790D14" w:rsidRDefault="006D0FD7" w:rsidP="00D1065C">
      <w:pPr>
        <w:pStyle w:val="ICFBodyText"/>
        <w:spacing w:line="276" w:lineRule="auto"/>
        <w:jc w:val="both"/>
        <w:rPr>
          <w:rFonts w:cs="Times New Roman"/>
          <w:sz w:val="22"/>
          <w:szCs w:val="22"/>
        </w:rPr>
      </w:pPr>
      <w:r w:rsidRPr="00D1065C">
        <w:rPr>
          <w:rFonts w:cs="Times New Roman"/>
          <w:sz w:val="22"/>
          <w:szCs w:val="22"/>
        </w:rPr>
        <w:t xml:space="preserve">IDIs will be conducted by trained interviewers using </w:t>
      </w:r>
      <w:r w:rsidR="000E4F79" w:rsidRPr="00D1065C">
        <w:rPr>
          <w:rFonts w:cs="Times New Roman"/>
          <w:sz w:val="22"/>
          <w:szCs w:val="22"/>
        </w:rPr>
        <w:t xml:space="preserve">an online meeting platform, such as </w:t>
      </w:r>
      <w:r w:rsidRPr="00D1065C">
        <w:rPr>
          <w:rFonts w:cs="Times New Roman"/>
          <w:sz w:val="22"/>
          <w:szCs w:val="22"/>
        </w:rPr>
        <w:t xml:space="preserve">Adobe Connect. </w:t>
      </w:r>
      <w:r w:rsidR="000E4F79" w:rsidRPr="00D1065C">
        <w:rPr>
          <w:sz w:val="22"/>
          <w:szCs w:val="22"/>
        </w:rPr>
        <w:t>S</w:t>
      </w:r>
      <w:r w:rsidR="00790D14" w:rsidRPr="00D1065C">
        <w:rPr>
          <w:sz w:val="22"/>
          <w:szCs w:val="22"/>
        </w:rPr>
        <w:t xml:space="preserve">tructured </w:t>
      </w:r>
      <w:r w:rsidR="000E4F79" w:rsidRPr="00D1065C">
        <w:rPr>
          <w:sz w:val="22"/>
          <w:szCs w:val="22"/>
        </w:rPr>
        <w:t xml:space="preserve">interview </w:t>
      </w:r>
      <w:r w:rsidR="00790D14" w:rsidRPr="00D1065C">
        <w:rPr>
          <w:sz w:val="22"/>
          <w:szCs w:val="22"/>
        </w:rPr>
        <w:t>guide</w:t>
      </w:r>
      <w:r w:rsidR="000E4F79" w:rsidRPr="00D1065C">
        <w:rPr>
          <w:sz w:val="22"/>
          <w:szCs w:val="22"/>
        </w:rPr>
        <w:t>s</w:t>
      </w:r>
      <w:r w:rsidR="00790D14" w:rsidRPr="007608A5">
        <w:rPr>
          <w:sz w:val="22"/>
          <w:szCs w:val="22"/>
        </w:rPr>
        <w:t xml:space="preserve"> will be used as the data collection tool</w:t>
      </w:r>
      <w:r w:rsidR="000E4F79" w:rsidRPr="007608A5">
        <w:rPr>
          <w:sz w:val="22"/>
          <w:szCs w:val="22"/>
        </w:rPr>
        <w:t>s</w:t>
      </w:r>
      <w:r w:rsidR="00790D14" w:rsidRPr="007608A5">
        <w:rPr>
          <w:sz w:val="22"/>
          <w:szCs w:val="22"/>
        </w:rPr>
        <w:t xml:space="preserve"> (see Attachment</w:t>
      </w:r>
      <w:r w:rsidR="000E4F79" w:rsidRPr="007608A5">
        <w:rPr>
          <w:sz w:val="22"/>
          <w:szCs w:val="22"/>
        </w:rPr>
        <w:t>s</w:t>
      </w:r>
      <w:r w:rsidR="00790D14" w:rsidRPr="007608A5">
        <w:rPr>
          <w:sz w:val="22"/>
          <w:szCs w:val="22"/>
        </w:rPr>
        <w:t xml:space="preserve"> </w:t>
      </w:r>
      <w:r w:rsidR="007608A5" w:rsidRPr="00D1065C">
        <w:rPr>
          <w:sz w:val="22"/>
          <w:szCs w:val="22"/>
        </w:rPr>
        <w:t>12</w:t>
      </w:r>
      <w:r w:rsidR="007608A5" w:rsidRPr="007608A5">
        <w:rPr>
          <w:sz w:val="22"/>
          <w:szCs w:val="22"/>
        </w:rPr>
        <w:t xml:space="preserve"> </w:t>
      </w:r>
      <w:r w:rsidR="000E4F79" w:rsidRPr="007608A5">
        <w:rPr>
          <w:sz w:val="22"/>
          <w:szCs w:val="22"/>
        </w:rPr>
        <w:t xml:space="preserve">[sepsis] and </w:t>
      </w:r>
      <w:r w:rsidR="007608A5" w:rsidRPr="00D1065C">
        <w:rPr>
          <w:sz w:val="22"/>
          <w:szCs w:val="22"/>
        </w:rPr>
        <w:t>20</w:t>
      </w:r>
      <w:r w:rsidR="000E4F79" w:rsidRPr="007608A5">
        <w:rPr>
          <w:sz w:val="22"/>
          <w:szCs w:val="22"/>
        </w:rPr>
        <w:t xml:space="preserve"> [AU]</w:t>
      </w:r>
      <w:r w:rsidR="00790D14" w:rsidRPr="007608A5">
        <w:rPr>
          <w:sz w:val="22"/>
          <w:szCs w:val="22"/>
        </w:rPr>
        <w:t xml:space="preserve">). </w:t>
      </w:r>
      <w:r w:rsidRPr="007608A5">
        <w:rPr>
          <w:rFonts w:cs="Times New Roman"/>
          <w:sz w:val="22"/>
          <w:szCs w:val="22"/>
        </w:rPr>
        <w:t>A</w:t>
      </w:r>
      <w:r w:rsidRPr="00790D14">
        <w:rPr>
          <w:rFonts w:cs="Times New Roman"/>
          <w:sz w:val="22"/>
          <w:szCs w:val="22"/>
        </w:rPr>
        <w:t xml:space="preserve"> professional recruiting </w:t>
      </w:r>
      <w:r w:rsidRPr="007608A5">
        <w:rPr>
          <w:rFonts w:cs="Times New Roman"/>
          <w:sz w:val="22"/>
          <w:szCs w:val="22"/>
        </w:rPr>
        <w:t>firm will screen, recruit, and sch</w:t>
      </w:r>
      <w:r w:rsidR="00790D14" w:rsidRPr="007608A5">
        <w:rPr>
          <w:rFonts w:cs="Times New Roman"/>
          <w:sz w:val="22"/>
          <w:szCs w:val="22"/>
        </w:rPr>
        <w:t>edule all participants for IDIs (see Attachment</w:t>
      </w:r>
      <w:r w:rsidR="007608A5" w:rsidRPr="00D1065C">
        <w:rPr>
          <w:rFonts w:cs="Times New Roman"/>
          <w:sz w:val="22"/>
          <w:szCs w:val="22"/>
        </w:rPr>
        <w:t>s 5-8 [sepsis] and</w:t>
      </w:r>
      <w:r w:rsidR="00790D14" w:rsidRPr="007608A5">
        <w:rPr>
          <w:rFonts w:cs="Times New Roman"/>
          <w:sz w:val="22"/>
          <w:szCs w:val="22"/>
        </w:rPr>
        <w:t xml:space="preserve"> 13</w:t>
      </w:r>
      <w:r w:rsidR="007608A5" w:rsidRPr="007608A5">
        <w:rPr>
          <w:rFonts w:cs="Times New Roman"/>
          <w:sz w:val="22"/>
          <w:szCs w:val="22"/>
        </w:rPr>
        <w:t xml:space="preserve"> [AU]</w:t>
      </w:r>
      <w:r w:rsidR="00790D14" w:rsidRPr="007608A5">
        <w:rPr>
          <w:rFonts w:cs="Times New Roman"/>
          <w:sz w:val="22"/>
          <w:szCs w:val="22"/>
        </w:rPr>
        <w:t>).</w:t>
      </w:r>
      <w:r w:rsidRPr="007608A5">
        <w:rPr>
          <w:rFonts w:cs="Times New Roman"/>
          <w:sz w:val="22"/>
          <w:szCs w:val="22"/>
        </w:rPr>
        <w:t xml:space="preserve"> The recruiting</w:t>
      </w:r>
      <w:r w:rsidRPr="00790D14">
        <w:rPr>
          <w:rFonts w:cs="Times New Roman"/>
          <w:sz w:val="22"/>
          <w:szCs w:val="22"/>
        </w:rPr>
        <w:t xml:space="preserve"> firm </w:t>
      </w:r>
      <w:r w:rsidRPr="007608A5">
        <w:rPr>
          <w:rFonts w:cs="Times New Roman"/>
          <w:sz w:val="22"/>
          <w:szCs w:val="22"/>
        </w:rPr>
        <w:t>will contact participants via telephone and e-mail and distribute/collect the HCP PDIS from eligible participants prior to the focus groups</w:t>
      </w:r>
      <w:r w:rsidR="00F9059A" w:rsidRPr="007608A5">
        <w:rPr>
          <w:rFonts w:cs="Times New Roman"/>
          <w:sz w:val="22"/>
          <w:szCs w:val="22"/>
        </w:rPr>
        <w:t xml:space="preserve"> (see Attachment</w:t>
      </w:r>
      <w:r w:rsidR="007608A5" w:rsidRPr="00D1065C">
        <w:rPr>
          <w:rFonts w:cs="Times New Roman"/>
          <w:sz w:val="22"/>
          <w:szCs w:val="22"/>
        </w:rPr>
        <w:t>s</w:t>
      </w:r>
      <w:r w:rsidR="00F9059A" w:rsidRPr="007608A5">
        <w:rPr>
          <w:rFonts w:cs="Times New Roman"/>
          <w:sz w:val="22"/>
          <w:szCs w:val="22"/>
        </w:rPr>
        <w:t xml:space="preserve"> 1</w:t>
      </w:r>
      <w:r w:rsidR="007608A5" w:rsidRPr="00D1065C">
        <w:rPr>
          <w:rFonts w:cs="Times New Roman"/>
          <w:sz w:val="22"/>
          <w:szCs w:val="22"/>
        </w:rPr>
        <w:t>0 [sepsis] and 1</w:t>
      </w:r>
      <w:r w:rsidR="00F9059A" w:rsidRPr="007608A5">
        <w:rPr>
          <w:rFonts w:cs="Times New Roman"/>
          <w:sz w:val="22"/>
          <w:szCs w:val="22"/>
        </w:rPr>
        <w:t>6</w:t>
      </w:r>
      <w:r w:rsidR="007608A5" w:rsidRPr="00D1065C">
        <w:rPr>
          <w:rFonts w:cs="Times New Roman"/>
          <w:sz w:val="22"/>
          <w:szCs w:val="22"/>
        </w:rPr>
        <w:t xml:space="preserve"> [AU]</w:t>
      </w:r>
      <w:r w:rsidR="00F9059A" w:rsidRPr="007608A5">
        <w:rPr>
          <w:rFonts w:cs="Times New Roman"/>
          <w:sz w:val="22"/>
          <w:szCs w:val="22"/>
        </w:rPr>
        <w:t>)</w:t>
      </w:r>
      <w:r w:rsidRPr="007608A5">
        <w:rPr>
          <w:rFonts w:cs="Times New Roman"/>
          <w:sz w:val="22"/>
          <w:szCs w:val="22"/>
        </w:rPr>
        <w:t>. Potential participants will</w:t>
      </w:r>
      <w:r w:rsidRPr="00790D14">
        <w:rPr>
          <w:rFonts w:cs="Times New Roman"/>
          <w:sz w:val="22"/>
          <w:szCs w:val="22"/>
        </w:rPr>
        <w:t xml:space="preserve"> be </w:t>
      </w:r>
      <w:r w:rsidR="007A176B">
        <w:rPr>
          <w:rFonts w:cs="Times New Roman"/>
          <w:sz w:val="22"/>
          <w:szCs w:val="22"/>
        </w:rPr>
        <w:t xml:space="preserve">asked </w:t>
      </w:r>
      <w:r w:rsidRPr="00790D14">
        <w:rPr>
          <w:rFonts w:cs="Times New Roman"/>
          <w:sz w:val="22"/>
          <w:szCs w:val="22"/>
        </w:rPr>
        <w:t xml:space="preserve">for </w:t>
      </w:r>
      <w:r w:rsidR="00756E1F">
        <w:rPr>
          <w:rFonts w:cs="Times New Roman"/>
          <w:sz w:val="22"/>
          <w:szCs w:val="22"/>
        </w:rPr>
        <w:t>their availability</w:t>
      </w:r>
      <w:r w:rsidRPr="00790D14">
        <w:rPr>
          <w:rFonts w:cs="Times New Roman"/>
          <w:sz w:val="22"/>
          <w:szCs w:val="22"/>
        </w:rPr>
        <w:t xml:space="preserve"> for the IDI. Once a time that works</w:t>
      </w:r>
      <w:r w:rsidR="00B57BD8">
        <w:rPr>
          <w:rFonts w:cs="Times New Roman"/>
          <w:sz w:val="22"/>
          <w:szCs w:val="22"/>
        </w:rPr>
        <w:t xml:space="preserve"> for a sufficient number of participants has been identified</w:t>
      </w:r>
      <w:r w:rsidRPr="00790D14">
        <w:rPr>
          <w:rFonts w:cs="Times New Roman"/>
          <w:sz w:val="22"/>
          <w:szCs w:val="22"/>
        </w:rPr>
        <w:t xml:space="preserve">, </w:t>
      </w:r>
      <w:r w:rsidR="00E97F5D">
        <w:rPr>
          <w:rFonts w:cs="Times New Roman"/>
          <w:sz w:val="22"/>
          <w:szCs w:val="22"/>
        </w:rPr>
        <w:t xml:space="preserve">the recruiter </w:t>
      </w:r>
      <w:r w:rsidRPr="00790D14">
        <w:rPr>
          <w:rFonts w:cs="Times New Roman"/>
          <w:sz w:val="22"/>
          <w:szCs w:val="22"/>
        </w:rPr>
        <w:t xml:space="preserve">will send a </w:t>
      </w:r>
      <w:r w:rsidRPr="00790D14">
        <w:rPr>
          <w:rFonts w:cs="Times New Roman"/>
          <w:sz w:val="22"/>
          <w:szCs w:val="22"/>
        </w:rPr>
        <w:lastRenderedPageBreak/>
        <w:t xml:space="preserve">calendar invitation and a link to the online session. A note taker will be present during each IDI. </w:t>
      </w:r>
      <w:r w:rsidR="00E97F5D">
        <w:rPr>
          <w:rFonts w:cs="Times New Roman"/>
          <w:sz w:val="22"/>
          <w:szCs w:val="22"/>
        </w:rPr>
        <w:t>IDIs</w:t>
      </w:r>
      <w:r w:rsidRPr="00790D14">
        <w:rPr>
          <w:rFonts w:cs="Times New Roman"/>
          <w:sz w:val="22"/>
          <w:szCs w:val="22"/>
        </w:rPr>
        <w:t xml:space="preserve"> will be audio taped to serve as a backup to the notes. CDC staff will have the ability to observe all </w:t>
      </w:r>
      <w:r w:rsidR="00E97F5D">
        <w:rPr>
          <w:rFonts w:cs="Times New Roman"/>
          <w:sz w:val="22"/>
          <w:szCs w:val="22"/>
        </w:rPr>
        <w:t>IDIs</w:t>
      </w:r>
      <w:r w:rsidRPr="00790D14">
        <w:rPr>
          <w:rFonts w:cs="Times New Roman"/>
          <w:sz w:val="22"/>
          <w:szCs w:val="22"/>
        </w:rPr>
        <w:t xml:space="preserve"> by logging into the session. IDIs will last approximately 60 minutes. </w:t>
      </w:r>
    </w:p>
    <w:p w14:paraId="765EF6F5" w14:textId="77089474" w:rsidR="006D0FD7" w:rsidRPr="006D0FD7" w:rsidRDefault="006D0FD7" w:rsidP="00D1065C">
      <w:pPr>
        <w:pStyle w:val="ICFBodyText"/>
        <w:spacing w:line="276" w:lineRule="auto"/>
        <w:jc w:val="both"/>
        <w:rPr>
          <w:rFonts w:cs="Times New Roman"/>
          <w:sz w:val="22"/>
          <w:szCs w:val="22"/>
        </w:rPr>
      </w:pPr>
      <w:r w:rsidRPr="00790D14">
        <w:rPr>
          <w:rFonts w:cs="Times New Roman"/>
          <w:sz w:val="22"/>
          <w:szCs w:val="22"/>
        </w:rPr>
        <w:t xml:space="preserve">At the start of the IDI, the interviewer will obtain verbal consent </w:t>
      </w:r>
      <w:r w:rsidR="00756E1F">
        <w:rPr>
          <w:rFonts w:cs="Times New Roman"/>
          <w:sz w:val="22"/>
          <w:szCs w:val="22"/>
        </w:rPr>
        <w:t xml:space="preserve">from participants </w:t>
      </w:r>
      <w:r w:rsidRPr="00790D14">
        <w:rPr>
          <w:rFonts w:cs="Times New Roman"/>
          <w:sz w:val="22"/>
          <w:szCs w:val="22"/>
        </w:rPr>
        <w:t>by reading the informed consent statement aloud and permission to audio reco</w:t>
      </w:r>
      <w:r w:rsidR="00F9059A">
        <w:rPr>
          <w:rFonts w:cs="Times New Roman"/>
          <w:sz w:val="22"/>
          <w:szCs w:val="22"/>
        </w:rPr>
        <w:t xml:space="preserve">rd the IDI from the participant </w:t>
      </w:r>
      <w:r w:rsidR="007608A5" w:rsidRPr="007608A5">
        <w:rPr>
          <w:rFonts w:cs="Times New Roman"/>
          <w:sz w:val="22"/>
          <w:szCs w:val="22"/>
        </w:rPr>
        <w:t>(see Attachment</w:t>
      </w:r>
      <w:r w:rsidR="007608A5" w:rsidRPr="00202513">
        <w:rPr>
          <w:rFonts w:cs="Times New Roman"/>
          <w:sz w:val="22"/>
          <w:szCs w:val="22"/>
        </w:rPr>
        <w:t>s</w:t>
      </w:r>
      <w:r w:rsidR="007608A5" w:rsidRPr="007608A5">
        <w:rPr>
          <w:rFonts w:cs="Times New Roman"/>
          <w:sz w:val="22"/>
          <w:szCs w:val="22"/>
        </w:rPr>
        <w:t xml:space="preserve"> 2</w:t>
      </w:r>
      <w:r w:rsidR="007608A5" w:rsidRPr="00202513">
        <w:rPr>
          <w:rFonts w:cs="Times New Roman"/>
          <w:sz w:val="22"/>
          <w:szCs w:val="22"/>
        </w:rPr>
        <w:t>1 [</w:t>
      </w:r>
      <w:r w:rsidR="00CC2B7F">
        <w:rPr>
          <w:rFonts w:cs="Times New Roman"/>
          <w:sz w:val="22"/>
          <w:szCs w:val="22"/>
        </w:rPr>
        <w:t>AU] and 23 [sepsis</w:t>
      </w:r>
      <w:r w:rsidR="007608A5">
        <w:rPr>
          <w:rFonts w:cs="Times New Roman"/>
          <w:sz w:val="22"/>
          <w:szCs w:val="22"/>
        </w:rPr>
        <w:t>]).</w:t>
      </w:r>
    </w:p>
    <w:p w14:paraId="577145CD" w14:textId="138DE1BB" w:rsidR="00907CDA" w:rsidRPr="00AE21E9" w:rsidRDefault="00050996">
      <w:pPr>
        <w:pStyle w:val="Heading4"/>
        <w:rPr>
          <w:rFonts w:ascii="Times New Roman" w:hAnsi="Times New Roman" w:cs="Times New Roman"/>
        </w:rPr>
      </w:pPr>
      <w:bookmarkStart w:id="8" w:name="_Toc472943651"/>
      <w:r w:rsidRPr="00AE21E9">
        <w:rPr>
          <w:rFonts w:ascii="Times New Roman" w:hAnsi="Times New Roman" w:cs="Times New Roman"/>
        </w:rPr>
        <w:t>Methods to Maximize Response Rates</w:t>
      </w:r>
      <w:bookmarkEnd w:id="8"/>
      <w:r w:rsidRPr="00AE21E9">
        <w:rPr>
          <w:rFonts w:ascii="Times New Roman" w:hAnsi="Times New Roman" w:cs="Times New Roman"/>
        </w:rPr>
        <w:t xml:space="preserve"> </w:t>
      </w:r>
    </w:p>
    <w:p w14:paraId="74CAAEB7" w14:textId="58D7231E" w:rsidR="006D0FD7" w:rsidRPr="00790D14" w:rsidRDefault="006D0FD7" w:rsidP="00D1065C">
      <w:pPr>
        <w:pStyle w:val="ICFBodyText"/>
        <w:spacing w:line="276" w:lineRule="auto"/>
        <w:jc w:val="both"/>
        <w:rPr>
          <w:rFonts w:cs="Times New Roman"/>
          <w:sz w:val="22"/>
        </w:rPr>
      </w:pPr>
      <w:r w:rsidRPr="00790D14">
        <w:rPr>
          <w:rFonts w:cs="Times New Roman"/>
          <w:sz w:val="22"/>
        </w:rPr>
        <w:t xml:space="preserve">A professional recruitment firm will conduct all screening and recruitment of eligible participants. The recruiter will recruit a total of </w:t>
      </w:r>
      <w:r w:rsidR="00020C47">
        <w:rPr>
          <w:rFonts w:cs="Times New Roman"/>
          <w:sz w:val="22"/>
        </w:rPr>
        <w:t>four</w:t>
      </w:r>
      <w:r w:rsidRPr="00790D14">
        <w:rPr>
          <w:rFonts w:cs="Times New Roman"/>
          <w:sz w:val="22"/>
        </w:rPr>
        <w:t xml:space="preserve"> participants for each consumer focus group to ensure </w:t>
      </w:r>
      <w:r w:rsidR="00020C47">
        <w:rPr>
          <w:rFonts w:cs="Times New Roman"/>
          <w:sz w:val="22"/>
        </w:rPr>
        <w:t>three</w:t>
      </w:r>
      <w:r w:rsidRPr="00790D14">
        <w:rPr>
          <w:rFonts w:cs="Times New Roman"/>
          <w:sz w:val="22"/>
        </w:rPr>
        <w:t xml:space="preserve"> participants are available; the fourth participant will be dismissed prior to beginning the discussion. All participants will be asked to complete and return the PDIS at least 24 hours prior to their scheduled IDI or focus group. Using online/telephone technology will ensure anonymity to other members of the focus group and allow flexibility in scheduling focus groups and IDIs to accommodate participants’ schedules. The focus group and IDI moderator guides were designed with particular focus on open-ended questions to allow participants to provide significant detail and participants will have the option to skip questions they are not comfortable a</w:t>
      </w:r>
      <w:r w:rsidR="00020C47">
        <w:rPr>
          <w:rFonts w:cs="Times New Roman"/>
          <w:sz w:val="22"/>
        </w:rPr>
        <w:t>nswering</w:t>
      </w:r>
      <w:r w:rsidRPr="00790D14">
        <w:rPr>
          <w:rFonts w:cs="Times New Roman"/>
          <w:sz w:val="22"/>
        </w:rPr>
        <w:t>. Participants also will be informed that they have the right to end their participation at any time.</w:t>
      </w:r>
    </w:p>
    <w:p w14:paraId="36BACBBE" w14:textId="0CA09E0B" w:rsidR="00907CDA" w:rsidRPr="00AE21E9" w:rsidRDefault="00050996">
      <w:pPr>
        <w:pStyle w:val="Heading4"/>
        <w:rPr>
          <w:rFonts w:ascii="Times New Roman" w:hAnsi="Times New Roman" w:cs="Times New Roman"/>
        </w:rPr>
      </w:pPr>
      <w:bookmarkStart w:id="9" w:name="_Toc472943652"/>
      <w:r w:rsidRPr="00AE21E9">
        <w:rPr>
          <w:rFonts w:ascii="Times New Roman" w:hAnsi="Times New Roman" w:cs="Times New Roman"/>
        </w:rPr>
        <w:t>Test of Procedures or Methods to be Undertaken</w:t>
      </w:r>
      <w:bookmarkEnd w:id="9"/>
    </w:p>
    <w:p w14:paraId="78279BA0" w14:textId="4FF5FB64" w:rsidR="00790D14" w:rsidRDefault="00EB346F" w:rsidP="00D1065C">
      <w:pPr>
        <w:pStyle w:val="ICFBodyText"/>
        <w:spacing w:line="276" w:lineRule="auto"/>
        <w:jc w:val="both"/>
      </w:pPr>
      <w:r w:rsidRPr="00EB346F">
        <w:rPr>
          <w:rFonts w:cs="Times New Roman"/>
          <w:sz w:val="22"/>
          <w:szCs w:val="22"/>
        </w:rPr>
        <w:t>The estimate for burden</w:t>
      </w:r>
      <w:r>
        <w:rPr>
          <w:rFonts w:cs="Times New Roman"/>
          <w:sz w:val="22"/>
          <w:szCs w:val="22"/>
        </w:rPr>
        <w:t xml:space="preserve"> hours is based on previous use of </w:t>
      </w:r>
      <w:r w:rsidR="00E97F5D">
        <w:rPr>
          <w:rFonts w:cs="Times New Roman"/>
          <w:sz w:val="22"/>
          <w:szCs w:val="22"/>
        </w:rPr>
        <w:t xml:space="preserve">similar </w:t>
      </w:r>
      <w:r>
        <w:rPr>
          <w:rFonts w:cs="Times New Roman"/>
          <w:sz w:val="22"/>
          <w:szCs w:val="22"/>
        </w:rPr>
        <w:t xml:space="preserve">data </w:t>
      </w:r>
      <w:r w:rsidRPr="00EB346F">
        <w:rPr>
          <w:rFonts w:cs="Times New Roman"/>
          <w:sz w:val="22"/>
          <w:szCs w:val="22"/>
        </w:rPr>
        <w:t>collection instrument</w:t>
      </w:r>
      <w:r>
        <w:rPr>
          <w:rFonts w:cs="Times New Roman"/>
          <w:sz w:val="22"/>
          <w:szCs w:val="22"/>
        </w:rPr>
        <w:t xml:space="preserve">s </w:t>
      </w:r>
      <w:r w:rsidR="000E4F79">
        <w:rPr>
          <w:rFonts w:cs="Times New Roman"/>
          <w:sz w:val="22"/>
          <w:szCs w:val="22"/>
        </w:rPr>
        <w:t xml:space="preserve">developed </w:t>
      </w:r>
      <w:r w:rsidR="000B7F5E" w:rsidRPr="000B7F5E">
        <w:rPr>
          <w:rFonts w:cs="Times New Roman"/>
          <w:sz w:val="22"/>
          <w:szCs w:val="22"/>
        </w:rPr>
        <w:t xml:space="preserve">by the contractor. </w:t>
      </w:r>
      <w:r w:rsidR="007A176B">
        <w:rPr>
          <w:rFonts w:cs="Times New Roman"/>
          <w:sz w:val="22"/>
          <w:szCs w:val="22"/>
        </w:rPr>
        <w:t>T</w:t>
      </w:r>
      <w:r w:rsidR="00C86C30">
        <w:rPr>
          <w:rFonts w:cs="Times New Roman"/>
          <w:sz w:val="22"/>
          <w:szCs w:val="22"/>
        </w:rPr>
        <w:t>he average time to complete an</w:t>
      </w:r>
      <w:r w:rsidRPr="00EB346F">
        <w:rPr>
          <w:rFonts w:cs="Times New Roman"/>
          <w:sz w:val="22"/>
          <w:szCs w:val="22"/>
        </w:rPr>
        <w:t xml:space="preserve"> instrument</w:t>
      </w:r>
      <w:r w:rsidR="00C86C30">
        <w:rPr>
          <w:rFonts w:cs="Times New Roman"/>
          <w:sz w:val="22"/>
          <w:szCs w:val="22"/>
        </w:rPr>
        <w:t xml:space="preserve"> that tested the same health campaigns domains</w:t>
      </w:r>
      <w:r w:rsidR="00E97F5D">
        <w:rPr>
          <w:rFonts w:cs="Times New Roman"/>
          <w:sz w:val="22"/>
          <w:szCs w:val="22"/>
        </w:rPr>
        <w:t>,</w:t>
      </w:r>
      <w:r w:rsidRPr="00EB346F">
        <w:rPr>
          <w:rFonts w:cs="Times New Roman"/>
          <w:sz w:val="22"/>
          <w:szCs w:val="22"/>
        </w:rPr>
        <w:t xml:space="preserve"> including time for reviewing </w:t>
      </w:r>
      <w:r w:rsidR="00E97F5D">
        <w:rPr>
          <w:rFonts w:cs="Times New Roman"/>
          <w:sz w:val="22"/>
          <w:szCs w:val="22"/>
        </w:rPr>
        <w:t xml:space="preserve">the verbal consent, </w:t>
      </w:r>
      <w:r w:rsidRPr="00EB346F">
        <w:rPr>
          <w:rFonts w:cs="Times New Roman"/>
          <w:sz w:val="22"/>
          <w:szCs w:val="22"/>
        </w:rPr>
        <w:t>instructions, and completing the</w:t>
      </w:r>
      <w:r>
        <w:rPr>
          <w:rFonts w:cs="Times New Roman"/>
          <w:sz w:val="22"/>
          <w:szCs w:val="22"/>
        </w:rPr>
        <w:t xml:space="preserve"> instrument, </w:t>
      </w:r>
      <w:r w:rsidR="000E4F79">
        <w:rPr>
          <w:rFonts w:cs="Times New Roman"/>
          <w:sz w:val="22"/>
          <w:szCs w:val="22"/>
        </w:rPr>
        <w:t xml:space="preserve">were </w:t>
      </w:r>
      <w:r>
        <w:rPr>
          <w:rFonts w:cs="Times New Roman"/>
          <w:sz w:val="22"/>
          <w:szCs w:val="22"/>
        </w:rPr>
        <w:t>approximately 90 minutes for the focus group instrument and 60</w:t>
      </w:r>
      <w:r w:rsidRPr="00EB346F">
        <w:rPr>
          <w:rFonts w:cs="Times New Roman"/>
          <w:sz w:val="22"/>
          <w:szCs w:val="22"/>
        </w:rPr>
        <w:t xml:space="preserve"> minutes</w:t>
      </w:r>
      <w:r>
        <w:rPr>
          <w:rFonts w:cs="Times New Roman"/>
          <w:sz w:val="22"/>
          <w:szCs w:val="22"/>
        </w:rPr>
        <w:t xml:space="preserve"> for the IDI </w:t>
      </w:r>
      <w:r w:rsidR="00501ADC">
        <w:rPr>
          <w:rFonts w:cs="Times New Roman"/>
          <w:sz w:val="22"/>
          <w:szCs w:val="22"/>
        </w:rPr>
        <w:t xml:space="preserve">instrument. </w:t>
      </w:r>
      <w:r w:rsidR="00E97F5D" w:rsidRPr="00820828">
        <w:rPr>
          <w:rFonts w:cs="Times New Roman"/>
          <w:sz w:val="22"/>
        </w:rPr>
        <w:t>The estimates for burden hours for the consumer and HCP screeners and PDIS are based on pilot tests by the contractor.</w:t>
      </w:r>
      <w:bookmarkStart w:id="10" w:name="_Toc468877876"/>
    </w:p>
    <w:p w14:paraId="6D6CE4EB" w14:textId="18223D4F" w:rsidR="00907CDA" w:rsidRPr="00AE21E9" w:rsidRDefault="00907CDA" w:rsidP="00AE21E9">
      <w:pPr>
        <w:pStyle w:val="Heading4"/>
        <w:rPr>
          <w:rFonts w:ascii="Times New Roman" w:hAnsi="Times New Roman" w:cs="Times New Roman"/>
        </w:rPr>
      </w:pPr>
      <w:bookmarkStart w:id="11" w:name="_Toc472943653"/>
      <w:r w:rsidRPr="00AE21E9">
        <w:rPr>
          <w:rFonts w:ascii="Times New Roman" w:hAnsi="Times New Roman" w:cs="Times New Roman"/>
        </w:rPr>
        <w:t>I</w:t>
      </w:r>
      <w:bookmarkEnd w:id="10"/>
      <w:r w:rsidR="00050996" w:rsidRPr="00AE21E9">
        <w:rPr>
          <w:rFonts w:ascii="Times New Roman" w:hAnsi="Times New Roman" w:cs="Times New Roman"/>
        </w:rPr>
        <w:t>ndividuals Consulted on Statistical Aspects and Individuals Collecting and/or Analyzing Data</w:t>
      </w:r>
      <w:bookmarkEnd w:id="11"/>
    </w:p>
    <w:tbl>
      <w:tblPr>
        <w:tblStyle w:val="TableGrid"/>
        <w:tblW w:w="0" w:type="auto"/>
        <w:tblLook w:val="04A0" w:firstRow="1" w:lastRow="0" w:firstColumn="1" w:lastColumn="0" w:noHBand="0" w:noVBand="1"/>
      </w:tblPr>
      <w:tblGrid>
        <w:gridCol w:w="4855"/>
        <w:gridCol w:w="4495"/>
      </w:tblGrid>
      <w:tr w:rsidR="003546A6" w:rsidRPr="00C70E3C" w14:paraId="360F3935" w14:textId="77777777" w:rsidTr="00CB5308">
        <w:tc>
          <w:tcPr>
            <w:tcW w:w="9350" w:type="dxa"/>
            <w:gridSpan w:val="2"/>
            <w:shd w:val="clear" w:color="auto" w:fill="17365D" w:themeFill="text2" w:themeFillShade="BF"/>
          </w:tcPr>
          <w:p w14:paraId="1F0C4DBE" w14:textId="77777777" w:rsidR="003546A6" w:rsidRPr="00C70E3C" w:rsidRDefault="003546A6" w:rsidP="00CB5308">
            <w:pPr>
              <w:pStyle w:val="ICFBodyText"/>
              <w:spacing w:after="0"/>
              <w:jc w:val="center"/>
              <w:rPr>
                <w:rFonts w:ascii="Tw Cen MT" w:hAnsi="Tw Cen MT"/>
                <w:sz w:val="22"/>
                <w:szCs w:val="22"/>
              </w:rPr>
            </w:pPr>
            <w:r w:rsidRPr="00C70E3C">
              <w:rPr>
                <w:rFonts w:ascii="Tw Cen MT" w:hAnsi="Tw Cen MT"/>
                <w:sz w:val="22"/>
                <w:szCs w:val="22"/>
              </w:rPr>
              <w:t>Individuals Consulted on Statistical Aspects and Individuals Collecting and/or Analyzing Data</w:t>
            </w:r>
          </w:p>
        </w:tc>
      </w:tr>
      <w:tr w:rsidR="003546A6" w:rsidRPr="00C70E3C" w14:paraId="6A34B1E4" w14:textId="77777777" w:rsidTr="00CB5308">
        <w:tc>
          <w:tcPr>
            <w:tcW w:w="4855" w:type="dxa"/>
          </w:tcPr>
          <w:p w14:paraId="01126F2A" w14:textId="77777777" w:rsidR="003546A6" w:rsidRPr="00C70E3C" w:rsidRDefault="003546A6" w:rsidP="00CB5308">
            <w:pPr>
              <w:pStyle w:val="ICFBodyText"/>
              <w:spacing w:after="0"/>
              <w:rPr>
                <w:rFonts w:ascii="Tw Cen MT" w:hAnsi="Tw Cen MT"/>
                <w:sz w:val="22"/>
                <w:szCs w:val="22"/>
              </w:rPr>
            </w:pPr>
            <w:r w:rsidRPr="00C70E3C">
              <w:rPr>
                <w:rFonts w:ascii="Tw Cen MT" w:hAnsi="Tw Cen MT"/>
                <w:sz w:val="22"/>
                <w:szCs w:val="22"/>
              </w:rPr>
              <w:t>Gina Sgro</w:t>
            </w:r>
          </w:p>
          <w:p w14:paraId="3B3F479E" w14:textId="77777777" w:rsidR="003546A6" w:rsidRPr="00C70E3C" w:rsidRDefault="003546A6" w:rsidP="00CB5308">
            <w:pPr>
              <w:pStyle w:val="ICFBodyText"/>
              <w:spacing w:after="0"/>
              <w:rPr>
                <w:rFonts w:ascii="Tw Cen MT" w:hAnsi="Tw Cen MT"/>
                <w:sz w:val="22"/>
                <w:szCs w:val="22"/>
              </w:rPr>
            </w:pPr>
            <w:r w:rsidRPr="00C70E3C">
              <w:rPr>
                <w:rFonts w:ascii="Tw Cen MT" w:hAnsi="Tw Cen MT"/>
                <w:sz w:val="22"/>
                <w:szCs w:val="22"/>
              </w:rPr>
              <w:t>ICF</w:t>
            </w:r>
          </w:p>
          <w:p w14:paraId="05AB5C6F" w14:textId="77777777" w:rsidR="003546A6" w:rsidRPr="00C70E3C" w:rsidRDefault="003546A6" w:rsidP="00CB5308">
            <w:pPr>
              <w:pStyle w:val="ICFBodyText"/>
              <w:spacing w:after="0"/>
              <w:rPr>
                <w:rFonts w:ascii="Tw Cen MT" w:hAnsi="Tw Cen MT"/>
                <w:sz w:val="22"/>
                <w:szCs w:val="22"/>
              </w:rPr>
            </w:pPr>
            <w:r w:rsidRPr="00C70E3C">
              <w:rPr>
                <w:rFonts w:ascii="Tw Cen MT" w:hAnsi="Tw Cen MT"/>
                <w:sz w:val="22"/>
                <w:szCs w:val="22"/>
              </w:rPr>
              <w:t xml:space="preserve">Email: </w:t>
            </w:r>
            <w:hyperlink r:id="rId14" w:history="1">
              <w:r w:rsidRPr="00C70E3C">
                <w:rPr>
                  <w:rStyle w:val="Hyperlink"/>
                  <w:rFonts w:ascii="Tw Cen MT" w:hAnsi="Tw Cen MT"/>
                  <w:sz w:val="22"/>
                  <w:szCs w:val="22"/>
                </w:rPr>
                <w:t>Gina.Sgro@icf.com</w:t>
              </w:r>
            </w:hyperlink>
          </w:p>
          <w:p w14:paraId="1A05B9B6" w14:textId="77777777" w:rsidR="003546A6" w:rsidRPr="00C70E3C" w:rsidRDefault="003546A6" w:rsidP="00CB5308">
            <w:pPr>
              <w:pStyle w:val="ICFBodyText"/>
              <w:spacing w:after="0"/>
              <w:rPr>
                <w:rFonts w:ascii="Tw Cen MT" w:hAnsi="Tw Cen MT"/>
                <w:sz w:val="22"/>
                <w:szCs w:val="22"/>
              </w:rPr>
            </w:pPr>
            <w:r w:rsidRPr="00C70E3C">
              <w:rPr>
                <w:rFonts w:ascii="Tw Cen MT" w:hAnsi="Tw Cen MT"/>
                <w:sz w:val="22"/>
                <w:szCs w:val="22"/>
              </w:rPr>
              <w:t>Phone: (301) 572-0552</w:t>
            </w:r>
          </w:p>
        </w:tc>
        <w:tc>
          <w:tcPr>
            <w:tcW w:w="4495" w:type="dxa"/>
          </w:tcPr>
          <w:p w14:paraId="68B2351C" w14:textId="77777777" w:rsidR="003546A6" w:rsidRPr="00C70E3C" w:rsidRDefault="003546A6" w:rsidP="00CB5308">
            <w:pPr>
              <w:pStyle w:val="ICFBodyText"/>
              <w:spacing w:after="0"/>
              <w:rPr>
                <w:rFonts w:ascii="Tw Cen MT" w:hAnsi="Tw Cen MT"/>
                <w:sz w:val="22"/>
                <w:szCs w:val="22"/>
              </w:rPr>
            </w:pPr>
            <w:r w:rsidRPr="00C70E3C">
              <w:rPr>
                <w:rFonts w:ascii="Tw Cen MT" w:hAnsi="Tw Cen MT"/>
                <w:sz w:val="22"/>
                <w:szCs w:val="22"/>
              </w:rPr>
              <w:t>Sarah Lattimer Irvin</w:t>
            </w:r>
          </w:p>
          <w:p w14:paraId="17AC63A4" w14:textId="77777777" w:rsidR="003546A6" w:rsidRPr="00C70E3C" w:rsidRDefault="003546A6" w:rsidP="00CB5308">
            <w:pPr>
              <w:pStyle w:val="ICFBodyText"/>
              <w:spacing w:after="0"/>
              <w:rPr>
                <w:rFonts w:ascii="Tw Cen MT" w:hAnsi="Tw Cen MT"/>
                <w:sz w:val="22"/>
                <w:szCs w:val="22"/>
              </w:rPr>
            </w:pPr>
            <w:r w:rsidRPr="00C70E3C">
              <w:rPr>
                <w:rFonts w:ascii="Tw Cen MT" w:hAnsi="Tw Cen MT"/>
                <w:sz w:val="22"/>
                <w:szCs w:val="22"/>
              </w:rPr>
              <w:t>Lattimer Communications</w:t>
            </w:r>
          </w:p>
          <w:p w14:paraId="4B7756B4" w14:textId="77777777" w:rsidR="003546A6" w:rsidRPr="00C70E3C" w:rsidRDefault="003546A6" w:rsidP="00CB5308">
            <w:pPr>
              <w:pStyle w:val="ICFBodyText"/>
              <w:spacing w:after="0"/>
              <w:rPr>
                <w:rFonts w:ascii="Tw Cen MT" w:hAnsi="Tw Cen MT"/>
                <w:color w:val="1F497D"/>
                <w:sz w:val="22"/>
                <w:szCs w:val="22"/>
              </w:rPr>
            </w:pPr>
            <w:r w:rsidRPr="00C70E3C">
              <w:rPr>
                <w:rFonts w:ascii="Tw Cen MT" w:hAnsi="Tw Cen MT"/>
                <w:sz w:val="22"/>
                <w:szCs w:val="22"/>
              </w:rPr>
              <w:t xml:space="preserve">Email: </w:t>
            </w:r>
            <w:hyperlink r:id="rId15" w:history="1">
              <w:r w:rsidRPr="00C70E3C">
                <w:rPr>
                  <w:rStyle w:val="Hyperlink"/>
                  <w:rFonts w:ascii="Tw Cen MT" w:hAnsi="Tw Cen MT"/>
                  <w:sz w:val="22"/>
                  <w:szCs w:val="22"/>
                </w:rPr>
                <w:t>Sarah@lattimercommunications.com</w:t>
              </w:r>
            </w:hyperlink>
          </w:p>
          <w:p w14:paraId="3C462636" w14:textId="77777777" w:rsidR="003546A6" w:rsidRPr="00C70E3C" w:rsidRDefault="003546A6" w:rsidP="00CB5308">
            <w:pPr>
              <w:pStyle w:val="ICFBodyText"/>
              <w:spacing w:after="0"/>
              <w:rPr>
                <w:rFonts w:ascii="Tw Cen MT" w:hAnsi="Tw Cen MT"/>
                <w:sz w:val="22"/>
                <w:szCs w:val="22"/>
              </w:rPr>
            </w:pPr>
            <w:r w:rsidRPr="00C70E3C">
              <w:rPr>
                <w:rFonts w:ascii="Tw Cen MT" w:hAnsi="Tw Cen MT"/>
                <w:sz w:val="22"/>
                <w:szCs w:val="22"/>
              </w:rPr>
              <w:t>Phone: (404) 526-9321</w:t>
            </w:r>
          </w:p>
        </w:tc>
      </w:tr>
      <w:tr w:rsidR="003546A6" w:rsidRPr="00C70E3C" w14:paraId="328EF309" w14:textId="77777777" w:rsidTr="00CB5308">
        <w:tc>
          <w:tcPr>
            <w:tcW w:w="4855" w:type="dxa"/>
          </w:tcPr>
          <w:p w14:paraId="02997496" w14:textId="77777777" w:rsidR="003546A6" w:rsidRPr="00C70E3C" w:rsidRDefault="003546A6" w:rsidP="00CB5308">
            <w:pPr>
              <w:pStyle w:val="ICFBodyText"/>
              <w:spacing w:after="0"/>
              <w:rPr>
                <w:rFonts w:ascii="Tw Cen MT" w:hAnsi="Tw Cen MT"/>
                <w:sz w:val="22"/>
                <w:szCs w:val="22"/>
              </w:rPr>
            </w:pPr>
            <w:r w:rsidRPr="00C70E3C">
              <w:rPr>
                <w:rFonts w:ascii="Tw Cen MT" w:hAnsi="Tw Cen MT"/>
                <w:sz w:val="22"/>
                <w:szCs w:val="22"/>
              </w:rPr>
              <w:t>Ashani Johnson-Turbes, PhD</w:t>
            </w:r>
          </w:p>
          <w:p w14:paraId="541A6287" w14:textId="77777777" w:rsidR="003546A6" w:rsidRPr="00C70E3C" w:rsidRDefault="003546A6" w:rsidP="00CB5308">
            <w:pPr>
              <w:pStyle w:val="ICFBodyText"/>
              <w:spacing w:after="0"/>
              <w:rPr>
                <w:rFonts w:ascii="Tw Cen MT" w:hAnsi="Tw Cen MT"/>
                <w:sz w:val="22"/>
                <w:szCs w:val="22"/>
              </w:rPr>
            </w:pPr>
            <w:r w:rsidRPr="00C70E3C">
              <w:rPr>
                <w:rFonts w:ascii="Tw Cen MT" w:hAnsi="Tw Cen MT"/>
                <w:sz w:val="22"/>
                <w:szCs w:val="22"/>
              </w:rPr>
              <w:t>ICF</w:t>
            </w:r>
          </w:p>
          <w:p w14:paraId="1342AC31" w14:textId="77777777" w:rsidR="003546A6" w:rsidRPr="00C70E3C" w:rsidRDefault="003546A6" w:rsidP="00CB5308">
            <w:pPr>
              <w:pStyle w:val="ICFBodyText"/>
              <w:spacing w:after="0"/>
              <w:rPr>
                <w:rFonts w:ascii="Tw Cen MT" w:hAnsi="Tw Cen MT"/>
                <w:sz w:val="22"/>
                <w:szCs w:val="22"/>
              </w:rPr>
            </w:pPr>
            <w:r w:rsidRPr="00C70E3C">
              <w:rPr>
                <w:rFonts w:ascii="Tw Cen MT" w:hAnsi="Tw Cen MT"/>
                <w:sz w:val="22"/>
                <w:szCs w:val="22"/>
              </w:rPr>
              <w:t xml:space="preserve">Email: </w:t>
            </w:r>
            <w:hyperlink r:id="rId16" w:history="1">
              <w:r w:rsidRPr="00C70E3C">
                <w:rPr>
                  <w:rStyle w:val="Hyperlink"/>
                  <w:rFonts w:ascii="Tw Cen MT" w:hAnsi="Tw Cen MT"/>
                  <w:sz w:val="22"/>
                  <w:szCs w:val="22"/>
                </w:rPr>
                <w:t>Ashani.Johnson-Turbes@icf.com</w:t>
              </w:r>
            </w:hyperlink>
            <w:r w:rsidRPr="00C70E3C">
              <w:rPr>
                <w:rFonts w:ascii="Tw Cen MT" w:hAnsi="Tw Cen MT"/>
                <w:sz w:val="22"/>
                <w:szCs w:val="22"/>
              </w:rPr>
              <w:t xml:space="preserve"> </w:t>
            </w:r>
          </w:p>
          <w:p w14:paraId="7FD4816E" w14:textId="77777777" w:rsidR="003546A6" w:rsidRPr="00C70E3C" w:rsidRDefault="003546A6" w:rsidP="00CB5308">
            <w:pPr>
              <w:pStyle w:val="ICFBodyText"/>
              <w:spacing w:after="0"/>
              <w:rPr>
                <w:rFonts w:ascii="Tw Cen MT" w:hAnsi="Tw Cen MT"/>
                <w:sz w:val="22"/>
                <w:szCs w:val="22"/>
              </w:rPr>
            </w:pPr>
            <w:r w:rsidRPr="00C70E3C">
              <w:rPr>
                <w:rFonts w:ascii="Tw Cen MT" w:hAnsi="Tw Cen MT"/>
                <w:sz w:val="22"/>
                <w:szCs w:val="22"/>
              </w:rPr>
              <w:t>Phone: (404) 321-3211</w:t>
            </w:r>
          </w:p>
        </w:tc>
        <w:tc>
          <w:tcPr>
            <w:tcW w:w="4495" w:type="dxa"/>
          </w:tcPr>
          <w:p w14:paraId="16764A8E" w14:textId="77777777" w:rsidR="003546A6" w:rsidRPr="00C70E3C" w:rsidRDefault="003546A6" w:rsidP="00CB5308">
            <w:pPr>
              <w:pStyle w:val="ICFBodyText"/>
              <w:spacing w:after="0"/>
              <w:rPr>
                <w:rFonts w:ascii="Tw Cen MT" w:hAnsi="Tw Cen MT"/>
                <w:sz w:val="22"/>
                <w:szCs w:val="22"/>
              </w:rPr>
            </w:pPr>
            <w:r w:rsidRPr="00C70E3C">
              <w:rPr>
                <w:rFonts w:ascii="Tw Cen MT" w:hAnsi="Tw Cen MT"/>
                <w:sz w:val="22"/>
                <w:szCs w:val="22"/>
              </w:rPr>
              <w:t>Isadora Brown</w:t>
            </w:r>
          </w:p>
          <w:p w14:paraId="5316EB26" w14:textId="77777777" w:rsidR="003546A6" w:rsidRPr="00C70E3C" w:rsidRDefault="003546A6" w:rsidP="00CB5308">
            <w:pPr>
              <w:pStyle w:val="ICFBodyText"/>
              <w:spacing w:after="0"/>
              <w:rPr>
                <w:rFonts w:ascii="Tw Cen MT" w:hAnsi="Tw Cen MT"/>
                <w:sz w:val="22"/>
                <w:szCs w:val="22"/>
              </w:rPr>
            </w:pPr>
            <w:r w:rsidRPr="00C70E3C">
              <w:rPr>
                <w:rFonts w:ascii="Tw Cen MT" w:hAnsi="Tw Cen MT"/>
                <w:sz w:val="22"/>
                <w:szCs w:val="22"/>
              </w:rPr>
              <w:t>Lattimer Communications</w:t>
            </w:r>
          </w:p>
          <w:p w14:paraId="3147E82C" w14:textId="77777777" w:rsidR="003546A6" w:rsidRPr="00C70E3C" w:rsidRDefault="003546A6" w:rsidP="003546A6">
            <w:pPr>
              <w:ind w:left="0"/>
              <w:rPr>
                <w:rFonts w:ascii="Tw Cen MT" w:eastAsiaTheme="minorHAnsi" w:hAnsi="Tw Cen MT" w:cs="Times New Roman"/>
                <w:color w:val="1F497D"/>
              </w:rPr>
            </w:pPr>
            <w:r w:rsidRPr="00C70E3C">
              <w:rPr>
                <w:rFonts w:ascii="Tw Cen MT" w:hAnsi="Tw Cen MT"/>
              </w:rPr>
              <w:t xml:space="preserve">Email: </w:t>
            </w:r>
            <w:hyperlink r:id="rId17" w:history="1">
              <w:r w:rsidRPr="00C70E3C">
                <w:rPr>
                  <w:rStyle w:val="Hyperlink"/>
                  <w:rFonts w:ascii="Tw Cen MT" w:hAnsi="Tw Cen MT"/>
                </w:rPr>
                <w:t>isadora@lattimercommunications.com</w:t>
              </w:r>
            </w:hyperlink>
            <w:r w:rsidRPr="00C70E3C">
              <w:rPr>
                <w:rFonts w:ascii="Tw Cen MT" w:hAnsi="Tw Cen MT"/>
                <w:color w:val="1F497D"/>
              </w:rPr>
              <w:t xml:space="preserve"> </w:t>
            </w:r>
          </w:p>
          <w:p w14:paraId="2EA2B1E2" w14:textId="77777777" w:rsidR="003546A6" w:rsidRPr="00C70E3C" w:rsidRDefault="003546A6" w:rsidP="00CB5308">
            <w:pPr>
              <w:pStyle w:val="ICFBodyText"/>
              <w:spacing w:after="0"/>
              <w:rPr>
                <w:rFonts w:ascii="Tw Cen MT" w:hAnsi="Tw Cen MT"/>
                <w:sz w:val="22"/>
                <w:szCs w:val="22"/>
              </w:rPr>
            </w:pPr>
            <w:r w:rsidRPr="00C70E3C">
              <w:rPr>
                <w:rFonts w:ascii="Tw Cen MT" w:hAnsi="Tw Cen MT"/>
                <w:sz w:val="22"/>
                <w:szCs w:val="22"/>
              </w:rPr>
              <w:t>Phone: (404) 526-9321</w:t>
            </w:r>
          </w:p>
        </w:tc>
      </w:tr>
      <w:tr w:rsidR="003546A6" w:rsidRPr="00C70E3C" w14:paraId="661640EE" w14:textId="77777777" w:rsidTr="00CB5308">
        <w:tc>
          <w:tcPr>
            <w:tcW w:w="4855" w:type="dxa"/>
          </w:tcPr>
          <w:p w14:paraId="310E6222" w14:textId="59B2E235" w:rsidR="003546A6" w:rsidRPr="00C70E3C" w:rsidRDefault="003546A6" w:rsidP="00CB5308">
            <w:pPr>
              <w:pStyle w:val="ICFBodyText"/>
              <w:spacing w:after="0"/>
              <w:rPr>
                <w:rFonts w:ascii="Tw Cen MT" w:hAnsi="Tw Cen MT"/>
                <w:sz w:val="22"/>
                <w:szCs w:val="22"/>
              </w:rPr>
            </w:pPr>
            <w:r>
              <w:rPr>
                <w:rFonts w:ascii="Tw Cen MT" w:hAnsi="Tw Cen MT"/>
                <w:sz w:val="22"/>
                <w:szCs w:val="22"/>
              </w:rPr>
              <w:t>Joseph D. Galanek PhD, MPH</w:t>
            </w:r>
          </w:p>
          <w:p w14:paraId="0FD77F3B" w14:textId="77777777" w:rsidR="003546A6" w:rsidRPr="00C70E3C" w:rsidRDefault="003546A6" w:rsidP="00CB5308">
            <w:pPr>
              <w:pStyle w:val="ICFBodyText"/>
              <w:spacing w:after="0"/>
              <w:rPr>
                <w:rFonts w:ascii="Tw Cen MT" w:hAnsi="Tw Cen MT"/>
                <w:sz w:val="22"/>
                <w:szCs w:val="22"/>
              </w:rPr>
            </w:pPr>
            <w:r w:rsidRPr="00C70E3C">
              <w:rPr>
                <w:rFonts w:ascii="Tw Cen MT" w:hAnsi="Tw Cen MT"/>
                <w:sz w:val="22"/>
                <w:szCs w:val="22"/>
              </w:rPr>
              <w:t>ICF</w:t>
            </w:r>
          </w:p>
          <w:p w14:paraId="5938BBD8" w14:textId="77777777" w:rsidR="003546A6" w:rsidRPr="00C70E3C" w:rsidRDefault="003546A6" w:rsidP="00CB5308">
            <w:pPr>
              <w:pStyle w:val="ICFBodyText"/>
              <w:spacing w:after="0"/>
              <w:rPr>
                <w:rFonts w:ascii="Tw Cen MT" w:hAnsi="Tw Cen MT"/>
                <w:sz w:val="22"/>
                <w:szCs w:val="22"/>
              </w:rPr>
            </w:pPr>
            <w:r w:rsidRPr="00C70E3C">
              <w:rPr>
                <w:rFonts w:ascii="Tw Cen MT" w:hAnsi="Tw Cen MT"/>
                <w:sz w:val="22"/>
                <w:szCs w:val="22"/>
              </w:rPr>
              <w:t xml:space="preserve">Email: </w:t>
            </w:r>
            <w:hyperlink r:id="rId18" w:history="1">
              <w:r w:rsidRPr="00C70E3C">
                <w:rPr>
                  <w:rStyle w:val="Hyperlink"/>
                  <w:rFonts w:ascii="Tw Cen MT" w:hAnsi="Tw Cen MT"/>
                  <w:sz w:val="22"/>
                  <w:szCs w:val="22"/>
                </w:rPr>
                <w:t>Joe.Galanek@icf.com</w:t>
              </w:r>
            </w:hyperlink>
          </w:p>
          <w:p w14:paraId="708B3D42" w14:textId="77777777" w:rsidR="003546A6" w:rsidRPr="00C70E3C" w:rsidRDefault="003546A6" w:rsidP="00CB5308">
            <w:pPr>
              <w:pStyle w:val="ICFBodyText"/>
              <w:spacing w:after="0"/>
              <w:rPr>
                <w:rFonts w:ascii="Tw Cen MT" w:hAnsi="Tw Cen MT"/>
                <w:sz w:val="22"/>
                <w:szCs w:val="22"/>
              </w:rPr>
            </w:pPr>
            <w:r w:rsidRPr="00C70E3C">
              <w:rPr>
                <w:rFonts w:ascii="Tw Cen MT" w:hAnsi="Tw Cen MT"/>
                <w:sz w:val="22"/>
                <w:szCs w:val="22"/>
              </w:rPr>
              <w:t>Phone: (301) 572-0552</w:t>
            </w:r>
          </w:p>
        </w:tc>
        <w:tc>
          <w:tcPr>
            <w:tcW w:w="4495" w:type="dxa"/>
          </w:tcPr>
          <w:p w14:paraId="28BA0D7B" w14:textId="0652F544" w:rsidR="003546A6" w:rsidRPr="00C70E3C" w:rsidRDefault="003546A6" w:rsidP="00CB5308">
            <w:pPr>
              <w:pStyle w:val="ICFBodyText"/>
              <w:spacing w:after="0"/>
              <w:rPr>
                <w:rFonts w:ascii="Tw Cen MT" w:hAnsi="Tw Cen MT"/>
                <w:sz w:val="22"/>
                <w:szCs w:val="22"/>
              </w:rPr>
            </w:pPr>
            <w:r>
              <w:rPr>
                <w:rFonts w:ascii="Tw Cen MT" w:hAnsi="Tw Cen MT"/>
                <w:sz w:val="22"/>
                <w:szCs w:val="22"/>
              </w:rPr>
              <w:t>Jennifer Mezzo</w:t>
            </w:r>
          </w:p>
          <w:p w14:paraId="04A3EEF2" w14:textId="77777777" w:rsidR="003546A6" w:rsidRPr="00C70E3C" w:rsidRDefault="003546A6" w:rsidP="00CB5308">
            <w:pPr>
              <w:pStyle w:val="ICFBodyText"/>
              <w:spacing w:after="0"/>
              <w:rPr>
                <w:rFonts w:ascii="Tw Cen MT" w:hAnsi="Tw Cen MT"/>
                <w:sz w:val="22"/>
                <w:szCs w:val="22"/>
              </w:rPr>
            </w:pPr>
            <w:r w:rsidRPr="00C70E3C">
              <w:rPr>
                <w:rFonts w:ascii="Tw Cen MT" w:hAnsi="Tw Cen MT"/>
                <w:sz w:val="22"/>
                <w:szCs w:val="22"/>
              </w:rPr>
              <w:t>ICF</w:t>
            </w:r>
          </w:p>
          <w:p w14:paraId="2012636D" w14:textId="08963963" w:rsidR="003546A6" w:rsidRDefault="003546A6" w:rsidP="00CB5308">
            <w:pPr>
              <w:pStyle w:val="ICFBodyText"/>
              <w:spacing w:after="0"/>
              <w:rPr>
                <w:rFonts w:ascii="Tw Cen MT" w:hAnsi="Tw Cen MT"/>
                <w:sz w:val="22"/>
                <w:szCs w:val="22"/>
              </w:rPr>
            </w:pPr>
            <w:r w:rsidRPr="00C70E3C">
              <w:rPr>
                <w:rFonts w:ascii="Tw Cen MT" w:hAnsi="Tw Cen MT"/>
                <w:sz w:val="22"/>
                <w:szCs w:val="22"/>
              </w:rPr>
              <w:t xml:space="preserve">Email: </w:t>
            </w:r>
            <w:hyperlink r:id="rId19" w:history="1">
              <w:r w:rsidRPr="009A22AF">
                <w:rPr>
                  <w:rStyle w:val="Hyperlink"/>
                  <w:rFonts w:ascii="Tw Cen MT" w:hAnsi="Tw Cen MT"/>
                  <w:sz w:val="22"/>
                  <w:szCs w:val="22"/>
                </w:rPr>
                <w:t>Jennifer.Mezzo@icf.com</w:t>
              </w:r>
            </w:hyperlink>
          </w:p>
          <w:p w14:paraId="7C7D1832" w14:textId="77777777" w:rsidR="003546A6" w:rsidRPr="00C70E3C" w:rsidRDefault="003546A6" w:rsidP="00CB5308">
            <w:pPr>
              <w:pStyle w:val="ICFBodyText"/>
              <w:spacing w:after="0"/>
              <w:rPr>
                <w:rFonts w:ascii="Tw Cen MT" w:hAnsi="Tw Cen MT"/>
                <w:sz w:val="22"/>
                <w:szCs w:val="22"/>
              </w:rPr>
            </w:pPr>
            <w:r w:rsidRPr="00C70E3C">
              <w:rPr>
                <w:rFonts w:ascii="Tw Cen MT" w:hAnsi="Tw Cen MT"/>
                <w:sz w:val="22"/>
                <w:szCs w:val="22"/>
              </w:rPr>
              <w:t>Phone: (301) 572-0552</w:t>
            </w:r>
          </w:p>
        </w:tc>
      </w:tr>
    </w:tbl>
    <w:p w14:paraId="74BE5F7E" w14:textId="16E17836" w:rsidR="00F52BCC" w:rsidRPr="002115E2" w:rsidRDefault="003546A6" w:rsidP="00991BF9">
      <w:pPr>
        <w:ind w:left="360"/>
        <w:rPr>
          <w:rFonts w:ascii="Times New Roman" w:hAnsi="Times New Roman" w:cs="Times New Roman"/>
        </w:rPr>
      </w:pPr>
      <w:r>
        <w:t xml:space="preserve"> </w:t>
      </w:r>
    </w:p>
    <w:sectPr w:rsidR="00F52BCC" w:rsidRPr="002115E2" w:rsidSect="003E5D57">
      <w:headerReference w:type="default" r:id="rId20"/>
      <w:footerReference w:type="defaul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67D37" w14:textId="77777777" w:rsidR="00077ED3" w:rsidRDefault="00077ED3" w:rsidP="00BC6896">
      <w:r>
        <w:separator/>
      </w:r>
    </w:p>
    <w:p w14:paraId="6E1E8756" w14:textId="77777777" w:rsidR="00077ED3" w:rsidRDefault="00077ED3" w:rsidP="00BC6896"/>
  </w:endnote>
  <w:endnote w:type="continuationSeparator" w:id="0">
    <w:p w14:paraId="017EB853" w14:textId="77777777" w:rsidR="00077ED3" w:rsidRDefault="00077ED3" w:rsidP="00BC6896">
      <w:r>
        <w:continuationSeparator/>
      </w:r>
    </w:p>
    <w:p w14:paraId="7571F136" w14:textId="77777777" w:rsidR="00077ED3" w:rsidRDefault="00077ED3"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Ebrima">
    <w:panose1 w:val="02000000000000000000"/>
    <w:charset w:val="00"/>
    <w:family w:val="auto"/>
    <w:pitch w:val="variable"/>
    <w:sig w:usb0="A000005F" w:usb1="02000041" w:usb2="00000000" w:usb3="00000000" w:csb0="00000093"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259255898"/>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479EB3CE" w14:textId="77777777" w:rsidR="003A0D49" w:rsidRPr="00E7291C" w:rsidRDefault="003A0D49">
            <w:pPr>
              <w:pStyle w:val="Footer"/>
              <w:jc w:val="right"/>
              <w:rPr>
                <w:rFonts w:ascii="Times New Roman" w:hAnsi="Times New Roman" w:cs="Times New Roman"/>
                <w:sz w:val="20"/>
                <w:szCs w:val="20"/>
              </w:rPr>
            </w:pPr>
            <w:r w:rsidRPr="00E7291C">
              <w:rPr>
                <w:rFonts w:ascii="Times New Roman" w:hAnsi="Times New Roman" w:cs="Times New Roman"/>
                <w:sz w:val="20"/>
                <w:szCs w:val="20"/>
              </w:rPr>
              <w:t xml:space="preserve">Page </w:t>
            </w:r>
            <w:r w:rsidRPr="00E7291C">
              <w:rPr>
                <w:rFonts w:ascii="Times New Roman" w:hAnsi="Times New Roman" w:cs="Times New Roman"/>
                <w:b/>
                <w:bCs/>
                <w:sz w:val="20"/>
                <w:szCs w:val="20"/>
              </w:rPr>
              <w:fldChar w:fldCharType="begin"/>
            </w:r>
            <w:r w:rsidRPr="00E7291C">
              <w:rPr>
                <w:rFonts w:ascii="Times New Roman" w:hAnsi="Times New Roman" w:cs="Times New Roman"/>
                <w:b/>
                <w:bCs/>
                <w:sz w:val="20"/>
                <w:szCs w:val="20"/>
              </w:rPr>
              <w:instrText xml:space="preserve"> PAGE </w:instrText>
            </w:r>
            <w:r w:rsidRPr="00E7291C">
              <w:rPr>
                <w:rFonts w:ascii="Times New Roman" w:hAnsi="Times New Roman" w:cs="Times New Roman"/>
                <w:b/>
                <w:bCs/>
                <w:sz w:val="20"/>
                <w:szCs w:val="20"/>
              </w:rPr>
              <w:fldChar w:fldCharType="separate"/>
            </w:r>
            <w:r w:rsidR="00D1065C">
              <w:rPr>
                <w:rFonts w:ascii="Times New Roman" w:hAnsi="Times New Roman" w:cs="Times New Roman"/>
                <w:b/>
                <w:bCs/>
                <w:noProof/>
                <w:sz w:val="20"/>
                <w:szCs w:val="20"/>
              </w:rPr>
              <w:t>6</w:t>
            </w:r>
            <w:r w:rsidRPr="00E7291C">
              <w:rPr>
                <w:rFonts w:ascii="Times New Roman" w:hAnsi="Times New Roman" w:cs="Times New Roman"/>
                <w:b/>
                <w:bCs/>
                <w:sz w:val="20"/>
                <w:szCs w:val="20"/>
              </w:rPr>
              <w:fldChar w:fldCharType="end"/>
            </w:r>
            <w:r w:rsidRPr="00E7291C">
              <w:rPr>
                <w:rFonts w:ascii="Times New Roman" w:hAnsi="Times New Roman" w:cs="Times New Roman"/>
                <w:sz w:val="20"/>
                <w:szCs w:val="20"/>
              </w:rPr>
              <w:t xml:space="preserve"> of </w:t>
            </w:r>
            <w:r w:rsidRPr="00E7291C">
              <w:rPr>
                <w:rFonts w:ascii="Times New Roman" w:hAnsi="Times New Roman" w:cs="Times New Roman"/>
                <w:b/>
                <w:bCs/>
                <w:sz w:val="20"/>
                <w:szCs w:val="20"/>
              </w:rPr>
              <w:fldChar w:fldCharType="begin"/>
            </w:r>
            <w:r w:rsidRPr="00E7291C">
              <w:rPr>
                <w:rFonts w:ascii="Times New Roman" w:hAnsi="Times New Roman" w:cs="Times New Roman"/>
                <w:b/>
                <w:bCs/>
                <w:sz w:val="20"/>
                <w:szCs w:val="20"/>
              </w:rPr>
              <w:instrText xml:space="preserve"> NUMPAGES  </w:instrText>
            </w:r>
            <w:r w:rsidRPr="00E7291C">
              <w:rPr>
                <w:rFonts w:ascii="Times New Roman" w:hAnsi="Times New Roman" w:cs="Times New Roman"/>
                <w:b/>
                <w:bCs/>
                <w:sz w:val="20"/>
                <w:szCs w:val="20"/>
              </w:rPr>
              <w:fldChar w:fldCharType="separate"/>
            </w:r>
            <w:r w:rsidR="00D1065C">
              <w:rPr>
                <w:rFonts w:ascii="Times New Roman" w:hAnsi="Times New Roman" w:cs="Times New Roman"/>
                <w:b/>
                <w:bCs/>
                <w:noProof/>
                <w:sz w:val="20"/>
                <w:szCs w:val="20"/>
              </w:rPr>
              <w:t>6</w:t>
            </w:r>
            <w:r w:rsidRPr="00E7291C">
              <w:rPr>
                <w:rFonts w:ascii="Times New Roman" w:hAnsi="Times New Roman" w:cs="Times New Roman"/>
                <w:b/>
                <w:bCs/>
                <w:sz w:val="20"/>
                <w:szCs w:val="20"/>
              </w:rPr>
              <w:fldChar w:fldCharType="end"/>
            </w:r>
          </w:p>
        </w:sdtContent>
      </w:sdt>
    </w:sdtContent>
  </w:sdt>
  <w:p w14:paraId="2E64CF90" w14:textId="77777777" w:rsidR="003A0D49" w:rsidRDefault="003A0D49"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1FC34" w14:textId="77777777" w:rsidR="00077ED3" w:rsidRDefault="00077ED3" w:rsidP="00BC6896">
      <w:r>
        <w:separator/>
      </w:r>
    </w:p>
    <w:p w14:paraId="5F053107" w14:textId="77777777" w:rsidR="00077ED3" w:rsidRDefault="00077ED3" w:rsidP="00BC6896"/>
  </w:footnote>
  <w:footnote w:type="continuationSeparator" w:id="0">
    <w:p w14:paraId="01808644" w14:textId="77777777" w:rsidR="00077ED3" w:rsidRDefault="00077ED3" w:rsidP="00BC6896">
      <w:r>
        <w:continuationSeparator/>
      </w:r>
    </w:p>
    <w:p w14:paraId="3AAB8810" w14:textId="77777777" w:rsidR="00077ED3" w:rsidRDefault="00077ED3"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C7364" w14:textId="77777777" w:rsidR="003A0D49" w:rsidRPr="00716F94" w:rsidRDefault="003A0D49" w:rsidP="00BC6896">
    <w:pPr>
      <w:pStyle w:val="Header"/>
      <w:rPr>
        <w:color w:val="0033CC"/>
      </w:rPr>
    </w:pPr>
    <w:r>
      <w:tab/>
    </w:r>
  </w:p>
  <w:p w14:paraId="11539AFF" w14:textId="77777777" w:rsidR="003A0D49" w:rsidRDefault="003A0D49"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B631F"/>
    <w:multiLevelType w:val="hybridMultilevel"/>
    <w:tmpl w:val="3482E652"/>
    <w:lvl w:ilvl="0" w:tplc="9AA8C81E">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3D071B"/>
    <w:multiLevelType w:val="hybridMultilevel"/>
    <w:tmpl w:val="A18AC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040C2"/>
    <w:multiLevelType w:val="hybridMultilevel"/>
    <w:tmpl w:val="1F0ED650"/>
    <w:lvl w:ilvl="0" w:tplc="544084A4">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A51C4"/>
    <w:multiLevelType w:val="hybridMultilevel"/>
    <w:tmpl w:val="247E5B92"/>
    <w:lvl w:ilvl="0" w:tplc="7CA4219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35BC4"/>
    <w:multiLevelType w:val="hybridMultilevel"/>
    <w:tmpl w:val="C5C49C34"/>
    <w:lvl w:ilvl="0" w:tplc="D1F06C0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1"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EC00AC"/>
    <w:multiLevelType w:val="hybridMultilevel"/>
    <w:tmpl w:val="A1A837AA"/>
    <w:lvl w:ilvl="0" w:tplc="FE141022">
      <w:start w:val="1"/>
      <w:numFmt w:val="bullet"/>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auto"/>
        <w:spacing w:val="0"/>
        <w:w w:val="0"/>
        <w:kern w:val="0"/>
        <w:position w:val="0"/>
        <w:sz w:val="24"/>
        <w:szCs w:val="24"/>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ED1633"/>
    <w:multiLevelType w:val="hybridMultilevel"/>
    <w:tmpl w:val="8F3EDE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115601"/>
    <w:multiLevelType w:val="hybridMultilevel"/>
    <w:tmpl w:val="345AA876"/>
    <w:lvl w:ilvl="0" w:tplc="CBCC0B2C">
      <w:start w:val="3"/>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0C6AF8"/>
    <w:multiLevelType w:val="hybridMultilevel"/>
    <w:tmpl w:val="1CDEF31C"/>
    <w:lvl w:ilvl="0" w:tplc="1B7CD78A">
      <w:start w:val="1"/>
      <w:numFmt w:val="decimal"/>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29"/>
  </w:num>
  <w:num w:numId="4">
    <w:abstractNumId w:val="11"/>
  </w:num>
  <w:num w:numId="5">
    <w:abstractNumId w:val="20"/>
  </w:num>
  <w:num w:numId="6">
    <w:abstractNumId w:val="8"/>
  </w:num>
  <w:num w:numId="7">
    <w:abstractNumId w:val="0"/>
  </w:num>
  <w:num w:numId="8">
    <w:abstractNumId w:val="6"/>
  </w:num>
  <w:num w:numId="9">
    <w:abstractNumId w:val="10"/>
  </w:num>
  <w:num w:numId="10">
    <w:abstractNumId w:val="21"/>
  </w:num>
  <w:num w:numId="11">
    <w:abstractNumId w:val="2"/>
  </w:num>
  <w:num w:numId="12">
    <w:abstractNumId w:val="28"/>
  </w:num>
  <w:num w:numId="13">
    <w:abstractNumId w:val="7"/>
  </w:num>
  <w:num w:numId="14">
    <w:abstractNumId w:val="3"/>
  </w:num>
  <w:num w:numId="15">
    <w:abstractNumId w:val="26"/>
  </w:num>
  <w:num w:numId="16">
    <w:abstractNumId w:val="31"/>
  </w:num>
  <w:num w:numId="17">
    <w:abstractNumId w:val="9"/>
  </w:num>
  <w:num w:numId="18">
    <w:abstractNumId w:val="15"/>
  </w:num>
  <w:num w:numId="19">
    <w:abstractNumId w:val="4"/>
  </w:num>
  <w:num w:numId="20">
    <w:abstractNumId w:val="16"/>
  </w:num>
  <w:num w:numId="21">
    <w:abstractNumId w:val="30"/>
  </w:num>
  <w:num w:numId="22">
    <w:abstractNumId w:val="23"/>
  </w:num>
  <w:num w:numId="23">
    <w:abstractNumId w:val="14"/>
  </w:num>
  <w:num w:numId="24">
    <w:abstractNumId w:val="25"/>
  </w:num>
  <w:num w:numId="25">
    <w:abstractNumId w:val="27"/>
  </w:num>
  <w:num w:numId="26">
    <w:abstractNumId w:val="12"/>
  </w:num>
  <w:num w:numId="27">
    <w:abstractNumId w:val="24"/>
  </w:num>
  <w:num w:numId="28">
    <w:abstractNumId w:val="18"/>
  </w:num>
  <w:num w:numId="29">
    <w:abstractNumId w:val="5"/>
  </w:num>
  <w:num w:numId="30">
    <w:abstractNumId w:val="19"/>
  </w:num>
  <w:num w:numId="31">
    <w:abstractNumId w:val="13"/>
  </w:num>
  <w:num w:numId="32">
    <w:abstractNumId w:val="22"/>
  </w:num>
  <w:num w:numId="33">
    <w:abstractNumId w:val="29"/>
  </w:num>
  <w:num w:numId="34">
    <w:abstractNumId w:val="29"/>
  </w:num>
  <w:num w:numId="35">
    <w:abstractNumId w:val="29"/>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84"/>
    <w:rsid w:val="000006B1"/>
    <w:rsid w:val="00010420"/>
    <w:rsid w:val="00011A98"/>
    <w:rsid w:val="00011F8D"/>
    <w:rsid w:val="000130B4"/>
    <w:rsid w:val="00014361"/>
    <w:rsid w:val="00020C47"/>
    <w:rsid w:val="00040B48"/>
    <w:rsid w:val="000474FB"/>
    <w:rsid w:val="00050996"/>
    <w:rsid w:val="00052A34"/>
    <w:rsid w:val="00053A92"/>
    <w:rsid w:val="000557D0"/>
    <w:rsid w:val="0005605E"/>
    <w:rsid w:val="00057F36"/>
    <w:rsid w:val="00071A9F"/>
    <w:rsid w:val="00077ED3"/>
    <w:rsid w:val="00083865"/>
    <w:rsid w:val="000846A8"/>
    <w:rsid w:val="000968AA"/>
    <w:rsid w:val="000A1F30"/>
    <w:rsid w:val="000A3B8E"/>
    <w:rsid w:val="000B7F5E"/>
    <w:rsid w:val="000C2FB0"/>
    <w:rsid w:val="000C36B5"/>
    <w:rsid w:val="000E4F79"/>
    <w:rsid w:val="000E6577"/>
    <w:rsid w:val="000E7A19"/>
    <w:rsid w:val="00104A1B"/>
    <w:rsid w:val="001177DD"/>
    <w:rsid w:val="001235CF"/>
    <w:rsid w:val="001308EB"/>
    <w:rsid w:val="00133DA3"/>
    <w:rsid w:val="001342BB"/>
    <w:rsid w:val="001412D4"/>
    <w:rsid w:val="00144F64"/>
    <w:rsid w:val="00151567"/>
    <w:rsid w:val="001539B5"/>
    <w:rsid w:val="00156703"/>
    <w:rsid w:val="001617F0"/>
    <w:rsid w:val="00163E17"/>
    <w:rsid w:val="00166F9E"/>
    <w:rsid w:val="001800A9"/>
    <w:rsid w:val="00186817"/>
    <w:rsid w:val="00187D5A"/>
    <w:rsid w:val="00196012"/>
    <w:rsid w:val="001972D7"/>
    <w:rsid w:val="001A28F6"/>
    <w:rsid w:val="001A593D"/>
    <w:rsid w:val="001A7D0E"/>
    <w:rsid w:val="001B2831"/>
    <w:rsid w:val="001B5F4A"/>
    <w:rsid w:val="001C0493"/>
    <w:rsid w:val="001C28AD"/>
    <w:rsid w:val="001C4D29"/>
    <w:rsid w:val="001D4996"/>
    <w:rsid w:val="001D4B8F"/>
    <w:rsid w:val="001D7FCB"/>
    <w:rsid w:val="001E2B99"/>
    <w:rsid w:val="001E69B6"/>
    <w:rsid w:val="001F131A"/>
    <w:rsid w:val="001F2977"/>
    <w:rsid w:val="001F4DBB"/>
    <w:rsid w:val="001F7C89"/>
    <w:rsid w:val="0020312D"/>
    <w:rsid w:val="0020495F"/>
    <w:rsid w:val="00206E33"/>
    <w:rsid w:val="00210519"/>
    <w:rsid w:val="002115E2"/>
    <w:rsid w:val="002162CD"/>
    <w:rsid w:val="00230CEF"/>
    <w:rsid w:val="00241B17"/>
    <w:rsid w:val="00241C81"/>
    <w:rsid w:val="00245F1F"/>
    <w:rsid w:val="00256392"/>
    <w:rsid w:val="00257A1C"/>
    <w:rsid w:val="0027234C"/>
    <w:rsid w:val="00272957"/>
    <w:rsid w:val="00272E03"/>
    <w:rsid w:val="00281795"/>
    <w:rsid w:val="002850E3"/>
    <w:rsid w:val="00287E2F"/>
    <w:rsid w:val="002A1948"/>
    <w:rsid w:val="002A2860"/>
    <w:rsid w:val="002A7EB7"/>
    <w:rsid w:val="002C0877"/>
    <w:rsid w:val="002C2AE2"/>
    <w:rsid w:val="002C5431"/>
    <w:rsid w:val="002D0DCE"/>
    <w:rsid w:val="002E0667"/>
    <w:rsid w:val="002E2B10"/>
    <w:rsid w:val="002F1081"/>
    <w:rsid w:val="002F1502"/>
    <w:rsid w:val="002F169D"/>
    <w:rsid w:val="002F2069"/>
    <w:rsid w:val="002F6F92"/>
    <w:rsid w:val="003041AD"/>
    <w:rsid w:val="0031279F"/>
    <w:rsid w:val="00312D63"/>
    <w:rsid w:val="00327D05"/>
    <w:rsid w:val="00335EBD"/>
    <w:rsid w:val="00336D96"/>
    <w:rsid w:val="00344F07"/>
    <w:rsid w:val="003469C8"/>
    <w:rsid w:val="003546A6"/>
    <w:rsid w:val="00355EA4"/>
    <w:rsid w:val="00357D07"/>
    <w:rsid w:val="003635BE"/>
    <w:rsid w:val="00364D43"/>
    <w:rsid w:val="00366B5E"/>
    <w:rsid w:val="00367E65"/>
    <w:rsid w:val="00372844"/>
    <w:rsid w:val="0038560A"/>
    <w:rsid w:val="003929F9"/>
    <w:rsid w:val="003A0D49"/>
    <w:rsid w:val="003A12F9"/>
    <w:rsid w:val="003C31C9"/>
    <w:rsid w:val="003C4961"/>
    <w:rsid w:val="003C7C5D"/>
    <w:rsid w:val="003D0A1F"/>
    <w:rsid w:val="003D0AD2"/>
    <w:rsid w:val="003E1BF5"/>
    <w:rsid w:val="003E4E7D"/>
    <w:rsid w:val="003E5D57"/>
    <w:rsid w:val="003E6B63"/>
    <w:rsid w:val="003F5913"/>
    <w:rsid w:val="004024F8"/>
    <w:rsid w:val="0041159A"/>
    <w:rsid w:val="00412174"/>
    <w:rsid w:val="00412635"/>
    <w:rsid w:val="0042104E"/>
    <w:rsid w:val="004305A8"/>
    <w:rsid w:val="0043417A"/>
    <w:rsid w:val="004366A9"/>
    <w:rsid w:val="00440A24"/>
    <w:rsid w:val="00443CA0"/>
    <w:rsid w:val="00450E14"/>
    <w:rsid w:val="00450EBE"/>
    <w:rsid w:val="00462C65"/>
    <w:rsid w:val="00466421"/>
    <w:rsid w:val="00467B14"/>
    <w:rsid w:val="00474EDA"/>
    <w:rsid w:val="0047536D"/>
    <w:rsid w:val="00475C18"/>
    <w:rsid w:val="004824FA"/>
    <w:rsid w:val="00484011"/>
    <w:rsid w:val="004841F1"/>
    <w:rsid w:val="004876E8"/>
    <w:rsid w:val="00494F83"/>
    <w:rsid w:val="004A1E3A"/>
    <w:rsid w:val="004B4EB5"/>
    <w:rsid w:val="004C4AEA"/>
    <w:rsid w:val="004D64DF"/>
    <w:rsid w:val="004E003C"/>
    <w:rsid w:val="004E16EB"/>
    <w:rsid w:val="004E2935"/>
    <w:rsid w:val="004E3BB7"/>
    <w:rsid w:val="004E6665"/>
    <w:rsid w:val="004F634E"/>
    <w:rsid w:val="004F67A8"/>
    <w:rsid w:val="004F71AD"/>
    <w:rsid w:val="00501ADC"/>
    <w:rsid w:val="00506671"/>
    <w:rsid w:val="005077FE"/>
    <w:rsid w:val="00510A63"/>
    <w:rsid w:val="00522A50"/>
    <w:rsid w:val="00527225"/>
    <w:rsid w:val="0053557D"/>
    <w:rsid w:val="005463DE"/>
    <w:rsid w:val="00546DC2"/>
    <w:rsid w:val="005542E8"/>
    <w:rsid w:val="00556630"/>
    <w:rsid w:val="0055686D"/>
    <w:rsid w:val="00560411"/>
    <w:rsid w:val="005744E2"/>
    <w:rsid w:val="005771DD"/>
    <w:rsid w:val="00577892"/>
    <w:rsid w:val="005800EE"/>
    <w:rsid w:val="005869D6"/>
    <w:rsid w:val="005A33F6"/>
    <w:rsid w:val="005A375A"/>
    <w:rsid w:val="005A59E5"/>
    <w:rsid w:val="005B7440"/>
    <w:rsid w:val="005C6E9D"/>
    <w:rsid w:val="005E2150"/>
    <w:rsid w:val="005E2995"/>
    <w:rsid w:val="005F3FEF"/>
    <w:rsid w:val="00601392"/>
    <w:rsid w:val="006075F6"/>
    <w:rsid w:val="00607F7C"/>
    <w:rsid w:val="006102DA"/>
    <w:rsid w:val="00621F93"/>
    <w:rsid w:val="006315A3"/>
    <w:rsid w:val="00637CC1"/>
    <w:rsid w:val="006466BA"/>
    <w:rsid w:val="00655E97"/>
    <w:rsid w:val="006579A2"/>
    <w:rsid w:val="00667C89"/>
    <w:rsid w:val="006711EE"/>
    <w:rsid w:val="006809BB"/>
    <w:rsid w:val="006809FD"/>
    <w:rsid w:val="00691D1F"/>
    <w:rsid w:val="00696346"/>
    <w:rsid w:val="00697BAE"/>
    <w:rsid w:val="006A5534"/>
    <w:rsid w:val="006B4DDC"/>
    <w:rsid w:val="006B5E55"/>
    <w:rsid w:val="006B64E8"/>
    <w:rsid w:val="006D0D10"/>
    <w:rsid w:val="006D0FD7"/>
    <w:rsid w:val="006D25A1"/>
    <w:rsid w:val="006F6856"/>
    <w:rsid w:val="0071190E"/>
    <w:rsid w:val="007145D0"/>
    <w:rsid w:val="00716F94"/>
    <w:rsid w:val="00720E37"/>
    <w:rsid w:val="00756840"/>
    <w:rsid w:val="00756E1F"/>
    <w:rsid w:val="007608A5"/>
    <w:rsid w:val="00760E12"/>
    <w:rsid w:val="00763CF3"/>
    <w:rsid w:val="00772293"/>
    <w:rsid w:val="00783A3C"/>
    <w:rsid w:val="00783C75"/>
    <w:rsid w:val="00784619"/>
    <w:rsid w:val="0078627B"/>
    <w:rsid w:val="00790D14"/>
    <w:rsid w:val="0079271D"/>
    <w:rsid w:val="00794C18"/>
    <w:rsid w:val="00794E32"/>
    <w:rsid w:val="007A176B"/>
    <w:rsid w:val="007B305A"/>
    <w:rsid w:val="007B6705"/>
    <w:rsid w:val="007F411E"/>
    <w:rsid w:val="00800993"/>
    <w:rsid w:val="00801F67"/>
    <w:rsid w:val="00813B9B"/>
    <w:rsid w:val="00815C7D"/>
    <w:rsid w:val="00817941"/>
    <w:rsid w:val="008261AB"/>
    <w:rsid w:val="00830448"/>
    <w:rsid w:val="00835CA7"/>
    <w:rsid w:val="008370D4"/>
    <w:rsid w:val="008414AD"/>
    <w:rsid w:val="008428D9"/>
    <w:rsid w:val="00852110"/>
    <w:rsid w:val="00855210"/>
    <w:rsid w:val="00884DB9"/>
    <w:rsid w:val="00887679"/>
    <w:rsid w:val="00887FCE"/>
    <w:rsid w:val="0089676F"/>
    <w:rsid w:val="008B6802"/>
    <w:rsid w:val="008C1522"/>
    <w:rsid w:val="008C31C2"/>
    <w:rsid w:val="008C67D2"/>
    <w:rsid w:val="008D3590"/>
    <w:rsid w:val="008E0683"/>
    <w:rsid w:val="008E0829"/>
    <w:rsid w:val="008F3095"/>
    <w:rsid w:val="00902DD9"/>
    <w:rsid w:val="00907CDA"/>
    <w:rsid w:val="00911486"/>
    <w:rsid w:val="009129CA"/>
    <w:rsid w:val="009206B6"/>
    <w:rsid w:val="009263C1"/>
    <w:rsid w:val="00931C02"/>
    <w:rsid w:val="00935FFD"/>
    <w:rsid w:val="0094080B"/>
    <w:rsid w:val="00941B4F"/>
    <w:rsid w:val="009472CE"/>
    <w:rsid w:val="009506F7"/>
    <w:rsid w:val="00957467"/>
    <w:rsid w:val="0096127B"/>
    <w:rsid w:val="00963CE3"/>
    <w:rsid w:val="00964F18"/>
    <w:rsid w:val="00967A3C"/>
    <w:rsid w:val="00974424"/>
    <w:rsid w:val="009759F3"/>
    <w:rsid w:val="00982BC1"/>
    <w:rsid w:val="009870C9"/>
    <w:rsid w:val="00987F76"/>
    <w:rsid w:val="00991BF9"/>
    <w:rsid w:val="00993088"/>
    <w:rsid w:val="0099664F"/>
    <w:rsid w:val="00997D5D"/>
    <w:rsid w:val="009A0447"/>
    <w:rsid w:val="009A1549"/>
    <w:rsid w:val="009A2A84"/>
    <w:rsid w:val="009B034F"/>
    <w:rsid w:val="009B4A51"/>
    <w:rsid w:val="009C28B1"/>
    <w:rsid w:val="009C61AD"/>
    <w:rsid w:val="009D2283"/>
    <w:rsid w:val="009D373D"/>
    <w:rsid w:val="009D77CD"/>
    <w:rsid w:val="009E1D05"/>
    <w:rsid w:val="009F7283"/>
    <w:rsid w:val="00A11B0C"/>
    <w:rsid w:val="00A23C0B"/>
    <w:rsid w:val="00A305CE"/>
    <w:rsid w:val="00A33B35"/>
    <w:rsid w:val="00A36419"/>
    <w:rsid w:val="00A37F30"/>
    <w:rsid w:val="00A556F8"/>
    <w:rsid w:val="00A55B59"/>
    <w:rsid w:val="00A578C2"/>
    <w:rsid w:val="00A57A77"/>
    <w:rsid w:val="00A70EBC"/>
    <w:rsid w:val="00A72652"/>
    <w:rsid w:val="00A75D1C"/>
    <w:rsid w:val="00A809AA"/>
    <w:rsid w:val="00A83448"/>
    <w:rsid w:val="00A849B3"/>
    <w:rsid w:val="00A8510D"/>
    <w:rsid w:val="00A86AF3"/>
    <w:rsid w:val="00A90BDC"/>
    <w:rsid w:val="00A95477"/>
    <w:rsid w:val="00A975A9"/>
    <w:rsid w:val="00AA3192"/>
    <w:rsid w:val="00AB3608"/>
    <w:rsid w:val="00AC5C48"/>
    <w:rsid w:val="00AC7D83"/>
    <w:rsid w:val="00AE21E9"/>
    <w:rsid w:val="00AF0CF4"/>
    <w:rsid w:val="00AF2252"/>
    <w:rsid w:val="00B1129F"/>
    <w:rsid w:val="00B11D61"/>
    <w:rsid w:val="00B12BEA"/>
    <w:rsid w:val="00B12F51"/>
    <w:rsid w:val="00B1678A"/>
    <w:rsid w:val="00B2751E"/>
    <w:rsid w:val="00B3650C"/>
    <w:rsid w:val="00B476A5"/>
    <w:rsid w:val="00B50A2B"/>
    <w:rsid w:val="00B55348"/>
    <w:rsid w:val="00B5769B"/>
    <w:rsid w:val="00B57BD8"/>
    <w:rsid w:val="00B63275"/>
    <w:rsid w:val="00B64BFA"/>
    <w:rsid w:val="00B65C38"/>
    <w:rsid w:val="00B71416"/>
    <w:rsid w:val="00B74F32"/>
    <w:rsid w:val="00B8216F"/>
    <w:rsid w:val="00B83A75"/>
    <w:rsid w:val="00B853F1"/>
    <w:rsid w:val="00B85DE4"/>
    <w:rsid w:val="00B91A31"/>
    <w:rsid w:val="00B93EBA"/>
    <w:rsid w:val="00BA6DB4"/>
    <w:rsid w:val="00BC0482"/>
    <w:rsid w:val="00BC3F3C"/>
    <w:rsid w:val="00BC5BB2"/>
    <w:rsid w:val="00BC6896"/>
    <w:rsid w:val="00BD3C88"/>
    <w:rsid w:val="00BF265B"/>
    <w:rsid w:val="00BF3F54"/>
    <w:rsid w:val="00C00697"/>
    <w:rsid w:val="00C0376C"/>
    <w:rsid w:val="00C06D77"/>
    <w:rsid w:val="00C07E9E"/>
    <w:rsid w:val="00C14BA6"/>
    <w:rsid w:val="00C21966"/>
    <w:rsid w:val="00C231E0"/>
    <w:rsid w:val="00C347E7"/>
    <w:rsid w:val="00C3485C"/>
    <w:rsid w:val="00C420D4"/>
    <w:rsid w:val="00C52961"/>
    <w:rsid w:val="00C555BA"/>
    <w:rsid w:val="00C76A59"/>
    <w:rsid w:val="00C77249"/>
    <w:rsid w:val="00C84DC3"/>
    <w:rsid w:val="00C86C30"/>
    <w:rsid w:val="00CA2004"/>
    <w:rsid w:val="00CB02D6"/>
    <w:rsid w:val="00CB334D"/>
    <w:rsid w:val="00CB56D5"/>
    <w:rsid w:val="00CC2B7F"/>
    <w:rsid w:val="00CD0771"/>
    <w:rsid w:val="00CD1EA8"/>
    <w:rsid w:val="00CD33F9"/>
    <w:rsid w:val="00CD59CF"/>
    <w:rsid w:val="00CD657F"/>
    <w:rsid w:val="00CF0CE8"/>
    <w:rsid w:val="00CF286C"/>
    <w:rsid w:val="00CF5ABD"/>
    <w:rsid w:val="00CF63CE"/>
    <w:rsid w:val="00D01FAB"/>
    <w:rsid w:val="00D067C1"/>
    <w:rsid w:val="00D1065C"/>
    <w:rsid w:val="00D13B13"/>
    <w:rsid w:val="00D16E78"/>
    <w:rsid w:val="00D201D3"/>
    <w:rsid w:val="00D25CBE"/>
    <w:rsid w:val="00D26A64"/>
    <w:rsid w:val="00D328FA"/>
    <w:rsid w:val="00D4221A"/>
    <w:rsid w:val="00D46C14"/>
    <w:rsid w:val="00D507A1"/>
    <w:rsid w:val="00D52B9A"/>
    <w:rsid w:val="00D5367E"/>
    <w:rsid w:val="00D65180"/>
    <w:rsid w:val="00D67F1F"/>
    <w:rsid w:val="00D71E6D"/>
    <w:rsid w:val="00D7285C"/>
    <w:rsid w:val="00D861ED"/>
    <w:rsid w:val="00D873E0"/>
    <w:rsid w:val="00D9423B"/>
    <w:rsid w:val="00D94F8B"/>
    <w:rsid w:val="00DA4EA9"/>
    <w:rsid w:val="00DA5988"/>
    <w:rsid w:val="00DB5186"/>
    <w:rsid w:val="00DC317C"/>
    <w:rsid w:val="00DC4FF2"/>
    <w:rsid w:val="00DC79CC"/>
    <w:rsid w:val="00DE11BA"/>
    <w:rsid w:val="00DF3361"/>
    <w:rsid w:val="00DF3F6A"/>
    <w:rsid w:val="00DF7D7D"/>
    <w:rsid w:val="00E06251"/>
    <w:rsid w:val="00E134F4"/>
    <w:rsid w:val="00E15383"/>
    <w:rsid w:val="00E23568"/>
    <w:rsid w:val="00E245B5"/>
    <w:rsid w:val="00E24C20"/>
    <w:rsid w:val="00E33E1B"/>
    <w:rsid w:val="00E34D3E"/>
    <w:rsid w:val="00E447B9"/>
    <w:rsid w:val="00E7291C"/>
    <w:rsid w:val="00E81912"/>
    <w:rsid w:val="00E81C5E"/>
    <w:rsid w:val="00E83B3C"/>
    <w:rsid w:val="00E8583D"/>
    <w:rsid w:val="00E8736B"/>
    <w:rsid w:val="00E90275"/>
    <w:rsid w:val="00E925D4"/>
    <w:rsid w:val="00E97226"/>
    <w:rsid w:val="00E97F5D"/>
    <w:rsid w:val="00EB346F"/>
    <w:rsid w:val="00EB63B3"/>
    <w:rsid w:val="00ED626D"/>
    <w:rsid w:val="00ED6878"/>
    <w:rsid w:val="00EE0BC8"/>
    <w:rsid w:val="00EE119F"/>
    <w:rsid w:val="00EF0EC8"/>
    <w:rsid w:val="00EF33CD"/>
    <w:rsid w:val="00F00C86"/>
    <w:rsid w:val="00F2267A"/>
    <w:rsid w:val="00F300CB"/>
    <w:rsid w:val="00F368D4"/>
    <w:rsid w:val="00F42C3A"/>
    <w:rsid w:val="00F52BCC"/>
    <w:rsid w:val="00F5313F"/>
    <w:rsid w:val="00F53B7A"/>
    <w:rsid w:val="00F573D5"/>
    <w:rsid w:val="00F57581"/>
    <w:rsid w:val="00F725B5"/>
    <w:rsid w:val="00F81A48"/>
    <w:rsid w:val="00F86852"/>
    <w:rsid w:val="00F9059A"/>
    <w:rsid w:val="00FB77C6"/>
    <w:rsid w:val="00FC5B1F"/>
    <w:rsid w:val="00FC5C5E"/>
    <w:rsid w:val="00FD17C9"/>
    <w:rsid w:val="00FD1EF0"/>
    <w:rsid w:val="00FD2A5B"/>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A00A"/>
  <w15:docId w15:val="{F4F971D1-32F3-413B-AA44-09063378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3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customStyle="1" w:styleId="ICFBodyText">
    <w:name w:val="ICF Body Text"/>
    <w:basedOn w:val="Normal"/>
    <w:qFormat/>
    <w:rsid w:val="00412174"/>
    <w:pPr>
      <w:spacing w:after="200" w:line="240" w:lineRule="auto"/>
      <w:ind w:left="0"/>
    </w:pPr>
    <w:rPr>
      <w:rFonts w:ascii="Times New Roman" w:hAnsi="Times New Roman"/>
      <w:sz w:val="24"/>
      <w:szCs w:val="24"/>
    </w:rPr>
  </w:style>
  <w:style w:type="paragraph" w:customStyle="1" w:styleId="ICFHead1">
    <w:name w:val="ICF Head 1"/>
    <w:basedOn w:val="Normal"/>
    <w:qFormat/>
    <w:rsid w:val="00907CDA"/>
    <w:pPr>
      <w:keepNext/>
      <w:keepLines/>
      <w:spacing w:after="120" w:line="240" w:lineRule="auto"/>
      <w:ind w:left="0"/>
      <w:outlineLvl w:val="0"/>
    </w:pPr>
    <w:rPr>
      <w:rFonts w:ascii="Times New Roman" w:eastAsiaTheme="majorEastAsia" w:hAnsi="Times New Roman" w:cstheme="majorBidi"/>
      <w:b/>
      <w:bCs/>
      <w:color w:val="000000" w:themeColor="text1"/>
      <w:sz w:val="24"/>
      <w:szCs w:val="36"/>
    </w:rPr>
  </w:style>
  <w:style w:type="paragraph" w:styleId="BodyText">
    <w:name w:val="Body Text"/>
    <w:basedOn w:val="Normal"/>
    <w:link w:val="BodyTextChar"/>
    <w:uiPriority w:val="1"/>
    <w:qFormat/>
    <w:rsid w:val="00907CDA"/>
    <w:pPr>
      <w:widowControl w:val="0"/>
      <w:spacing w:after="200" w:line="240" w:lineRule="auto"/>
      <w:ind w:left="0"/>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907CDA"/>
    <w:rPr>
      <w:rFonts w:ascii="Times New Roman" w:eastAsia="Calibri" w:hAnsi="Times New Roman" w:cs="Calibri"/>
      <w:spacing w:val="-1"/>
      <w:sz w:val="24"/>
      <w:szCs w:val="24"/>
    </w:rPr>
  </w:style>
  <w:style w:type="paragraph" w:customStyle="1" w:styleId="BHTCCBody">
    <w:name w:val="BHTCC Body"/>
    <w:basedOn w:val="Normal"/>
    <w:qFormat/>
    <w:rsid w:val="006D0FD7"/>
    <w:pPr>
      <w:spacing w:after="200" w:line="240" w:lineRule="auto"/>
      <w:ind w:left="0"/>
      <w:jc w:val="both"/>
    </w:pPr>
    <w:rPr>
      <w:rFonts w:ascii="Ebrima" w:eastAsiaTheme="minorHAnsi" w:hAnsi="Ebrima"/>
      <w:sz w:val="20"/>
    </w:rPr>
  </w:style>
  <w:style w:type="table" w:customStyle="1" w:styleId="TableGrid1">
    <w:name w:val="Table Grid1"/>
    <w:basedOn w:val="TableNormal"/>
    <w:next w:val="TableGrid"/>
    <w:uiPriority w:val="39"/>
    <w:rsid w:val="002A7EB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on5@cdc.gov" TargetMode="External"/><Relationship Id="rId18" Type="http://schemas.openxmlformats.org/officeDocument/2006/relationships/hyperlink" Target="mailto:Joe.Galanek@icf.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isadora@lattimercommunications.com" TargetMode="External"/><Relationship Id="rId2" Type="http://schemas.openxmlformats.org/officeDocument/2006/relationships/customXml" Target="../customXml/item2.xml"/><Relationship Id="rId16" Type="http://schemas.openxmlformats.org/officeDocument/2006/relationships/hyperlink" Target="mailto:Ashani.Johnson-Turbes@icf.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arah@lattimercommunications.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Jennifer.Mezzo@icf.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ina.Sgro@icf.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OSTLTSDOC-727-81</_dlc_DocId>
    <_dlc_DocIdUrl xmlns="b5c0ca00-073d-4463-9985-b654f14791fe">
      <Url>https://esp.cdc.gov/sites/ostlts/pip/osc/_layouts/15/DocIdRedir.aspx?ID=OSTLTSDOC-727-81</Url>
      <Description>OSTLTSDOC-727-81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CFE90-A955-464C-9F92-D0B191167AE2}">
  <ds:schemaRefs>
    <ds:schemaRef ds:uri="http://schemas.microsoft.com/sharepoint/events"/>
  </ds:schemaRefs>
</ds:datastoreItem>
</file>

<file path=customXml/itemProps2.xml><?xml version="1.0" encoding="utf-8"?>
<ds:datastoreItem xmlns:ds="http://schemas.openxmlformats.org/officeDocument/2006/customXml" ds:itemID="{2E7FB131-72A1-4269-AB97-A2E601345FF2}">
  <ds:schemaRefs>
    <ds:schemaRef ds:uri="http://schemas.microsoft.com/office/2006/metadata/customXsn"/>
  </ds:schemaRefs>
</ds:datastoreItem>
</file>

<file path=customXml/itemProps3.xml><?xml version="1.0" encoding="utf-8"?>
<ds:datastoreItem xmlns:ds="http://schemas.openxmlformats.org/officeDocument/2006/customXml" ds:itemID="{35AF3BFE-72BE-427E-98C2-D04F9DDFBED8}">
  <ds:schemaRefs>
    <ds:schemaRef ds:uri="http://schemas.microsoft.com/sharepoint/v3/contenttype/forms"/>
  </ds:schemaRefs>
</ds:datastoreItem>
</file>

<file path=customXml/itemProps4.xml><?xml version="1.0" encoding="utf-8"?>
<ds:datastoreItem xmlns:ds="http://schemas.openxmlformats.org/officeDocument/2006/customXml" ds:itemID="{4C66D475-B04F-409F-B356-E58628029DB2}">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s>
</ds:datastoreItem>
</file>

<file path=customXml/itemProps5.xml><?xml version="1.0" encoding="utf-8"?>
<ds:datastoreItem xmlns:ds="http://schemas.openxmlformats.org/officeDocument/2006/customXml" ds:itemID="{132CE96E-3955-4617-B2CF-83887712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75E7D7-F3D5-4FC0-B626-739B3028D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Samuel, Lee (CDC/OID/NCEZID)</cp:lastModifiedBy>
  <cp:revision>2</cp:revision>
  <cp:lastPrinted>2016-12-30T18:04:00Z</cp:lastPrinted>
  <dcterms:created xsi:type="dcterms:W3CDTF">2017-01-27T21:23:00Z</dcterms:created>
  <dcterms:modified xsi:type="dcterms:W3CDTF">2017-01-27T21:23:00Z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8adf7222-a9b4-47b9-ba7e-75553263b23c</vt:lpwstr>
  </property>
</Properties>
</file>