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E91" w:rsidRDefault="00A86E91" w:rsidP="00A86E91">
      <w:pPr>
        <w:pStyle w:val="NormalWeb"/>
        <w:spacing w:line="288" w:lineRule="atLeast"/>
        <w:ind w:firstLine="480"/>
        <w:jc w:val="center"/>
        <w:rPr>
          <w:u w:val="single"/>
        </w:rPr>
      </w:pPr>
      <w:bookmarkStart w:id="0" w:name="cs31d"/>
      <w:r>
        <w:rPr>
          <w:u w:val="single"/>
        </w:rPr>
        <w:t>SUPPORTING STATEMENT – PART A</w:t>
      </w:r>
    </w:p>
    <w:p w:rsidR="00A67614" w:rsidRPr="00A86E91" w:rsidRDefault="00A67614" w:rsidP="00A67614">
      <w:pPr>
        <w:pStyle w:val="NormalWeb"/>
        <w:spacing w:line="288" w:lineRule="atLeast"/>
        <w:ind w:firstLine="480"/>
        <w:jc w:val="center"/>
        <w:rPr>
          <w:b/>
          <w:u w:val="single"/>
        </w:rPr>
      </w:pPr>
      <w:r w:rsidRPr="00A86E91">
        <w:rPr>
          <w:b/>
          <w:u w:val="single"/>
        </w:rPr>
        <w:t>Post Government Employment Advice Opinion Request</w:t>
      </w:r>
      <w:r w:rsidR="00A86E91" w:rsidRPr="00A86E91">
        <w:rPr>
          <w:b/>
          <w:u w:val="single"/>
        </w:rPr>
        <w:t xml:space="preserve"> – 0704-0467</w:t>
      </w:r>
    </w:p>
    <w:p w:rsidR="0047568A" w:rsidRDefault="0047568A" w:rsidP="00A67614">
      <w:pPr>
        <w:pStyle w:val="NormalWeb"/>
        <w:spacing w:line="288" w:lineRule="atLeast"/>
        <w:ind w:firstLine="480"/>
        <w:jc w:val="center"/>
        <w:rPr>
          <w:u w:val="single"/>
        </w:rPr>
      </w:pPr>
    </w:p>
    <w:p w:rsidR="00A67614" w:rsidRDefault="00A67614" w:rsidP="00A67614">
      <w:pPr>
        <w:pStyle w:val="NormalWeb"/>
        <w:spacing w:line="288" w:lineRule="atLeast"/>
        <w:ind w:firstLine="480"/>
      </w:pPr>
      <w:r>
        <w:rPr>
          <w:u w:val="single"/>
        </w:rPr>
        <w:t>A.  JUSTIFICATION</w:t>
      </w:r>
    </w:p>
    <w:p w:rsidR="00A67614" w:rsidRDefault="00A67614" w:rsidP="00A67614">
      <w:pPr>
        <w:pStyle w:val="NormalWeb"/>
        <w:spacing w:line="288" w:lineRule="atLeast"/>
        <w:ind w:firstLine="480"/>
      </w:pPr>
      <w:bookmarkStart w:id="1" w:name="cp432"/>
      <w:bookmarkEnd w:id="0"/>
      <w:r>
        <w:t xml:space="preserve">  1.  </w:t>
      </w:r>
      <w:r>
        <w:rPr>
          <w:u w:val="single"/>
        </w:rPr>
        <w:t>Need for the Information Collection</w:t>
      </w:r>
    </w:p>
    <w:p w:rsidR="00CB1308" w:rsidRDefault="00A67614" w:rsidP="00A67614">
      <w:pPr>
        <w:shd w:val="clear" w:color="auto" w:fill="FFFFFF"/>
        <w:rPr>
          <w:color w:val="333333"/>
        </w:rPr>
      </w:pPr>
      <w:bookmarkStart w:id="2" w:name="cp434"/>
      <w:bookmarkEnd w:id="1"/>
      <w:r w:rsidRPr="00A67614">
        <w:t>The information collection is necessary to obtain information on which to base an opinion about post Government employment of select former and departing Department of Defense (</w:t>
      </w:r>
      <w:proofErr w:type="gramStart"/>
      <w:r w:rsidRPr="00A67614">
        <w:t>DoD</w:t>
      </w:r>
      <w:proofErr w:type="gramEnd"/>
      <w:r w:rsidRPr="00A67614">
        <w:t xml:space="preserve">) employees seeking to work for Defense Contractors within two years after leaving DoD. </w:t>
      </w:r>
      <w:bookmarkStart w:id="3" w:name="OLE_LINK5"/>
      <w:bookmarkStart w:id="4" w:name="OLE_LINK6"/>
      <w:r w:rsidRPr="00A67614">
        <w:t xml:space="preserve">The departing or former DoD employee uses the </w:t>
      </w:r>
      <w:r>
        <w:t xml:space="preserve">opinion request </w:t>
      </w:r>
      <w:r w:rsidRPr="00A67614">
        <w:t xml:space="preserve">form to organize and provide employment-related information to an ethics official who will use the information to render an advisory opinion to the employee requesting the opinion.  </w:t>
      </w:r>
      <w:bookmarkEnd w:id="3"/>
      <w:bookmarkEnd w:id="4"/>
      <w:r w:rsidRPr="00A67614">
        <w:rPr>
          <w:bCs/>
          <w:iCs/>
          <w:u w:val="single"/>
        </w:rPr>
        <w:t xml:space="preserve">The National Defense Authorization Act </w:t>
      </w:r>
      <w:r w:rsidR="0066146F">
        <w:rPr>
          <w:bCs/>
          <w:iCs/>
          <w:u w:val="single"/>
        </w:rPr>
        <w:t>for Fiscal Year</w:t>
      </w:r>
      <w:r w:rsidRPr="00A67614">
        <w:rPr>
          <w:bCs/>
          <w:iCs/>
          <w:u w:val="single"/>
        </w:rPr>
        <w:t xml:space="preserve"> 2008</w:t>
      </w:r>
      <w:r w:rsidRPr="00A67614">
        <w:t xml:space="preserve">, Public Law 110-181, section 847, </w:t>
      </w:r>
      <w:hyperlink r:id="rId9" w:history="1">
        <w:r w:rsidRPr="00A67614">
          <w:rPr>
            <w:rStyle w:val="Hyperlink"/>
          </w:rPr>
          <w:t>http://www.dod.mil/dodgc/olc/docs/pl110-181.pdf</w:t>
        </w:r>
      </w:hyperlink>
      <w:r w:rsidRPr="00A67614">
        <w:t xml:space="preserve">, requires that select DoD officials and former DoD officials </w:t>
      </w:r>
      <w:r w:rsidRPr="00A67614">
        <w:rPr>
          <w:color w:val="333333"/>
        </w:rPr>
        <w:t>who, within two years after leaving DoD, expect to receive compensation from a DoD contractor, shall, before accepting such compensation,</w:t>
      </w:r>
      <w:r w:rsidRPr="00A67614">
        <w:t xml:space="preserve"> request</w:t>
      </w:r>
      <w:r w:rsidRPr="00A67614">
        <w:rPr>
          <w:color w:val="333333"/>
        </w:rPr>
        <w:t xml:space="preserve"> a written opinion regarding the applicability of </w:t>
      </w:r>
      <w:bookmarkStart w:id="5" w:name="OLE_LINK3"/>
      <w:bookmarkStart w:id="6" w:name="OLE_LINK4"/>
      <w:r w:rsidRPr="00A67614">
        <w:rPr>
          <w:color w:val="333333"/>
        </w:rPr>
        <w:t>post-employment restrictions to activities that the official or former official may undertake on behalf of a contractor.</w:t>
      </w:r>
      <w:r w:rsidR="00CB1308">
        <w:rPr>
          <w:color w:val="333333"/>
        </w:rPr>
        <w:t xml:space="preserve">  </w:t>
      </w:r>
    </w:p>
    <w:p w:rsidR="007962E7" w:rsidRDefault="007962E7" w:rsidP="00A67614">
      <w:pPr>
        <w:shd w:val="clear" w:color="auto" w:fill="FFFFFF"/>
        <w:rPr>
          <w:color w:val="333333"/>
        </w:rPr>
      </w:pPr>
    </w:p>
    <w:p w:rsidR="00CB1308" w:rsidRPr="00A67614" w:rsidRDefault="00CB1308" w:rsidP="00A67614">
      <w:pPr>
        <w:shd w:val="clear" w:color="auto" w:fill="FFFFFF"/>
        <w:rPr>
          <w:color w:val="333333"/>
        </w:rPr>
      </w:pPr>
      <w:r>
        <w:rPr>
          <w:color w:val="333333"/>
        </w:rPr>
        <w:tab/>
        <w:t xml:space="preserve">In addition to the referenced statute, many private sector employers ask retiring </w:t>
      </w:r>
      <w:proofErr w:type="gramStart"/>
      <w:r>
        <w:rPr>
          <w:color w:val="333333"/>
        </w:rPr>
        <w:t>DoD</w:t>
      </w:r>
      <w:proofErr w:type="gramEnd"/>
      <w:r>
        <w:rPr>
          <w:color w:val="333333"/>
        </w:rPr>
        <w:t xml:space="preserve"> personnel to provide post Government employment ethics opinions from the DoD counsel.  This form is used by DoD ethics officials to gather information to write the appropriate opinion.  Using the form is more efficient than asking the same questions each time an opinion letter is requested.</w:t>
      </w:r>
    </w:p>
    <w:bookmarkEnd w:id="5"/>
    <w:bookmarkEnd w:id="6"/>
    <w:p w:rsidR="00A67614" w:rsidRDefault="00A67614" w:rsidP="00A67614">
      <w:pPr>
        <w:pStyle w:val="NormalWeb"/>
        <w:spacing w:line="288" w:lineRule="atLeast"/>
        <w:ind w:firstLine="480"/>
      </w:pPr>
      <w:r>
        <w:t xml:space="preserve">  2.  </w:t>
      </w:r>
      <w:r>
        <w:rPr>
          <w:u w:val="single"/>
        </w:rPr>
        <w:t>Use of the Information</w:t>
      </w:r>
      <w:bookmarkStart w:id="7" w:name="cp435"/>
      <w:bookmarkEnd w:id="2"/>
    </w:p>
    <w:p w:rsidR="00A67614" w:rsidRDefault="003B60DA" w:rsidP="00A67614">
      <w:pPr>
        <w:pStyle w:val="NormalWeb"/>
        <w:spacing w:line="288" w:lineRule="atLeast"/>
      </w:pPr>
      <w:proofErr w:type="gramStart"/>
      <w:r>
        <w:t>DoD</w:t>
      </w:r>
      <w:proofErr w:type="gramEnd"/>
      <w:r>
        <w:t xml:space="preserve"> personnel</w:t>
      </w:r>
      <w:r w:rsidR="007962E7">
        <w:t xml:space="preserve"> (the respondents)</w:t>
      </w:r>
      <w:r>
        <w:t xml:space="preserve"> that are accepting a job in the private sector are subject to Post-Government employment laws.  Many private, non-Federal entities request a post-Government employment letter from the former </w:t>
      </w:r>
      <w:proofErr w:type="gramStart"/>
      <w:r>
        <w:t>DoD</w:t>
      </w:r>
      <w:proofErr w:type="gramEnd"/>
      <w:r>
        <w:t xml:space="preserve"> employee’s ethics official.  In order to write this letter, </w:t>
      </w:r>
      <w:proofErr w:type="gramStart"/>
      <w:r>
        <w:t>DoD</w:t>
      </w:r>
      <w:proofErr w:type="gramEnd"/>
      <w:r>
        <w:t xml:space="preserve"> ethics officials must collect information about the former DoD employee, where he or she worked, what he</w:t>
      </w:r>
      <w:r w:rsidR="005D6C69">
        <w:t xml:space="preserve"> or she</w:t>
      </w:r>
      <w:r>
        <w:t xml:space="preserve"> did at DoD to determine if those duties would conflict with their new duties with their private sector employer.  The form captures the necessary information to draft the opinion letter.</w:t>
      </w:r>
      <w:r w:rsidR="007962E7">
        <w:t xml:space="preserve">  Without the form, the ethics attorney could not draft the letter.  Without the letter, the respondent would not be able to take the new private sector job.</w:t>
      </w:r>
      <w:r w:rsidR="00E36F67">
        <w:t xml:space="preserve">  The form only asks for questions such as how long they served in </w:t>
      </w:r>
      <w:proofErr w:type="gramStart"/>
      <w:r w:rsidR="00E36F67">
        <w:t>DoD</w:t>
      </w:r>
      <w:proofErr w:type="gramEnd"/>
      <w:r w:rsidR="00E36F67">
        <w:t xml:space="preserve"> at which position, and for a job description of that position(s).  Respondents access the form after asking for an opinion, or, when asking to receive an ethics briefing.  The ethics office provides them with a form.  Generally, the form is returned via a scanned copy by email.  Some forms are returned hard copy.  The form has a Privacy Act Statement on it providing for appropriate disclosure for the respondent.  The form is a system of Records under the Office of Government Ethics.  Outside of the form, no other invitations or communications are sent to the respondent.  The information is used by a private sector firm to hire the former </w:t>
      </w:r>
      <w:proofErr w:type="gramStart"/>
      <w:r w:rsidR="00E36F67">
        <w:t>DoD</w:t>
      </w:r>
      <w:proofErr w:type="gramEnd"/>
      <w:r w:rsidR="00E36F67">
        <w:t xml:space="preserve"> employee relying upon the Government ethics opinion that </w:t>
      </w:r>
      <w:r w:rsidR="00E36F67">
        <w:lastRenderedPageBreak/>
        <w:t>the former government employee would not violate the law working for the private sector entity.  The form captures information that could inform whether the former employee could violate 18 U.S.C. 207(a</w:t>
      </w:r>
      <w:proofErr w:type="gramStart"/>
      <w:r w:rsidR="00E36F67">
        <w:t>)(</w:t>
      </w:r>
      <w:proofErr w:type="gramEnd"/>
      <w:r w:rsidR="00E36F67">
        <w:t>1)(2) and c.  The former employee could also violate the Procurement Integrity Law at 41 U.S.C. 2104.  Finally, the former employee is subject to 847, and could violate that law.  The form asks questions that address the elements of the criminal ethics post employment law, 18 U.S.C. 207(a</w:t>
      </w:r>
      <w:proofErr w:type="gramStart"/>
      <w:r w:rsidR="00E36F67">
        <w:t>)(</w:t>
      </w:r>
      <w:proofErr w:type="gramEnd"/>
      <w:r w:rsidR="00E36F67">
        <w:t>1), (2), and 207(c), the procurement integrity act, and section 847.</w:t>
      </w:r>
    </w:p>
    <w:p w:rsidR="00A67614" w:rsidRDefault="00A67614" w:rsidP="00A67614">
      <w:pPr>
        <w:pStyle w:val="NormalWeb"/>
        <w:spacing w:line="288" w:lineRule="atLeast"/>
        <w:ind w:firstLine="480"/>
      </w:pPr>
      <w:bookmarkStart w:id="8" w:name="cp436"/>
      <w:bookmarkEnd w:id="7"/>
      <w:r>
        <w:t xml:space="preserve">  3.  </w:t>
      </w:r>
      <w:r>
        <w:rPr>
          <w:u w:val="single"/>
        </w:rPr>
        <w:t>Use of Information Technology</w:t>
      </w:r>
      <w:bookmarkStart w:id="9" w:name="cp437"/>
      <w:bookmarkEnd w:id="8"/>
    </w:p>
    <w:p w:rsidR="00A67614" w:rsidRDefault="00A01C70" w:rsidP="00A67614">
      <w:pPr>
        <w:pStyle w:val="NormalWeb"/>
        <w:spacing w:line="288" w:lineRule="atLeast"/>
      </w:pPr>
      <w:r>
        <w:t xml:space="preserve">About 90% of the forms are submitted by e-mail and 10% are submitted by postal mail. </w:t>
      </w:r>
      <w:r w:rsidR="00CB1308">
        <w:t>T</w:t>
      </w:r>
      <w:r w:rsidR="00A67614">
        <w:t xml:space="preserve">he </w:t>
      </w:r>
      <w:proofErr w:type="gramStart"/>
      <w:r w:rsidR="00A67614">
        <w:t>DoD</w:t>
      </w:r>
      <w:proofErr w:type="gramEnd"/>
      <w:r w:rsidR="00A67614">
        <w:t xml:space="preserve"> </w:t>
      </w:r>
      <w:r w:rsidR="003A4A13">
        <w:t>utilizes</w:t>
      </w:r>
      <w:r w:rsidR="00A67614">
        <w:t xml:space="preserve"> a web site to receive electronic submission of the opinion request and supporting information</w:t>
      </w:r>
      <w:r w:rsidR="00CB1308">
        <w:t xml:space="preserve"> for section 847 opinions</w:t>
      </w:r>
      <w:r w:rsidR="00A67614">
        <w:t>.</w:t>
      </w:r>
      <w:r w:rsidR="00CB1308">
        <w:t xml:space="preserve"> </w:t>
      </w:r>
      <w:r>
        <w:t>100%</w:t>
      </w:r>
      <w:r w:rsidR="009D6C04">
        <w:t xml:space="preserve"> of all 847 opinions are filed electronically. As a result, there is no need to increase the use of information technology.</w:t>
      </w:r>
      <w:r>
        <w:t xml:space="preserve"> </w:t>
      </w:r>
    </w:p>
    <w:p w:rsidR="00A67614" w:rsidRDefault="00A67614" w:rsidP="00A67614">
      <w:pPr>
        <w:pStyle w:val="NormalWeb"/>
        <w:spacing w:line="288" w:lineRule="atLeast"/>
        <w:ind w:firstLine="480"/>
      </w:pPr>
      <w:bookmarkStart w:id="10" w:name="cp438"/>
      <w:bookmarkEnd w:id="9"/>
      <w:r>
        <w:t xml:space="preserve">  4.  </w:t>
      </w:r>
      <w:r>
        <w:rPr>
          <w:u w:val="single"/>
        </w:rPr>
        <w:t>Non-duplication</w:t>
      </w:r>
      <w:bookmarkStart w:id="11" w:name="cp439"/>
      <w:bookmarkEnd w:id="10"/>
    </w:p>
    <w:p w:rsidR="00A67614" w:rsidRDefault="00A67614" w:rsidP="00A67614">
      <w:pPr>
        <w:pStyle w:val="NormalWeb"/>
        <w:spacing w:line="288" w:lineRule="atLeast"/>
      </w:pPr>
      <w:r>
        <w:t>The requested information is not already available</w:t>
      </w:r>
      <w:r w:rsidR="009D6C04">
        <w:t xml:space="preserve"> which is why we need the form</w:t>
      </w:r>
      <w:r>
        <w:t>.</w:t>
      </w:r>
    </w:p>
    <w:p w:rsidR="00A67614" w:rsidRDefault="00A67614" w:rsidP="00A67614">
      <w:pPr>
        <w:pStyle w:val="NormalWeb"/>
        <w:spacing w:line="288" w:lineRule="atLeast"/>
        <w:ind w:firstLine="480"/>
      </w:pPr>
      <w:bookmarkStart w:id="12" w:name="cp440"/>
      <w:bookmarkEnd w:id="11"/>
      <w:r>
        <w:t xml:space="preserve">  5.  </w:t>
      </w:r>
      <w:r>
        <w:rPr>
          <w:u w:val="single"/>
        </w:rPr>
        <w:t>Burden on Small Business</w:t>
      </w:r>
    </w:p>
    <w:p w:rsidR="00A67614" w:rsidRDefault="003B60DA" w:rsidP="00A67614">
      <w:pPr>
        <w:pStyle w:val="NormalWeb"/>
        <w:spacing w:line="288" w:lineRule="atLeast"/>
      </w:pPr>
      <w:bookmarkStart w:id="13" w:name="cp441"/>
      <w:bookmarkEnd w:id="12"/>
      <w:r>
        <w:t xml:space="preserve">Collection is limited to </w:t>
      </w:r>
      <w:proofErr w:type="gramStart"/>
      <w:r>
        <w:t>DoD</w:t>
      </w:r>
      <w:proofErr w:type="gramEnd"/>
      <w:r>
        <w:t xml:space="preserve"> personnel leaving DoD employment and will not include small businesses or other similar entities.</w:t>
      </w:r>
    </w:p>
    <w:p w:rsidR="00A67614" w:rsidRDefault="00A67614" w:rsidP="00A67614">
      <w:pPr>
        <w:pStyle w:val="NormalWeb"/>
        <w:spacing w:line="288" w:lineRule="atLeast"/>
        <w:ind w:firstLine="480"/>
      </w:pPr>
      <w:bookmarkStart w:id="14" w:name="cp442"/>
      <w:bookmarkEnd w:id="13"/>
      <w:r>
        <w:t xml:space="preserve">  6.  </w:t>
      </w:r>
      <w:r>
        <w:rPr>
          <w:u w:val="single"/>
        </w:rPr>
        <w:t>Less Frequent Collection</w:t>
      </w:r>
      <w:bookmarkStart w:id="15" w:name="cp443"/>
      <w:bookmarkEnd w:id="14"/>
    </w:p>
    <w:p w:rsidR="00B573FC" w:rsidRDefault="003B60DA" w:rsidP="009D6C04">
      <w:pPr>
        <w:pStyle w:val="NoSpacing"/>
      </w:pPr>
      <w:r>
        <w:t xml:space="preserve">Information collection is only required when </w:t>
      </w:r>
      <w:r w:rsidR="009D6C04">
        <w:t xml:space="preserve">certain </w:t>
      </w:r>
      <w:proofErr w:type="gramStart"/>
      <w:r>
        <w:t>DoD</w:t>
      </w:r>
      <w:proofErr w:type="gramEnd"/>
      <w:r>
        <w:t xml:space="preserve"> personnel leave DoD for the private sector.  </w:t>
      </w:r>
      <w:r w:rsidR="009D6C04">
        <w:t xml:space="preserve">This is not an annual collection of forms gathered from the same people.  If the questionnaire would not be used, we would have to call and ask, or, email and ask the same questions of certain departing officials to determine if a violation of the conflict of interest laws occurred.  </w:t>
      </w:r>
    </w:p>
    <w:p w:rsidR="00A67614" w:rsidRDefault="00A67614" w:rsidP="00A67614">
      <w:pPr>
        <w:pStyle w:val="NormalWeb"/>
        <w:spacing w:line="288" w:lineRule="atLeast"/>
        <w:ind w:firstLine="480"/>
      </w:pPr>
      <w:bookmarkStart w:id="16" w:name="cp444"/>
      <w:bookmarkEnd w:id="15"/>
      <w:r>
        <w:t xml:space="preserve">  7.  </w:t>
      </w:r>
      <w:r>
        <w:rPr>
          <w:u w:val="single"/>
        </w:rPr>
        <w:t>Paperwork Reduction Act Guidelines</w:t>
      </w:r>
    </w:p>
    <w:p w:rsidR="00A67614" w:rsidRDefault="0084640C" w:rsidP="00A67614">
      <w:pPr>
        <w:pStyle w:val="NormalWeb"/>
        <w:spacing w:line="288" w:lineRule="atLeast"/>
      </w:pPr>
      <w:bookmarkStart w:id="17" w:name="cp445"/>
      <w:bookmarkEnd w:id="16"/>
      <w:r>
        <w:t>This collection will be conducted in a manner consistent with the guidelines in 5 CFR 1320.5(d)(2)</w:t>
      </w:r>
      <w:r w:rsidR="00A67614">
        <w:t>.</w:t>
      </w:r>
    </w:p>
    <w:p w:rsidR="00A67614" w:rsidRDefault="00A67614" w:rsidP="00A67614">
      <w:pPr>
        <w:pStyle w:val="NormalWeb"/>
        <w:spacing w:line="288" w:lineRule="atLeast"/>
        <w:ind w:firstLine="480"/>
      </w:pPr>
      <w:bookmarkStart w:id="18" w:name="cp446"/>
      <w:bookmarkEnd w:id="17"/>
      <w:r>
        <w:t xml:space="preserve">  8.  </w:t>
      </w:r>
      <w:r>
        <w:rPr>
          <w:u w:val="single"/>
        </w:rPr>
        <w:t>Consultation and Public Comments</w:t>
      </w:r>
    </w:p>
    <w:p w:rsidR="00554D04" w:rsidRDefault="00554D04" w:rsidP="00A67614">
      <w:pPr>
        <w:pStyle w:val="NormalWeb"/>
        <w:spacing w:line="288" w:lineRule="atLeast"/>
        <w:ind w:firstLine="480"/>
      </w:pPr>
      <w:bookmarkStart w:id="19" w:name="cp447"/>
      <w:bookmarkEnd w:id="18"/>
      <w:proofErr w:type="gramStart"/>
      <w:r>
        <w:t>a</w:t>
      </w:r>
      <w:r w:rsidR="00A05192">
        <w:t xml:space="preserve">.  </w:t>
      </w:r>
      <w:r>
        <w:t>A</w:t>
      </w:r>
      <w:proofErr w:type="gramEnd"/>
      <w:r w:rsidR="0084640C">
        <w:t xml:space="preserve"> </w:t>
      </w:r>
      <w:r>
        <w:t>60 Day Federal Register Notice</w:t>
      </w:r>
      <w:r w:rsidR="0084640C">
        <w:t xml:space="preserve"> was published in the Federal Register on </w:t>
      </w:r>
      <w:r w:rsidR="00225738">
        <w:t>June 14, 2016</w:t>
      </w:r>
      <w:r>
        <w:t xml:space="preserve"> (</w:t>
      </w:r>
      <w:r w:rsidR="00B366A3">
        <w:t>81 F</w:t>
      </w:r>
      <w:r>
        <w:t>R</w:t>
      </w:r>
      <w:r w:rsidR="00B366A3">
        <w:t xml:space="preserve"> 38693</w:t>
      </w:r>
      <w:r>
        <w:t>)</w:t>
      </w:r>
      <w:r w:rsidR="00B366A3">
        <w:t xml:space="preserve">.  </w:t>
      </w:r>
      <w:r w:rsidR="0084640C">
        <w:t>No comments were received.</w:t>
      </w:r>
      <w:r>
        <w:t xml:space="preserve">  A 30 Day Federal Register Notice was published in the Federal Register on October 7, 2016 (81 FR 69800). </w:t>
      </w:r>
    </w:p>
    <w:p w:rsidR="00F37D14" w:rsidRDefault="00554D04" w:rsidP="00A67614">
      <w:pPr>
        <w:pStyle w:val="NormalWeb"/>
        <w:spacing w:line="288" w:lineRule="atLeast"/>
        <w:ind w:firstLine="480"/>
      </w:pPr>
      <w:bookmarkStart w:id="20" w:name="cp449"/>
      <w:bookmarkEnd w:id="19"/>
      <w:proofErr w:type="gramStart"/>
      <w:r>
        <w:t>b</w:t>
      </w:r>
      <w:r w:rsidR="00A05192">
        <w:t xml:space="preserve">.  </w:t>
      </w:r>
      <w:r w:rsidR="00F37D14">
        <w:t>The</w:t>
      </w:r>
      <w:proofErr w:type="gramEnd"/>
      <w:r w:rsidR="00F37D14">
        <w:t xml:space="preserve"> DD Form </w:t>
      </w:r>
      <w:r w:rsidR="003A4A13">
        <w:t>2945</w:t>
      </w:r>
      <w:r w:rsidR="00F37D14">
        <w:t xml:space="preserve"> was created by DoD Ethics Officials to help opinion requestors identify and organize information required by the ethics officials to provide advice.</w:t>
      </w:r>
      <w:r w:rsidR="00EF33B6">
        <w:t xml:space="preserve">  Consultations with representatives from the Army, Navy, Air Force and other DoD agencies on the type of information needed, format, availability of required information from other sources, methodology to collect the information, form clarity and instructions on why and how to provide </w:t>
      </w:r>
      <w:r w:rsidR="00EF33B6">
        <w:lastRenderedPageBreak/>
        <w:t xml:space="preserve">the information were obtained via personal interviews and e-mail requests.  As recommendations and suggestions were received they were either incorporated into the process or omitted </w:t>
      </w:r>
      <w:r w:rsidR="007A4C59">
        <w:t xml:space="preserve">as overly burdensome.  </w:t>
      </w:r>
      <w:r w:rsidR="00A05192">
        <w:t>For example, if a former employee represents his new employer on a particular matter involving a specific party that was pending his supervision during his last year of service, we have added that question to the form to ensure that this provision of 18 U.S.C. 207(a)(2) has not been violated.</w:t>
      </w:r>
    </w:p>
    <w:p w:rsidR="00A67614" w:rsidRDefault="00A67614" w:rsidP="00A67614">
      <w:pPr>
        <w:pStyle w:val="NormalWeb"/>
        <w:spacing w:line="288" w:lineRule="atLeast"/>
        <w:ind w:firstLine="480"/>
      </w:pPr>
      <w:r>
        <w:t xml:space="preserve">  9.  </w:t>
      </w:r>
      <w:r>
        <w:rPr>
          <w:u w:val="single"/>
        </w:rPr>
        <w:t>Gifts or Payment</w:t>
      </w:r>
      <w:bookmarkStart w:id="21" w:name="cp450"/>
      <w:bookmarkEnd w:id="20"/>
    </w:p>
    <w:p w:rsidR="00F37D14" w:rsidRDefault="00F37D14" w:rsidP="00F37D14">
      <w:pPr>
        <w:pStyle w:val="NormalWeb"/>
        <w:spacing w:line="288" w:lineRule="atLeast"/>
        <w:ind w:firstLine="480"/>
      </w:pPr>
      <w:bookmarkStart w:id="22" w:name="cp515"/>
      <w:bookmarkStart w:id="23" w:name="cp451"/>
      <w:bookmarkEnd w:id="21"/>
      <w:r>
        <w:t>     No payment</w:t>
      </w:r>
      <w:r w:rsidR="003B60DA">
        <w:t>s</w:t>
      </w:r>
      <w:r>
        <w:t xml:space="preserve"> or gift</w:t>
      </w:r>
      <w:r w:rsidR="003B60DA">
        <w:t>s</w:t>
      </w:r>
      <w:r>
        <w:t xml:space="preserve"> will be provided to the respondents.</w:t>
      </w:r>
      <w:r w:rsidR="00A05192">
        <w:t xml:space="preserve">  The respondents are only interested in obtaining a post-government employment letter.  No payments or gifts are permitted to be given to ethics officials to provide the opinion letters.</w:t>
      </w:r>
    </w:p>
    <w:bookmarkEnd w:id="22"/>
    <w:p w:rsidR="00A67614" w:rsidRDefault="00A67614" w:rsidP="00A67614">
      <w:pPr>
        <w:pStyle w:val="NormalWeb"/>
        <w:spacing w:line="288" w:lineRule="atLeast"/>
        <w:ind w:firstLine="480"/>
      </w:pPr>
      <w:r>
        <w:t xml:space="preserve">  10.  </w:t>
      </w:r>
      <w:r>
        <w:rPr>
          <w:u w:val="single"/>
        </w:rPr>
        <w:t>Confidentiality</w:t>
      </w:r>
      <w:bookmarkStart w:id="24" w:name="cp452"/>
      <w:bookmarkEnd w:id="23"/>
    </w:p>
    <w:p w:rsidR="007F119C" w:rsidRDefault="00A67614" w:rsidP="0047568A">
      <w:pPr>
        <w:pStyle w:val="NormalWeb"/>
        <w:spacing w:line="288" w:lineRule="atLeast"/>
        <w:ind w:firstLine="480"/>
      </w:pPr>
      <w:r>
        <w:t>There is no attorney-client privilege applicable to the information an opinion requestor provides.  The information provided is shared with authorized ethics officials responsible for providing the advice.</w:t>
      </w:r>
      <w:r w:rsidR="00F37D14">
        <w:t xml:space="preserve">  Together with the advisory opinion provided the information is retained for five years from the date of the opinion and is protected under the Privacy Act of 1974.</w:t>
      </w:r>
      <w:r w:rsidR="00A05192">
        <w:t xml:space="preserve">  See section 847 of the National Defense Authorization Act for Fiscal Year 2008.  </w:t>
      </w:r>
    </w:p>
    <w:p w:rsidR="0047568A" w:rsidRDefault="007F119C" w:rsidP="0047568A">
      <w:pPr>
        <w:pStyle w:val="NormalWeb"/>
        <w:spacing w:line="288" w:lineRule="atLeast"/>
        <w:ind w:firstLine="480"/>
      </w:pPr>
      <w:r>
        <w:t>Information collection is retained under OGE/GOVT1, a system of records containing con</w:t>
      </w:r>
      <w:r w:rsidR="00684141">
        <w:t>fidential finan</w:t>
      </w:r>
      <w:r w:rsidR="0047568A">
        <w:t xml:space="preserve">cial disclosure reports, information necessary for the rendering of ethics, counseling, opinion, advice, and conflict of interest.  </w:t>
      </w:r>
      <w:hyperlink r:id="rId10" w:history="1">
        <w:r w:rsidR="0047568A" w:rsidRPr="00BE74CC">
          <w:rPr>
            <w:rStyle w:val="Hyperlink"/>
          </w:rPr>
          <w:t>http://dpcld.defense.gov/Privacy/SORNsIndex/DOD-wide-SORN-Article-View/Article/570731/ogegovt-1/</w:t>
        </w:r>
      </w:hyperlink>
      <w:r w:rsidR="0047568A">
        <w:t xml:space="preserve">  </w:t>
      </w:r>
    </w:p>
    <w:p w:rsidR="007F119C" w:rsidRDefault="00A05192" w:rsidP="0047568A">
      <w:pPr>
        <w:pStyle w:val="NormalWeb"/>
        <w:spacing w:line="288" w:lineRule="atLeast"/>
        <w:ind w:firstLine="480"/>
      </w:pPr>
      <w:r>
        <w:t>The form is considered part of the Office of Government Ethics system of records</w:t>
      </w:r>
      <w:r w:rsidR="00AC224C">
        <w:t xml:space="preserve"> </w:t>
      </w:r>
      <w:hyperlink r:id="rId11" w:anchor="systems" w:history="1">
        <w:r w:rsidR="0047568A" w:rsidRPr="00BE74CC">
          <w:rPr>
            <w:rStyle w:val="Hyperlink"/>
          </w:rPr>
          <w:t>http://www.ofr.gov/(S(woq5ojwh3pljsgyh3tx0zq3q))/privacy/2011/oge.aspx#systems</w:t>
        </w:r>
      </w:hyperlink>
      <w:r>
        <w:t xml:space="preserve">, so, the SORN is the exact same SORN OGE advises to be used on its records.  </w:t>
      </w:r>
    </w:p>
    <w:p w:rsidR="00A67614" w:rsidRDefault="00A67614" w:rsidP="00A67614">
      <w:pPr>
        <w:pStyle w:val="NormalWeb"/>
        <w:spacing w:line="288" w:lineRule="atLeast"/>
        <w:ind w:firstLine="480"/>
        <w:rPr>
          <w:u w:val="single"/>
        </w:rPr>
      </w:pPr>
      <w:bookmarkStart w:id="25" w:name="cp454"/>
      <w:bookmarkEnd w:id="24"/>
      <w:r>
        <w:t xml:space="preserve">  11.  </w:t>
      </w:r>
      <w:r>
        <w:rPr>
          <w:u w:val="single"/>
        </w:rPr>
        <w:t>Sensitive Questions</w:t>
      </w:r>
    </w:p>
    <w:p w:rsidR="00F37D14" w:rsidRDefault="00F37D14" w:rsidP="00F37D14">
      <w:pPr>
        <w:pStyle w:val="NormalWeb"/>
        <w:spacing w:line="288" w:lineRule="atLeast"/>
        <w:ind w:firstLine="480"/>
      </w:pPr>
      <w:bookmarkStart w:id="26" w:name="cp519"/>
      <w:bookmarkStart w:id="27" w:name="cp456"/>
      <w:bookmarkEnd w:id="25"/>
      <w:r>
        <w:t>     There are no sensitive questions asked in this information collection.</w:t>
      </w:r>
      <w:r w:rsidR="00AC224C">
        <w:t xml:space="preserve">  No questions involve race, ethnicity or social security numbers.  </w:t>
      </w:r>
    </w:p>
    <w:bookmarkEnd w:id="26"/>
    <w:p w:rsidR="00A67614" w:rsidRDefault="00A67614" w:rsidP="00A67614">
      <w:pPr>
        <w:pStyle w:val="NormalWeb"/>
        <w:spacing w:line="288" w:lineRule="atLeast"/>
        <w:ind w:firstLine="480"/>
      </w:pPr>
      <w:r>
        <w:t xml:space="preserve">  12.  </w:t>
      </w:r>
      <w:r>
        <w:rPr>
          <w:u w:val="single"/>
        </w:rPr>
        <w:t>Respondent Burden, and its Labor Costs</w:t>
      </w:r>
    </w:p>
    <w:p w:rsidR="00A67614" w:rsidRDefault="00A67614" w:rsidP="00A67614">
      <w:pPr>
        <w:pStyle w:val="NormalWeb"/>
        <w:spacing w:line="288" w:lineRule="atLeast"/>
        <w:ind w:firstLine="480"/>
        <w:rPr>
          <w:u w:val="single"/>
        </w:rPr>
      </w:pPr>
      <w:bookmarkStart w:id="28" w:name="cp457"/>
      <w:bookmarkEnd w:id="27"/>
      <w:r>
        <w:t>     a.</w:t>
      </w:r>
      <w:proofErr w:type="gramStart"/>
      <w:r>
        <w:t xml:space="preserve">  </w:t>
      </w:r>
      <w:r>
        <w:rPr>
          <w:u w:val="single"/>
        </w:rPr>
        <w:t>Estimation</w:t>
      </w:r>
      <w:proofErr w:type="gramEnd"/>
      <w:r>
        <w:rPr>
          <w:u w:val="single"/>
        </w:rPr>
        <w:t xml:space="preserve"> of Respondent Burden</w:t>
      </w:r>
      <w:bookmarkStart w:id="29" w:name="cp458"/>
      <w:bookmarkEnd w:id="28"/>
    </w:p>
    <w:p w:rsidR="0047568A" w:rsidRDefault="0047568A" w:rsidP="00A67614">
      <w:pPr>
        <w:pStyle w:val="NormalWeb"/>
        <w:spacing w:line="288" w:lineRule="atLeast"/>
        <w:ind w:firstLine="480"/>
        <w:rPr>
          <w:u w:val="single"/>
        </w:rPr>
      </w:pPr>
    </w:p>
    <w:p w:rsidR="0047568A" w:rsidRDefault="0047568A" w:rsidP="00A67614">
      <w:pPr>
        <w:pStyle w:val="NormalWeb"/>
        <w:spacing w:line="288" w:lineRule="atLeast"/>
        <w:ind w:firstLine="480"/>
        <w:rPr>
          <w:u w:val="single"/>
        </w:rPr>
      </w:pPr>
    </w:p>
    <w:p w:rsidR="0047568A" w:rsidRDefault="0047568A" w:rsidP="00A67614">
      <w:pPr>
        <w:pStyle w:val="NormalWeb"/>
        <w:spacing w:line="288" w:lineRule="atLeast"/>
        <w:ind w:firstLine="480"/>
        <w:rPr>
          <w:u w:val="single"/>
        </w:rPr>
      </w:pPr>
    </w:p>
    <w:p w:rsidR="0047568A" w:rsidRDefault="0047568A" w:rsidP="00A67614">
      <w:pPr>
        <w:pStyle w:val="NormalWeb"/>
        <w:spacing w:line="288" w:lineRule="atLeast"/>
        <w:ind w:firstLine="480"/>
        <w:rPr>
          <w:u w:val="single"/>
        </w:rPr>
      </w:pPr>
    </w:p>
    <w:tbl>
      <w:tblPr>
        <w:tblW w:w="104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1443"/>
        <w:gridCol w:w="1350"/>
        <w:gridCol w:w="1259"/>
        <w:gridCol w:w="2075"/>
        <w:gridCol w:w="2070"/>
      </w:tblGrid>
      <w:tr w:rsidR="00542A5C" w:rsidTr="004B2575">
        <w:tc>
          <w:tcPr>
            <w:tcW w:w="10440" w:type="dxa"/>
            <w:gridSpan w:val="6"/>
            <w:shd w:val="clear" w:color="auto" w:fill="auto"/>
          </w:tcPr>
          <w:p w:rsidR="00542A5C" w:rsidRDefault="00542A5C" w:rsidP="004B2575">
            <w:pPr>
              <w:pStyle w:val="NormalWeb"/>
              <w:spacing w:line="288" w:lineRule="atLeast"/>
              <w:jc w:val="center"/>
            </w:pPr>
            <w:r>
              <w:t>Estimation of Respondent Burden Hours</w:t>
            </w:r>
          </w:p>
        </w:tc>
      </w:tr>
      <w:tr w:rsidR="00542A5C" w:rsidTr="00B66306">
        <w:trPr>
          <w:trHeight w:val="2492"/>
        </w:trPr>
        <w:tc>
          <w:tcPr>
            <w:tcW w:w="2243" w:type="dxa"/>
            <w:shd w:val="clear" w:color="auto" w:fill="auto"/>
          </w:tcPr>
          <w:p w:rsidR="00542A5C" w:rsidRDefault="00542A5C" w:rsidP="00542A5C">
            <w:pPr>
              <w:pStyle w:val="NormalWeb"/>
              <w:spacing w:line="288" w:lineRule="atLeast"/>
            </w:pPr>
          </w:p>
        </w:tc>
        <w:tc>
          <w:tcPr>
            <w:tcW w:w="1443" w:type="dxa"/>
            <w:shd w:val="clear" w:color="auto" w:fill="auto"/>
          </w:tcPr>
          <w:p w:rsidR="00542A5C" w:rsidRDefault="00542A5C" w:rsidP="004B2575">
            <w:pPr>
              <w:pStyle w:val="NormalWeb"/>
              <w:spacing w:line="288" w:lineRule="atLeast"/>
            </w:pPr>
            <w:r>
              <w:t>Number of Respondents</w:t>
            </w:r>
          </w:p>
        </w:tc>
        <w:tc>
          <w:tcPr>
            <w:tcW w:w="1350" w:type="dxa"/>
            <w:shd w:val="clear" w:color="auto" w:fill="auto"/>
          </w:tcPr>
          <w:p w:rsidR="00542A5C" w:rsidRDefault="00542A5C" w:rsidP="004B2575">
            <w:pPr>
              <w:pStyle w:val="NormalWeb"/>
              <w:spacing w:line="288" w:lineRule="atLeast"/>
            </w:pPr>
            <w:r>
              <w:t>Number of Responses per Respondent</w:t>
            </w:r>
          </w:p>
        </w:tc>
        <w:tc>
          <w:tcPr>
            <w:tcW w:w="1259" w:type="dxa"/>
            <w:shd w:val="clear" w:color="auto" w:fill="auto"/>
          </w:tcPr>
          <w:p w:rsidR="00542A5C" w:rsidRDefault="00542A5C" w:rsidP="004B2575">
            <w:pPr>
              <w:pStyle w:val="NormalWeb"/>
              <w:spacing w:line="288" w:lineRule="atLeast"/>
            </w:pPr>
            <w:r>
              <w:t>Number of Total Annual Responses</w:t>
            </w:r>
          </w:p>
        </w:tc>
        <w:tc>
          <w:tcPr>
            <w:tcW w:w="2075" w:type="dxa"/>
            <w:shd w:val="clear" w:color="auto" w:fill="auto"/>
          </w:tcPr>
          <w:p w:rsidR="00542A5C" w:rsidRDefault="00542A5C" w:rsidP="004B2575">
            <w:pPr>
              <w:pStyle w:val="NormalWeb"/>
              <w:spacing w:line="288" w:lineRule="atLeast"/>
            </w:pPr>
            <w:r>
              <w:t>Response Time (Amount of time needed to complete the collection instrument)</w:t>
            </w:r>
          </w:p>
        </w:tc>
        <w:tc>
          <w:tcPr>
            <w:tcW w:w="2070" w:type="dxa"/>
            <w:shd w:val="clear" w:color="auto" w:fill="auto"/>
          </w:tcPr>
          <w:p w:rsidR="00542A5C" w:rsidRDefault="00542A5C" w:rsidP="004B2575">
            <w:pPr>
              <w:pStyle w:val="NormalWeb"/>
              <w:spacing w:line="288" w:lineRule="atLeast"/>
            </w:pPr>
            <w:r>
              <w:t>Respondent Burden Hours (Total Annual Responses multiplied by Response Time) Please compute these into hours)</w:t>
            </w:r>
          </w:p>
        </w:tc>
      </w:tr>
      <w:tr w:rsidR="00542A5C" w:rsidTr="00B66306">
        <w:trPr>
          <w:trHeight w:val="827"/>
        </w:trPr>
        <w:tc>
          <w:tcPr>
            <w:tcW w:w="2243" w:type="dxa"/>
            <w:shd w:val="clear" w:color="auto" w:fill="auto"/>
          </w:tcPr>
          <w:p w:rsidR="00B66306" w:rsidRDefault="00542A5C" w:rsidP="00B66306">
            <w:pPr>
              <w:pStyle w:val="NormalWeb"/>
              <w:contextualSpacing/>
            </w:pPr>
            <w:r>
              <w:t xml:space="preserve">Collection Instrument </w:t>
            </w:r>
            <w:r w:rsidR="00B66306">
              <w:t xml:space="preserve">–   </w:t>
            </w:r>
          </w:p>
          <w:p w:rsidR="00542A5C" w:rsidRDefault="00B66306" w:rsidP="00B66306">
            <w:pPr>
              <w:pStyle w:val="NormalWeb"/>
              <w:contextualSpacing/>
            </w:pPr>
            <w:r>
              <w:t>DD Form 2945</w:t>
            </w:r>
          </w:p>
        </w:tc>
        <w:tc>
          <w:tcPr>
            <w:tcW w:w="1443" w:type="dxa"/>
            <w:shd w:val="clear" w:color="auto" w:fill="auto"/>
            <w:vAlign w:val="center"/>
          </w:tcPr>
          <w:p w:rsidR="00542A5C" w:rsidRDefault="00542A5C" w:rsidP="00B66306">
            <w:pPr>
              <w:pStyle w:val="NormalWeb"/>
              <w:contextualSpacing/>
              <w:jc w:val="center"/>
            </w:pPr>
            <w:r>
              <w:t>250</w:t>
            </w:r>
          </w:p>
        </w:tc>
        <w:tc>
          <w:tcPr>
            <w:tcW w:w="1350" w:type="dxa"/>
            <w:shd w:val="clear" w:color="auto" w:fill="auto"/>
            <w:vAlign w:val="center"/>
          </w:tcPr>
          <w:p w:rsidR="00542A5C" w:rsidRDefault="00542A5C" w:rsidP="00B66306">
            <w:pPr>
              <w:pStyle w:val="NormalWeb"/>
              <w:contextualSpacing/>
              <w:jc w:val="center"/>
            </w:pPr>
            <w:r>
              <w:t>1</w:t>
            </w:r>
          </w:p>
        </w:tc>
        <w:tc>
          <w:tcPr>
            <w:tcW w:w="1259" w:type="dxa"/>
            <w:shd w:val="clear" w:color="auto" w:fill="auto"/>
            <w:vAlign w:val="center"/>
          </w:tcPr>
          <w:p w:rsidR="00542A5C" w:rsidRDefault="00542A5C" w:rsidP="00B66306">
            <w:pPr>
              <w:pStyle w:val="NormalWeb"/>
              <w:contextualSpacing/>
              <w:jc w:val="center"/>
            </w:pPr>
            <w:r>
              <w:t>250</w:t>
            </w:r>
          </w:p>
        </w:tc>
        <w:tc>
          <w:tcPr>
            <w:tcW w:w="2075" w:type="dxa"/>
            <w:shd w:val="clear" w:color="auto" w:fill="auto"/>
            <w:vAlign w:val="center"/>
          </w:tcPr>
          <w:p w:rsidR="00542A5C" w:rsidRDefault="00542A5C" w:rsidP="00B66306">
            <w:pPr>
              <w:pStyle w:val="NormalWeb"/>
              <w:contextualSpacing/>
              <w:jc w:val="center"/>
            </w:pPr>
            <w:r>
              <w:t>1 Hour</w:t>
            </w:r>
          </w:p>
        </w:tc>
        <w:tc>
          <w:tcPr>
            <w:tcW w:w="2070" w:type="dxa"/>
            <w:shd w:val="clear" w:color="auto" w:fill="auto"/>
            <w:vAlign w:val="center"/>
          </w:tcPr>
          <w:p w:rsidR="00542A5C" w:rsidRDefault="00542A5C" w:rsidP="00B66306">
            <w:pPr>
              <w:pStyle w:val="NormalWeb"/>
              <w:contextualSpacing/>
              <w:jc w:val="center"/>
            </w:pPr>
            <w:r>
              <w:t>250</w:t>
            </w:r>
            <w:r w:rsidR="00EE1270">
              <w:t xml:space="preserve"> Hours</w:t>
            </w:r>
          </w:p>
        </w:tc>
      </w:tr>
      <w:tr w:rsidR="00542A5C" w:rsidTr="00B66306">
        <w:tc>
          <w:tcPr>
            <w:tcW w:w="2243" w:type="dxa"/>
            <w:shd w:val="clear" w:color="auto" w:fill="auto"/>
          </w:tcPr>
          <w:p w:rsidR="00542A5C" w:rsidRDefault="00542A5C" w:rsidP="00B66306">
            <w:pPr>
              <w:pStyle w:val="NormalWeb"/>
              <w:spacing w:line="288" w:lineRule="atLeast"/>
              <w:contextualSpacing/>
            </w:pPr>
            <w:r>
              <w:t xml:space="preserve">Total </w:t>
            </w:r>
          </w:p>
        </w:tc>
        <w:tc>
          <w:tcPr>
            <w:tcW w:w="1443" w:type="dxa"/>
            <w:shd w:val="clear" w:color="auto" w:fill="auto"/>
          </w:tcPr>
          <w:p w:rsidR="00542A5C" w:rsidRDefault="00542A5C" w:rsidP="00B66306">
            <w:pPr>
              <w:pStyle w:val="NormalWeb"/>
              <w:spacing w:line="288" w:lineRule="atLeast"/>
              <w:contextualSpacing/>
              <w:jc w:val="center"/>
            </w:pPr>
            <w:r>
              <w:t>250</w:t>
            </w:r>
          </w:p>
        </w:tc>
        <w:tc>
          <w:tcPr>
            <w:tcW w:w="1350" w:type="dxa"/>
            <w:shd w:val="clear" w:color="auto" w:fill="auto"/>
          </w:tcPr>
          <w:p w:rsidR="00542A5C" w:rsidRDefault="00542A5C" w:rsidP="00B66306">
            <w:pPr>
              <w:pStyle w:val="NormalWeb"/>
              <w:spacing w:line="288" w:lineRule="atLeast"/>
              <w:contextualSpacing/>
              <w:jc w:val="center"/>
            </w:pPr>
            <w:r>
              <w:t>1</w:t>
            </w:r>
          </w:p>
        </w:tc>
        <w:tc>
          <w:tcPr>
            <w:tcW w:w="1259" w:type="dxa"/>
            <w:shd w:val="clear" w:color="auto" w:fill="auto"/>
          </w:tcPr>
          <w:p w:rsidR="00542A5C" w:rsidRDefault="00542A5C" w:rsidP="00B66306">
            <w:pPr>
              <w:pStyle w:val="NormalWeb"/>
              <w:spacing w:line="288" w:lineRule="atLeast"/>
              <w:contextualSpacing/>
              <w:jc w:val="center"/>
            </w:pPr>
            <w:r>
              <w:t>250</w:t>
            </w:r>
          </w:p>
        </w:tc>
        <w:tc>
          <w:tcPr>
            <w:tcW w:w="2075" w:type="dxa"/>
            <w:shd w:val="clear" w:color="auto" w:fill="auto"/>
          </w:tcPr>
          <w:p w:rsidR="00542A5C" w:rsidRDefault="00542A5C" w:rsidP="00B66306">
            <w:pPr>
              <w:pStyle w:val="NormalWeb"/>
              <w:spacing w:line="288" w:lineRule="atLeast"/>
              <w:contextualSpacing/>
              <w:jc w:val="center"/>
            </w:pPr>
            <w:r>
              <w:t>1 Hour</w:t>
            </w:r>
          </w:p>
        </w:tc>
        <w:tc>
          <w:tcPr>
            <w:tcW w:w="2070" w:type="dxa"/>
            <w:shd w:val="clear" w:color="auto" w:fill="auto"/>
          </w:tcPr>
          <w:p w:rsidR="00542A5C" w:rsidRDefault="00542A5C" w:rsidP="00B66306">
            <w:pPr>
              <w:pStyle w:val="NormalWeb"/>
              <w:spacing w:line="288" w:lineRule="atLeast"/>
              <w:contextualSpacing/>
              <w:jc w:val="center"/>
            </w:pPr>
            <w:r>
              <w:t>250</w:t>
            </w:r>
            <w:r w:rsidR="00EE1270">
              <w:t xml:space="preserve"> Hours</w:t>
            </w:r>
          </w:p>
        </w:tc>
      </w:tr>
    </w:tbl>
    <w:p w:rsidR="00542A5C" w:rsidRPr="00564656" w:rsidRDefault="00542A5C" w:rsidP="00542A5C">
      <w:pPr>
        <w:pStyle w:val="NormalWeb"/>
        <w:spacing w:line="288" w:lineRule="atLeast"/>
        <w:ind w:firstLine="1350"/>
        <w:rPr>
          <w:u w:val="single"/>
        </w:rPr>
      </w:pPr>
      <w:r>
        <w:t>b.</w:t>
      </w:r>
      <w:proofErr w:type="gramStart"/>
      <w:r>
        <w:t xml:space="preserve">  </w:t>
      </w:r>
      <w:r>
        <w:rPr>
          <w:u w:val="single"/>
        </w:rPr>
        <w:t>Labor</w:t>
      </w:r>
      <w:proofErr w:type="gramEnd"/>
      <w:r>
        <w:rPr>
          <w:u w:val="single"/>
        </w:rPr>
        <w:t xml:space="preserve"> Cost of Respondent Burden</w:t>
      </w:r>
    </w:p>
    <w:tbl>
      <w:tblPr>
        <w:tblW w:w="101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30"/>
        <w:gridCol w:w="1800"/>
        <w:gridCol w:w="1350"/>
        <w:gridCol w:w="1710"/>
        <w:gridCol w:w="2070"/>
      </w:tblGrid>
      <w:tr w:rsidR="00542A5C" w:rsidTr="004B2575">
        <w:tc>
          <w:tcPr>
            <w:tcW w:w="10170" w:type="dxa"/>
            <w:gridSpan w:val="6"/>
            <w:shd w:val="clear" w:color="auto" w:fill="auto"/>
          </w:tcPr>
          <w:p w:rsidR="00542A5C" w:rsidRDefault="00542A5C" w:rsidP="004B2575">
            <w:pPr>
              <w:pStyle w:val="NormalWeb"/>
              <w:spacing w:line="288" w:lineRule="atLeast"/>
              <w:jc w:val="center"/>
            </w:pPr>
            <w:r>
              <w:t>Labor Cost of Respondent Burden</w:t>
            </w:r>
          </w:p>
        </w:tc>
      </w:tr>
      <w:tr w:rsidR="00542A5C" w:rsidTr="00B66306">
        <w:tc>
          <w:tcPr>
            <w:tcW w:w="1710" w:type="dxa"/>
            <w:shd w:val="clear" w:color="auto" w:fill="auto"/>
          </w:tcPr>
          <w:p w:rsidR="00542A5C" w:rsidRDefault="00542A5C" w:rsidP="004B2575">
            <w:pPr>
              <w:pStyle w:val="NormalWeb"/>
              <w:spacing w:line="288" w:lineRule="atLeast"/>
            </w:pPr>
          </w:p>
        </w:tc>
        <w:tc>
          <w:tcPr>
            <w:tcW w:w="1530" w:type="dxa"/>
            <w:shd w:val="clear" w:color="auto" w:fill="auto"/>
          </w:tcPr>
          <w:p w:rsidR="00542A5C" w:rsidRDefault="00542A5C" w:rsidP="004B2575">
            <w:pPr>
              <w:pStyle w:val="NormalWeb"/>
              <w:spacing w:line="288" w:lineRule="atLeast"/>
              <w:jc w:val="center"/>
            </w:pPr>
            <w:r>
              <w:t>Number of Responses</w:t>
            </w:r>
          </w:p>
        </w:tc>
        <w:tc>
          <w:tcPr>
            <w:tcW w:w="1800" w:type="dxa"/>
            <w:shd w:val="clear" w:color="auto" w:fill="auto"/>
          </w:tcPr>
          <w:p w:rsidR="00542A5C" w:rsidRDefault="00542A5C" w:rsidP="004B2575">
            <w:pPr>
              <w:pStyle w:val="NormalWeb"/>
              <w:spacing w:line="288" w:lineRule="atLeast"/>
              <w:jc w:val="center"/>
            </w:pPr>
            <w:r>
              <w:t>Response Time per Response</w:t>
            </w:r>
          </w:p>
        </w:tc>
        <w:tc>
          <w:tcPr>
            <w:tcW w:w="1350" w:type="dxa"/>
            <w:shd w:val="clear" w:color="auto" w:fill="auto"/>
          </w:tcPr>
          <w:p w:rsidR="00542A5C" w:rsidRDefault="00542A5C" w:rsidP="004B2575">
            <w:pPr>
              <w:pStyle w:val="NormalWeb"/>
              <w:spacing w:line="288" w:lineRule="atLeast"/>
              <w:jc w:val="center"/>
            </w:pPr>
            <w:r>
              <w:t>Respondent Hourly Wage</w:t>
            </w:r>
          </w:p>
        </w:tc>
        <w:tc>
          <w:tcPr>
            <w:tcW w:w="1710" w:type="dxa"/>
            <w:shd w:val="clear" w:color="auto" w:fill="auto"/>
          </w:tcPr>
          <w:p w:rsidR="00542A5C" w:rsidRDefault="00542A5C" w:rsidP="004B2575">
            <w:pPr>
              <w:pStyle w:val="NormalWeb"/>
              <w:spacing w:line="288" w:lineRule="atLeast"/>
              <w:jc w:val="center"/>
            </w:pPr>
            <w:r>
              <w:t>Labor Burden per Response (Response Time multiplied by Respondent Hourly Wage)</w:t>
            </w:r>
          </w:p>
        </w:tc>
        <w:tc>
          <w:tcPr>
            <w:tcW w:w="2070" w:type="dxa"/>
            <w:shd w:val="clear" w:color="auto" w:fill="auto"/>
          </w:tcPr>
          <w:p w:rsidR="00542A5C" w:rsidRDefault="00542A5C" w:rsidP="004B2575">
            <w:pPr>
              <w:pStyle w:val="NormalWeb"/>
              <w:spacing w:line="288" w:lineRule="atLeast"/>
              <w:jc w:val="center"/>
            </w:pPr>
            <w:r>
              <w:t>Total Labor Burden (Number of Responses multiplied by Response Time multiplied by Respondent Hourly Wage)</w:t>
            </w:r>
          </w:p>
        </w:tc>
      </w:tr>
      <w:tr w:rsidR="00542A5C" w:rsidTr="00B66306">
        <w:trPr>
          <w:trHeight w:val="1034"/>
        </w:trPr>
        <w:tc>
          <w:tcPr>
            <w:tcW w:w="1710" w:type="dxa"/>
            <w:shd w:val="clear" w:color="auto" w:fill="auto"/>
          </w:tcPr>
          <w:p w:rsidR="00542A5C" w:rsidRDefault="00542A5C" w:rsidP="00B66306">
            <w:pPr>
              <w:pStyle w:val="NormalWeb"/>
              <w:spacing w:line="288" w:lineRule="atLeast"/>
              <w:contextualSpacing/>
            </w:pPr>
            <w:r>
              <w:t xml:space="preserve">Collection Instrument </w:t>
            </w:r>
            <w:r w:rsidR="00B66306">
              <w:t>-DD Form 2945</w:t>
            </w:r>
          </w:p>
        </w:tc>
        <w:tc>
          <w:tcPr>
            <w:tcW w:w="1530" w:type="dxa"/>
            <w:shd w:val="clear" w:color="auto" w:fill="auto"/>
            <w:vAlign w:val="center"/>
          </w:tcPr>
          <w:p w:rsidR="00542A5C" w:rsidRDefault="00542A5C" w:rsidP="00B66306">
            <w:pPr>
              <w:pStyle w:val="NormalWeb"/>
              <w:spacing w:line="288" w:lineRule="atLeast"/>
              <w:contextualSpacing/>
              <w:jc w:val="center"/>
            </w:pPr>
            <w:r>
              <w:t>250</w:t>
            </w:r>
          </w:p>
        </w:tc>
        <w:tc>
          <w:tcPr>
            <w:tcW w:w="1800" w:type="dxa"/>
            <w:shd w:val="clear" w:color="auto" w:fill="auto"/>
            <w:vAlign w:val="center"/>
          </w:tcPr>
          <w:p w:rsidR="00542A5C" w:rsidRDefault="00542A5C" w:rsidP="00B66306">
            <w:pPr>
              <w:pStyle w:val="NormalWeb"/>
              <w:spacing w:line="288" w:lineRule="atLeast"/>
              <w:contextualSpacing/>
              <w:jc w:val="center"/>
            </w:pPr>
            <w:r>
              <w:t>1</w:t>
            </w:r>
          </w:p>
        </w:tc>
        <w:tc>
          <w:tcPr>
            <w:tcW w:w="1350" w:type="dxa"/>
            <w:shd w:val="clear" w:color="auto" w:fill="auto"/>
            <w:vAlign w:val="center"/>
          </w:tcPr>
          <w:p w:rsidR="00542A5C" w:rsidRDefault="00CC51CA" w:rsidP="00B66306">
            <w:pPr>
              <w:pStyle w:val="NormalWeb"/>
              <w:spacing w:line="288" w:lineRule="atLeast"/>
              <w:contextualSpacing/>
              <w:jc w:val="center"/>
            </w:pPr>
            <w:r>
              <w:t>$</w:t>
            </w:r>
            <w:r w:rsidR="005A4687">
              <w:t>84</w:t>
            </w:r>
          </w:p>
        </w:tc>
        <w:tc>
          <w:tcPr>
            <w:tcW w:w="1710" w:type="dxa"/>
            <w:shd w:val="clear" w:color="auto" w:fill="auto"/>
            <w:vAlign w:val="center"/>
          </w:tcPr>
          <w:p w:rsidR="00542A5C" w:rsidRDefault="00CC51CA" w:rsidP="00B66306">
            <w:pPr>
              <w:pStyle w:val="NormalWeb"/>
              <w:spacing w:line="288" w:lineRule="atLeast"/>
              <w:contextualSpacing/>
              <w:jc w:val="center"/>
            </w:pPr>
            <w:r>
              <w:t>$</w:t>
            </w:r>
            <w:r w:rsidR="005A4687">
              <w:t>84</w:t>
            </w:r>
          </w:p>
        </w:tc>
        <w:tc>
          <w:tcPr>
            <w:tcW w:w="2070" w:type="dxa"/>
            <w:shd w:val="clear" w:color="auto" w:fill="auto"/>
            <w:vAlign w:val="center"/>
          </w:tcPr>
          <w:p w:rsidR="00542A5C" w:rsidRDefault="00542A5C" w:rsidP="00B66306">
            <w:pPr>
              <w:pStyle w:val="NormalWeb"/>
              <w:spacing w:line="288" w:lineRule="atLeast"/>
              <w:contextualSpacing/>
              <w:jc w:val="center"/>
            </w:pPr>
            <w:r>
              <w:t>$21,000</w:t>
            </w:r>
          </w:p>
        </w:tc>
      </w:tr>
      <w:tr w:rsidR="00542A5C" w:rsidTr="00B66306">
        <w:tc>
          <w:tcPr>
            <w:tcW w:w="1710" w:type="dxa"/>
            <w:shd w:val="clear" w:color="auto" w:fill="auto"/>
          </w:tcPr>
          <w:p w:rsidR="00542A5C" w:rsidRDefault="00542A5C" w:rsidP="004B2575">
            <w:pPr>
              <w:pStyle w:val="NormalWeb"/>
              <w:spacing w:line="288" w:lineRule="atLeast"/>
            </w:pPr>
            <w:r>
              <w:t xml:space="preserve">Total </w:t>
            </w:r>
          </w:p>
        </w:tc>
        <w:tc>
          <w:tcPr>
            <w:tcW w:w="1530" w:type="dxa"/>
            <w:shd w:val="clear" w:color="auto" w:fill="auto"/>
          </w:tcPr>
          <w:p w:rsidR="00542A5C" w:rsidRDefault="00542A5C" w:rsidP="004B2575">
            <w:pPr>
              <w:pStyle w:val="NormalWeb"/>
              <w:spacing w:line="288" w:lineRule="atLeast"/>
              <w:jc w:val="center"/>
            </w:pPr>
            <w:r>
              <w:t>250</w:t>
            </w:r>
          </w:p>
        </w:tc>
        <w:tc>
          <w:tcPr>
            <w:tcW w:w="1800" w:type="dxa"/>
            <w:shd w:val="clear" w:color="auto" w:fill="auto"/>
          </w:tcPr>
          <w:p w:rsidR="00542A5C" w:rsidRDefault="00542A5C" w:rsidP="004B2575">
            <w:pPr>
              <w:pStyle w:val="NormalWeb"/>
              <w:spacing w:line="288" w:lineRule="atLeast"/>
              <w:jc w:val="center"/>
            </w:pPr>
            <w:r>
              <w:t>1</w:t>
            </w:r>
          </w:p>
        </w:tc>
        <w:tc>
          <w:tcPr>
            <w:tcW w:w="1350" w:type="dxa"/>
            <w:shd w:val="clear" w:color="auto" w:fill="auto"/>
          </w:tcPr>
          <w:p w:rsidR="00542A5C" w:rsidRDefault="00CC51CA" w:rsidP="004B2575">
            <w:pPr>
              <w:pStyle w:val="NormalWeb"/>
              <w:spacing w:line="288" w:lineRule="atLeast"/>
              <w:jc w:val="center"/>
            </w:pPr>
            <w:r>
              <w:t>$</w:t>
            </w:r>
            <w:r w:rsidR="005A4687">
              <w:t>84</w:t>
            </w:r>
          </w:p>
        </w:tc>
        <w:tc>
          <w:tcPr>
            <w:tcW w:w="1710" w:type="dxa"/>
            <w:shd w:val="clear" w:color="auto" w:fill="auto"/>
          </w:tcPr>
          <w:p w:rsidR="00542A5C" w:rsidRDefault="00CC51CA" w:rsidP="00B66306">
            <w:pPr>
              <w:pStyle w:val="NormalWeb"/>
              <w:spacing w:line="288" w:lineRule="atLeast"/>
              <w:jc w:val="center"/>
            </w:pPr>
            <w:r>
              <w:t>$</w:t>
            </w:r>
            <w:r w:rsidR="005A4687">
              <w:t>84</w:t>
            </w:r>
          </w:p>
        </w:tc>
        <w:tc>
          <w:tcPr>
            <w:tcW w:w="2070" w:type="dxa"/>
            <w:shd w:val="clear" w:color="auto" w:fill="auto"/>
          </w:tcPr>
          <w:p w:rsidR="00542A5C" w:rsidRDefault="00542A5C" w:rsidP="004B2575">
            <w:pPr>
              <w:pStyle w:val="NormalWeb"/>
              <w:spacing w:line="288" w:lineRule="atLeast"/>
              <w:jc w:val="center"/>
            </w:pPr>
            <w:r>
              <w:t>$21,000</w:t>
            </w:r>
          </w:p>
        </w:tc>
      </w:tr>
    </w:tbl>
    <w:p w:rsidR="00624229" w:rsidRDefault="00624229" w:rsidP="00624229">
      <w:pPr>
        <w:rPr>
          <w:color w:val="000000"/>
          <w:sz w:val="23"/>
          <w:szCs w:val="23"/>
        </w:rPr>
      </w:pPr>
      <w:bookmarkStart w:id="30" w:name="cp462"/>
      <w:bookmarkEnd w:id="29"/>
    </w:p>
    <w:p w:rsidR="00624229" w:rsidRPr="00624229" w:rsidRDefault="00624229" w:rsidP="00624229">
      <w:pPr>
        <w:rPr>
          <w:rFonts w:eastAsia="Calibri"/>
        </w:rPr>
      </w:pPr>
      <w:bookmarkStart w:id="31" w:name="_GoBack"/>
      <w:bookmarkEnd w:id="31"/>
      <w:r>
        <w:rPr>
          <w:color w:val="000000"/>
          <w:sz w:val="23"/>
          <w:szCs w:val="23"/>
        </w:rPr>
        <w:t>This estimate is based on the average annual number of requestors multiplied by an average user wage rate of $84 per hour (equal to a mid-level Senior Executive Service (SES) salary).</w:t>
      </w:r>
      <w:r>
        <w:rPr>
          <w:rStyle w:val="CommentReference"/>
        </w:rPr>
        <w:t/>
      </w:r>
      <w:r>
        <w:rPr>
          <w:rFonts w:eastAsia="Calibri"/>
        </w:rPr>
        <w:t xml:space="preserve"> </w:t>
      </w:r>
      <w:r w:rsidR="00A67614">
        <w:t> </w:t>
      </w:r>
    </w:p>
    <w:p w:rsidR="00A67614" w:rsidRPr="00623518" w:rsidRDefault="00A67614" w:rsidP="00A67614">
      <w:pPr>
        <w:pStyle w:val="NormalWeb"/>
        <w:spacing w:line="288" w:lineRule="atLeast"/>
        <w:ind w:firstLine="480"/>
        <w:rPr>
          <w:u w:val="single"/>
        </w:rPr>
      </w:pPr>
      <w:r>
        <w:t> </w:t>
      </w:r>
      <w:r w:rsidRPr="00623518">
        <w:t xml:space="preserve">13.  </w:t>
      </w:r>
      <w:r w:rsidRPr="00623518">
        <w:rPr>
          <w:u w:val="single"/>
        </w:rPr>
        <w:t xml:space="preserve">Respondent Costs Other </w:t>
      </w:r>
      <w:proofErr w:type="gramStart"/>
      <w:r w:rsidRPr="00623518">
        <w:rPr>
          <w:u w:val="single"/>
        </w:rPr>
        <w:t>Than</w:t>
      </w:r>
      <w:proofErr w:type="gramEnd"/>
      <w:r w:rsidRPr="00623518">
        <w:rPr>
          <w:u w:val="single"/>
        </w:rPr>
        <w:t xml:space="preserve"> Burden Hour Costs</w:t>
      </w:r>
    </w:p>
    <w:p w:rsidR="006B3E61" w:rsidRPr="006B3E61" w:rsidRDefault="00623518" w:rsidP="00A67614">
      <w:pPr>
        <w:pStyle w:val="NormalWeb"/>
        <w:spacing w:line="288" w:lineRule="atLeast"/>
        <w:ind w:firstLine="480"/>
      </w:pPr>
      <w:r>
        <w:tab/>
        <w:t>There are no annualized costs to the respondent other than the labor burden costs addressed in Item 12.</w:t>
      </w:r>
    </w:p>
    <w:p w:rsidR="00A67614" w:rsidRDefault="00A67614" w:rsidP="00F37D14">
      <w:pPr>
        <w:pStyle w:val="NormalWeb"/>
        <w:spacing w:line="288" w:lineRule="atLeast"/>
        <w:ind w:firstLine="630"/>
        <w:rPr>
          <w:u w:val="single"/>
        </w:rPr>
      </w:pPr>
      <w:bookmarkStart w:id="32" w:name="cp466"/>
      <w:bookmarkEnd w:id="30"/>
      <w:r>
        <w:t xml:space="preserve">14.  </w:t>
      </w:r>
      <w:r>
        <w:rPr>
          <w:u w:val="single"/>
        </w:rPr>
        <w:t>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2880"/>
        <w:gridCol w:w="3708"/>
      </w:tblGrid>
      <w:tr w:rsidR="00542A5C" w:rsidTr="004B2575">
        <w:tc>
          <w:tcPr>
            <w:tcW w:w="9576" w:type="dxa"/>
            <w:gridSpan w:val="3"/>
            <w:shd w:val="clear" w:color="auto" w:fill="auto"/>
          </w:tcPr>
          <w:p w:rsidR="00542A5C" w:rsidRDefault="00542A5C" w:rsidP="004B2575">
            <w:pPr>
              <w:pStyle w:val="NormalWeb"/>
              <w:spacing w:line="288" w:lineRule="atLeast"/>
              <w:jc w:val="center"/>
            </w:pPr>
            <w:r>
              <w:t>Labor Cost to the Federal Government</w:t>
            </w:r>
          </w:p>
        </w:tc>
      </w:tr>
      <w:tr w:rsidR="00A713BA" w:rsidTr="00A713BA">
        <w:tc>
          <w:tcPr>
            <w:tcW w:w="2988" w:type="dxa"/>
            <w:shd w:val="clear" w:color="auto" w:fill="auto"/>
          </w:tcPr>
          <w:p w:rsidR="00A713BA" w:rsidRDefault="00A713BA" w:rsidP="004B2575">
            <w:pPr>
              <w:pStyle w:val="NormalWeb"/>
              <w:spacing w:line="288" w:lineRule="atLeast"/>
            </w:pPr>
          </w:p>
        </w:tc>
        <w:tc>
          <w:tcPr>
            <w:tcW w:w="2880" w:type="dxa"/>
            <w:shd w:val="clear" w:color="auto" w:fill="auto"/>
          </w:tcPr>
          <w:p w:rsidR="00A713BA" w:rsidRDefault="00A713BA" w:rsidP="004B2575">
            <w:pPr>
              <w:pStyle w:val="NormalWeb"/>
              <w:spacing w:line="288" w:lineRule="atLeast"/>
              <w:jc w:val="center"/>
            </w:pPr>
            <w:r>
              <w:t>Collection Instrument #1</w:t>
            </w:r>
          </w:p>
        </w:tc>
        <w:tc>
          <w:tcPr>
            <w:tcW w:w="3708" w:type="dxa"/>
            <w:shd w:val="clear" w:color="auto" w:fill="auto"/>
          </w:tcPr>
          <w:p w:rsidR="00A713BA" w:rsidRDefault="00A713BA" w:rsidP="004B2575">
            <w:pPr>
              <w:pStyle w:val="NormalWeb"/>
              <w:spacing w:line="288" w:lineRule="atLeast"/>
              <w:jc w:val="center"/>
            </w:pPr>
            <w:r>
              <w:t>Total</w:t>
            </w:r>
          </w:p>
        </w:tc>
      </w:tr>
      <w:tr w:rsidR="00A713BA" w:rsidTr="00A713BA">
        <w:tc>
          <w:tcPr>
            <w:tcW w:w="2988" w:type="dxa"/>
            <w:shd w:val="clear" w:color="auto" w:fill="auto"/>
          </w:tcPr>
          <w:p w:rsidR="00A713BA" w:rsidRDefault="00A713BA" w:rsidP="004B2575">
            <w:pPr>
              <w:pStyle w:val="NormalWeb"/>
              <w:spacing w:line="288" w:lineRule="atLeast"/>
              <w:jc w:val="center"/>
            </w:pPr>
            <w:r>
              <w:t>Number of Responses</w:t>
            </w:r>
          </w:p>
        </w:tc>
        <w:tc>
          <w:tcPr>
            <w:tcW w:w="2880" w:type="dxa"/>
            <w:shd w:val="clear" w:color="auto" w:fill="auto"/>
            <w:vAlign w:val="center"/>
          </w:tcPr>
          <w:p w:rsidR="00A713BA" w:rsidRDefault="00A713BA" w:rsidP="00E343B2">
            <w:pPr>
              <w:pStyle w:val="NormalWeb"/>
              <w:spacing w:line="288" w:lineRule="atLeast"/>
              <w:contextualSpacing/>
              <w:jc w:val="center"/>
            </w:pPr>
            <w:r>
              <w:t>250</w:t>
            </w:r>
          </w:p>
        </w:tc>
        <w:tc>
          <w:tcPr>
            <w:tcW w:w="3708" w:type="dxa"/>
            <w:shd w:val="clear" w:color="auto" w:fill="auto"/>
            <w:vAlign w:val="center"/>
          </w:tcPr>
          <w:p w:rsidR="00A713BA" w:rsidRDefault="00A713BA" w:rsidP="004B2575">
            <w:pPr>
              <w:pStyle w:val="NormalWeb"/>
              <w:spacing w:line="288" w:lineRule="atLeast"/>
              <w:contextualSpacing/>
              <w:jc w:val="center"/>
            </w:pPr>
            <w:r>
              <w:t>250</w:t>
            </w:r>
          </w:p>
        </w:tc>
      </w:tr>
      <w:tr w:rsidR="00A713BA" w:rsidTr="00A713BA">
        <w:tc>
          <w:tcPr>
            <w:tcW w:w="2988" w:type="dxa"/>
            <w:shd w:val="clear" w:color="auto" w:fill="auto"/>
          </w:tcPr>
          <w:p w:rsidR="00A713BA" w:rsidRDefault="00A713BA" w:rsidP="004B2575">
            <w:pPr>
              <w:pStyle w:val="NormalWeb"/>
              <w:spacing w:line="288" w:lineRule="atLeast"/>
              <w:jc w:val="center"/>
            </w:pPr>
            <w:r>
              <w:lastRenderedPageBreak/>
              <w:t>Processing Time Per Response (in hours)</w:t>
            </w:r>
          </w:p>
        </w:tc>
        <w:tc>
          <w:tcPr>
            <w:tcW w:w="2880" w:type="dxa"/>
            <w:shd w:val="clear" w:color="auto" w:fill="auto"/>
            <w:vAlign w:val="center"/>
          </w:tcPr>
          <w:p w:rsidR="00A713BA" w:rsidRDefault="00A713BA" w:rsidP="00E343B2">
            <w:pPr>
              <w:pStyle w:val="NormalWeb"/>
              <w:spacing w:line="288" w:lineRule="atLeast"/>
              <w:contextualSpacing/>
              <w:jc w:val="center"/>
            </w:pPr>
            <w:r>
              <w:t>1</w:t>
            </w:r>
          </w:p>
        </w:tc>
        <w:tc>
          <w:tcPr>
            <w:tcW w:w="3708" w:type="dxa"/>
            <w:shd w:val="clear" w:color="auto" w:fill="auto"/>
            <w:vAlign w:val="center"/>
          </w:tcPr>
          <w:p w:rsidR="00A713BA" w:rsidRDefault="00A713BA" w:rsidP="004B2575">
            <w:pPr>
              <w:pStyle w:val="NormalWeb"/>
              <w:spacing w:line="288" w:lineRule="atLeast"/>
              <w:contextualSpacing/>
              <w:jc w:val="center"/>
            </w:pPr>
            <w:r>
              <w:t>1</w:t>
            </w:r>
          </w:p>
        </w:tc>
      </w:tr>
      <w:tr w:rsidR="00A713BA" w:rsidTr="00A713BA">
        <w:tc>
          <w:tcPr>
            <w:tcW w:w="2988" w:type="dxa"/>
            <w:shd w:val="clear" w:color="auto" w:fill="auto"/>
          </w:tcPr>
          <w:p w:rsidR="00A713BA" w:rsidRDefault="00A713BA" w:rsidP="004B2575">
            <w:pPr>
              <w:pStyle w:val="NormalWeb"/>
              <w:spacing w:line="288" w:lineRule="atLeast"/>
              <w:jc w:val="center"/>
            </w:pPr>
            <w:r>
              <w:t>Hourly Wage of Worker(s) Processing Responses</w:t>
            </w:r>
          </w:p>
        </w:tc>
        <w:tc>
          <w:tcPr>
            <w:tcW w:w="2880" w:type="dxa"/>
            <w:shd w:val="clear" w:color="auto" w:fill="auto"/>
            <w:vAlign w:val="center"/>
          </w:tcPr>
          <w:p w:rsidR="00A713BA" w:rsidRDefault="00A713BA" w:rsidP="00E343B2">
            <w:pPr>
              <w:pStyle w:val="NormalWeb"/>
              <w:spacing w:line="288" w:lineRule="atLeast"/>
              <w:contextualSpacing/>
              <w:jc w:val="center"/>
            </w:pPr>
            <w:r>
              <w:t>$95</w:t>
            </w:r>
          </w:p>
        </w:tc>
        <w:tc>
          <w:tcPr>
            <w:tcW w:w="3708" w:type="dxa"/>
            <w:shd w:val="clear" w:color="auto" w:fill="auto"/>
            <w:vAlign w:val="center"/>
          </w:tcPr>
          <w:p w:rsidR="00A713BA" w:rsidRDefault="00A713BA" w:rsidP="004B2575">
            <w:pPr>
              <w:pStyle w:val="NormalWeb"/>
              <w:spacing w:line="288" w:lineRule="atLeast"/>
              <w:contextualSpacing/>
              <w:jc w:val="center"/>
            </w:pPr>
            <w:r>
              <w:t>$95</w:t>
            </w:r>
          </w:p>
        </w:tc>
      </w:tr>
      <w:tr w:rsidR="00A713BA" w:rsidTr="00A713BA">
        <w:tc>
          <w:tcPr>
            <w:tcW w:w="2988" w:type="dxa"/>
            <w:shd w:val="clear" w:color="auto" w:fill="auto"/>
          </w:tcPr>
          <w:p w:rsidR="00A713BA" w:rsidRDefault="00A713BA" w:rsidP="004B2575">
            <w:pPr>
              <w:pStyle w:val="NormalWeb"/>
              <w:spacing w:line="288" w:lineRule="atLeast"/>
              <w:jc w:val="center"/>
            </w:pPr>
            <w:r>
              <w:t>Cost to Process Each Response (Processing Time Per Response multiplied by Hourly Wage of Worker(s) Processing Responses)</w:t>
            </w:r>
          </w:p>
        </w:tc>
        <w:tc>
          <w:tcPr>
            <w:tcW w:w="2880" w:type="dxa"/>
            <w:shd w:val="clear" w:color="auto" w:fill="auto"/>
            <w:vAlign w:val="center"/>
          </w:tcPr>
          <w:p w:rsidR="00A713BA" w:rsidRDefault="00A713BA" w:rsidP="00E343B2">
            <w:pPr>
              <w:pStyle w:val="NormalWeb"/>
              <w:spacing w:line="288" w:lineRule="atLeast"/>
              <w:contextualSpacing/>
              <w:jc w:val="center"/>
            </w:pPr>
            <w:r>
              <w:t>$95</w:t>
            </w:r>
          </w:p>
        </w:tc>
        <w:tc>
          <w:tcPr>
            <w:tcW w:w="3708" w:type="dxa"/>
            <w:shd w:val="clear" w:color="auto" w:fill="auto"/>
            <w:vAlign w:val="center"/>
          </w:tcPr>
          <w:p w:rsidR="00A713BA" w:rsidRDefault="00A713BA" w:rsidP="004B2575">
            <w:pPr>
              <w:pStyle w:val="NormalWeb"/>
              <w:spacing w:line="288" w:lineRule="atLeast"/>
              <w:contextualSpacing/>
              <w:jc w:val="center"/>
            </w:pPr>
            <w:r>
              <w:t>$95</w:t>
            </w:r>
          </w:p>
        </w:tc>
      </w:tr>
      <w:tr w:rsidR="00A713BA" w:rsidTr="00A713BA">
        <w:tc>
          <w:tcPr>
            <w:tcW w:w="2988" w:type="dxa"/>
            <w:shd w:val="clear" w:color="auto" w:fill="auto"/>
          </w:tcPr>
          <w:p w:rsidR="00A713BA" w:rsidRDefault="00A713BA" w:rsidP="004B2575">
            <w:pPr>
              <w:pStyle w:val="NormalWeb"/>
              <w:spacing w:line="288" w:lineRule="atLeast"/>
              <w:jc w:val="center"/>
            </w:pPr>
            <w:r>
              <w:t>Total Cost to Process Responses (Cost to Process Each Response multiplied by Number of Responses</w:t>
            </w:r>
          </w:p>
        </w:tc>
        <w:tc>
          <w:tcPr>
            <w:tcW w:w="2880" w:type="dxa"/>
            <w:shd w:val="clear" w:color="auto" w:fill="auto"/>
            <w:vAlign w:val="center"/>
          </w:tcPr>
          <w:p w:rsidR="00A713BA" w:rsidRDefault="00A713BA" w:rsidP="00E343B2">
            <w:pPr>
              <w:pStyle w:val="NormalWeb"/>
              <w:spacing w:line="288" w:lineRule="atLeast"/>
              <w:contextualSpacing/>
              <w:jc w:val="center"/>
            </w:pPr>
            <w:r>
              <w:t>$23,750</w:t>
            </w:r>
          </w:p>
        </w:tc>
        <w:tc>
          <w:tcPr>
            <w:tcW w:w="3708" w:type="dxa"/>
            <w:shd w:val="clear" w:color="auto" w:fill="auto"/>
            <w:vAlign w:val="center"/>
          </w:tcPr>
          <w:p w:rsidR="00A713BA" w:rsidRDefault="00A713BA" w:rsidP="004B2575">
            <w:pPr>
              <w:pStyle w:val="NormalWeb"/>
              <w:spacing w:line="288" w:lineRule="atLeast"/>
              <w:contextualSpacing/>
              <w:jc w:val="center"/>
            </w:pPr>
            <w:r>
              <w:t>$23,750</w:t>
            </w:r>
          </w:p>
        </w:tc>
      </w:tr>
    </w:tbl>
    <w:p w:rsidR="00542A5C" w:rsidRDefault="00542A5C" w:rsidP="00542A5C">
      <w:pPr>
        <w:pStyle w:val="NormalWeb"/>
        <w:spacing w:line="288"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68"/>
        <w:gridCol w:w="1368"/>
        <w:gridCol w:w="1368"/>
        <w:gridCol w:w="1368"/>
        <w:gridCol w:w="1368"/>
        <w:gridCol w:w="1368"/>
      </w:tblGrid>
      <w:tr w:rsidR="00542A5C" w:rsidTr="004B2575">
        <w:tc>
          <w:tcPr>
            <w:tcW w:w="9576" w:type="dxa"/>
            <w:gridSpan w:val="7"/>
            <w:shd w:val="clear" w:color="auto" w:fill="auto"/>
          </w:tcPr>
          <w:p w:rsidR="00542A5C" w:rsidRDefault="00542A5C" w:rsidP="004B2575">
            <w:pPr>
              <w:pStyle w:val="NormalWeb"/>
              <w:spacing w:line="288" w:lineRule="atLeast"/>
              <w:jc w:val="center"/>
            </w:pPr>
            <w:r>
              <w:t>Operational and Maintenance Costs</w:t>
            </w:r>
          </w:p>
        </w:tc>
      </w:tr>
      <w:tr w:rsidR="005458B5" w:rsidTr="004B2575">
        <w:tc>
          <w:tcPr>
            <w:tcW w:w="1368" w:type="dxa"/>
            <w:shd w:val="clear" w:color="auto" w:fill="auto"/>
          </w:tcPr>
          <w:p w:rsidR="00542A5C" w:rsidRDefault="00542A5C" w:rsidP="004B2575">
            <w:pPr>
              <w:pStyle w:val="NormalWeb"/>
              <w:spacing w:line="288" w:lineRule="atLeast"/>
              <w:jc w:val="center"/>
            </w:pPr>
            <w:r>
              <w:t>Equipment</w:t>
            </w:r>
          </w:p>
        </w:tc>
        <w:tc>
          <w:tcPr>
            <w:tcW w:w="1368" w:type="dxa"/>
            <w:shd w:val="clear" w:color="auto" w:fill="auto"/>
          </w:tcPr>
          <w:p w:rsidR="00542A5C" w:rsidRDefault="00542A5C" w:rsidP="004B2575">
            <w:pPr>
              <w:pStyle w:val="NormalWeb"/>
              <w:spacing w:line="288" w:lineRule="atLeast"/>
              <w:jc w:val="center"/>
            </w:pPr>
            <w:r>
              <w:t>Printing</w:t>
            </w:r>
          </w:p>
        </w:tc>
        <w:tc>
          <w:tcPr>
            <w:tcW w:w="1368" w:type="dxa"/>
            <w:shd w:val="clear" w:color="auto" w:fill="auto"/>
          </w:tcPr>
          <w:p w:rsidR="00542A5C" w:rsidRDefault="00542A5C" w:rsidP="004B2575">
            <w:pPr>
              <w:pStyle w:val="NormalWeb"/>
              <w:spacing w:line="288" w:lineRule="atLeast"/>
              <w:jc w:val="center"/>
            </w:pPr>
            <w:r>
              <w:t>Postage</w:t>
            </w:r>
          </w:p>
        </w:tc>
        <w:tc>
          <w:tcPr>
            <w:tcW w:w="1368" w:type="dxa"/>
            <w:shd w:val="clear" w:color="auto" w:fill="auto"/>
          </w:tcPr>
          <w:p w:rsidR="00542A5C" w:rsidRDefault="00542A5C" w:rsidP="004B2575">
            <w:pPr>
              <w:pStyle w:val="NormalWeb"/>
              <w:spacing w:line="288" w:lineRule="atLeast"/>
              <w:jc w:val="center"/>
            </w:pPr>
            <w:r>
              <w:t>Software Purchases</w:t>
            </w:r>
          </w:p>
        </w:tc>
        <w:tc>
          <w:tcPr>
            <w:tcW w:w="1368" w:type="dxa"/>
            <w:shd w:val="clear" w:color="auto" w:fill="auto"/>
          </w:tcPr>
          <w:p w:rsidR="00542A5C" w:rsidRDefault="00542A5C" w:rsidP="004B2575">
            <w:pPr>
              <w:pStyle w:val="NormalWeb"/>
              <w:spacing w:line="288" w:lineRule="atLeast"/>
              <w:jc w:val="center"/>
            </w:pPr>
            <w:r>
              <w:t>Licensing Costs</w:t>
            </w:r>
          </w:p>
        </w:tc>
        <w:tc>
          <w:tcPr>
            <w:tcW w:w="1368" w:type="dxa"/>
            <w:shd w:val="clear" w:color="auto" w:fill="auto"/>
          </w:tcPr>
          <w:p w:rsidR="00542A5C" w:rsidRDefault="00542A5C" w:rsidP="004B2575">
            <w:pPr>
              <w:pStyle w:val="NormalWeb"/>
              <w:spacing w:line="288" w:lineRule="atLeast"/>
              <w:jc w:val="center"/>
            </w:pPr>
            <w:r>
              <w:t>Other</w:t>
            </w:r>
          </w:p>
        </w:tc>
        <w:tc>
          <w:tcPr>
            <w:tcW w:w="1368" w:type="dxa"/>
            <w:shd w:val="clear" w:color="auto" w:fill="auto"/>
          </w:tcPr>
          <w:p w:rsidR="00542A5C" w:rsidRDefault="00542A5C" w:rsidP="004B2575">
            <w:pPr>
              <w:pStyle w:val="NormalWeb"/>
              <w:spacing w:line="288" w:lineRule="atLeast"/>
              <w:jc w:val="center"/>
            </w:pPr>
            <w:r>
              <w:t>Total</w:t>
            </w:r>
          </w:p>
        </w:tc>
      </w:tr>
      <w:tr w:rsidR="005458B5" w:rsidTr="005458B5">
        <w:trPr>
          <w:trHeight w:val="674"/>
        </w:trPr>
        <w:tc>
          <w:tcPr>
            <w:tcW w:w="1368" w:type="dxa"/>
            <w:shd w:val="clear" w:color="auto" w:fill="auto"/>
            <w:vAlign w:val="center"/>
          </w:tcPr>
          <w:p w:rsidR="00542A5C" w:rsidRDefault="005458B5" w:rsidP="005458B5">
            <w:pPr>
              <w:pStyle w:val="NormalWeb"/>
              <w:spacing w:line="288" w:lineRule="atLeast"/>
              <w:jc w:val="center"/>
            </w:pPr>
            <w:r>
              <w:t>$244,000</w:t>
            </w:r>
          </w:p>
        </w:tc>
        <w:tc>
          <w:tcPr>
            <w:tcW w:w="1368" w:type="dxa"/>
            <w:shd w:val="clear" w:color="auto" w:fill="auto"/>
            <w:vAlign w:val="center"/>
          </w:tcPr>
          <w:p w:rsidR="00542A5C" w:rsidRDefault="005458B5" w:rsidP="005458B5">
            <w:pPr>
              <w:pStyle w:val="NormalWeb"/>
              <w:spacing w:line="288" w:lineRule="atLeast"/>
              <w:jc w:val="center"/>
            </w:pPr>
            <w:r>
              <w:t>0</w:t>
            </w:r>
          </w:p>
        </w:tc>
        <w:tc>
          <w:tcPr>
            <w:tcW w:w="1368" w:type="dxa"/>
            <w:shd w:val="clear" w:color="auto" w:fill="auto"/>
            <w:vAlign w:val="center"/>
          </w:tcPr>
          <w:p w:rsidR="00542A5C" w:rsidRDefault="005458B5" w:rsidP="005458B5">
            <w:pPr>
              <w:pStyle w:val="NormalWeb"/>
              <w:spacing w:line="288" w:lineRule="atLeast"/>
              <w:jc w:val="center"/>
            </w:pPr>
            <w:r>
              <w:t>0</w:t>
            </w:r>
          </w:p>
        </w:tc>
        <w:tc>
          <w:tcPr>
            <w:tcW w:w="1368" w:type="dxa"/>
            <w:shd w:val="clear" w:color="auto" w:fill="auto"/>
            <w:vAlign w:val="center"/>
          </w:tcPr>
          <w:p w:rsidR="00542A5C" w:rsidRDefault="005458B5" w:rsidP="005458B5">
            <w:pPr>
              <w:pStyle w:val="NormalWeb"/>
              <w:spacing w:line="288" w:lineRule="atLeast"/>
              <w:jc w:val="center"/>
            </w:pPr>
            <w:r>
              <w:t>0</w:t>
            </w:r>
          </w:p>
        </w:tc>
        <w:tc>
          <w:tcPr>
            <w:tcW w:w="1368" w:type="dxa"/>
            <w:shd w:val="clear" w:color="auto" w:fill="auto"/>
            <w:vAlign w:val="center"/>
          </w:tcPr>
          <w:p w:rsidR="00542A5C" w:rsidRDefault="005458B5" w:rsidP="005458B5">
            <w:pPr>
              <w:pStyle w:val="NormalWeb"/>
              <w:spacing w:line="288" w:lineRule="atLeast"/>
              <w:jc w:val="center"/>
            </w:pPr>
            <w:r>
              <w:t>0</w:t>
            </w:r>
          </w:p>
        </w:tc>
        <w:tc>
          <w:tcPr>
            <w:tcW w:w="1368" w:type="dxa"/>
            <w:shd w:val="clear" w:color="auto" w:fill="auto"/>
            <w:vAlign w:val="center"/>
          </w:tcPr>
          <w:p w:rsidR="00542A5C" w:rsidRDefault="005458B5" w:rsidP="005458B5">
            <w:pPr>
              <w:pStyle w:val="NormalWeb"/>
              <w:spacing w:line="288" w:lineRule="atLeast"/>
              <w:jc w:val="center"/>
            </w:pPr>
            <w:r>
              <w:t>0</w:t>
            </w:r>
          </w:p>
        </w:tc>
        <w:tc>
          <w:tcPr>
            <w:tcW w:w="1368" w:type="dxa"/>
            <w:shd w:val="clear" w:color="auto" w:fill="auto"/>
            <w:vAlign w:val="center"/>
          </w:tcPr>
          <w:p w:rsidR="00542A5C" w:rsidRDefault="005458B5" w:rsidP="005458B5">
            <w:pPr>
              <w:pStyle w:val="NormalWeb"/>
              <w:spacing w:line="288" w:lineRule="atLeast"/>
              <w:jc w:val="center"/>
            </w:pPr>
            <w:r>
              <w:t>$244,000</w:t>
            </w:r>
          </w:p>
        </w:tc>
      </w:tr>
    </w:tbl>
    <w:p w:rsidR="00542A5C" w:rsidRDefault="00542A5C" w:rsidP="00542A5C">
      <w:pPr>
        <w:pStyle w:val="NormalWeb"/>
        <w:spacing w:line="288"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42A5C" w:rsidTr="004B2575">
        <w:tc>
          <w:tcPr>
            <w:tcW w:w="9576" w:type="dxa"/>
            <w:gridSpan w:val="3"/>
            <w:shd w:val="clear" w:color="auto" w:fill="auto"/>
          </w:tcPr>
          <w:p w:rsidR="00542A5C" w:rsidRDefault="00542A5C" w:rsidP="004B2575">
            <w:pPr>
              <w:pStyle w:val="NormalWeb"/>
              <w:spacing w:line="288" w:lineRule="atLeast"/>
              <w:jc w:val="center"/>
            </w:pPr>
            <w:r>
              <w:t>Total Cost to the Federal Government</w:t>
            </w:r>
          </w:p>
        </w:tc>
      </w:tr>
      <w:tr w:rsidR="00542A5C" w:rsidTr="004B2575">
        <w:tc>
          <w:tcPr>
            <w:tcW w:w="3192" w:type="dxa"/>
            <w:shd w:val="clear" w:color="auto" w:fill="auto"/>
          </w:tcPr>
          <w:p w:rsidR="00542A5C" w:rsidRDefault="00542A5C" w:rsidP="004B2575">
            <w:pPr>
              <w:pStyle w:val="NormalWeb"/>
              <w:spacing w:line="288" w:lineRule="atLeast"/>
              <w:jc w:val="center"/>
            </w:pPr>
            <w:r>
              <w:t>Operational and Maintenance Costs</w:t>
            </w:r>
          </w:p>
        </w:tc>
        <w:tc>
          <w:tcPr>
            <w:tcW w:w="3192" w:type="dxa"/>
            <w:shd w:val="clear" w:color="auto" w:fill="auto"/>
          </w:tcPr>
          <w:p w:rsidR="00542A5C" w:rsidRDefault="00542A5C" w:rsidP="004B2575">
            <w:pPr>
              <w:pStyle w:val="NormalWeb"/>
              <w:spacing w:line="288" w:lineRule="atLeast"/>
              <w:jc w:val="center"/>
            </w:pPr>
            <w:r>
              <w:t>Labor Cost to the Federal Government</w:t>
            </w:r>
          </w:p>
        </w:tc>
        <w:tc>
          <w:tcPr>
            <w:tcW w:w="3192" w:type="dxa"/>
            <w:shd w:val="clear" w:color="auto" w:fill="auto"/>
          </w:tcPr>
          <w:p w:rsidR="00542A5C" w:rsidRDefault="00542A5C" w:rsidP="004B2575">
            <w:pPr>
              <w:pStyle w:val="NormalWeb"/>
              <w:spacing w:line="288" w:lineRule="atLeast"/>
            </w:pPr>
            <w:r>
              <w:t>Total Cost (O&amp;M Costs + Labor Cost)</w:t>
            </w:r>
          </w:p>
        </w:tc>
      </w:tr>
      <w:tr w:rsidR="00542A5C" w:rsidTr="005458B5">
        <w:tc>
          <w:tcPr>
            <w:tcW w:w="3192" w:type="dxa"/>
            <w:shd w:val="clear" w:color="auto" w:fill="auto"/>
            <w:vAlign w:val="center"/>
          </w:tcPr>
          <w:p w:rsidR="00542A5C" w:rsidRDefault="005458B5" w:rsidP="005458B5">
            <w:pPr>
              <w:pStyle w:val="NormalWeb"/>
              <w:spacing w:line="288" w:lineRule="atLeast"/>
              <w:jc w:val="center"/>
            </w:pPr>
            <w:r>
              <w:t>$244,000</w:t>
            </w:r>
          </w:p>
        </w:tc>
        <w:tc>
          <w:tcPr>
            <w:tcW w:w="3192" w:type="dxa"/>
            <w:shd w:val="clear" w:color="auto" w:fill="auto"/>
            <w:vAlign w:val="center"/>
          </w:tcPr>
          <w:p w:rsidR="00542A5C" w:rsidRDefault="005458B5" w:rsidP="005458B5">
            <w:pPr>
              <w:pStyle w:val="NormalWeb"/>
              <w:spacing w:line="288" w:lineRule="atLeast"/>
              <w:jc w:val="center"/>
            </w:pPr>
            <w:r>
              <w:t>$24,000</w:t>
            </w:r>
          </w:p>
        </w:tc>
        <w:tc>
          <w:tcPr>
            <w:tcW w:w="3192" w:type="dxa"/>
            <w:shd w:val="clear" w:color="auto" w:fill="auto"/>
            <w:vAlign w:val="center"/>
          </w:tcPr>
          <w:p w:rsidR="00542A5C" w:rsidRDefault="005458B5" w:rsidP="005458B5">
            <w:pPr>
              <w:pStyle w:val="NormalWeb"/>
              <w:spacing w:line="288" w:lineRule="atLeast"/>
              <w:jc w:val="center"/>
            </w:pPr>
            <w:r>
              <w:t>$268,000</w:t>
            </w:r>
          </w:p>
        </w:tc>
      </w:tr>
    </w:tbl>
    <w:p w:rsidR="00A86E91" w:rsidRDefault="00A67614" w:rsidP="00A86E91">
      <w:pPr>
        <w:pStyle w:val="NormalWeb"/>
        <w:spacing w:line="288" w:lineRule="atLeast"/>
        <w:ind w:firstLine="480"/>
        <w:rPr>
          <w:u w:val="single"/>
        </w:rPr>
      </w:pPr>
      <w:bookmarkStart w:id="33" w:name="cp468"/>
      <w:bookmarkEnd w:id="32"/>
      <w:r>
        <w:t xml:space="preserve">  15.  </w:t>
      </w:r>
      <w:r>
        <w:rPr>
          <w:u w:val="single"/>
        </w:rPr>
        <w:t>Reasons for Change in Burden</w:t>
      </w:r>
      <w:bookmarkStart w:id="34" w:name="cp468a"/>
      <w:bookmarkEnd w:id="33"/>
    </w:p>
    <w:p w:rsidR="00A713BA" w:rsidRDefault="00A713BA" w:rsidP="00A713BA">
      <w:pPr>
        <w:pStyle w:val="NormalWeb"/>
        <w:spacing w:line="288" w:lineRule="atLeast"/>
      </w:pPr>
      <w:bookmarkStart w:id="35" w:name="cp469"/>
      <w:bookmarkEnd w:id="34"/>
      <w:r>
        <w:t xml:space="preserve">The 60 minute completion per respondent is a rough average based on random interviews of requestors. Since this is a continuing requirement we have received 250 such opinion requests annually for a total annual burden of 250 hours.  This number is based upon the number of requests received by </w:t>
      </w:r>
      <w:proofErr w:type="gramStart"/>
      <w:r>
        <w:t>DoD</w:t>
      </w:r>
      <w:proofErr w:type="gramEnd"/>
      <w:r>
        <w:t xml:space="preserve"> agencies during the current year to date.  </w:t>
      </w:r>
    </w:p>
    <w:p w:rsidR="00A67614" w:rsidRDefault="00A67614" w:rsidP="00A67614">
      <w:pPr>
        <w:pStyle w:val="NormalWeb"/>
        <w:spacing w:line="288" w:lineRule="atLeast"/>
        <w:ind w:firstLine="480"/>
        <w:rPr>
          <w:u w:val="single"/>
        </w:rPr>
      </w:pPr>
      <w:r>
        <w:t xml:space="preserve">  16.  </w:t>
      </w:r>
      <w:r>
        <w:rPr>
          <w:u w:val="single"/>
        </w:rPr>
        <w:t>Publication of Results</w:t>
      </w:r>
    </w:p>
    <w:p w:rsidR="002A7B61" w:rsidRDefault="002A7B61" w:rsidP="002A7B61">
      <w:pPr>
        <w:pStyle w:val="NormalWeb"/>
        <w:spacing w:line="288" w:lineRule="atLeast"/>
      </w:pPr>
      <w:bookmarkStart w:id="36" w:name="cp539"/>
      <w:bookmarkStart w:id="37" w:name="cp471"/>
      <w:bookmarkEnd w:id="35"/>
      <w:r>
        <w:t>The results for collection of this information will not be published.</w:t>
      </w:r>
    </w:p>
    <w:bookmarkEnd w:id="36"/>
    <w:p w:rsidR="00A67614" w:rsidRDefault="00A67614" w:rsidP="00A67614">
      <w:pPr>
        <w:pStyle w:val="NormalWeb"/>
        <w:spacing w:line="288" w:lineRule="atLeast"/>
        <w:ind w:firstLine="480"/>
      </w:pPr>
      <w:r>
        <w:t xml:space="preserve">  17.  </w:t>
      </w:r>
      <w:r>
        <w:rPr>
          <w:u w:val="single"/>
        </w:rPr>
        <w:t>Non-Display of OMB Expiration Date</w:t>
      </w:r>
    </w:p>
    <w:p w:rsidR="002A7B61" w:rsidRDefault="00E700B1" w:rsidP="002A7B61">
      <w:pPr>
        <w:pStyle w:val="NormalWeb"/>
        <w:spacing w:line="288" w:lineRule="atLeast"/>
      </w:pPr>
      <w:bookmarkStart w:id="38" w:name="cp541"/>
      <w:bookmarkStart w:id="39" w:name="cp473"/>
      <w:bookmarkEnd w:id="37"/>
      <w:r>
        <w:t>Omission of display of the expiration date of OMB approval is not being requested</w:t>
      </w:r>
      <w:r w:rsidR="002A7B61">
        <w:t>.</w:t>
      </w:r>
    </w:p>
    <w:bookmarkEnd w:id="38"/>
    <w:p w:rsidR="00A67614" w:rsidRDefault="00A67614" w:rsidP="00A67614">
      <w:pPr>
        <w:pStyle w:val="NormalWeb"/>
        <w:spacing w:line="288" w:lineRule="atLeast"/>
        <w:ind w:firstLine="480"/>
      </w:pPr>
      <w:r>
        <w:t xml:space="preserve">  18.  </w:t>
      </w:r>
      <w:r>
        <w:rPr>
          <w:u w:val="single"/>
        </w:rPr>
        <w:t>Exceptions to "Certification for Paperwork Reduction Submissions"</w:t>
      </w:r>
    </w:p>
    <w:p w:rsidR="001941AE" w:rsidRDefault="002A7B61" w:rsidP="002A7B61">
      <w:pPr>
        <w:pStyle w:val="NormalWeb"/>
        <w:spacing w:line="288" w:lineRule="atLeast"/>
        <w:ind w:firstLine="480"/>
      </w:pPr>
      <w:bookmarkStart w:id="40" w:name="cp543"/>
      <w:bookmarkEnd w:id="39"/>
      <w:r>
        <w:lastRenderedPageBreak/>
        <w:t>     No exceptions to the certification statement are being sought.</w:t>
      </w:r>
      <w:bookmarkEnd w:id="40"/>
    </w:p>
    <w:sectPr w:rsidR="001941AE" w:rsidSect="00542A5C">
      <w:footerReference w:type="default" r:id="rId12"/>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AF7" w:rsidRDefault="002C4AF7">
      <w:r>
        <w:separator/>
      </w:r>
    </w:p>
  </w:endnote>
  <w:endnote w:type="continuationSeparator" w:id="0">
    <w:p w:rsidR="002C4AF7" w:rsidRDefault="002C4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626453"/>
      <w:docPartObj>
        <w:docPartGallery w:val="Page Numbers (Bottom of Page)"/>
        <w:docPartUnique/>
      </w:docPartObj>
    </w:sdtPr>
    <w:sdtEndPr>
      <w:rPr>
        <w:noProof/>
      </w:rPr>
    </w:sdtEndPr>
    <w:sdtContent>
      <w:p w:rsidR="0047568A" w:rsidRDefault="0047568A">
        <w:pPr>
          <w:pStyle w:val="Footer"/>
          <w:jc w:val="right"/>
        </w:pPr>
        <w:r>
          <w:fldChar w:fldCharType="begin"/>
        </w:r>
        <w:r>
          <w:instrText xml:space="preserve"> PAGE   \* MERGEFORMAT </w:instrText>
        </w:r>
        <w:r>
          <w:fldChar w:fldCharType="separate"/>
        </w:r>
        <w:r w:rsidR="00624229">
          <w:rPr>
            <w:noProof/>
          </w:rPr>
          <w:t>6</w:t>
        </w:r>
        <w:r>
          <w:rPr>
            <w:noProof/>
          </w:rPr>
          <w:fldChar w:fldCharType="end"/>
        </w:r>
      </w:p>
    </w:sdtContent>
  </w:sdt>
  <w:p w:rsidR="0047568A" w:rsidRDefault="00475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AF7" w:rsidRDefault="002C4AF7">
      <w:r>
        <w:separator/>
      </w:r>
    </w:p>
  </w:footnote>
  <w:footnote w:type="continuationSeparator" w:id="0">
    <w:p w:rsidR="002C4AF7" w:rsidRDefault="002C4A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497F"/>
    <w:multiLevelType w:val="hybridMultilevel"/>
    <w:tmpl w:val="F260CD66"/>
    <w:lvl w:ilvl="0" w:tplc="91FCE0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417D28"/>
    <w:multiLevelType w:val="hybridMultilevel"/>
    <w:tmpl w:val="51826B38"/>
    <w:lvl w:ilvl="0" w:tplc="042EDA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614"/>
    <w:rsid w:val="000433C6"/>
    <w:rsid w:val="00107768"/>
    <w:rsid w:val="00120E46"/>
    <w:rsid w:val="00154AE8"/>
    <w:rsid w:val="001941AE"/>
    <w:rsid w:val="001A2109"/>
    <w:rsid w:val="001C54A6"/>
    <w:rsid w:val="00205082"/>
    <w:rsid w:val="002154CB"/>
    <w:rsid w:val="00225738"/>
    <w:rsid w:val="002515E6"/>
    <w:rsid w:val="002A398A"/>
    <w:rsid w:val="002A7B61"/>
    <w:rsid w:val="002C4AF7"/>
    <w:rsid w:val="002E5E5C"/>
    <w:rsid w:val="00300DEB"/>
    <w:rsid w:val="00314BDF"/>
    <w:rsid w:val="00315B20"/>
    <w:rsid w:val="003A4A13"/>
    <w:rsid w:val="003B60DA"/>
    <w:rsid w:val="003D540B"/>
    <w:rsid w:val="003D59FE"/>
    <w:rsid w:val="00427E5F"/>
    <w:rsid w:val="004539F2"/>
    <w:rsid w:val="00471943"/>
    <w:rsid w:val="0047568A"/>
    <w:rsid w:val="004E78F8"/>
    <w:rsid w:val="00507449"/>
    <w:rsid w:val="0051708C"/>
    <w:rsid w:val="00540169"/>
    <w:rsid w:val="00542A5C"/>
    <w:rsid w:val="005458B5"/>
    <w:rsid w:val="00554D04"/>
    <w:rsid w:val="005A4687"/>
    <w:rsid w:val="005D6C69"/>
    <w:rsid w:val="005F4839"/>
    <w:rsid w:val="00623518"/>
    <w:rsid w:val="00624229"/>
    <w:rsid w:val="00654291"/>
    <w:rsid w:val="0066146F"/>
    <w:rsid w:val="006661E1"/>
    <w:rsid w:val="0067241D"/>
    <w:rsid w:val="00684141"/>
    <w:rsid w:val="006B3E61"/>
    <w:rsid w:val="006C2457"/>
    <w:rsid w:val="006C6940"/>
    <w:rsid w:val="006F2A37"/>
    <w:rsid w:val="007541A8"/>
    <w:rsid w:val="00762809"/>
    <w:rsid w:val="00790E6C"/>
    <w:rsid w:val="007962E7"/>
    <w:rsid w:val="007A4C59"/>
    <w:rsid w:val="007C1DE5"/>
    <w:rsid w:val="007F119C"/>
    <w:rsid w:val="008346DE"/>
    <w:rsid w:val="0084640C"/>
    <w:rsid w:val="008D2A3B"/>
    <w:rsid w:val="00962381"/>
    <w:rsid w:val="009B0610"/>
    <w:rsid w:val="009D6C04"/>
    <w:rsid w:val="00A01C70"/>
    <w:rsid w:val="00A05192"/>
    <w:rsid w:val="00A360CD"/>
    <w:rsid w:val="00A67614"/>
    <w:rsid w:val="00A713BA"/>
    <w:rsid w:val="00A81D90"/>
    <w:rsid w:val="00A86E91"/>
    <w:rsid w:val="00AA0F23"/>
    <w:rsid w:val="00AC224C"/>
    <w:rsid w:val="00AD5316"/>
    <w:rsid w:val="00AE5ABC"/>
    <w:rsid w:val="00B04E47"/>
    <w:rsid w:val="00B366A3"/>
    <w:rsid w:val="00B573FC"/>
    <w:rsid w:val="00B66306"/>
    <w:rsid w:val="00B9425D"/>
    <w:rsid w:val="00CB1308"/>
    <w:rsid w:val="00CC51CA"/>
    <w:rsid w:val="00CC529F"/>
    <w:rsid w:val="00D80FB0"/>
    <w:rsid w:val="00D833C1"/>
    <w:rsid w:val="00E343B2"/>
    <w:rsid w:val="00E36F67"/>
    <w:rsid w:val="00E66E24"/>
    <w:rsid w:val="00E700B1"/>
    <w:rsid w:val="00EE1270"/>
    <w:rsid w:val="00EF33B6"/>
    <w:rsid w:val="00F3292F"/>
    <w:rsid w:val="00F37D14"/>
    <w:rsid w:val="00F57BFB"/>
    <w:rsid w:val="00FC17B5"/>
    <w:rsid w:val="00FE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61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67614"/>
    <w:rPr>
      <w:color w:val="0000FF"/>
      <w:u w:val="single"/>
    </w:rPr>
  </w:style>
  <w:style w:type="paragraph" w:styleId="NormalWeb">
    <w:name w:val="Normal (Web)"/>
    <w:basedOn w:val="Normal"/>
    <w:uiPriority w:val="99"/>
    <w:unhideWhenUsed/>
    <w:rsid w:val="00A67614"/>
    <w:pPr>
      <w:spacing w:before="100" w:beforeAutospacing="1" w:after="100" w:afterAutospacing="1"/>
    </w:pPr>
  </w:style>
  <w:style w:type="character" w:styleId="FollowedHyperlink">
    <w:name w:val="FollowedHyperlink"/>
    <w:basedOn w:val="DefaultParagraphFont"/>
    <w:uiPriority w:val="99"/>
    <w:semiHidden/>
    <w:unhideWhenUsed/>
    <w:rsid w:val="00471943"/>
    <w:rPr>
      <w:color w:val="800080"/>
      <w:u w:val="single"/>
    </w:rPr>
  </w:style>
  <w:style w:type="paragraph" w:customStyle="1" w:styleId="Default">
    <w:name w:val="Default"/>
    <w:rsid w:val="007A4C59"/>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C6940"/>
    <w:rPr>
      <w:rFonts w:ascii="Tahoma" w:hAnsi="Tahoma" w:cs="Tahoma"/>
      <w:sz w:val="16"/>
      <w:szCs w:val="16"/>
    </w:rPr>
  </w:style>
  <w:style w:type="character" w:customStyle="1" w:styleId="BalloonTextChar">
    <w:name w:val="Balloon Text Char"/>
    <w:basedOn w:val="DefaultParagraphFont"/>
    <w:link w:val="BalloonText"/>
    <w:uiPriority w:val="99"/>
    <w:semiHidden/>
    <w:rsid w:val="006C6940"/>
    <w:rPr>
      <w:rFonts w:ascii="Tahoma" w:eastAsia="Times New Roman" w:hAnsi="Tahoma" w:cs="Tahoma"/>
      <w:sz w:val="16"/>
      <w:szCs w:val="16"/>
    </w:rPr>
  </w:style>
  <w:style w:type="paragraph" w:styleId="NoSpacing">
    <w:name w:val="No Spacing"/>
    <w:uiPriority w:val="1"/>
    <w:qFormat/>
    <w:rsid w:val="009D6C04"/>
    <w:rPr>
      <w:rFonts w:ascii="Times New Roman" w:eastAsia="Times New Roman" w:hAnsi="Times New Roman"/>
      <w:sz w:val="24"/>
      <w:szCs w:val="24"/>
    </w:rPr>
  </w:style>
  <w:style w:type="paragraph" w:styleId="Header">
    <w:name w:val="header"/>
    <w:basedOn w:val="Normal"/>
    <w:link w:val="HeaderChar"/>
    <w:uiPriority w:val="99"/>
    <w:unhideWhenUsed/>
    <w:rsid w:val="0047568A"/>
    <w:pPr>
      <w:tabs>
        <w:tab w:val="center" w:pos="4680"/>
        <w:tab w:val="right" w:pos="9360"/>
      </w:tabs>
    </w:pPr>
  </w:style>
  <w:style w:type="character" w:customStyle="1" w:styleId="HeaderChar">
    <w:name w:val="Header Char"/>
    <w:basedOn w:val="DefaultParagraphFont"/>
    <w:link w:val="Header"/>
    <w:uiPriority w:val="99"/>
    <w:rsid w:val="0047568A"/>
    <w:rPr>
      <w:rFonts w:ascii="Times New Roman" w:eastAsia="Times New Roman" w:hAnsi="Times New Roman"/>
      <w:sz w:val="24"/>
      <w:szCs w:val="24"/>
    </w:rPr>
  </w:style>
  <w:style w:type="paragraph" w:styleId="Footer">
    <w:name w:val="footer"/>
    <w:basedOn w:val="Normal"/>
    <w:link w:val="FooterChar"/>
    <w:uiPriority w:val="99"/>
    <w:unhideWhenUsed/>
    <w:rsid w:val="0047568A"/>
    <w:pPr>
      <w:tabs>
        <w:tab w:val="center" w:pos="4680"/>
        <w:tab w:val="right" w:pos="9360"/>
      </w:tabs>
    </w:pPr>
  </w:style>
  <w:style w:type="character" w:customStyle="1" w:styleId="FooterChar">
    <w:name w:val="Footer Char"/>
    <w:basedOn w:val="DefaultParagraphFont"/>
    <w:link w:val="Footer"/>
    <w:uiPriority w:val="99"/>
    <w:rsid w:val="0047568A"/>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62422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61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67614"/>
    <w:rPr>
      <w:color w:val="0000FF"/>
      <w:u w:val="single"/>
    </w:rPr>
  </w:style>
  <w:style w:type="paragraph" w:styleId="NormalWeb">
    <w:name w:val="Normal (Web)"/>
    <w:basedOn w:val="Normal"/>
    <w:uiPriority w:val="99"/>
    <w:unhideWhenUsed/>
    <w:rsid w:val="00A67614"/>
    <w:pPr>
      <w:spacing w:before="100" w:beforeAutospacing="1" w:after="100" w:afterAutospacing="1"/>
    </w:pPr>
  </w:style>
  <w:style w:type="character" w:styleId="FollowedHyperlink">
    <w:name w:val="FollowedHyperlink"/>
    <w:basedOn w:val="DefaultParagraphFont"/>
    <w:uiPriority w:val="99"/>
    <w:semiHidden/>
    <w:unhideWhenUsed/>
    <w:rsid w:val="00471943"/>
    <w:rPr>
      <w:color w:val="800080"/>
      <w:u w:val="single"/>
    </w:rPr>
  </w:style>
  <w:style w:type="paragraph" w:customStyle="1" w:styleId="Default">
    <w:name w:val="Default"/>
    <w:rsid w:val="007A4C59"/>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C6940"/>
    <w:rPr>
      <w:rFonts w:ascii="Tahoma" w:hAnsi="Tahoma" w:cs="Tahoma"/>
      <w:sz w:val="16"/>
      <w:szCs w:val="16"/>
    </w:rPr>
  </w:style>
  <w:style w:type="character" w:customStyle="1" w:styleId="BalloonTextChar">
    <w:name w:val="Balloon Text Char"/>
    <w:basedOn w:val="DefaultParagraphFont"/>
    <w:link w:val="BalloonText"/>
    <w:uiPriority w:val="99"/>
    <w:semiHidden/>
    <w:rsid w:val="006C6940"/>
    <w:rPr>
      <w:rFonts w:ascii="Tahoma" w:eastAsia="Times New Roman" w:hAnsi="Tahoma" w:cs="Tahoma"/>
      <w:sz w:val="16"/>
      <w:szCs w:val="16"/>
    </w:rPr>
  </w:style>
  <w:style w:type="paragraph" w:styleId="NoSpacing">
    <w:name w:val="No Spacing"/>
    <w:uiPriority w:val="1"/>
    <w:qFormat/>
    <w:rsid w:val="009D6C04"/>
    <w:rPr>
      <w:rFonts w:ascii="Times New Roman" w:eastAsia="Times New Roman" w:hAnsi="Times New Roman"/>
      <w:sz w:val="24"/>
      <w:szCs w:val="24"/>
    </w:rPr>
  </w:style>
  <w:style w:type="paragraph" w:styleId="Header">
    <w:name w:val="header"/>
    <w:basedOn w:val="Normal"/>
    <w:link w:val="HeaderChar"/>
    <w:uiPriority w:val="99"/>
    <w:unhideWhenUsed/>
    <w:rsid w:val="0047568A"/>
    <w:pPr>
      <w:tabs>
        <w:tab w:val="center" w:pos="4680"/>
        <w:tab w:val="right" w:pos="9360"/>
      </w:tabs>
    </w:pPr>
  </w:style>
  <w:style w:type="character" w:customStyle="1" w:styleId="HeaderChar">
    <w:name w:val="Header Char"/>
    <w:basedOn w:val="DefaultParagraphFont"/>
    <w:link w:val="Header"/>
    <w:uiPriority w:val="99"/>
    <w:rsid w:val="0047568A"/>
    <w:rPr>
      <w:rFonts w:ascii="Times New Roman" w:eastAsia="Times New Roman" w:hAnsi="Times New Roman"/>
      <w:sz w:val="24"/>
      <w:szCs w:val="24"/>
    </w:rPr>
  </w:style>
  <w:style w:type="paragraph" w:styleId="Footer">
    <w:name w:val="footer"/>
    <w:basedOn w:val="Normal"/>
    <w:link w:val="FooterChar"/>
    <w:uiPriority w:val="99"/>
    <w:unhideWhenUsed/>
    <w:rsid w:val="0047568A"/>
    <w:pPr>
      <w:tabs>
        <w:tab w:val="center" w:pos="4680"/>
        <w:tab w:val="right" w:pos="9360"/>
      </w:tabs>
    </w:pPr>
  </w:style>
  <w:style w:type="character" w:customStyle="1" w:styleId="FooterChar">
    <w:name w:val="Footer Char"/>
    <w:basedOn w:val="DefaultParagraphFont"/>
    <w:link w:val="Footer"/>
    <w:uiPriority w:val="99"/>
    <w:rsid w:val="0047568A"/>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6242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241799">
      <w:bodyDiv w:val="1"/>
      <w:marLeft w:val="0"/>
      <w:marRight w:val="0"/>
      <w:marTop w:val="0"/>
      <w:marBottom w:val="0"/>
      <w:divBdr>
        <w:top w:val="none" w:sz="0" w:space="0" w:color="auto"/>
        <w:left w:val="none" w:sz="0" w:space="0" w:color="auto"/>
        <w:bottom w:val="none" w:sz="0" w:space="0" w:color="auto"/>
        <w:right w:val="none" w:sz="0" w:space="0" w:color="auto"/>
      </w:divBdr>
    </w:div>
    <w:div w:id="1748916219">
      <w:bodyDiv w:val="1"/>
      <w:marLeft w:val="0"/>
      <w:marRight w:val="0"/>
      <w:marTop w:val="0"/>
      <w:marBottom w:val="0"/>
      <w:divBdr>
        <w:top w:val="none" w:sz="0" w:space="0" w:color="auto"/>
        <w:left w:val="none" w:sz="0" w:space="0" w:color="auto"/>
        <w:bottom w:val="none" w:sz="0" w:space="0" w:color="auto"/>
        <w:right w:val="none" w:sz="0" w:space="0" w:color="auto"/>
      </w:divBdr>
    </w:div>
    <w:div w:id="209604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fr.gov/(S(woq5ojwh3pljsgyh3tx0zq3q))/privacy/2011/oge.aspx" TargetMode="External"/><Relationship Id="rId5" Type="http://schemas.openxmlformats.org/officeDocument/2006/relationships/settings" Target="settings.xml"/><Relationship Id="rId10" Type="http://schemas.openxmlformats.org/officeDocument/2006/relationships/hyperlink" Target="http://dpcld.defense.gov/Privacy/SORNsIndex/DOD-wide-SORN-Article-View/Article/570731/ogegovt-1/" TargetMode="External"/><Relationship Id="rId4" Type="http://schemas.microsoft.com/office/2007/relationships/stylesWithEffects" Target="stylesWithEffects.xml"/><Relationship Id="rId9" Type="http://schemas.openxmlformats.org/officeDocument/2006/relationships/hyperlink" Target="http://www.dod.mil/dodgc/olc/docs/pl110-18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E102C-BC88-462C-8EC2-FA132C7F8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10685</CharactersWithSpaces>
  <SharedDoc>false</SharedDoc>
  <HLinks>
    <vt:vector size="6" baseType="variant">
      <vt:variant>
        <vt:i4>7274542</vt:i4>
      </vt:variant>
      <vt:variant>
        <vt:i4>0</vt:i4>
      </vt:variant>
      <vt:variant>
        <vt:i4>0</vt:i4>
      </vt:variant>
      <vt:variant>
        <vt:i4>5</vt:i4>
      </vt:variant>
      <vt:variant>
        <vt:lpwstr>http://www.dod.mil/dodgc/olc/docs/pl110-181.pdf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hancockgl</dc:creator>
  <cp:lastModifiedBy>Tyler Robinson</cp:lastModifiedBy>
  <cp:revision>4</cp:revision>
  <cp:lastPrinted>2016-08-17T18:17:00Z</cp:lastPrinted>
  <dcterms:created xsi:type="dcterms:W3CDTF">2016-10-07T18:15:00Z</dcterms:created>
  <dcterms:modified xsi:type="dcterms:W3CDTF">2016-10-07T18:36:00Z</dcterms:modified>
</cp:coreProperties>
</file>