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537DEC" w14:textId="6ED99014" w:rsidR="009C4ECE" w:rsidRPr="00F215BC" w:rsidRDefault="009D1B21" w:rsidP="009C4ECE">
      <w:pPr>
        <w:spacing w:line="480" w:lineRule="auto"/>
        <w:jc w:val="center"/>
        <w:rPr>
          <w:rFonts w:ascii="Arial" w:hAnsi="Arial" w:cs="Arial"/>
          <w:b/>
          <w:sz w:val="24"/>
        </w:rPr>
      </w:pPr>
      <w:bookmarkStart w:id="0" w:name="_GoBack"/>
      <w:bookmarkEnd w:id="0"/>
      <w:r w:rsidRPr="00F215BC">
        <w:rPr>
          <w:rFonts w:ascii="Arial" w:hAnsi="Arial" w:cs="Arial"/>
          <w:b/>
          <w:sz w:val="24"/>
        </w:rPr>
        <w:t>Attachment I</w:t>
      </w:r>
      <w:r w:rsidR="0060262C" w:rsidRPr="00F215BC">
        <w:rPr>
          <w:rFonts w:ascii="Arial" w:hAnsi="Arial" w:cs="Arial"/>
          <w:b/>
          <w:sz w:val="24"/>
        </w:rPr>
        <w:t xml:space="preserve"> – Method to Adjust for Non-Response Bias</w:t>
      </w:r>
    </w:p>
    <w:p w14:paraId="3E84E6A8" w14:textId="77777777" w:rsidR="00A02D4F" w:rsidRDefault="00A02D4F">
      <w:pPr>
        <w:spacing w:line="480" w:lineRule="auto"/>
        <w:jc w:val="both"/>
        <w:rPr>
          <w:sz w:val="24"/>
          <w:szCs w:val="24"/>
        </w:rPr>
      </w:pPr>
      <w:r>
        <w:rPr>
          <w:sz w:val="24"/>
          <w:szCs w:val="24"/>
        </w:rPr>
        <w:br w:type="page"/>
      </w:r>
    </w:p>
    <w:p w14:paraId="4C1267B4" w14:textId="283619B4" w:rsidR="00FA2F99" w:rsidRPr="00215925" w:rsidRDefault="00215925" w:rsidP="00FA2F99">
      <w:pPr>
        <w:spacing w:line="480" w:lineRule="auto"/>
        <w:jc w:val="both"/>
        <w:rPr>
          <w:sz w:val="24"/>
          <w:szCs w:val="24"/>
        </w:rPr>
      </w:pPr>
      <w:r w:rsidRPr="00215925">
        <w:rPr>
          <w:sz w:val="24"/>
          <w:szCs w:val="24"/>
        </w:rPr>
        <w:lastRenderedPageBreak/>
        <w:t>We</w:t>
      </w:r>
      <w:r w:rsidR="00FA2F99" w:rsidRPr="00215925">
        <w:rPr>
          <w:sz w:val="24"/>
          <w:szCs w:val="24"/>
        </w:rPr>
        <w:t xml:space="preserve"> will use a logistic regression </w:t>
      </w:r>
      <w:r w:rsidR="009C4ECE" w:rsidRPr="00215925">
        <w:rPr>
          <w:sz w:val="24"/>
          <w:szCs w:val="24"/>
        </w:rPr>
        <w:t>model of the probability that an SFA</w:t>
      </w:r>
      <w:r w:rsidR="00C765C7">
        <w:rPr>
          <w:sz w:val="24"/>
          <w:szCs w:val="24"/>
        </w:rPr>
        <w:t xml:space="preserve"> or CN agency</w:t>
      </w:r>
      <w:r w:rsidR="009C4ECE" w:rsidRPr="00215925">
        <w:rPr>
          <w:sz w:val="24"/>
          <w:szCs w:val="24"/>
        </w:rPr>
        <w:t xml:space="preserve"> responded </w:t>
      </w:r>
      <w:r w:rsidR="00FA2F99" w:rsidRPr="00215925">
        <w:rPr>
          <w:sz w:val="24"/>
          <w:szCs w:val="24"/>
        </w:rPr>
        <w:t xml:space="preserve">to the survey to estimate the probability of survey response </w:t>
      </w:r>
      <w:r w:rsidR="00D33ABE">
        <w:rPr>
          <w:sz w:val="24"/>
          <w:szCs w:val="24"/>
        </w:rPr>
        <w:t xml:space="preserve">and </w:t>
      </w:r>
      <w:r w:rsidR="00FA2F99" w:rsidRPr="00215925">
        <w:rPr>
          <w:sz w:val="24"/>
          <w:szCs w:val="24"/>
        </w:rPr>
        <w:t xml:space="preserve">to construct appropriate weights for each respondent. The initial logistic regression model will be estimated using all </w:t>
      </w:r>
      <w:r w:rsidR="009C4ECE" w:rsidRPr="00215925">
        <w:rPr>
          <w:sz w:val="24"/>
          <w:szCs w:val="24"/>
        </w:rPr>
        <w:t>SFA</w:t>
      </w:r>
      <w:r w:rsidR="00FA2F99" w:rsidRPr="00215925">
        <w:rPr>
          <w:sz w:val="24"/>
          <w:szCs w:val="24"/>
        </w:rPr>
        <w:t xml:space="preserve"> characteristics. The model can be expressed by the following equation:</w:t>
      </w:r>
    </w:p>
    <w:p w14:paraId="79213B3B" w14:textId="77777777" w:rsidR="00FA2F99" w:rsidRPr="005E30D3" w:rsidRDefault="00FA2F99" w:rsidP="00FA2F99">
      <w:pPr>
        <w:spacing w:line="480" w:lineRule="auto"/>
        <w:jc w:val="both"/>
        <w:rPr>
          <w:rFonts w:ascii="Arial" w:hAnsi="Arial" w:cs="Arial"/>
        </w:rPr>
      </w:pPr>
      <m:oMathPara>
        <m:oMath>
          <m:r>
            <w:rPr>
              <w:rFonts w:ascii="Cambria Math" w:hAnsi="Cambria Math" w:cs="Arial"/>
              <w:color w:val="000000" w:themeColor="text1"/>
            </w:rPr>
            <m:t>P(S=1</m:t>
          </m:r>
          <m:d>
            <m:dPr>
              <m:begChr m:val="|"/>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X</m:t>
              </m:r>
            </m:e>
          </m:d>
          <m:r>
            <w:rPr>
              <w:rFonts w:ascii="Cambria Math" w:hAnsi="Cambria Math" w:cs="Arial"/>
              <w:color w:val="000000" w:themeColor="text1"/>
            </w:rPr>
            <m:t>=</m:t>
          </m:r>
          <m:f>
            <m:fPr>
              <m:ctrlPr>
                <w:rPr>
                  <w:rFonts w:ascii="Cambria Math" w:hAnsi="Cambria Math" w:cs="Arial"/>
                  <w:i/>
                  <w:color w:val="000000" w:themeColor="text1"/>
                </w:rPr>
              </m:ctrlPr>
            </m:fPr>
            <m:num>
              <m:r>
                <m:rPr>
                  <m:sty m:val="p"/>
                </m:rPr>
                <w:rPr>
                  <w:rFonts w:ascii="Cambria Math" w:hAnsi="Cambria Math" w:cs="Arial"/>
                  <w:color w:val="000000" w:themeColor="text1"/>
                </w:rPr>
                <m:t>exp⁡</m:t>
              </m:r>
              <m:d>
                <m:dPr>
                  <m:ctrlPr>
                    <w:rPr>
                      <w:rFonts w:ascii="Cambria Math" w:hAnsi="Cambria Math" w:cs="Arial"/>
                      <w:i/>
                      <w:color w:val="000000" w:themeColor="text1"/>
                    </w:rPr>
                  </m:ctrlPr>
                </m:dPr>
                <m:e>
                  <m:r>
                    <w:rPr>
                      <w:rFonts w:ascii="Cambria Math" w:hAnsi="Cambria Math" w:cs="Arial"/>
                      <w:color w:val="000000" w:themeColor="text1"/>
                    </w:rPr>
                    <m:t>X∙b</m:t>
                  </m:r>
                </m:e>
              </m:d>
            </m:num>
            <m:den>
              <m:r>
                <w:rPr>
                  <w:rFonts w:ascii="Cambria Math" w:hAnsi="Cambria Math" w:cs="Arial"/>
                  <w:color w:val="000000" w:themeColor="text1"/>
                </w:rPr>
                <m:t>1+</m:t>
              </m:r>
              <m:r>
                <m:rPr>
                  <m:sty m:val="p"/>
                </m:rPr>
                <w:rPr>
                  <w:rFonts w:ascii="Cambria Math" w:hAnsi="Cambria Math" w:cs="Arial"/>
                  <w:color w:val="000000" w:themeColor="text1"/>
                </w:rPr>
                <m:t>exp⁡</m:t>
              </m:r>
              <m:d>
                <m:dPr>
                  <m:ctrlPr>
                    <w:rPr>
                      <w:rFonts w:ascii="Cambria Math" w:hAnsi="Cambria Math" w:cs="Arial"/>
                      <w:i/>
                      <w:color w:val="000000" w:themeColor="text1"/>
                    </w:rPr>
                  </m:ctrlPr>
                </m:dPr>
                <m:e>
                  <m:r>
                    <w:rPr>
                      <w:rFonts w:ascii="Cambria Math" w:hAnsi="Cambria Math" w:cs="Arial"/>
                      <w:color w:val="000000" w:themeColor="text1"/>
                    </w:rPr>
                    <m:t>X∙b</m:t>
                  </m:r>
                </m:e>
              </m:d>
            </m:den>
          </m:f>
        </m:oMath>
      </m:oMathPara>
    </w:p>
    <w:p w14:paraId="0AEA3448" w14:textId="77777777" w:rsidR="00FA2F99" w:rsidRPr="00215925" w:rsidRDefault="00FA2F99" w:rsidP="00FA2F99">
      <w:pPr>
        <w:spacing w:line="480" w:lineRule="auto"/>
        <w:jc w:val="both"/>
        <w:rPr>
          <w:sz w:val="24"/>
          <w:szCs w:val="24"/>
        </w:rPr>
      </w:pPr>
      <w:r w:rsidRPr="00215925">
        <w:rPr>
          <w:sz w:val="24"/>
          <w:szCs w:val="24"/>
        </w:rPr>
        <w:t xml:space="preserve">The dependent variable in this model (S) is the likelihood that the </w:t>
      </w:r>
      <w:r w:rsidR="009C4ECE" w:rsidRPr="00215925">
        <w:rPr>
          <w:sz w:val="24"/>
          <w:szCs w:val="24"/>
        </w:rPr>
        <w:t xml:space="preserve">SFA </w:t>
      </w:r>
      <w:r w:rsidRPr="00215925">
        <w:rPr>
          <w:sz w:val="24"/>
          <w:szCs w:val="24"/>
        </w:rPr>
        <w:t xml:space="preserve">responds to the survey. S equals 1 if the </w:t>
      </w:r>
      <w:r w:rsidR="009C4ECE" w:rsidRPr="00215925">
        <w:rPr>
          <w:sz w:val="24"/>
          <w:szCs w:val="24"/>
        </w:rPr>
        <w:t>SFA</w:t>
      </w:r>
      <w:r w:rsidRPr="00215925">
        <w:rPr>
          <w:sz w:val="24"/>
          <w:szCs w:val="24"/>
        </w:rPr>
        <w:t xml:space="preserve"> responds to the survey and 0 otherwise. The initial model includes all available </w:t>
      </w:r>
      <w:r w:rsidR="009C4ECE" w:rsidRPr="00215925">
        <w:rPr>
          <w:sz w:val="24"/>
          <w:szCs w:val="24"/>
        </w:rPr>
        <w:t>SFA</w:t>
      </w:r>
      <w:r w:rsidRPr="00215925">
        <w:rPr>
          <w:sz w:val="24"/>
          <w:szCs w:val="24"/>
        </w:rPr>
        <w:t xml:space="preserve"> </w:t>
      </w:r>
      <w:r w:rsidR="00C765C7">
        <w:rPr>
          <w:sz w:val="24"/>
          <w:szCs w:val="24"/>
        </w:rPr>
        <w:t xml:space="preserve">or CN agency </w:t>
      </w:r>
      <w:r w:rsidRPr="00215925">
        <w:rPr>
          <w:sz w:val="24"/>
          <w:szCs w:val="24"/>
        </w:rPr>
        <w:t xml:space="preserve">characteristics (X) in the </w:t>
      </w:r>
      <w:r w:rsidR="009C4ECE" w:rsidRPr="00215925">
        <w:rPr>
          <w:sz w:val="24"/>
          <w:szCs w:val="24"/>
        </w:rPr>
        <w:t>VSR</w:t>
      </w:r>
      <w:r w:rsidRPr="00215925">
        <w:rPr>
          <w:sz w:val="24"/>
          <w:szCs w:val="24"/>
        </w:rPr>
        <w:t xml:space="preserve"> data</w:t>
      </w:r>
      <w:r w:rsidR="009C4ECE" w:rsidRPr="00215925">
        <w:rPr>
          <w:sz w:val="24"/>
          <w:szCs w:val="24"/>
        </w:rPr>
        <w:t>base</w:t>
      </w:r>
      <w:r w:rsidRPr="00215925">
        <w:rPr>
          <w:sz w:val="24"/>
          <w:szCs w:val="24"/>
        </w:rPr>
        <w:t>. Inclusion of all characteristics in the model is important for identifying which variables are strong predictors of non-response. To identify the final set of covariates for the non-response model (i.e., the variables that are strong predictors of non-response), we will use the following measures of predictive ability and goodness of fit:</w:t>
      </w:r>
    </w:p>
    <w:p w14:paraId="55E46CB8" w14:textId="77777777" w:rsidR="00FA2F99" w:rsidRPr="00215925" w:rsidRDefault="00FA2F99" w:rsidP="00FA2F99">
      <w:pPr>
        <w:pStyle w:val="BulletedList"/>
        <w:numPr>
          <w:ilvl w:val="0"/>
          <w:numId w:val="1"/>
        </w:numPr>
        <w:tabs>
          <w:tab w:val="clear" w:pos="720"/>
        </w:tabs>
        <w:spacing w:line="480" w:lineRule="auto"/>
        <w:ind w:left="720"/>
        <w:rPr>
          <w:rFonts w:cs="Times New Roman"/>
          <w:szCs w:val="24"/>
        </w:rPr>
      </w:pPr>
      <w:r w:rsidRPr="00215925">
        <w:rPr>
          <w:rFonts w:cs="Times New Roman"/>
          <w:b/>
          <w:i/>
          <w:szCs w:val="24"/>
        </w:rPr>
        <w:t>McFadden’s Pseudo R-squared statistic</w:t>
      </w:r>
      <w:r w:rsidRPr="00215925">
        <w:rPr>
          <w:rFonts w:cs="Times New Roman"/>
          <w:szCs w:val="24"/>
        </w:rPr>
        <w:t xml:space="preserve"> – This measure captures the percent of the variation in the likelihood of responding to the survey that is explained by </w:t>
      </w:r>
      <w:r w:rsidR="009C4ECE" w:rsidRPr="00215925">
        <w:rPr>
          <w:rFonts w:cs="Times New Roman"/>
          <w:szCs w:val="24"/>
        </w:rPr>
        <w:t xml:space="preserve">SFA </w:t>
      </w:r>
      <w:r w:rsidR="00C765C7">
        <w:rPr>
          <w:rFonts w:cs="Times New Roman"/>
          <w:szCs w:val="24"/>
        </w:rPr>
        <w:t xml:space="preserve">and </w:t>
      </w:r>
      <w:r w:rsidR="00D33ABE">
        <w:rPr>
          <w:rFonts w:cs="Times New Roman"/>
          <w:szCs w:val="24"/>
        </w:rPr>
        <w:t xml:space="preserve">state </w:t>
      </w:r>
      <w:r w:rsidR="00C765C7">
        <w:rPr>
          <w:rFonts w:cs="Times New Roman"/>
          <w:szCs w:val="24"/>
        </w:rPr>
        <w:t xml:space="preserve">CN agency </w:t>
      </w:r>
      <w:r w:rsidRPr="00215925">
        <w:rPr>
          <w:rFonts w:cs="Times New Roman"/>
          <w:szCs w:val="24"/>
        </w:rPr>
        <w:t>characteristics. This statistic is constructed as follows:</w:t>
      </w:r>
      <w:r w:rsidRPr="00215925">
        <w:rPr>
          <w:rStyle w:val="FootnoteReference"/>
          <w:rFonts w:cs="Times New Roman"/>
          <w:szCs w:val="24"/>
          <w:vertAlign w:val="superscript"/>
        </w:rPr>
        <w:footnoteReference w:id="1"/>
      </w:r>
    </w:p>
    <w:p w14:paraId="372BC262" w14:textId="77777777" w:rsidR="00FA2F99" w:rsidRPr="005E30D3" w:rsidRDefault="00674FEA" w:rsidP="00FA2F99">
      <w:pPr>
        <w:spacing w:before="240" w:line="480" w:lineRule="auto"/>
        <w:ind w:left="-360"/>
        <w:jc w:val="both"/>
        <w:rPr>
          <w:rFonts w:ascii="Arial" w:hAnsi="Arial" w:cs="Arial"/>
          <w:color w:val="000000" w:themeColor="text1"/>
        </w:rPr>
      </w:pPr>
      <m:oMathPara>
        <m:oMathParaPr>
          <m:jc m:val="center"/>
        </m:oMathParaPr>
        <m:oMath>
          <m:sSup>
            <m:sSupPr>
              <m:ctrlPr>
                <w:rPr>
                  <w:rFonts w:ascii="Cambria Math" w:hAnsi="Cambria Math" w:cs="Arial"/>
                  <w:i/>
                  <w:color w:val="000000" w:themeColor="text1"/>
                </w:rPr>
              </m:ctrlPr>
            </m:sSupPr>
            <m:e>
              <m:r>
                <w:rPr>
                  <w:rFonts w:ascii="Cambria Math" w:hAnsi="Cambria Math" w:cs="Arial"/>
                  <w:color w:val="000000" w:themeColor="text1"/>
                </w:rPr>
                <m:t>R</m:t>
              </m:r>
            </m:e>
            <m:sup>
              <m:r>
                <w:rPr>
                  <w:rFonts w:ascii="Cambria Math" w:hAnsi="Cambria Math" w:cs="Arial"/>
                  <w:color w:val="000000" w:themeColor="text1"/>
                </w:rPr>
                <m:t>2</m:t>
              </m:r>
            </m:sup>
          </m:sSup>
          <m:r>
            <w:rPr>
              <w:rFonts w:ascii="Cambria Math" w:hAnsi="Cambria Math" w:cs="Arial"/>
              <w:color w:val="000000" w:themeColor="text1"/>
            </w:rPr>
            <m:t>=1-</m:t>
          </m:r>
          <m:f>
            <m:fPr>
              <m:ctrlPr>
                <w:rPr>
                  <w:rFonts w:ascii="Cambria Math" w:hAnsi="Cambria Math" w:cs="Arial"/>
                  <w:i/>
                  <w:color w:val="000000" w:themeColor="text1"/>
                </w:rPr>
              </m:ctrlPr>
            </m:fPr>
            <m:num>
              <m:r>
                <m:rPr>
                  <m:sty m:val="p"/>
                </m:rPr>
                <w:rPr>
                  <w:rFonts w:ascii="Cambria Math" w:hAnsi="Cambria Math" w:cs="Arial"/>
                  <w:color w:val="000000" w:themeColor="text1"/>
                </w:rPr>
                <m:t>ln⁡</m:t>
              </m:r>
              <m:r>
                <w:rPr>
                  <w:rFonts w:ascii="Cambria Math" w:hAnsi="Cambria Math" w:cs="Arial"/>
                  <w:color w:val="000000" w:themeColor="text1"/>
                </w:rPr>
                <m:t>(</m:t>
              </m:r>
              <m:acc>
                <m:accPr>
                  <m:ctrlPr>
                    <w:rPr>
                      <w:rFonts w:ascii="Cambria Math" w:hAnsi="Cambria Math" w:cs="Arial"/>
                      <w:i/>
                      <w:color w:val="000000" w:themeColor="text1"/>
                    </w:rPr>
                  </m:ctrlPr>
                </m:accPr>
                <m:e>
                  <m:r>
                    <w:rPr>
                      <w:rFonts w:ascii="Cambria Math" w:hAnsi="Cambria Math" w:cs="Arial"/>
                      <w:color w:val="000000" w:themeColor="text1"/>
                    </w:rPr>
                    <m:t>L</m:t>
                  </m:r>
                </m:e>
              </m:acc>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Full</m:t>
                      </m:r>
                    </m:sub>
                  </m:sSub>
                </m:e>
              </m:d>
              <m:r>
                <w:rPr>
                  <w:rFonts w:ascii="Cambria Math" w:hAnsi="Cambria Math" w:cs="Arial"/>
                  <w:color w:val="000000" w:themeColor="text1"/>
                </w:rPr>
                <m:t>)</m:t>
              </m:r>
            </m:num>
            <m:den>
              <m:r>
                <m:rPr>
                  <m:sty m:val="p"/>
                </m:rPr>
                <w:rPr>
                  <w:rFonts w:ascii="Cambria Math" w:hAnsi="Cambria Math" w:cs="Arial"/>
                  <w:color w:val="000000" w:themeColor="text1"/>
                </w:rPr>
                <m:t>ln⁡</m:t>
              </m:r>
              <m:r>
                <w:rPr>
                  <w:rFonts w:ascii="Cambria Math" w:hAnsi="Cambria Math" w:cs="Arial"/>
                  <w:color w:val="000000" w:themeColor="text1"/>
                </w:rPr>
                <m:t>(</m:t>
              </m:r>
              <m:acc>
                <m:accPr>
                  <m:ctrlPr>
                    <w:rPr>
                      <w:rFonts w:ascii="Cambria Math" w:hAnsi="Cambria Math" w:cs="Arial"/>
                      <w:i/>
                      <w:color w:val="000000" w:themeColor="text1"/>
                    </w:rPr>
                  </m:ctrlPr>
                </m:accPr>
                <m:e>
                  <m:r>
                    <w:rPr>
                      <w:rFonts w:ascii="Cambria Math" w:hAnsi="Cambria Math" w:cs="Arial"/>
                      <w:color w:val="000000" w:themeColor="text1"/>
                    </w:rPr>
                    <m:t>L</m:t>
                  </m:r>
                </m:e>
              </m:acc>
              <m:d>
                <m:dPr>
                  <m:ctrlPr>
                    <w:rPr>
                      <w:rFonts w:ascii="Cambria Math" w:hAnsi="Cambria Math" w:cs="Arial"/>
                      <w:i/>
                      <w:color w:val="000000" w:themeColor="text1"/>
                    </w:rPr>
                  </m:ctrlPr>
                </m:dPr>
                <m:e>
                  <m:sSub>
                    <m:sSubPr>
                      <m:ctrlPr>
                        <w:rPr>
                          <w:rFonts w:ascii="Cambria Math" w:hAnsi="Cambria Math" w:cs="Arial"/>
                          <w:i/>
                          <w:color w:val="000000" w:themeColor="text1"/>
                        </w:rPr>
                      </m:ctrlPr>
                    </m:sSubPr>
                    <m:e>
                      <m:r>
                        <w:rPr>
                          <w:rFonts w:ascii="Cambria Math" w:hAnsi="Cambria Math" w:cs="Arial"/>
                          <w:color w:val="000000" w:themeColor="text1"/>
                        </w:rPr>
                        <m:t>M</m:t>
                      </m:r>
                    </m:e>
                    <m:sub>
                      <m:r>
                        <w:rPr>
                          <w:rFonts w:ascii="Cambria Math" w:hAnsi="Cambria Math" w:cs="Arial"/>
                          <w:color w:val="000000" w:themeColor="text1"/>
                        </w:rPr>
                        <m:t>Intercept</m:t>
                      </m:r>
                    </m:sub>
                  </m:sSub>
                </m:e>
              </m:d>
              <m:r>
                <w:rPr>
                  <w:rFonts w:ascii="Cambria Math" w:hAnsi="Cambria Math" w:cs="Arial"/>
                  <w:color w:val="000000" w:themeColor="text1"/>
                </w:rPr>
                <m:t>)</m:t>
              </m:r>
            </m:den>
          </m:f>
        </m:oMath>
      </m:oMathPara>
    </w:p>
    <w:p w14:paraId="24CD06E4" w14:textId="77777777" w:rsidR="00FA2F99" w:rsidRPr="00215925" w:rsidRDefault="00FA2F99" w:rsidP="00FA2F99">
      <w:pPr>
        <w:pStyle w:val="BulletedList"/>
        <w:numPr>
          <w:ilvl w:val="0"/>
          <w:numId w:val="1"/>
        </w:numPr>
        <w:spacing w:before="240" w:line="480" w:lineRule="auto"/>
        <w:ind w:left="720"/>
        <w:rPr>
          <w:rFonts w:cs="Times New Roman"/>
          <w:szCs w:val="24"/>
        </w:rPr>
      </w:pPr>
      <w:r w:rsidRPr="00215925">
        <w:rPr>
          <w:rFonts w:cs="Times New Roman"/>
          <w:b/>
          <w:i/>
          <w:szCs w:val="24"/>
        </w:rPr>
        <w:lastRenderedPageBreak/>
        <w:t>Akaike’s Information Criterion (Akaike 1974)</w:t>
      </w:r>
      <w:r w:rsidRPr="00215925">
        <w:rPr>
          <w:rFonts w:cs="Times New Roman"/>
          <w:szCs w:val="24"/>
        </w:rPr>
        <w:t xml:space="preserve"> – This statistic measures the efficiency of the model in predicting the outcome based on the number of covariates. This statistic is constructed as follows:</w:t>
      </w:r>
      <w:r w:rsidRPr="00215925">
        <w:rPr>
          <w:rStyle w:val="FootnoteReference"/>
          <w:rFonts w:cs="Times New Roman"/>
          <w:szCs w:val="24"/>
          <w:vertAlign w:val="superscript"/>
        </w:rPr>
        <w:footnoteReference w:id="2"/>
      </w:r>
    </w:p>
    <w:p w14:paraId="688E11C5" w14:textId="77777777" w:rsidR="00FA2F99" w:rsidRPr="005E30D3" w:rsidRDefault="00FA2F99" w:rsidP="00FA2F99">
      <w:pPr>
        <w:spacing w:before="240" w:line="480" w:lineRule="auto"/>
        <w:ind w:left="-360"/>
        <w:jc w:val="both"/>
        <w:rPr>
          <w:rFonts w:ascii="Arial" w:hAnsi="Arial" w:cs="Arial"/>
          <w:color w:val="000000" w:themeColor="text1"/>
        </w:rPr>
      </w:pPr>
      <m:oMathPara>
        <m:oMathParaPr>
          <m:jc m:val="center"/>
        </m:oMathParaPr>
        <m:oMath>
          <m:r>
            <w:rPr>
              <w:rFonts w:ascii="Cambria Math" w:hAnsi="Cambria Math" w:cs="Arial"/>
              <w:color w:val="000000" w:themeColor="text1"/>
            </w:rPr>
            <m:t>AIC=2k-2</m:t>
          </m:r>
          <m:r>
            <m:rPr>
              <m:sty m:val="p"/>
            </m:rPr>
            <w:rPr>
              <w:rFonts w:ascii="Cambria Math" w:hAnsi="Cambria Math" w:cs="Arial"/>
              <w:color w:val="000000" w:themeColor="text1"/>
            </w:rPr>
            <m:t>ln⁡</m:t>
          </m:r>
          <m:r>
            <w:rPr>
              <w:rFonts w:ascii="Cambria Math" w:hAnsi="Cambria Math" w:cs="Arial"/>
              <w:color w:val="000000" w:themeColor="text1"/>
            </w:rPr>
            <m:t>(</m:t>
          </m:r>
          <m:sSub>
            <m:sSubPr>
              <m:ctrlPr>
                <w:rPr>
                  <w:rFonts w:ascii="Cambria Math" w:hAnsi="Cambria Math" w:cs="Arial"/>
                  <w:i/>
                  <w:color w:val="000000" w:themeColor="text1"/>
                </w:rPr>
              </m:ctrlPr>
            </m:sSubPr>
            <m:e>
              <m:acc>
                <m:accPr>
                  <m:ctrlPr>
                    <w:rPr>
                      <w:rFonts w:ascii="Cambria Math" w:hAnsi="Cambria Math" w:cs="Arial"/>
                      <w:i/>
                      <w:color w:val="000000" w:themeColor="text1"/>
                    </w:rPr>
                  </m:ctrlPr>
                </m:accPr>
                <m:e>
                  <m:r>
                    <w:rPr>
                      <w:rFonts w:ascii="Cambria Math" w:hAnsi="Cambria Math" w:cs="Arial"/>
                      <w:color w:val="000000" w:themeColor="text1"/>
                    </w:rPr>
                    <m:t>L</m:t>
                  </m:r>
                </m:e>
              </m:acc>
            </m:e>
            <m:sub>
              <m:r>
                <w:rPr>
                  <w:rFonts w:ascii="Cambria Math" w:hAnsi="Cambria Math" w:cs="Arial"/>
                  <w:color w:val="000000" w:themeColor="text1"/>
                </w:rPr>
                <m:t>k</m:t>
              </m:r>
            </m:sub>
          </m:sSub>
          <m:r>
            <w:rPr>
              <w:rFonts w:ascii="Cambria Math" w:hAnsi="Cambria Math" w:cs="Arial"/>
              <w:color w:val="000000" w:themeColor="text1"/>
            </w:rPr>
            <m:t>)</m:t>
          </m:r>
        </m:oMath>
      </m:oMathPara>
    </w:p>
    <w:p w14:paraId="2D4CB492" w14:textId="77777777" w:rsidR="00FA2F99" w:rsidRPr="00215925" w:rsidRDefault="00FA2F99" w:rsidP="00FA2F99">
      <w:pPr>
        <w:spacing w:line="480" w:lineRule="auto"/>
        <w:jc w:val="both"/>
        <w:rPr>
          <w:sz w:val="24"/>
          <w:szCs w:val="24"/>
        </w:rPr>
      </w:pPr>
      <w:r w:rsidRPr="00215925">
        <w:rPr>
          <w:sz w:val="24"/>
          <w:szCs w:val="24"/>
        </w:rPr>
        <w:t xml:space="preserve">We will use these statistics to assess which set of observable characteristics are strong predictors of survey non-response. After identifying this set of characteristics, we will estimate the final version of the model using these characteristics. After estimating this model, we will use the results to calculate the predicted likelihood of survey response based on each </w:t>
      </w:r>
      <w:r w:rsidR="0090684C" w:rsidRPr="00215925">
        <w:rPr>
          <w:sz w:val="24"/>
          <w:szCs w:val="24"/>
        </w:rPr>
        <w:t>SFA</w:t>
      </w:r>
      <w:r w:rsidR="006B3A2C">
        <w:rPr>
          <w:sz w:val="24"/>
          <w:szCs w:val="24"/>
        </w:rPr>
        <w:t>/</w:t>
      </w:r>
      <w:r w:rsidR="00D33ABE">
        <w:rPr>
          <w:sz w:val="24"/>
          <w:szCs w:val="24"/>
        </w:rPr>
        <w:t xml:space="preserve">State </w:t>
      </w:r>
      <w:r w:rsidR="006B3A2C">
        <w:rPr>
          <w:sz w:val="24"/>
          <w:szCs w:val="24"/>
        </w:rPr>
        <w:t>C</w:t>
      </w:r>
      <w:r w:rsidR="00D33ABE">
        <w:rPr>
          <w:sz w:val="24"/>
          <w:szCs w:val="24"/>
        </w:rPr>
        <w:t>N</w:t>
      </w:r>
      <w:r w:rsidR="006B3A2C">
        <w:rPr>
          <w:sz w:val="24"/>
          <w:szCs w:val="24"/>
        </w:rPr>
        <w:t xml:space="preserve"> agency</w:t>
      </w:r>
      <w:r w:rsidR="00D33ABE">
        <w:rPr>
          <w:sz w:val="24"/>
          <w:szCs w:val="24"/>
        </w:rPr>
        <w:t xml:space="preserve"> characteristic</w:t>
      </w:r>
      <w:r w:rsidRPr="00215925">
        <w:rPr>
          <w:sz w:val="24"/>
          <w:szCs w:val="24"/>
        </w:rPr>
        <w:t>, as follows:</w:t>
      </w:r>
    </w:p>
    <w:p w14:paraId="72B7FE22" w14:textId="77777777" w:rsidR="00FA2F99" w:rsidRPr="005E30D3" w:rsidRDefault="00674FEA" w:rsidP="00FA2F99">
      <w:pPr>
        <w:spacing w:before="240" w:line="480" w:lineRule="auto"/>
        <w:jc w:val="both"/>
        <w:rPr>
          <w:rFonts w:ascii="Arial" w:hAnsi="Arial" w:cs="Arial"/>
          <w:color w:val="000000" w:themeColor="text1"/>
        </w:rPr>
      </w:pPr>
      <m:oMathPara>
        <m:oMathParaPr>
          <m:jc m:val="center"/>
        </m:oMathParaPr>
        <m:oMath>
          <m:sSub>
            <m:sSubPr>
              <m:ctrlPr>
                <w:rPr>
                  <w:rFonts w:ascii="Cambria Math" w:hAnsi="Cambria Math" w:cs="Arial"/>
                  <w:i/>
                  <w:color w:val="000000" w:themeColor="text1"/>
                </w:rPr>
              </m:ctrlPr>
            </m:sSubPr>
            <m:e>
              <m:r>
                <w:rPr>
                  <w:rFonts w:ascii="Cambria Math" w:hAnsi="Cambria Math" w:cs="Arial"/>
                  <w:color w:val="000000" w:themeColor="text1"/>
                </w:rPr>
                <m:t>w</m:t>
              </m:r>
            </m:e>
            <m:sub>
              <m:r>
                <w:rPr>
                  <w:rFonts w:ascii="Cambria Math" w:hAnsi="Cambria Math" w:cs="Arial"/>
                  <w:color w:val="000000" w:themeColor="text1"/>
                </w:rPr>
                <m:t>i</m:t>
              </m:r>
            </m:sub>
          </m:sSub>
          <m:r>
            <w:rPr>
              <w:rFonts w:ascii="Cambria Math" w:hAnsi="Cambria Math" w:cs="Arial"/>
              <w:color w:val="000000" w:themeColor="text1"/>
            </w:rPr>
            <m:t>=</m:t>
          </m:r>
          <m:f>
            <m:fPr>
              <m:ctrlPr>
                <w:rPr>
                  <w:rFonts w:ascii="Cambria Math" w:hAnsi="Cambria Math" w:cs="Arial"/>
                  <w:i/>
                  <w:color w:val="000000" w:themeColor="text1"/>
                </w:rPr>
              </m:ctrlPr>
            </m:fPr>
            <m:num>
              <m:r>
                <w:rPr>
                  <w:rFonts w:ascii="Cambria Math" w:hAnsi="Cambria Math" w:cs="Arial"/>
                  <w:color w:val="000000" w:themeColor="text1"/>
                </w:rPr>
                <m:t>1</m:t>
              </m:r>
            </m:num>
            <m:den>
              <m:r>
                <w:rPr>
                  <w:rFonts w:ascii="Cambria Math" w:hAnsi="Cambria Math" w:cs="Arial"/>
                  <w:color w:val="000000" w:themeColor="text1"/>
                </w:rPr>
                <m:t>f</m:t>
              </m:r>
              <m:d>
                <m:dPr>
                  <m:ctrlPr>
                    <w:rPr>
                      <w:rFonts w:ascii="Cambria Math" w:hAnsi="Cambria Math" w:cs="Arial"/>
                      <w:i/>
                      <w:color w:val="000000" w:themeColor="text1"/>
                    </w:rPr>
                  </m:ctrlPr>
                </m:dPr>
                <m:e>
                  <m:r>
                    <w:rPr>
                      <w:rFonts w:ascii="Cambria Math" w:hAnsi="Cambria Math" w:cs="Arial"/>
                      <w:color w:val="000000" w:themeColor="text1"/>
                    </w:rPr>
                    <m:t>X∙</m:t>
                  </m:r>
                  <m:acc>
                    <m:accPr>
                      <m:ctrlPr>
                        <w:rPr>
                          <w:rFonts w:ascii="Cambria Math" w:hAnsi="Cambria Math" w:cs="Arial"/>
                          <w:i/>
                          <w:color w:val="000000" w:themeColor="text1"/>
                        </w:rPr>
                      </m:ctrlPr>
                    </m:accPr>
                    <m:e>
                      <m:r>
                        <w:rPr>
                          <w:rFonts w:ascii="Cambria Math" w:hAnsi="Cambria Math" w:cs="Arial"/>
                          <w:color w:val="000000" w:themeColor="text1"/>
                        </w:rPr>
                        <m:t>b</m:t>
                      </m:r>
                    </m:e>
                  </m:acc>
                </m:e>
              </m:d>
            </m:den>
          </m:f>
        </m:oMath>
      </m:oMathPara>
    </w:p>
    <w:p w14:paraId="179D47EE" w14:textId="77777777" w:rsidR="00FA2F99" w:rsidRPr="00215925" w:rsidRDefault="00FA2F99" w:rsidP="00FA2F99">
      <w:pPr>
        <w:spacing w:line="480" w:lineRule="auto"/>
        <w:jc w:val="both"/>
        <w:rPr>
          <w:sz w:val="24"/>
          <w:szCs w:val="24"/>
        </w:rPr>
      </w:pPr>
      <w:r w:rsidRPr="00215925">
        <w:rPr>
          <w:sz w:val="24"/>
          <w:szCs w:val="24"/>
        </w:rPr>
        <w:t xml:space="preserve">In words, the survey non-response weight for each </w:t>
      </w:r>
      <w:r w:rsidR="00E64DFA" w:rsidRPr="00215925">
        <w:rPr>
          <w:sz w:val="24"/>
          <w:szCs w:val="24"/>
        </w:rPr>
        <w:t>SFA</w:t>
      </w:r>
      <w:r w:rsidRPr="00215925">
        <w:rPr>
          <w:sz w:val="24"/>
          <w:szCs w:val="24"/>
        </w:rPr>
        <w:t xml:space="preserve"> is the inverse of the predicted probability of response, </w:t>
      </w:r>
      <m:oMath>
        <m:r>
          <m:rPr>
            <m:sty m:val="p"/>
          </m:rPr>
          <w:rPr>
            <w:rFonts w:ascii="Cambria Math" w:hAnsi="Cambria Math"/>
            <w:sz w:val="24"/>
            <w:szCs w:val="24"/>
          </w:rPr>
          <m:t>f</m:t>
        </m:r>
        <m:d>
          <m:dPr>
            <m:ctrlPr>
              <w:rPr>
                <w:rFonts w:ascii="Cambria Math" w:hAnsi="Cambria Math"/>
                <w:sz w:val="24"/>
                <w:szCs w:val="24"/>
              </w:rPr>
            </m:ctrlPr>
          </m:dPr>
          <m:e>
            <m:r>
              <m:rPr>
                <m:sty m:val="p"/>
              </m:rPr>
              <w:rPr>
                <w:rFonts w:ascii="Cambria Math" w:hAnsi="Cambria Math"/>
                <w:sz w:val="24"/>
                <w:szCs w:val="24"/>
              </w:rPr>
              <m:t>X∙</m:t>
            </m:r>
            <m:acc>
              <m:accPr>
                <m:ctrlPr>
                  <w:rPr>
                    <w:rFonts w:ascii="Cambria Math" w:hAnsi="Cambria Math"/>
                    <w:sz w:val="24"/>
                    <w:szCs w:val="24"/>
                  </w:rPr>
                </m:ctrlPr>
              </m:accPr>
              <m:e>
                <m:r>
                  <m:rPr>
                    <m:sty m:val="p"/>
                  </m:rPr>
                  <w:rPr>
                    <w:rFonts w:ascii="Cambria Math" w:hAnsi="Cambria Math"/>
                    <w:sz w:val="24"/>
                    <w:szCs w:val="24"/>
                  </w:rPr>
                  <m:t>b</m:t>
                </m:r>
              </m:e>
            </m:acc>
          </m:e>
        </m:d>
      </m:oMath>
      <w:r w:rsidRPr="00215925">
        <w:rPr>
          <w:sz w:val="24"/>
          <w:szCs w:val="24"/>
        </w:rPr>
        <w:t xml:space="preserve">. We use these weights in the analyses to make the sample representative of all </w:t>
      </w:r>
      <w:r w:rsidR="00E64DFA" w:rsidRPr="00215925">
        <w:rPr>
          <w:sz w:val="24"/>
          <w:szCs w:val="24"/>
        </w:rPr>
        <w:t>SFAs in the seven FNS regions</w:t>
      </w:r>
      <w:r w:rsidRPr="00215925">
        <w:rPr>
          <w:sz w:val="24"/>
          <w:szCs w:val="24"/>
        </w:rPr>
        <w:t>. This method is a widely accepted practice in program evaluations for controlling for survey non-response and for making estimation results representative of all program applicants.</w:t>
      </w:r>
      <w:r w:rsidRPr="00215925">
        <w:rPr>
          <w:rStyle w:val="FootnoteReference"/>
          <w:sz w:val="24"/>
          <w:szCs w:val="24"/>
          <w:vertAlign w:val="superscript"/>
        </w:rPr>
        <w:footnoteReference w:id="3"/>
      </w:r>
    </w:p>
    <w:p w14:paraId="07DD2665" w14:textId="77777777" w:rsidR="00E64DFA" w:rsidRPr="005E30D3" w:rsidRDefault="00E64DFA" w:rsidP="00FA2F99">
      <w:pPr>
        <w:spacing w:line="480" w:lineRule="auto"/>
        <w:jc w:val="both"/>
        <w:rPr>
          <w:rFonts w:ascii="Arial" w:hAnsi="Arial" w:cs="Arial"/>
        </w:rPr>
      </w:pPr>
    </w:p>
    <w:p w14:paraId="4A169542" w14:textId="77777777" w:rsidR="00FA2F99" w:rsidRPr="005E30D3" w:rsidRDefault="00FA2F99" w:rsidP="00FA2F99">
      <w:pPr>
        <w:spacing w:line="480" w:lineRule="auto"/>
        <w:jc w:val="both"/>
        <w:rPr>
          <w:rFonts w:ascii="Arial" w:hAnsi="Arial" w:cs="Arial"/>
        </w:rPr>
      </w:pPr>
      <w:r w:rsidRPr="00215925">
        <w:rPr>
          <w:sz w:val="24"/>
          <w:szCs w:val="24"/>
        </w:rPr>
        <w:t xml:space="preserve">We will also conduct sensitivity analyses using alternative methods to address non-response bias, such as case wise deletion and dummy adjustment. The former involves deleting the entire survey response record if dependent variables have missing data. The latter requires creating a dummy variable to indicate the missing status (0 if not missing data; 1 if missing data) when independent </w:t>
      </w:r>
      <w:r w:rsidRPr="00215925">
        <w:rPr>
          <w:sz w:val="24"/>
          <w:szCs w:val="24"/>
        </w:rPr>
        <w:lastRenderedPageBreak/>
        <w:t>variables in the analytic model have missing data. We will then incorporate the dummy missing indicator and the independent variables in the analytic model as predictors.</w:t>
      </w:r>
    </w:p>
    <w:p w14:paraId="5F68D107" w14:textId="77777777" w:rsidR="008A5BBE" w:rsidRPr="005E30D3" w:rsidRDefault="008A5BBE">
      <w:pPr>
        <w:rPr>
          <w:rFonts w:ascii="Arial" w:hAnsi="Arial" w:cs="Arial"/>
        </w:rPr>
      </w:pPr>
    </w:p>
    <w:sectPr w:rsidR="008A5BBE" w:rsidRPr="005E30D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9F84E" w14:textId="77777777" w:rsidR="00135E6C" w:rsidRDefault="00135E6C" w:rsidP="00FA2F99">
      <w:pPr>
        <w:spacing w:line="240" w:lineRule="auto"/>
      </w:pPr>
      <w:r>
        <w:separator/>
      </w:r>
    </w:p>
  </w:endnote>
  <w:endnote w:type="continuationSeparator" w:id="0">
    <w:p w14:paraId="5B05BCC9" w14:textId="77777777" w:rsidR="00135E6C" w:rsidRDefault="00135E6C" w:rsidP="00FA2F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0251782"/>
      <w:docPartObj>
        <w:docPartGallery w:val="Page Numbers (Bottom of Page)"/>
        <w:docPartUnique/>
      </w:docPartObj>
    </w:sdtPr>
    <w:sdtEndPr>
      <w:rPr>
        <w:noProof/>
      </w:rPr>
    </w:sdtEndPr>
    <w:sdtContent>
      <w:p w14:paraId="56250CB5" w14:textId="77777777" w:rsidR="00C835F9" w:rsidRDefault="00C835F9">
        <w:pPr>
          <w:pStyle w:val="Footer"/>
          <w:jc w:val="center"/>
        </w:pPr>
        <w:r>
          <w:fldChar w:fldCharType="begin"/>
        </w:r>
        <w:r>
          <w:instrText xml:space="preserve"> PAGE   \* MERGEFORMAT </w:instrText>
        </w:r>
        <w:r>
          <w:fldChar w:fldCharType="separate"/>
        </w:r>
        <w:r w:rsidR="00674FEA">
          <w:rPr>
            <w:noProof/>
          </w:rPr>
          <w:t>1</w:t>
        </w:r>
        <w:r>
          <w:rPr>
            <w:noProof/>
          </w:rPr>
          <w:fldChar w:fldCharType="end"/>
        </w:r>
      </w:p>
    </w:sdtContent>
  </w:sdt>
  <w:p w14:paraId="66656447" w14:textId="77777777" w:rsidR="00C835F9" w:rsidRDefault="00C835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C57E3D" w14:textId="77777777" w:rsidR="00135E6C" w:rsidRDefault="00135E6C" w:rsidP="00FA2F99">
      <w:pPr>
        <w:spacing w:line="240" w:lineRule="auto"/>
      </w:pPr>
      <w:r>
        <w:separator/>
      </w:r>
    </w:p>
  </w:footnote>
  <w:footnote w:type="continuationSeparator" w:id="0">
    <w:p w14:paraId="2DE31311" w14:textId="77777777" w:rsidR="00135E6C" w:rsidRDefault="00135E6C" w:rsidP="00FA2F99">
      <w:pPr>
        <w:spacing w:line="240" w:lineRule="auto"/>
      </w:pPr>
      <w:r>
        <w:continuationSeparator/>
      </w:r>
    </w:p>
  </w:footnote>
  <w:footnote w:id="1">
    <w:p w14:paraId="33BC0F50" w14:textId="77777777" w:rsidR="00FA2F99" w:rsidRPr="0061263C" w:rsidRDefault="00FA2F99" w:rsidP="00FA2F99">
      <w:pPr>
        <w:pStyle w:val="FootNote"/>
        <w:spacing w:after="0"/>
      </w:pPr>
      <w:r w:rsidRPr="00215925">
        <w:rPr>
          <w:rStyle w:val="FootnoteReference"/>
          <w:vertAlign w:val="superscript"/>
        </w:rPr>
        <w:footnoteRef/>
      </w:r>
      <w:r w:rsidRPr="0061263C">
        <w:t xml:space="preserve"> </w:t>
      </w:r>
      <w:r w:rsidRPr="00215925">
        <w:rPr>
          <w:rFonts w:ascii="Times New Roman" w:hAnsi="Times New Roman"/>
        </w:rPr>
        <w:t xml:space="preserve">Note:  </w:t>
      </w:r>
      <w:r w:rsidRPr="00215925">
        <w:rPr>
          <w:rFonts w:ascii="Times New Roman" w:eastAsia="Times New Roman" w:hAnsi="Times New Roman"/>
          <w:position w:val="-4"/>
        </w:rPr>
        <w:object w:dxaOrig="220" w:dyaOrig="320" w14:anchorId="21AA7F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4pt;height:14.4pt" o:ole="">
            <v:imagedata r:id="rId1" o:title=""/>
          </v:shape>
          <o:OLEObject Type="Embed" ProgID="Equation.3" ShapeID="_x0000_i1026" DrawAspect="Content" ObjectID="_1536496116" r:id="rId2"/>
        </w:object>
      </w:r>
      <w:r w:rsidRPr="00215925">
        <w:rPr>
          <w:rFonts w:ascii="Times New Roman" w:eastAsia="Times New Roman" w:hAnsi="Times New Roman"/>
        </w:rPr>
        <w:t>i</w:t>
      </w:r>
      <w:r w:rsidRPr="00215925">
        <w:rPr>
          <w:rFonts w:ascii="Times New Roman" w:hAnsi="Times New Roman"/>
        </w:rPr>
        <w:t xml:space="preserve">s the full model prediction using all control variables; </w:t>
      </w:r>
      <w:r w:rsidRPr="00215925">
        <w:rPr>
          <w:rFonts w:ascii="Times New Roman" w:hAnsi="Times New Roman"/>
          <w:i/>
        </w:rPr>
        <w:t>M</w:t>
      </w:r>
      <w:r w:rsidRPr="00215925">
        <w:rPr>
          <w:rFonts w:ascii="Times New Roman" w:hAnsi="Times New Roman"/>
          <w:i/>
          <w:vertAlign w:val="subscript"/>
        </w:rPr>
        <w:t>Full</w:t>
      </w:r>
      <w:r w:rsidRPr="00215925">
        <w:rPr>
          <w:rFonts w:ascii="Times New Roman" w:hAnsi="Times New Roman"/>
        </w:rPr>
        <w:t xml:space="preserve"> is the full model prediction without predictors; and </w:t>
      </w:r>
      <w:r w:rsidRPr="00215925">
        <w:rPr>
          <w:rFonts w:ascii="Times New Roman" w:hAnsi="Times New Roman"/>
          <w:i/>
        </w:rPr>
        <w:t>M</w:t>
      </w:r>
      <w:r w:rsidRPr="00215925">
        <w:rPr>
          <w:rFonts w:ascii="Times New Roman" w:hAnsi="Times New Roman"/>
          <w:i/>
          <w:vertAlign w:val="subscript"/>
        </w:rPr>
        <w:t>Intercept</w:t>
      </w:r>
      <w:r w:rsidRPr="00215925">
        <w:rPr>
          <w:rFonts w:ascii="Times New Roman" w:hAnsi="Times New Roman"/>
        </w:rPr>
        <w:t xml:space="preserve"> is the estimated likelihood of response based on the logit model.</w:t>
      </w:r>
    </w:p>
  </w:footnote>
  <w:footnote w:id="2">
    <w:p w14:paraId="50A43C1D" w14:textId="77777777" w:rsidR="00FA2F99" w:rsidRPr="00215925" w:rsidRDefault="00FA2F99" w:rsidP="00FA2F99">
      <w:pPr>
        <w:pStyle w:val="FootNote"/>
        <w:spacing w:after="0"/>
        <w:rPr>
          <w:rFonts w:ascii="Times New Roman" w:hAnsi="Times New Roman"/>
        </w:rPr>
      </w:pPr>
      <w:r w:rsidRPr="00215925">
        <w:rPr>
          <w:rStyle w:val="FootnoteReference"/>
          <w:rFonts w:ascii="Times New Roman" w:hAnsi="Times New Roman"/>
          <w:vertAlign w:val="superscript"/>
        </w:rPr>
        <w:footnoteRef/>
      </w:r>
      <w:r w:rsidRPr="00215925">
        <w:rPr>
          <w:rFonts w:ascii="Times New Roman" w:hAnsi="Times New Roman"/>
        </w:rPr>
        <w:t xml:space="preserve"> Note: </w:t>
      </w:r>
      <w:r w:rsidRPr="00215925">
        <w:rPr>
          <w:rFonts w:ascii="Times New Roman" w:hAnsi="Times New Roman"/>
          <w:i/>
        </w:rPr>
        <w:t>k</w:t>
      </w:r>
      <w:r w:rsidRPr="00215925">
        <w:rPr>
          <w:rFonts w:ascii="Times New Roman" w:hAnsi="Times New Roman"/>
        </w:rPr>
        <w:t xml:space="preserve"> is the number of parameters in the estimated model; and </w:t>
      </w:r>
      <w:r w:rsidRPr="00215925">
        <w:rPr>
          <w:rFonts w:ascii="Times New Roman" w:eastAsia="Times New Roman" w:hAnsi="Times New Roman"/>
          <w:position w:val="-12"/>
        </w:rPr>
        <w:object w:dxaOrig="279" w:dyaOrig="400" w14:anchorId="24F5C965">
          <v:shape id="_x0000_i1028" type="#_x0000_t75" style="width:14.4pt;height:21.6pt" o:ole="">
            <v:imagedata r:id="rId3" o:title=""/>
          </v:shape>
          <o:OLEObject Type="Embed" ProgID="Equation.3" ShapeID="_x0000_i1028" DrawAspect="Content" ObjectID="_1536496117" r:id="rId4"/>
        </w:object>
      </w:r>
      <w:r w:rsidRPr="00215925">
        <w:rPr>
          <w:rFonts w:ascii="Times New Roman" w:hAnsi="Times New Roman"/>
        </w:rPr>
        <w:t xml:space="preserve"> is the maximum value of the likelihood function based on the estimated model.</w:t>
      </w:r>
    </w:p>
  </w:footnote>
  <w:footnote w:id="3">
    <w:p w14:paraId="47A30C63" w14:textId="77777777" w:rsidR="00FA2F99" w:rsidRPr="0061263C" w:rsidRDefault="00FA2F99" w:rsidP="00FA2F99">
      <w:pPr>
        <w:pStyle w:val="FootnoteText"/>
        <w:spacing w:line="240" w:lineRule="auto"/>
        <w:rPr>
          <w:rFonts w:ascii="Times New Roman" w:hAnsi="Times New Roman"/>
        </w:rPr>
      </w:pPr>
      <w:r w:rsidRPr="00215925">
        <w:rPr>
          <w:rStyle w:val="FootnoteReference"/>
          <w:rFonts w:ascii="Times New Roman" w:hAnsi="Times New Roman"/>
          <w:sz w:val="20"/>
          <w:szCs w:val="20"/>
          <w:vertAlign w:val="superscript"/>
        </w:rPr>
        <w:footnoteRef/>
      </w:r>
      <w:r w:rsidRPr="00215925">
        <w:rPr>
          <w:rFonts w:ascii="Times New Roman" w:hAnsi="Times New Roman"/>
          <w:sz w:val="20"/>
          <w:szCs w:val="20"/>
        </w:rPr>
        <w:t xml:space="preserve"> Source:  McConnell et al., 2006; Trenholm et al., 2007; Benus et al., 2009)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A81E38"/>
    <w:multiLevelType w:val="hybridMultilevel"/>
    <w:tmpl w:val="83DE53FA"/>
    <w:lvl w:ilvl="0" w:tplc="123E1192">
      <w:start w:val="1"/>
      <w:numFmt w:val="bullet"/>
      <w:pStyle w:val="ListBullet"/>
      <w:lvlText w:val=""/>
      <w:lvlJc w:val="left"/>
      <w:pPr>
        <w:ind w:left="1440" w:hanging="360"/>
      </w:pPr>
      <w:rPr>
        <w:rFonts w:ascii="Wingdings" w:hAnsi="Wingdings" w:hint="default"/>
        <w:color w:val="auto"/>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F99"/>
    <w:rsid w:val="00135E6C"/>
    <w:rsid w:val="0019171C"/>
    <w:rsid w:val="00215925"/>
    <w:rsid w:val="0024318E"/>
    <w:rsid w:val="003819C1"/>
    <w:rsid w:val="003B1720"/>
    <w:rsid w:val="00491534"/>
    <w:rsid w:val="005504D6"/>
    <w:rsid w:val="005E30D3"/>
    <w:rsid w:val="0060262C"/>
    <w:rsid w:val="00650604"/>
    <w:rsid w:val="00674FEA"/>
    <w:rsid w:val="0068376B"/>
    <w:rsid w:val="006B3A2C"/>
    <w:rsid w:val="006D0A31"/>
    <w:rsid w:val="0071019D"/>
    <w:rsid w:val="008A5BBE"/>
    <w:rsid w:val="0090684C"/>
    <w:rsid w:val="00997221"/>
    <w:rsid w:val="009C4ECE"/>
    <w:rsid w:val="009D1B21"/>
    <w:rsid w:val="00A02D4F"/>
    <w:rsid w:val="00A179C3"/>
    <w:rsid w:val="00A45731"/>
    <w:rsid w:val="00A4765C"/>
    <w:rsid w:val="00B01D44"/>
    <w:rsid w:val="00B962C5"/>
    <w:rsid w:val="00C236DB"/>
    <w:rsid w:val="00C709F2"/>
    <w:rsid w:val="00C765C7"/>
    <w:rsid w:val="00C835F9"/>
    <w:rsid w:val="00C960ED"/>
    <w:rsid w:val="00D33ABE"/>
    <w:rsid w:val="00DF7EDD"/>
    <w:rsid w:val="00E64DFA"/>
    <w:rsid w:val="00E93D34"/>
    <w:rsid w:val="00F215BC"/>
    <w:rsid w:val="00F96D85"/>
    <w:rsid w:val="00FA2F99"/>
    <w:rsid w:val="00FF23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02D363"/>
  <w15:docId w15:val="{5F581B3A-803E-4492-99D7-5B889BCC0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F99"/>
    <w:pPr>
      <w:spacing w:line="276" w:lineRule="auto"/>
      <w:jc w:val="left"/>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A2F99"/>
  </w:style>
  <w:style w:type="paragraph" w:styleId="FootnoteText">
    <w:name w:val="footnote text"/>
    <w:aliases w:val="F1,Fußnotentextf,fn,ADB,single space,footnote text Char,fn Char,ADB Char,single space Char Char,ft,FOOTNOTES,footnote text,ft1,Footnote,ALTS FOOTNOTE,Geneva 9,Font: Geneva 9,Boston 10,f"/>
    <w:basedOn w:val="Normal"/>
    <w:link w:val="FootnoteTextChar"/>
    <w:qFormat/>
    <w:rsid w:val="00FA2F99"/>
    <w:rPr>
      <w:rFonts w:ascii="Calibri" w:eastAsia="Times New Roman" w:hAnsi="Calibri"/>
      <w:sz w:val="16"/>
      <w:szCs w:val="24"/>
    </w:rPr>
  </w:style>
  <w:style w:type="character" w:customStyle="1" w:styleId="FootnoteTextChar">
    <w:name w:val="Footnote Text Char"/>
    <w:aliases w:val="F1 Char,Fußnotentextf Char,fn Char1,ADB Char1,single space Char,footnote text Char Char,fn Char Char,ADB Char Char,single space Char Char Char,ft Char,FOOTNOTES Char,footnote text Char1,ft1 Char,Footnote Char,ALTS FOOTNOTE Char,f Char"/>
    <w:basedOn w:val="DefaultParagraphFont"/>
    <w:link w:val="FootnoteText"/>
    <w:rsid w:val="00FA2F99"/>
    <w:rPr>
      <w:rFonts w:ascii="Calibri" w:eastAsia="Times New Roman" w:hAnsi="Calibri" w:cs="Times New Roman"/>
      <w:sz w:val="16"/>
      <w:szCs w:val="24"/>
    </w:rPr>
  </w:style>
  <w:style w:type="paragraph" w:customStyle="1" w:styleId="BulletedList">
    <w:name w:val="Bulleted List"/>
    <w:basedOn w:val="ListBullet"/>
    <w:link w:val="BulletedListChar"/>
    <w:qFormat/>
    <w:rsid w:val="00FA2F99"/>
    <w:pPr>
      <w:numPr>
        <w:numId w:val="0"/>
      </w:numPr>
      <w:tabs>
        <w:tab w:val="left" w:pos="720"/>
      </w:tabs>
      <w:spacing w:before="120" w:after="240" w:line="240" w:lineRule="auto"/>
      <w:ind w:left="720" w:hanging="360"/>
      <w:contextualSpacing w:val="0"/>
      <w:jc w:val="both"/>
    </w:pPr>
    <w:rPr>
      <w:rFonts w:cstheme="minorBidi"/>
      <w:sz w:val="24"/>
    </w:rPr>
  </w:style>
  <w:style w:type="character" w:customStyle="1" w:styleId="BulletedListChar">
    <w:name w:val="Bulleted List Char"/>
    <w:basedOn w:val="DefaultParagraphFont"/>
    <w:link w:val="BulletedList"/>
    <w:rsid w:val="00FA2F99"/>
    <w:rPr>
      <w:rFonts w:ascii="Times New Roman" w:hAnsi="Times New Roman"/>
      <w:sz w:val="24"/>
    </w:rPr>
  </w:style>
  <w:style w:type="paragraph" w:customStyle="1" w:styleId="FootNote">
    <w:name w:val="Foot Note"/>
    <w:basedOn w:val="FootnoteText"/>
    <w:link w:val="FootNoteChar"/>
    <w:qFormat/>
    <w:rsid w:val="00FA2F99"/>
    <w:pPr>
      <w:spacing w:after="240" w:line="240" w:lineRule="auto"/>
      <w:jc w:val="both"/>
    </w:pPr>
    <w:rPr>
      <w:rFonts w:eastAsia="Calibri"/>
      <w:sz w:val="20"/>
      <w:szCs w:val="20"/>
    </w:rPr>
  </w:style>
  <w:style w:type="character" w:customStyle="1" w:styleId="FootNoteChar">
    <w:name w:val="Foot Note Char"/>
    <w:basedOn w:val="FootnoteTextChar"/>
    <w:link w:val="FootNote"/>
    <w:rsid w:val="00FA2F99"/>
    <w:rPr>
      <w:rFonts w:ascii="Calibri" w:eastAsia="Calibri" w:hAnsi="Calibri" w:cs="Times New Roman"/>
      <w:sz w:val="20"/>
      <w:szCs w:val="20"/>
    </w:rPr>
  </w:style>
  <w:style w:type="paragraph" w:styleId="ListBullet">
    <w:name w:val="List Bullet"/>
    <w:basedOn w:val="Normal"/>
    <w:uiPriority w:val="99"/>
    <w:semiHidden/>
    <w:unhideWhenUsed/>
    <w:rsid w:val="00FA2F99"/>
    <w:pPr>
      <w:numPr>
        <w:numId w:val="1"/>
      </w:numPr>
      <w:contextualSpacing/>
    </w:pPr>
  </w:style>
  <w:style w:type="paragraph" w:styleId="Header">
    <w:name w:val="header"/>
    <w:basedOn w:val="Normal"/>
    <w:link w:val="HeaderChar"/>
    <w:uiPriority w:val="99"/>
    <w:unhideWhenUsed/>
    <w:rsid w:val="00650604"/>
    <w:pPr>
      <w:tabs>
        <w:tab w:val="center" w:pos="4680"/>
        <w:tab w:val="right" w:pos="9360"/>
      </w:tabs>
      <w:spacing w:line="240" w:lineRule="auto"/>
    </w:pPr>
  </w:style>
  <w:style w:type="character" w:customStyle="1" w:styleId="HeaderChar">
    <w:name w:val="Header Char"/>
    <w:basedOn w:val="DefaultParagraphFont"/>
    <w:link w:val="Header"/>
    <w:uiPriority w:val="99"/>
    <w:rsid w:val="00650604"/>
    <w:rPr>
      <w:rFonts w:ascii="Times New Roman" w:hAnsi="Times New Roman" w:cs="Times New Roman"/>
    </w:rPr>
  </w:style>
  <w:style w:type="paragraph" w:styleId="Footer">
    <w:name w:val="footer"/>
    <w:basedOn w:val="Normal"/>
    <w:link w:val="FooterChar"/>
    <w:uiPriority w:val="99"/>
    <w:unhideWhenUsed/>
    <w:rsid w:val="00650604"/>
    <w:pPr>
      <w:tabs>
        <w:tab w:val="center" w:pos="4680"/>
        <w:tab w:val="right" w:pos="9360"/>
      </w:tabs>
      <w:spacing w:line="240" w:lineRule="auto"/>
    </w:pPr>
  </w:style>
  <w:style w:type="character" w:customStyle="1" w:styleId="FooterChar">
    <w:name w:val="Footer Char"/>
    <w:basedOn w:val="DefaultParagraphFont"/>
    <w:link w:val="Footer"/>
    <w:uiPriority w:val="99"/>
    <w:rsid w:val="00650604"/>
    <w:rPr>
      <w:rFonts w:ascii="Times New Roman" w:hAnsi="Times New Roman" w:cs="Times New Roman"/>
    </w:rPr>
  </w:style>
  <w:style w:type="paragraph" w:styleId="BalloonText">
    <w:name w:val="Balloon Text"/>
    <w:basedOn w:val="Normal"/>
    <w:link w:val="BalloonTextChar"/>
    <w:uiPriority w:val="99"/>
    <w:semiHidden/>
    <w:unhideWhenUsed/>
    <w:rsid w:val="006D0A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A31"/>
    <w:rPr>
      <w:rFonts w:ascii="Tahoma" w:hAnsi="Tahoma" w:cs="Tahoma"/>
      <w:sz w:val="16"/>
      <w:szCs w:val="16"/>
    </w:rPr>
  </w:style>
  <w:style w:type="character" w:styleId="CommentReference">
    <w:name w:val="annotation reference"/>
    <w:basedOn w:val="DefaultParagraphFont"/>
    <w:uiPriority w:val="99"/>
    <w:semiHidden/>
    <w:unhideWhenUsed/>
    <w:rsid w:val="006D0A31"/>
    <w:rPr>
      <w:sz w:val="16"/>
      <w:szCs w:val="16"/>
    </w:rPr>
  </w:style>
  <w:style w:type="paragraph" w:styleId="CommentText">
    <w:name w:val="annotation text"/>
    <w:basedOn w:val="Normal"/>
    <w:link w:val="CommentTextChar"/>
    <w:uiPriority w:val="99"/>
    <w:semiHidden/>
    <w:unhideWhenUsed/>
    <w:rsid w:val="006D0A31"/>
    <w:pPr>
      <w:spacing w:line="240" w:lineRule="auto"/>
    </w:pPr>
    <w:rPr>
      <w:sz w:val="20"/>
      <w:szCs w:val="20"/>
    </w:rPr>
  </w:style>
  <w:style w:type="character" w:customStyle="1" w:styleId="CommentTextChar">
    <w:name w:val="Comment Text Char"/>
    <w:basedOn w:val="DefaultParagraphFont"/>
    <w:link w:val="CommentText"/>
    <w:uiPriority w:val="99"/>
    <w:semiHidden/>
    <w:rsid w:val="006D0A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D0A31"/>
    <w:rPr>
      <w:b/>
      <w:bCs/>
    </w:rPr>
  </w:style>
  <w:style w:type="character" w:customStyle="1" w:styleId="CommentSubjectChar">
    <w:name w:val="Comment Subject Char"/>
    <w:basedOn w:val="CommentTextChar"/>
    <w:link w:val="CommentSubject"/>
    <w:uiPriority w:val="99"/>
    <w:semiHidden/>
    <w:rsid w:val="006D0A31"/>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image" Target="media/image2.wmf"/><Relationship Id="rId2" Type="http://schemas.openxmlformats.org/officeDocument/2006/relationships/oleObject" Target="embeddings/oleObject1.bin"/><Relationship Id="rId1" Type="http://schemas.openxmlformats.org/officeDocument/2006/relationships/image" Target="media/image1.wmf"/><Relationship Id="rId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Kofi Ampaabeng</dc:creator>
  <cp:keywords/>
  <dc:description/>
  <cp:lastModifiedBy>Madeleine Levin</cp:lastModifiedBy>
  <cp:revision>2</cp:revision>
  <dcterms:created xsi:type="dcterms:W3CDTF">2016-09-27T19:42:00Z</dcterms:created>
  <dcterms:modified xsi:type="dcterms:W3CDTF">2016-09-27T19:42:00Z</dcterms:modified>
</cp:coreProperties>
</file>