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E7A" w:rsidRPr="001E2205" w:rsidRDefault="00AB0E7A" w:rsidP="00AB0E7A">
      <w:pPr>
        <w:tabs>
          <w:tab w:val="center" w:pos="4680"/>
        </w:tabs>
        <w:suppressAutoHyphens/>
        <w:spacing w:after="0"/>
        <w:jc w:val="center"/>
        <w:rPr>
          <w:b/>
          <w:bCs/>
          <w:szCs w:val="24"/>
        </w:rPr>
      </w:pPr>
      <w:r w:rsidRPr="001E2205">
        <w:rPr>
          <w:b/>
          <w:bCs/>
          <w:szCs w:val="24"/>
        </w:rPr>
        <w:t>SUPPORTING STATEMENT</w:t>
      </w:r>
    </w:p>
    <w:p w:rsidR="00AB0E7A" w:rsidRDefault="00AB0E7A" w:rsidP="00AB0E7A">
      <w:pPr>
        <w:pStyle w:val="Default"/>
        <w:jc w:val="center"/>
        <w:rPr>
          <w:b/>
          <w:bCs/>
        </w:rPr>
      </w:pPr>
      <w:r w:rsidRPr="001E2205">
        <w:rPr>
          <w:b/>
          <w:bCs/>
        </w:rPr>
        <w:t xml:space="preserve">for the Paperwork Reduction Act Information Collection Submission </w:t>
      </w:r>
    </w:p>
    <w:p w:rsidR="004457CD" w:rsidRDefault="00AB0E7A" w:rsidP="004457CD">
      <w:pPr>
        <w:pStyle w:val="Default"/>
        <w:jc w:val="center"/>
        <w:rPr>
          <w:b/>
          <w:bCs/>
        </w:rPr>
      </w:pPr>
      <w:r w:rsidRPr="001E2205">
        <w:rPr>
          <w:b/>
          <w:bCs/>
        </w:rPr>
        <w:t>for</w:t>
      </w:r>
      <w:r>
        <w:rPr>
          <w:b/>
          <w:bCs/>
        </w:rPr>
        <w:t xml:space="preserve"> </w:t>
      </w:r>
      <w:r w:rsidR="004457CD">
        <w:rPr>
          <w:b/>
          <w:bCs/>
        </w:rPr>
        <w:t>Amendment</w:t>
      </w:r>
      <w:r w:rsidR="00851E52">
        <w:rPr>
          <w:b/>
          <w:bCs/>
        </w:rPr>
        <w:t>s</w:t>
      </w:r>
      <w:r w:rsidR="004457CD">
        <w:rPr>
          <w:b/>
          <w:bCs/>
        </w:rPr>
        <w:t xml:space="preserve"> to Rule 13n-4 in Connection with</w:t>
      </w:r>
    </w:p>
    <w:p w:rsidR="004457CD" w:rsidRDefault="004457CD" w:rsidP="004457CD">
      <w:pPr>
        <w:pStyle w:val="Default"/>
        <w:jc w:val="center"/>
        <w:rPr>
          <w:b/>
        </w:rPr>
      </w:pPr>
      <w:r>
        <w:rPr>
          <w:b/>
        </w:rPr>
        <w:t xml:space="preserve">Access to Data Obtained by Security-Based Swap Data Repositories </w:t>
      </w:r>
    </w:p>
    <w:p w:rsidR="004457CD" w:rsidRDefault="004457CD" w:rsidP="004457CD">
      <w:pPr>
        <w:pStyle w:val="Default"/>
        <w:rPr>
          <w:b/>
          <w:bCs/>
        </w:rPr>
      </w:pPr>
    </w:p>
    <w:p w:rsidR="000625FD" w:rsidRPr="00127AC2" w:rsidRDefault="000625FD" w:rsidP="00127AC2">
      <w:pPr>
        <w:ind w:firstLine="720"/>
        <w:rPr>
          <w:szCs w:val="24"/>
        </w:rPr>
      </w:pPr>
      <w:r w:rsidRPr="002927F4">
        <w:rPr>
          <w:szCs w:val="24"/>
        </w:rPr>
        <w:t>This submission is being made pursuant to the Paperwork Reduction Act of 1995, 44 U.S.C. Section 3501 et seq.</w:t>
      </w:r>
    </w:p>
    <w:p w:rsidR="00AB0E7A" w:rsidRDefault="004457CD" w:rsidP="00BB3331">
      <w:pPr>
        <w:pStyle w:val="Heading1"/>
        <w:rPr>
          <w:b w:val="0"/>
        </w:rPr>
      </w:pPr>
      <w:r>
        <w:rPr>
          <w:b w:val="0"/>
        </w:rPr>
        <w:t>A.</w:t>
      </w:r>
      <w:r>
        <w:rPr>
          <w:b w:val="0"/>
        </w:rPr>
        <w:tab/>
      </w:r>
      <w:r w:rsidRPr="004457CD">
        <w:rPr>
          <w:b w:val="0"/>
          <w:u w:val="single"/>
        </w:rPr>
        <w:t>Justification</w:t>
      </w:r>
    </w:p>
    <w:p w:rsidR="004457CD" w:rsidRDefault="004457CD" w:rsidP="00BB3331">
      <w:pPr>
        <w:pStyle w:val="Heading1"/>
        <w:rPr>
          <w:b w:val="0"/>
        </w:rPr>
      </w:pPr>
      <w:r>
        <w:rPr>
          <w:b w:val="0"/>
        </w:rPr>
        <w:tab/>
        <w:t>1.</w:t>
      </w:r>
      <w:r>
        <w:rPr>
          <w:b w:val="0"/>
        </w:rPr>
        <w:tab/>
      </w:r>
      <w:r w:rsidRPr="004457CD">
        <w:rPr>
          <w:b w:val="0"/>
          <w:u w:val="single"/>
        </w:rPr>
        <w:t>Necessity of Information Collection</w:t>
      </w:r>
    </w:p>
    <w:p w:rsidR="004457CD" w:rsidRDefault="004457CD" w:rsidP="004457CD">
      <w:pPr>
        <w:ind w:firstLine="720"/>
        <w:rPr>
          <w:b/>
        </w:rPr>
      </w:pPr>
      <w:r w:rsidRPr="005A39E6">
        <w:t xml:space="preserve">Title VII of the Dodd-Frank Act provides for a comprehensive regulatory framework for security-based swaps (“SBSs”), including the regulation of </w:t>
      </w:r>
      <w:r>
        <w:t>security-based swap data repositories (“</w:t>
      </w:r>
      <w:r w:rsidRPr="005A39E6">
        <w:t>SDRs</w:t>
      </w:r>
      <w:r>
        <w:t>”)</w:t>
      </w:r>
      <w:r w:rsidRPr="005A39E6">
        <w:t>.</w:t>
      </w:r>
      <w:r>
        <w:rPr>
          <w:rStyle w:val="FootnoteReference"/>
          <w:szCs w:val="24"/>
        </w:rPr>
        <w:footnoteReference w:id="1"/>
      </w:r>
      <w:r>
        <w:t xml:space="preserve">  These include requirements that SDRs make </w:t>
      </w:r>
      <w:r w:rsidR="00BC3B07">
        <w:t xml:space="preserve">SBS </w:t>
      </w:r>
      <w:r>
        <w:t>data conditionally available to certain regulators and other authorities.</w:t>
      </w:r>
      <w:r w:rsidR="006312FC">
        <w:rPr>
          <w:rStyle w:val="FootnoteReference"/>
        </w:rPr>
        <w:footnoteReference w:id="2"/>
      </w:r>
      <w:r>
        <w:t xml:space="preserve">  </w:t>
      </w:r>
      <w:r w:rsidRPr="005A39E6">
        <w:t xml:space="preserve">  </w:t>
      </w:r>
    </w:p>
    <w:p w:rsidR="004457CD" w:rsidRDefault="006312FC" w:rsidP="00E64508">
      <w:pPr>
        <w:spacing w:after="0"/>
      </w:pPr>
      <w:r>
        <w:tab/>
      </w:r>
      <w:r w:rsidR="000625FD" w:rsidRPr="00A46539">
        <w:rPr>
          <w:szCs w:val="24"/>
        </w:rPr>
        <w:t xml:space="preserve">On </w:t>
      </w:r>
      <w:r w:rsidR="000625FD">
        <w:rPr>
          <w:szCs w:val="24"/>
        </w:rPr>
        <w:t xml:space="preserve">August </w:t>
      </w:r>
      <w:r w:rsidR="00CC2D91">
        <w:rPr>
          <w:szCs w:val="24"/>
        </w:rPr>
        <w:t>29</w:t>
      </w:r>
      <w:r w:rsidR="000625FD">
        <w:rPr>
          <w:szCs w:val="24"/>
        </w:rPr>
        <w:t>, 2016</w:t>
      </w:r>
      <w:r w:rsidR="000625FD" w:rsidRPr="00A46539">
        <w:rPr>
          <w:szCs w:val="24"/>
        </w:rPr>
        <w:t xml:space="preserve">, the Commission </w:t>
      </w:r>
      <w:r w:rsidR="000625FD">
        <w:rPr>
          <w:szCs w:val="24"/>
        </w:rPr>
        <w:t>adopted</w:t>
      </w:r>
      <w:r>
        <w:t xml:space="preserve"> </w:t>
      </w:r>
      <w:r w:rsidR="00127AC2">
        <w:t>r</w:t>
      </w:r>
      <w:r>
        <w:t>ules 13n-4(b</w:t>
      </w:r>
      <w:proofErr w:type="gramStart"/>
      <w:r>
        <w:t>)(</w:t>
      </w:r>
      <w:proofErr w:type="gramEnd"/>
      <w:r>
        <w:t>9), (b)(1</w:t>
      </w:r>
      <w:r w:rsidR="00B67502">
        <w:t>0</w:t>
      </w:r>
      <w:r>
        <w:t>) and (d) to implement that data access requirement.</w:t>
      </w:r>
      <w:r w:rsidR="000625FD" w:rsidRPr="00A46539">
        <w:rPr>
          <w:rStyle w:val="FootnoteReference"/>
          <w:szCs w:val="24"/>
        </w:rPr>
        <w:footnoteReference w:id="3"/>
      </w:r>
      <w:r>
        <w:t xml:space="preserve">  Under those </w:t>
      </w:r>
      <w:r w:rsidR="00127AC2">
        <w:t>r</w:t>
      </w:r>
      <w:r>
        <w:t xml:space="preserve">ules, SDRs would be required to provide </w:t>
      </w:r>
      <w:r w:rsidR="00BC3B07">
        <w:t xml:space="preserve">SBS </w:t>
      </w:r>
      <w:r>
        <w:t xml:space="preserve">data to certain </w:t>
      </w:r>
      <w:r w:rsidR="00171261">
        <w:t xml:space="preserve">entities, subject to a confidentiality condition.  The </w:t>
      </w:r>
      <w:r w:rsidR="00127AC2">
        <w:t>r</w:t>
      </w:r>
      <w:r w:rsidR="007858F5">
        <w:t xml:space="preserve">ules </w:t>
      </w:r>
      <w:r w:rsidR="00171261">
        <w:t>further would require SDRs to create and maintain information regarding such data access.</w:t>
      </w:r>
    </w:p>
    <w:p w:rsidR="009275EC" w:rsidRDefault="009275EC" w:rsidP="00E64508">
      <w:pPr>
        <w:spacing w:after="0"/>
      </w:pPr>
    </w:p>
    <w:p w:rsidR="009275EC" w:rsidRDefault="009275EC" w:rsidP="00E64508">
      <w:pPr>
        <w:spacing w:after="0"/>
      </w:pPr>
      <w:r>
        <w:tab/>
        <w:t>To satisfy the statutory confidentiality condition associated with the data access requirements,</w:t>
      </w:r>
      <w:r>
        <w:rPr>
          <w:rStyle w:val="FootnoteReference"/>
        </w:rPr>
        <w:footnoteReference w:id="4"/>
      </w:r>
      <w:r>
        <w:t xml:space="preserve"> regulators and other authorities </w:t>
      </w:r>
      <w:r w:rsidR="00BC3B07">
        <w:t xml:space="preserve">will enter into a memorandum of understanding (“MOU”) or other arrangement to address the confidentiality of the SBS information made available to the entity.  </w:t>
      </w:r>
    </w:p>
    <w:p w:rsidR="00BC3B07" w:rsidRDefault="00BC3B07" w:rsidP="00E64508">
      <w:pPr>
        <w:spacing w:after="0"/>
      </w:pPr>
    </w:p>
    <w:p w:rsidR="00BC3B07" w:rsidRDefault="00BC3B07" w:rsidP="00E64508">
      <w:pPr>
        <w:spacing w:after="0"/>
      </w:pPr>
      <w:r>
        <w:tab/>
        <w:t>Also, in connection with the Commission’s statutory authority to determine other persons to be appropriate to access data pursuant to these provisions,</w:t>
      </w:r>
      <w:r>
        <w:rPr>
          <w:rStyle w:val="FootnoteReference"/>
        </w:rPr>
        <w:footnoteReference w:id="5"/>
      </w:r>
      <w:r>
        <w:t xml:space="preserve"> certain regulators or other authorities not designated by statute may submit </w:t>
      </w:r>
      <w:r w:rsidR="00485ACD">
        <w:t>applications to the Commission requesting that they be deemed eligible to obtain such SBS data.</w:t>
      </w:r>
      <w:r>
        <w:t xml:space="preserve">   </w:t>
      </w:r>
    </w:p>
    <w:p w:rsidR="00E52182" w:rsidRDefault="00E52182" w:rsidP="00E64508">
      <w:pPr>
        <w:tabs>
          <w:tab w:val="left" w:pos="720"/>
        </w:tabs>
        <w:spacing w:after="0"/>
        <w:ind w:left="1440" w:hanging="1440"/>
        <w:rPr>
          <w:szCs w:val="24"/>
        </w:rPr>
      </w:pPr>
    </w:p>
    <w:p w:rsidR="00171261" w:rsidRDefault="00171261" w:rsidP="00E52182">
      <w:pPr>
        <w:tabs>
          <w:tab w:val="left" w:pos="720"/>
        </w:tabs>
        <w:spacing w:after="0"/>
        <w:ind w:left="1440" w:hanging="1440"/>
        <w:rPr>
          <w:szCs w:val="24"/>
          <w:u w:val="single"/>
        </w:rPr>
      </w:pPr>
      <w:r w:rsidRPr="00796A1E">
        <w:rPr>
          <w:szCs w:val="24"/>
        </w:rPr>
        <w:tab/>
        <w:t>2.</w:t>
      </w:r>
      <w:r w:rsidRPr="00796A1E">
        <w:rPr>
          <w:szCs w:val="24"/>
        </w:rPr>
        <w:tab/>
      </w:r>
      <w:r w:rsidRPr="00796A1E">
        <w:rPr>
          <w:szCs w:val="24"/>
          <w:u w:val="single"/>
        </w:rPr>
        <w:t>Purpose of, and Consequences of Not Requiring, the Information Collection</w:t>
      </w:r>
    </w:p>
    <w:p w:rsidR="00E52182" w:rsidRPr="00796A1E" w:rsidRDefault="00E52182" w:rsidP="00E52182">
      <w:pPr>
        <w:tabs>
          <w:tab w:val="left" w:pos="720"/>
        </w:tabs>
        <w:spacing w:after="0"/>
        <w:ind w:left="1440" w:hanging="1440"/>
        <w:rPr>
          <w:szCs w:val="24"/>
        </w:rPr>
      </w:pPr>
    </w:p>
    <w:p w:rsidR="006312FC" w:rsidRDefault="00171261" w:rsidP="00E52182">
      <w:pPr>
        <w:spacing w:after="0"/>
      </w:pPr>
      <w:r>
        <w:tab/>
        <w:t xml:space="preserve">By allowing certain U.S. and non-U.S. regulators and other authorities to access security-based swap data from SDRs, </w:t>
      </w:r>
      <w:r w:rsidR="00E52182">
        <w:t xml:space="preserve">implementation of the statutory </w:t>
      </w:r>
      <w:r>
        <w:t>data access provisions</w:t>
      </w:r>
      <w:r w:rsidR="00485ACD">
        <w:t xml:space="preserve"> – including </w:t>
      </w:r>
      <w:r w:rsidR="00485ACD">
        <w:lastRenderedPageBreak/>
        <w:t xml:space="preserve">the confidentiality condition and the Commission’s authority to designate entities to access such information – will </w:t>
      </w:r>
      <w:r w:rsidR="00E52182">
        <w:t xml:space="preserve">facilitate regulatory oversight of the SBS market and its participants, including oversight of systemic and other risks associated with the market.  Implementation of </w:t>
      </w:r>
      <w:r w:rsidR="00485ACD">
        <w:t xml:space="preserve">those </w:t>
      </w:r>
      <w:r w:rsidR="00E52182">
        <w:t xml:space="preserve">provisions also will promote compliance with applicable laws and regulations, including but not limited to compliance with the antifraud provisions of the federal securities laws.  </w:t>
      </w:r>
    </w:p>
    <w:p w:rsidR="00E64508" w:rsidRDefault="00E64508" w:rsidP="00E52182">
      <w:pPr>
        <w:spacing w:after="0"/>
      </w:pPr>
    </w:p>
    <w:p w:rsidR="00E64508" w:rsidRDefault="00E64508" w:rsidP="00485ACD">
      <w:pPr>
        <w:keepNext/>
        <w:spacing w:after="0"/>
      </w:pPr>
      <w:r>
        <w:tab/>
        <w:t>3.</w:t>
      </w:r>
      <w:r>
        <w:tab/>
      </w:r>
      <w:r w:rsidRPr="00796A1E">
        <w:rPr>
          <w:szCs w:val="24"/>
          <w:u w:val="single"/>
        </w:rPr>
        <w:t>Role of Improved Information Technology and Obstacles to Reducing Burden</w:t>
      </w:r>
    </w:p>
    <w:p w:rsidR="00E64508" w:rsidRDefault="00E64508" w:rsidP="00485ACD">
      <w:pPr>
        <w:keepNext/>
        <w:spacing w:after="0"/>
      </w:pPr>
    </w:p>
    <w:p w:rsidR="006312FC" w:rsidRDefault="00E64508" w:rsidP="00537A77">
      <w:pPr>
        <w:spacing w:after="0"/>
      </w:pPr>
      <w:r>
        <w:tab/>
        <w:t xml:space="preserve">The </w:t>
      </w:r>
      <w:r w:rsidR="0025167D">
        <w:t>r</w:t>
      </w:r>
      <w:r w:rsidR="00DB5042">
        <w:t xml:space="preserve">ules </w:t>
      </w:r>
      <w:r>
        <w:t xml:space="preserve">are drafted in a flexible manner that does not mandate the method by which data is provided, and hence will facilitate the ability of regulators and other authorities to access such information.  </w:t>
      </w:r>
      <w:r w:rsidR="00851E52">
        <w:t xml:space="preserve">In particular, </w:t>
      </w:r>
      <w:r>
        <w:t xml:space="preserve">the </w:t>
      </w:r>
      <w:r w:rsidR="0025167D">
        <w:t>r</w:t>
      </w:r>
      <w:r w:rsidR="00DB5042">
        <w:t xml:space="preserve">ules </w:t>
      </w:r>
      <w:r>
        <w:t>related to the statutory requirement that the Commission be notified of data requests</w:t>
      </w:r>
      <w:r w:rsidR="00851E52">
        <w:t xml:space="preserve"> states that an SDR can satisfy that requirement by informing the Commission of the first instance of a request, and maintaining records of other requests.  </w:t>
      </w:r>
      <w:r w:rsidR="00537A77">
        <w:t xml:space="preserve">This approach is designed to account for the way the Commission expects entitles are likely to access data from SDRs.  </w:t>
      </w:r>
    </w:p>
    <w:p w:rsidR="00537A77" w:rsidRDefault="00537A77" w:rsidP="00537A77">
      <w:pPr>
        <w:spacing w:after="0"/>
      </w:pPr>
    </w:p>
    <w:p w:rsidR="00537A77" w:rsidRPr="00796A1E" w:rsidRDefault="00537A77" w:rsidP="00537A77">
      <w:pPr>
        <w:spacing w:after="0"/>
        <w:rPr>
          <w:szCs w:val="24"/>
        </w:rPr>
      </w:pPr>
      <w:r w:rsidRPr="00796A1E">
        <w:rPr>
          <w:szCs w:val="24"/>
        </w:rPr>
        <w:tab/>
        <w:t>4.</w:t>
      </w:r>
      <w:r w:rsidRPr="00796A1E">
        <w:rPr>
          <w:szCs w:val="24"/>
        </w:rPr>
        <w:tab/>
      </w:r>
      <w:r w:rsidRPr="00796A1E">
        <w:rPr>
          <w:szCs w:val="24"/>
          <w:u w:val="single"/>
        </w:rPr>
        <w:t>Efforts to Identify Duplication</w:t>
      </w:r>
    </w:p>
    <w:p w:rsidR="00537A77" w:rsidRPr="00796A1E" w:rsidRDefault="00537A77" w:rsidP="00537A77">
      <w:pPr>
        <w:spacing w:after="0"/>
        <w:rPr>
          <w:szCs w:val="24"/>
        </w:rPr>
      </w:pPr>
    </w:p>
    <w:p w:rsidR="00537A77" w:rsidRPr="00796A1E" w:rsidRDefault="00537A77" w:rsidP="00CE5B18">
      <w:pPr>
        <w:spacing w:after="0"/>
        <w:rPr>
          <w:szCs w:val="24"/>
        </w:rPr>
      </w:pPr>
      <w:r w:rsidRPr="00796A1E">
        <w:rPr>
          <w:szCs w:val="24"/>
        </w:rPr>
        <w:tab/>
        <w:t>Section 712(a)(2) of the Dodd-Frank Act provides that, before commencing any rulemaking regarding, among other things, SBSs or SDRs, the Commission must consult and coordinate with the Commodity Futures Trading Commission (“CFTC”) and prudential regulators for the purposes of assuring regulatory consistency and comparability, to the extent possible.  Any person that is required to be registered as an SDR under Exchange Act Section 13(n) must register with the Commission</w:t>
      </w:r>
      <w:r>
        <w:rPr>
          <w:szCs w:val="24"/>
        </w:rPr>
        <w:t xml:space="preserve"> (absent an exemption)</w:t>
      </w:r>
      <w:r w:rsidRPr="00796A1E">
        <w:rPr>
          <w:szCs w:val="24"/>
        </w:rPr>
        <w:t xml:space="preserve">, regardless of whether that person is also registered </w:t>
      </w:r>
      <w:r>
        <w:rPr>
          <w:szCs w:val="24"/>
        </w:rPr>
        <w:t xml:space="preserve">with the CFTC </w:t>
      </w:r>
      <w:r w:rsidRPr="00796A1E">
        <w:rPr>
          <w:szCs w:val="24"/>
        </w:rPr>
        <w:t xml:space="preserve">under the Commodities Exchange Act as a swap data repository.  The Commission believes that a </w:t>
      </w:r>
      <w:r>
        <w:rPr>
          <w:szCs w:val="24"/>
        </w:rPr>
        <w:t xml:space="preserve">person </w:t>
      </w:r>
      <w:r w:rsidRPr="00796A1E">
        <w:rPr>
          <w:szCs w:val="24"/>
        </w:rPr>
        <w:t xml:space="preserve">that registers with the Commission as an SDR is likely to </w:t>
      </w:r>
      <w:r>
        <w:rPr>
          <w:szCs w:val="24"/>
        </w:rPr>
        <w:t xml:space="preserve">also </w:t>
      </w:r>
      <w:r w:rsidRPr="00796A1E">
        <w:rPr>
          <w:szCs w:val="24"/>
        </w:rPr>
        <w:t xml:space="preserve">register with the CFTC as a swap data repository.  As </w:t>
      </w:r>
      <w:r>
        <w:rPr>
          <w:szCs w:val="24"/>
        </w:rPr>
        <w:t>mandated by Sectio</w:t>
      </w:r>
      <w:r w:rsidR="00EE3506">
        <w:rPr>
          <w:szCs w:val="24"/>
        </w:rPr>
        <w:t xml:space="preserve">n </w:t>
      </w:r>
      <w:r>
        <w:rPr>
          <w:szCs w:val="24"/>
        </w:rPr>
        <w:t>712 of the Dodd-Frank Act</w:t>
      </w:r>
      <w:r w:rsidRPr="00796A1E">
        <w:rPr>
          <w:szCs w:val="24"/>
        </w:rPr>
        <w:t>, the Commission staff and CFTC staff have consulted and coordinated with one another regarding their respective Commissions’ rules regarding SDRs and swap data repositories.  Commission staff has also consulted and coordinated with other prudential regulators.</w:t>
      </w:r>
    </w:p>
    <w:p w:rsidR="00537A77" w:rsidRPr="00796A1E" w:rsidRDefault="00537A77" w:rsidP="00CE5B18">
      <w:pPr>
        <w:spacing w:after="0"/>
        <w:rPr>
          <w:szCs w:val="24"/>
        </w:rPr>
      </w:pPr>
    </w:p>
    <w:p w:rsidR="00537A77" w:rsidRPr="00796A1E" w:rsidRDefault="00537A77" w:rsidP="00CE5B18">
      <w:pPr>
        <w:spacing w:after="0"/>
        <w:rPr>
          <w:szCs w:val="24"/>
        </w:rPr>
      </w:pPr>
      <w:r w:rsidRPr="00796A1E">
        <w:rPr>
          <w:szCs w:val="24"/>
        </w:rPr>
        <w:tab/>
        <w:t>5.</w:t>
      </w:r>
      <w:r w:rsidRPr="00796A1E">
        <w:rPr>
          <w:szCs w:val="24"/>
        </w:rPr>
        <w:tab/>
      </w:r>
      <w:r w:rsidRPr="00796A1E">
        <w:rPr>
          <w:szCs w:val="24"/>
          <w:u w:val="single"/>
        </w:rPr>
        <w:t>Effects on Small Entities</w:t>
      </w:r>
    </w:p>
    <w:p w:rsidR="00537A77" w:rsidRPr="00796A1E" w:rsidRDefault="00537A77" w:rsidP="00CE5B18">
      <w:pPr>
        <w:spacing w:after="0"/>
        <w:rPr>
          <w:szCs w:val="24"/>
        </w:rPr>
      </w:pPr>
    </w:p>
    <w:p w:rsidR="00537A77" w:rsidRPr="00796A1E" w:rsidRDefault="00537A77" w:rsidP="00CE5B18">
      <w:pPr>
        <w:spacing w:after="0"/>
        <w:rPr>
          <w:szCs w:val="24"/>
        </w:rPr>
      </w:pPr>
      <w:r w:rsidRPr="00796A1E">
        <w:rPr>
          <w:szCs w:val="24"/>
        </w:rPr>
        <w:tab/>
        <w:t xml:space="preserve">The </w:t>
      </w:r>
      <w:r w:rsidR="0025167D">
        <w:rPr>
          <w:szCs w:val="24"/>
        </w:rPr>
        <w:t>r</w:t>
      </w:r>
      <w:r>
        <w:rPr>
          <w:szCs w:val="24"/>
        </w:rPr>
        <w:t>ule</w:t>
      </w:r>
      <w:r w:rsidR="00DB5042">
        <w:rPr>
          <w:szCs w:val="24"/>
        </w:rPr>
        <w:t>s</w:t>
      </w:r>
      <w:r>
        <w:rPr>
          <w:szCs w:val="24"/>
        </w:rPr>
        <w:t xml:space="preserve"> </w:t>
      </w:r>
      <w:r w:rsidRPr="00796A1E">
        <w:rPr>
          <w:szCs w:val="24"/>
        </w:rPr>
        <w:t>will not have a significant economic impact on a substantial number of small entities.</w:t>
      </w:r>
    </w:p>
    <w:p w:rsidR="00537A77" w:rsidRDefault="00537A77" w:rsidP="00CE5B18">
      <w:pPr>
        <w:spacing w:after="0"/>
      </w:pPr>
    </w:p>
    <w:p w:rsidR="00537A77" w:rsidRDefault="00537A77" w:rsidP="00CE5B18">
      <w:pPr>
        <w:spacing w:after="0"/>
        <w:ind w:firstLine="720"/>
        <w:rPr>
          <w:szCs w:val="24"/>
          <w:u w:val="single"/>
        </w:rPr>
      </w:pPr>
      <w:r w:rsidRPr="00796A1E">
        <w:rPr>
          <w:szCs w:val="24"/>
        </w:rPr>
        <w:t>6.</w:t>
      </w:r>
      <w:r w:rsidRPr="00796A1E">
        <w:rPr>
          <w:szCs w:val="24"/>
        </w:rPr>
        <w:tab/>
      </w:r>
      <w:r w:rsidRPr="00796A1E">
        <w:rPr>
          <w:szCs w:val="24"/>
          <w:u w:val="single"/>
        </w:rPr>
        <w:t>Consequences of Less Frequent Collection</w:t>
      </w:r>
    </w:p>
    <w:p w:rsidR="00CE5B18" w:rsidRPr="00796A1E" w:rsidRDefault="00CE5B18" w:rsidP="00CE5B18">
      <w:pPr>
        <w:spacing w:after="0"/>
        <w:ind w:firstLine="720"/>
        <w:rPr>
          <w:szCs w:val="24"/>
        </w:rPr>
      </w:pPr>
    </w:p>
    <w:p w:rsidR="008777AA" w:rsidRDefault="00537A77" w:rsidP="009275EC">
      <w:pPr>
        <w:spacing w:after="0"/>
      </w:pPr>
      <w:r>
        <w:tab/>
        <w:t xml:space="preserve">The </w:t>
      </w:r>
      <w:r w:rsidR="00626ECF">
        <w:t>r</w:t>
      </w:r>
      <w:r>
        <w:t>ule</w:t>
      </w:r>
      <w:r w:rsidR="00DB5042">
        <w:t>s</w:t>
      </w:r>
      <w:r>
        <w:t xml:space="preserve"> </w:t>
      </w:r>
      <w:r w:rsidR="008777AA">
        <w:t>are intended to permit U.S. and non-U.S. regulators and other authorities</w:t>
      </w:r>
      <w:r w:rsidR="00521970">
        <w:t xml:space="preserve"> to</w:t>
      </w:r>
      <w:r w:rsidR="008777AA">
        <w:t xml:space="preserve"> access SBS information in connection with </w:t>
      </w:r>
      <w:r w:rsidR="00521970">
        <w:t xml:space="preserve">overseeing </w:t>
      </w:r>
      <w:r w:rsidR="008777AA">
        <w:t>the SBS markets and its participants, monitoring and control</w:t>
      </w:r>
      <w:r w:rsidR="00521970">
        <w:t>ling</w:t>
      </w:r>
      <w:r w:rsidR="008777AA">
        <w:t xml:space="preserve"> of risks including systemic risks, and promoting compliance with applicable requirements.  A less frequent collection of information would impinge upon the ability of regulators and other authorities to </w:t>
      </w:r>
      <w:r w:rsidR="00123CAA">
        <w:t xml:space="preserve">see current information regarding the SBS market and its participants, and hence would conflict with all of those goals.  </w:t>
      </w:r>
    </w:p>
    <w:p w:rsidR="000625FD" w:rsidRDefault="000625FD" w:rsidP="009275EC">
      <w:pPr>
        <w:spacing w:after="0"/>
        <w:rPr>
          <w:szCs w:val="24"/>
        </w:rPr>
      </w:pPr>
    </w:p>
    <w:p w:rsidR="00CE5B18" w:rsidRDefault="000625FD" w:rsidP="003E59D0">
      <w:pPr>
        <w:spacing w:after="200" w:line="276" w:lineRule="auto"/>
        <w:rPr>
          <w:szCs w:val="24"/>
          <w:u w:val="single"/>
        </w:rPr>
      </w:pPr>
      <w:r>
        <w:rPr>
          <w:szCs w:val="24"/>
        </w:rPr>
        <w:lastRenderedPageBreak/>
        <w:tab/>
      </w:r>
      <w:r w:rsidR="00CE5B18" w:rsidRPr="00796A1E">
        <w:rPr>
          <w:szCs w:val="24"/>
        </w:rPr>
        <w:t>7.</w:t>
      </w:r>
      <w:r w:rsidR="00CE5B18" w:rsidRPr="00796A1E">
        <w:rPr>
          <w:szCs w:val="24"/>
        </w:rPr>
        <w:tab/>
      </w:r>
      <w:r w:rsidR="00CE5B18" w:rsidRPr="00796A1E">
        <w:rPr>
          <w:szCs w:val="24"/>
          <w:u w:val="single"/>
        </w:rPr>
        <w:t>Inconsistencies with Guidelines in 5 CFR 1320.5(d</w:t>
      </w:r>
      <w:proofErr w:type="gramStart"/>
      <w:r w:rsidR="00CE5B18" w:rsidRPr="00796A1E">
        <w:rPr>
          <w:szCs w:val="24"/>
          <w:u w:val="single"/>
        </w:rPr>
        <w:t>)(</w:t>
      </w:r>
      <w:proofErr w:type="gramEnd"/>
      <w:r w:rsidR="00CE5B18" w:rsidRPr="00796A1E">
        <w:rPr>
          <w:szCs w:val="24"/>
          <w:u w:val="single"/>
        </w:rPr>
        <w:t>2)</w:t>
      </w:r>
    </w:p>
    <w:p w:rsidR="00CE5B18" w:rsidRDefault="00CE5B18" w:rsidP="0042741B">
      <w:pPr>
        <w:spacing w:after="0"/>
      </w:pPr>
      <w:r>
        <w:tab/>
        <w:t>Because rule 13n-4(b</w:t>
      </w:r>
      <w:proofErr w:type="gramStart"/>
      <w:r>
        <w:t>)(</w:t>
      </w:r>
      <w:proofErr w:type="gramEnd"/>
      <w:r>
        <w:t xml:space="preserve">9), consistent with the Exchange Act, requires SDRs to make SBS information available “upon request” of a regulator or other authority, it is to be expected that SDRs will make available such information more often than quarterly.  This collection of information is necessary, however, to ensure that regulators and other authorities have timely access to information in connection with the oversight of the SBS market and its participants.  </w:t>
      </w:r>
    </w:p>
    <w:p w:rsidR="00CE5B18" w:rsidRDefault="00CE5B18" w:rsidP="0042741B">
      <w:pPr>
        <w:spacing w:after="0"/>
      </w:pPr>
    </w:p>
    <w:p w:rsidR="00CE5B18" w:rsidRDefault="00CE5B18" w:rsidP="0042741B">
      <w:pPr>
        <w:spacing w:after="0"/>
        <w:ind w:firstLine="720"/>
        <w:rPr>
          <w:u w:val="single"/>
        </w:rPr>
      </w:pPr>
      <w:r>
        <w:t>8.</w:t>
      </w:r>
      <w:r>
        <w:tab/>
      </w:r>
      <w:r>
        <w:rPr>
          <w:u w:val="single"/>
        </w:rPr>
        <w:t>Consultations Outside the Agency</w:t>
      </w:r>
    </w:p>
    <w:p w:rsidR="009275EC" w:rsidRDefault="009275EC" w:rsidP="0042741B">
      <w:pPr>
        <w:spacing w:after="0"/>
        <w:ind w:firstLine="720"/>
      </w:pPr>
    </w:p>
    <w:p w:rsidR="0042741B" w:rsidRDefault="0042741B" w:rsidP="0042741B">
      <w:pPr>
        <w:spacing w:after="0"/>
        <w:ind w:firstLine="720"/>
      </w:pPr>
      <w:r>
        <w:t xml:space="preserve">The Commission has issued a release soliciting comment on the new “collection of information” requirements and associated paperwork burdens.  A copy of the release is attached.  Comments on Commission releases are generally received from registrants, investors, and other market participants.  In addition, the Commission and staff participate in ongoing dialogue with representatives of various market participants through public conferences, meetings and informal exchanges.  Any comments received on this rulemaking </w:t>
      </w:r>
      <w:r w:rsidR="000625FD">
        <w:t>were</w:t>
      </w:r>
      <w:r>
        <w:t xml:space="preserve"> posted on the Commission’s public website, and made available through </w:t>
      </w:r>
      <w:r w:rsidRPr="0042741B">
        <w:t>http://www.sec.gov/rules/proposed.shtml</w:t>
      </w:r>
      <w:r>
        <w:t>. The Commission consider</w:t>
      </w:r>
      <w:r w:rsidR="000625FD">
        <w:t>ed</w:t>
      </w:r>
      <w:r>
        <w:t xml:space="preserve"> all comments received prior to publishing the final rule, and explain</w:t>
      </w:r>
      <w:r w:rsidR="000625FD">
        <w:t>ed</w:t>
      </w:r>
      <w:r>
        <w:t xml:space="preserve"> in </w:t>
      </w:r>
      <w:r w:rsidR="000625FD">
        <w:t xml:space="preserve">the </w:t>
      </w:r>
      <w:r>
        <w:t xml:space="preserve">adopting release how the final </w:t>
      </w:r>
      <w:r w:rsidR="00626ECF">
        <w:t>r</w:t>
      </w:r>
      <w:r w:rsidR="00DB5042">
        <w:t xml:space="preserve">ules </w:t>
      </w:r>
      <w:r>
        <w:t>respond to such comments, in accordance with 5 C.F.R. 1320.11(f).</w:t>
      </w:r>
      <w:r w:rsidR="000625FD">
        <w:t xml:space="preserve">  </w:t>
      </w:r>
      <w:r w:rsidR="00626ECF">
        <w:t xml:space="preserve">The </w:t>
      </w:r>
      <w:r w:rsidR="000625FD">
        <w:t xml:space="preserve">Commission did not receive any comments that </w:t>
      </w:r>
      <w:r w:rsidR="000625FD" w:rsidRPr="00B73AE6">
        <w:t>specifically address the new collection of information requirements and associated paperwork burdens.</w:t>
      </w:r>
    </w:p>
    <w:p w:rsidR="009275EC" w:rsidRDefault="009275EC" w:rsidP="0042741B">
      <w:pPr>
        <w:spacing w:after="0"/>
        <w:ind w:firstLine="720"/>
        <w:rPr>
          <w:szCs w:val="24"/>
        </w:rPr>
      </w:pPr>
    </w:p>
    <w:p w:rsidR="009275EC" w:rsidRPr="00796A1E" w:rsidRDefault="009275EC" w:rsidP="0042741B">
      <w:pPr>
        <w:spacing w:after="0"/>
        <w:rPr>
          <w:szCs w:val="24"/>
        </w:rPr>
      </w:pPr>
      <w:r w:rsidRPr="00796A1E">
        <w:rPr>
          <w:szCs w:val="24"/>
        </w:rPr>
        <w:tab/>
        <w:t>9.</w:t>
      </w:r>
      <w:r w:rsidRPr="00796A1E">
        <w:rPr>
          <w:szCs w:val="24"/>
        </w:rPr>
        <w:tab/>
      </w:r>
      <w:r w:rsidRPr="00796A1E">
        <w:rPr>
          <w:szCs w:val="24"/>
          <w:u w:val="single"/>
        </w:rPr>
        <w:t>Payment of Gift to Respondents</w:t>
      </w:r>
    </w:p>
    <w:p w:rsidR="009275EC" w:rsidRPr="00796A1E" w:rsidRDefault="009275EC" w:rsidP="0042741B">
      <w:pPr>
        <w:spacing w:after="0"/>
        <w:rPr>
          <w:szCs w:val="24"/>
        </w:rPr>
      </w:pPr>
    </w:p>
    <w:p w:rsidR="009275EC" w:rsidRPr="00796A1E" w:rsidRDefault="009275EC" w:rsidP="0042741B">
      <w:pPr>
        <w:spacing w:after="0"/>
        <w:rPr>
          <w:szCs w:val="24"/>
        </w:rPr>
      </w:pPr>
      <w:r w:rsidRPr="00796A1E">
        <w:rPr>
          <w:szCs w:val="24"/>
        </w:rPr>
        <w:tab/>
        <w:t>Not applicable.</w:t>
      </w:r>
    </w:p>
    <w:p w:rsidR="009275EC" w:rsidRPr="00796A1E" w:rsidRDefault="009275EC" w:rsidP="0042741B">
      <w:pPr>
        <w:spacing w:after="0"/>
        <w:rPr>
          <w:szCs w:val="24"/>
        </w:rPr>
      </w:pPr>
    </w:p>
    <w:p w:rsidR="009275EC" w:rsidRPr="00796A1E" w:rsidRDefault="009275EC" w:rsidP="0042741B">
      <w:pPr>
        <w:spacing w:after="0"/>
        <w:rPr>
          <w:szCs w:val="24"/>
        </w:rPr>
      </w:pPr>
      <w:r w:rsidRPr="00796A1E">
        <w:rPr>
          <w:szCs w:val="24"/>
        </w:rPr>
        <w:tab/>
        <w:t>10.</w:t>
      </w:r>
      <w:r w:rsidRPr="00796A1E">
        <w:rPr>
          <w:szCs w:val="24"/>
        </w:rPr>
        <w:tab/>
      </w:r>
      <w:r w:rsidRPr="00796A1E">
        <w:rPr>
          <w:szCs w:val="24"/>
          <w:u w:val="single"/>
        </w:rPr>
        <w:t>Confidentiality</w:t>
      </w:r>
    </w:p>
    <w:p w:rsidR="009275EC" w:rsidRDefault="009275EC" w:rsidP="0042741B">
      <w:pPr>
        <w:spacing w:after="0"/>
        <w:ind w:firstLine="720"/>
        <w:rPr>
          <w:szCs w:val="24"/>
        </w:rPr>
      </w:pPr>
    </w:p>
    <w:p w:rsidR="007958B9" w:rsidRDefault="007958B9" w:rsidP="007958B9">
      <w:pPr>
        <w:spacing w:after="0"/>
        <w:ind w:firstLine="720"/>
        <w:rPr>
          <w:szCs w:val="24"/>
        </w:rPr>
      </w:pPr>
      <w:r>
        <w:rPr>
          <w:szCs w:val="24"/>
        </w:rPr>
        <w:t xml:space="preserve">SBS data provided by an SDR to a regulator or other authority pursuant to this provision will be subject to the confidentiality protections specified in an MOU or other arrangement between the Commission and the recipient entity.  </w:t>
      </w:r>
    </w:p>
    <w:p w:rsidR="007958B9" w:rsidRDefault="007958B9" w:rsidP="007958B9">
      <w:pPr>
        <w:spacing w:after="0"/>
        <w:ind w:firstLine="720"/>
        <w:rPr>
          <w:szCs w:val="24"/>
        </w:rPr>
      </w:pPr>
    </w:p>
    <w:p w:rsidR="007958B9" w:rsidRDefault="007958B9" w:rsidP="007958B9">
      <w:pPr>
        <w:spacing w:after="0"/>
        <w:ind w:firstLine="720"/>
      </w:pPr>
      <w:r>
        <w:t xml:space="preserve">The Commission will make public requests for a determination that an authority is appropriate to conditionally access security-based swap data, as well as Commission determinations issued in response to such requests.  The Commission expects that it will make publicly available the MOUs or other arrangements with the Commission used to satisfy the confidentiality and indemnification conditions.  </w:t>
      </w:r>
    </w:p>
    <w:p w:rsidR="007958B9" w:rsidRDefault="007958B9" w:rsidP="007958B9">
      <w:pPr>
        <w:spacing w:after="0"/>
        <w:ind w:firstLine="720"/>
      </w:pPr>
    </w:p>
    <w:p w:rsidR="00E43B9D" w:rsidRDefault="007958B9" w:rsidP="00CC2D91">
      <w:pPr>
        <w:spacing w:after="200"/>
        <w:ind w:firstLine="720"/>
        <w:rPr>
          <w:szCs w:val="24"/>
        </w:rPr>
      </w:pPr>
      <w:r>
        <w:t>Initial notices of requests for access provided to the Commission by repositories will be kept confidential, subject to the provisions of applicable law.  To the extent that the Commission obtains subsequent requests for access that would be required to be maintained by the repositories, the Commission also will keep those records confidential, subject to the provisions of applicable law.</w:t>
      </w:r>
    </w:p>
    <w:p w:rsidR="00CC2D91" w:rsidRDefault="00CC2D91">
      <w:pPr>
        <w:spacing w:after="200" w:line="276" w:lineRule="auto"/>
        <w:rPr>
          <w:szCs w:val="24"/>
        </w:rPr>
      </w:pPr>
      <w:r>
        <w:rPr>
          <w:szCs w:val="24"/>
        </w:rPr>
        <w:br w:type="page"/>
      </w:r>
    </w:p>
    <w:p w:rsidR="007958B9" w:rsidRDefault="00813957" w:rsidP="007C0BE9">
      <w:pPr>
        <w:keepNext/>
        <w:spacing w:after="0"/>
        <w:ind w:firstLine="720"/>
        <w:rPr>
          <w:szCs w:val="24"/>
          <w:u w:val="single"/>
        </w:rPr>
      </w:pPr>
      <w:r w:rsidRPr="00796A1E">
        <w:rPr>
          <w:szCs w:val="24"/>
        </w:rPr>
        <w:lastRenderedPageBreak/>
        <w:t>11.</w:t>
      </w:r>
      <w:r w:rsidRPr="00796A1E">
        <w:rPr>
          <w:szCs w:val="24"/>
        </w:rPr>
        <w:tab/>
      </w:r>
      <w:r w:rsidRPr="00796A1E">
        <w:rPr>
          <w:szCs w:val="24"/>
          <w:u w:val="single"/>
        </w:rPr>
        <w:t>Sensitive Questions</w:t>
      </w:r>
    </w:p>
    <w:p w:rsidR="00813957" w:rsidRDefault="00813957" w:rsidP="0042741B">
      <w:pPr>
        <w:spacing w:after="0"/>
        <w:ind w:firstLine="720"/>
        <w:rPr>
          <w:szCs w:val="24"/>
          <w:u w:val="single"/>
        </w:rPr>
      </w:pPr>
    </w:p>
    <w:p w:rsidR="00813957" w:rsidRDefault="00813957" w:rsidP="00813957">
      <w:pPr>
        <w:ind w:right="720" w:firstLine="720"/>
      </w:pPr>
      <w:r>
        <w:t>The collections of information do not expressly include Personally Identifiable Information (“PII”).  At the same time, however, Commission staff understands that there may be instances when certain information (including, but not limited to, the identity of a party to an SBS transaction) could be provided by a respondent in response to one of the collections of information.  However, Commission staff does not envision any circumstance in which a social security number would be provided pursuant to any of the collections of information.  As such, we believe that the treatment of any PII with the collection of information associated with the</w:t>
      </w:r>
      <w:r w:rsidR="009828CE">
        <w:t xml:space="preserve"> </w:t>
      </w:r>
      <w:r w:rsidR="007C0BE9">
        <w:t>r</w:t>
      </w:r>
      <w:r w:rsidR="009828CE">
        <w:t>ule</w:t>
      </w:r>
      <w:r w:rsidR="009A2C0F">
        <w:t>s</w:t>
      </w:r>
      <w:r w:rsidR="009828CE">
        <w:t xml:space="preserve"> </w:t>
      </w:r>
      <w:r>
        <w:t xml:space="preserve">is not likely to implicate the Federal Information Security Management Act of 2002 or the Privacy Act of 1974.  </w:t>
      </w:r>
    </w:p>
    <w:p w:rsidR="00813957" w:rsidRDefault="00813957" w:rsidP="0042741B">
      <w:pPr>
        <w:spacing w:after="0"/>
        <w:ind w:firstLine="720"/>
        <w:rPr>
          <w:szCs w:val="24"/>
        </w:rPr>
      </w:pPr>
    </w:p>
    <w:p w:rsidR="009B7C00" w:rsidRPr="00796A1E" w:rsidRDefault="009B7C00" w:rsidP="009B7C00">
      <w:pPr>
        <w:pStyle w:val="BodyText"/>
        <w:keepNext/>
        <w:rPr>
          <w:szCs w:val="24"/>
        </w:rPr>
      </w:pPr>
      <w:r w:rsidRPr="00796A1E">
        <w:rPr>
          <w:szCs w:val="24"/>
        </w:rPr>
        <w:tab/>
        <w:t>12.</w:t>
      </w:r>
      <w:r w:rsidRPr="00796A1E">
        <w:rPr>
          <w:szCs w:val="24"/>
        </w:rPr>
        <w:tab/>
      </w:r>
      <w:r w:rsidRPr="00796A1E">
        <w:rPr>
          <w:szCs w:val="24"/>
          <w:u w:val="single"/>
        </w:rPr>
        <w:t>Estimate of Respondent Reporting Burden</w:t>
      </w:r>
    </w:p>
    <w:p w:rsidR="009B7C00" w:rsidRPr="00796A1E" w:rsidRDefault="009B7C00" w:rsidP="009B7C00">
      <w:pPr>
        <w:rPr>
          <w:szCs w:val="24"/>
        </w:rPr>
      </w:pPr>
    </w:p>
    <w:p w:rsidR="009B7C00" w:rsidRPr="00796A1E" w:rsidRDefault="009B7C00" w:rsidP="00B85D5C">
      <w:pPr>
        <w:spacing w:after="0"/>
        <w:rPr>
          <w:szCs w:val="24"/>
        </w:rPr>
      </w:pPr>
      <w:r w:rsidRPr="00796A1E">
        <w:rPr>
          <w:szCs w:val="24"/>
        </w:rPr>
        <w:tab/>
        <w:t xml:space="preserve">The total reporting </w:t>
      </w:r>
      <w:r>
        <w:rPr>
          <w:szCs w:val="24"/>
        </w:rPr>
        <w:t xml:space="preserve">for the </w:t>
      </w:r>
      <w:r w:rsidR="00DB0688">
        <w:rPr>
          <w:szCs w:val="24"/>
        </w:rPr>
        <w:t>r</w:t>
      </w:r>
      <w:r>
        <w:rPr>
          <w:szCs w:val="24"/>
        </w:rPr>
        <w:t>ule</w:t>
      </w:r>
      <w:r w:rsidR="00150C12">
        <w:rPr>
          <w:szCs w:val="24"/>
        </w:rPr>
        <w:t>s</w:t>
      </w:r>
      <w:r>
        <w:rPr>
          <w:szCs w:val="24"/>
        </w:rPr>
        <w:t xml:space="preserve"> for </w:t>
      </w:r>
      <w:r w:rsidRPr="00796A1E">
        <w:rPr>
          <w:szCs w:val="24"/>
        </w:rPr>
        <w:t>all respondents is</w:t>
      </w:r>
      <w:r w:rsidR="007B50AA">
        <w:rPr>
          <w:szCs w:val="24"/>
        </w:rPr>
        <w:t xml:space="preserve"> 35,780 hours annually.  </w:t>
      </w:r>
      <w:r w:rsidRPr="00796A1E">
        <w:rPr>
          <w:szCs w:val="24"/>
        </w:rPr>
        <w:t>This burden is broken down by collection of information below.</w:t>
      </w:r>
    </w:p>
    <w:p w:rsidR="009828CE" w:rsidRDefault="009828CE" w:rsidP="00B85D5C">
      <w:pPr>
        <w:spacing w:after="0"/>
        <w:ind w:firstLine="720"/>
        <w:rPr>
          <w:szCs w:val="24"/>
        </w:rPr>
      </w:pPr>
    </w:p>
    <w:p w:rsidR="009B7C00" w:rsidRDefault="009B7C00" w:rsidP="00B85D5C">
      <w:pPr>
        <w:pStyle w:val="Heading4"/>
        <w:keepNext w:val="0"/>
        <w:spacing w:after="0"/>
      </w:pPr>
      <w:r>
        <w:t>a.</w:t>
      </w:r>
      <w:r>
        <w:tab/>
        <w:t xml:space="preserve">MOUs </w:t>
      </w:r>
      <w:r w:rsidR="00150C12">
        <w:t>and other arrangements</w:t>
      </w:r>
    </w:p>
    <w:p w:rsidR="00B85D5C" w:rsidRDefault="00B85D5C" w:rsidP="00B85D5C">
      <w:pPr>
        <w:spacing w:after="0"/>
        <w:ind w:firstLine="720"/>
      </w:pPr>
    </w:p>
    <w:p w:rsidR="00B85D5C" w:rsidRDefault="00150C12" w:rsidP="003315C6">
      <w:pPr>
        <w:spacing w:after="0"/>
        <w:ind w:firstLine="720"/>
      </w:pPr>
      <w:r>
        <w:t>R</w:t>
      </w:r>
      <w:r w:rsidR="009B7C00">
        <w:t>ule 13n-4(b</w:t>
      </w:r>
      <w:proofErr w:type="gramStart"/>
      <w:r w:rsidR="009B7C00">
        <w:t>)(</w:t>
      </w:r>
      <w:proofErr w:type="gramEnd"/>
      <w:r w:rsidR="009B7C00">
        <w:t xml:space="preserve">10) provides that entities that access security-based swap data pursuant to these data access provisions would be required to enter into MOUs or other arrangements with the Commission to address the confidentiality of the information provided.  In some cases, those entities also would enter into MOUs or other arrangements in connection with the Commission’s determination of the entity as authorized to access such data (to the extent that the entity’s access is already determined by statute or by the </w:t>
      </w:r>
      <w:r w:rsidR="00DB0688">
        <w:t>r</w:t>
      </w:r>
      <w:r w:rsidR="009B7C00">
        <w:t xml:space="preserve">ules).  </w:t>
      </w:r>
      <w:r w:rsidR="00B85D5C">
        <w:t>The Commission estimates a total of 30 respondents for those provisions.  The Commission estimates that on average</w:t>
      </w:r>
      <w:r w:rsidR="00EE3506">
        <w:t>,</w:t>
      </w:r>
      <w:r w:rsidR="00B85D5C">
        <w:t xml:space="preserve"> recipients of data would expend 500 hours in connection with negotiating these MOUs or other arrangements, for a one-time burden of 15,000 hours.  This equates to 5</w:t>
      </w:r>
      <w:r w:rsidR="00A371D8">
        <w:t>,</w:t>
      </w:r>
      <w:r w:rsidR="00B85D5C">
        <w:t>000 hours per year where when annualized over three years, or 166.67 hours per respondent when annualized over three years.  The Commission estimates no ongoing burdens associated with th</w:t>
      </w:r>
      <w:r w:rsidR="002C52D6">
        <w:t xml:space="preserve">is </w:t>
      </w:r>
      <w:r w:rsidR="00B85D5C">
        <w:t>requirement.  This collection is a reporting type of collection.</w:t>
      </w:r>
    </w:p>
    <w:p w:rsidR="009B7C00" w:rsidRPr="00131765" w:rsidRDefault="009B7C00" w:rsidP="003315C6">
      <w:pPr>
        <w:spacing w:after="0"/>
        <w:ind w:firstLine="720"/>
        <w:rPr>
          <w:b/>
        </w:rPr>
      </w:pPr>
      <w:r w:rsidRPr="001F766D">
        <w:t xml:space="preserve">  </w:t>
      </w:r>
    </w:p>
    <w:p w:rsidR="009B7C00" w:rsidRDefault="009B7C00" w:rsidP="003315C6">
      <w:pPr>
        <w:pStyle w:val="Heading4"/>
        <w:spacing w:after="0"/>
      </w:pPr>
      <w:r>
        <w:t>b.</w:t>
      </w:r>
      <w:r>
        <w:tab/>
        <w:t xml:space="preserve">Requests for </w:t>
      </w:r>
      <w:r w:rsidR="00A371D8">
        <w:t>A</w:t>
      </w:r>
      <w:r>
        <w:t>ccess</w:t>
      </w:r>
    </w:p>
    <w:p w:rsidR="003315C6" w:rsidRDefault="003315C6" w:rsidP="003315C6">
      <w:pPr>
        <w:spacing w:after="0"/>
        <w:ind w:firstLine="720"/>
      </w:pPr>
    </w:p>
    <w:p w:rsidR="00E43B9D" w:rsidRDefault="00150C12" w:rsidP="0098733C">
      <w:pPr>
        <w:spacing w:after="200"/>
        <w:ind w:firstLine="720"/>
      </w:pPr>
      <w:r>
        <w:t>R</w:t>
      </w:r>
      <w:r w:rsidR="00B85D5C">
        <w:t>ule 13n-4(b</w:t>
      </w:r>
      <w:proofErr w:type="gramStart"/>
      <w:r w:rsidR="00B85D5C">
        <w:t>)(</w:t>
      </w:r>
      <w:proofErr w:type="gramEnd"/>
      <w:r w:rsidR="00B85D5C">
        <w:t xml:space="preserve">9)(x) provides that the Commission may determine that </w:t>
      </w:r>
      <w:r w:rsidR="009B7C00">
        <w:t xml:space="preserve">certain entities that are not identified by statute and/or the </w:t>
      </w:r>
      <w:r w:rsidR="00DB0688">
        <w:t>r</w:t>
      </w:r>
      <w:r w:rsidR="009B7C00">
        <w:t>ules may request that the</w:t>
      </w:r>
      <w:r w:rsidR="00EE3506">
        <w:t>y</w:t>
      </w:r>
      <w:r w:rsidR="009B7C00">
        <w:t xml:space="preserve"> may access such security-based swap data.  </w:t>
      </w:r>
      <w:r w:rsidR="00B85D5C">
        <w:t xml:space="preserve">The Commission estimates a total of 21 respondents may make requests for such determination.  The Commission estimates that on average such entities would expend 40 hours in connection with such requests, for a one-time burden of 840 hours.  This equates to </w:t>
      </w:r>
      <w:r w:rsidR="003315C6">
        <w:t xml:space="preserve">280 hours per year where annualized over three years, or 13.33 hours per respondent when annualized over three years.  The Commission estimates no ongoing burdens associated with </w:t>
      </w:r>
      <w:r w:rsidR="002C52D6">
        <w:t xml:space="preserve">this </w:t>
      </w:r>
      <w:r w:rsidR="003315C6">
        <w:t>requirement.  This collection is a reporting type of collection.</w:t>
      </w:r>
    </w:p>
    <w:p w:rsidR="009B7C00" w:rsidRDefault="00A371D8" w:rsidP="003315C6">
      <w:pPr>
        <w:pStyle w:val="Heading4"/>
        <w:spacing w:after="0"/>
      </w:pPr>
      <w:r>
        <w:lastRenderedPageBreak/>
        <w:t>c.</w:t>
      </w:r>
      <w:r>
        <w:tab/>
        <w:t>Systems C</w:t>
      </w:r>
      <w:r w:rsidR="009B7C00">
        <w:t>osts</w:t>
      </w:r>
    </w:p>
    <w:p w:rsidR="003315C6" w:rsidRDefault="003315C6" w:rsidP="00DB0688">
      <w:pPr>
        <w:keepNext/>
        <w:spacing w:after="0"/>
        <w:ind w:firstLine="720"/>
      </w:pPr>
    </w:p>
    <w:p w:rsidR="003315C6" w:rsidRDefault="003315C6" w:rsidP="002C52D6">
      <w:pPr>
        <w:spacing w:after="0"/>
        <w:ind w:firstLine="720"/>
      </w:pPr>
      <w:r>
        <w:t>SDRs may be expected to incur systems-related costs associated with setting up access to security-based swap data for regulators and other authorities.  The Commission estimates a total of 10 respondents may incur such costs.  The Commission estimates that on average such entities would expend 7</w:t>
      </w:r>
      <w:r w:rsidR="004067F6">
        <w:t>,</w:t>
      </w:r>
      <w:r>
        <w:t>800 hours in connection with providing such connectivity, for a one-time burden of 78,000 hours.  This equates to 26,000 hours per year where annualized over three years, or 2</w:t>
      </w:r>
      <w:r w:rsidR="00A371D8">
        <w:t>,</w:t>
      </w:r>
      <w:r>
        <w:t xml:space="preserve">600 hours per respondent when annualized over three years.  The Commission estimates no ongoing burdens associated with </w:t>
      </w:r>
      <w:r w:rsidR="002C52D6">
        <w:t xml:space="preserve">this </w:t>
      </w:r>
      <w:r>
        <w:t>requirement.  This collection is a recordkeeping type of collection.</w:t>
      </w:r>
    </w:p>
    <w:p w:rsidR="003315C6" w:rsidRDefault="003315C6" w:rsidP="002C52D6">
      <w:pPr>
        <w:spacing w:after="0"/>
        <w:ind w:firstLine="720"/>
      </w:pPr>
    </w:p>
    <w:p w:rsidR="009B7C00" w:rsidRDefault="00A371D8" w:rsidP="002C52D6">
      <w:pPr>
        <w:pStyle w:val="Heading4"/>
        <w:spacing w:after="0"/>
      </w:pPr>
      <w:r>
        <w:t>d.</w:t>
      </w:r>
      <w:r>
        <w:tab/>
        <w:t>Providing Notification of R</w:t>
      </w:r>
      <w:r w:rsidR="009B7C00">
        <w:t>equests</w:t>
      </w:r>
    </w:p>
    <w:p w:rsidR="002C52D6" w:rsidRDefault="009B7C00" w:rsidP="002C52D6">
      <w:pPr>
        <w:spacing w:after="0"/>
        <w:rPr>
          <w:rFonts w:cs="Times New Roman"/>
          <w:szCs w:val="24"/>
        </w:rPr>
      </w:pPr>
      <w:r>
        <w:rPr>
          <w:rFonts w:cs="Times New Roman"/>
          <w:szCs w:val="24"/>
        </w:rPr>
        <w:t xml:space="preserve">            </w:t>
      </w:r>
    </w:p>
    <w:p w:rsidR="002C52D6" w:rsidRDefault="009A2C0F" w:rsidP="00286F35">
      <w:pPr>
        <w:spacing w:after="0"/>
        <w:ind w:firstLine="720"/>
      </w:pPr>
      <w:r>
        <w:rPr>
          <w:rFonts w:cs="Times New Roman"/>
          <w:szCs w:val="24"/>
        </w:rPr>
        <w:t>R</w:t>
      </w:r>
      <w:r w:rsidR="003315C6">
        <w:rPr>
          <w:rFonts w:cs="Times New Roman"/>
          <w:szCs w:val="24"/>
        </w:rPr>
        <w:t xml:space="preserve">ule 13n-4(d) provides that SDRs must </w:t>
      </w:r>
      <w:r w:rsidR="009B7C00">
        <w:rPr>
          <w:rFonts w:cs="Times New Roman"/>
          <w:szCs w:val="24"/>
        </w:rPr>
        <w:t xml:space="preserve">inform the Commission when they receive the first request for security-based swap data from a particular entity.  </w:t>
      </w:r>
      <w:r w:rsidR="002C52D6">
        <w:t>The Commission estimates a total of 10 respondents may incur such costs.  The Commission estimates that such entities would expend 150 hours in connection with this notice requirement (based on each SDR providing 300 notices, at half-hour per notice), for a one-time burden of 1</w:t>
      </w:r>
      <w:r w:rsidR="00A371D8">
        <w:t>,</w:t>
      </w:r>
      <w:r w:rsidR="002C52D6">
        <w:t>500 hours.  This equates to 500 hours per year where annualized over three years, or 50 hours per respondent when annualized over three years.  The Commission estimates no ongoing burdens associated with this requirement.  This collection is a reporting type of collection.</w:t>
      </w:r>
    </w:p>
    <w:p w:rsidR="002C52D6" w:rsidRDefault="002C52D6" w:rsidP="00286F35">
      <w:pPr>
        <w:spacing w:after="0"/>
        <w:ind w:firstLine="720"/>
      </w:pPr>
    </w:p>
    <w:p w:rsidR="002C52D6" w:rsidRDefault="000671A4" w:rsidP="00286F35">
      <w:pPr>
        <w:spacing w:after="0"/>
        <w:ind w:firstLine="720"/>
      </w:pPr>
      <w:r>
        <w:t>e.</w:t>
      </w:r>
      <w:r>
        <w:tab/>
        <w:t xml:space="preserve">Records of requests </w:t>
      </w:r>
    </w:p>
    <w:p w:rsidR="002C52D6" w:rsidRDefault="002C52D6" w:rsidP="00286F35">
      <w:pPr>
        <w:spacing w:after="0"/>
      </w:pPr>
    </w:p>
    <w:p w:rsidR="00E43B9D" w:rsidRDefault="000671A4" w:rsidP="00DB0688">
      <w:pPr>
        <w:spacing w:after="200"/>
        <w:rPr>
          <w:rFonts w:eastAsia="Times New Roman" w:cs="Times New Roman"/>
          <w:szCs w:val="24"/>
        </w:rPr>
      </w:pPr>
      <w:r>
        <w:rPr>
          <w:rFonts w:cs="Times New Roman"/>
          <w:szCs w:val="24"/>
        </w:rPr>
        <w:tab/>
      </w:r>
      <w:r w:rsidR="009A2C0F">
        <w:rPr>
          <w:rFonts w:cs="Times New Roman"/>
          <w:szCs w:val="24"/>
        </w:rPr>
        <w:t>R</w:t>
      </w:r>
      <w:r>
        <w:rPr>
          <w:rFonts w:cs="Times New Roman"/>
          <w:szCs w:val="24"/>
        </w:rPr>
        <w:t xml:space="preserve">ule 13n-4(d) further provides that SDRs must maintain records of all information related to initial and subsequent requests for data access.  </w:t>
      </w:r>
      <w:r w:rsidRPr="00796A1E">
        <w:rPr>
          <w:szCs w:val="24"/>
        </w:rPr>
        <w:t xml:space="preserve">The Commission estimates a </w:t>
      </w:r>
      <w:r>
        <w:rPr>
          <w:szCs w:val="24"/>
        </w:rPr>
        <w:t xml:space="preserve">total of </w:t>
      </w:r>
      <w:r w:rsidR="00A371D8">
        <w:rPr>
          <w:szCs w:val="24"/>
        </w:rPr>
        <w:t>10</w:t>
      </w:r>
      <w:r w:rsidR="00286F35">
        <w:rPr>
          <w:szCs w:val="24"/>
        </w:rPr>
        <w:t xml:space="preserve"> </w:t>
      </w:r>
      <w:r>
        <w:rPr>
          <w:szCs w:val="24"/>
        </w:rPr>
        <w:t>respondents for these provisions</w:t>
      </w:r>
      <w:r w:rsidRPr="00796A1E">
        <w:rPr>
          <w:szCs w:val="24"/>
        </w:rPr>
        <w:t>.</w:t>
      </w:r>
      <w:r>
        <w:rPr>
          <w:szCs w:val="24"/>
        </w:rPr>
        <w:t xml:space="preserve">  The Commission estimates that </w:t>
      </w:r>
      <w:r w:rsidR="00286F35">
        <w:rPr>
          <w:szCs w:val="24"/>
        </w:rPr>
        <w:t xml:space="preserve">compliance with this provision </w:t>
      </w:r>
      <w:r>
        <w:rPr>
          <w:szCs w:val="24"/>
        </w:rPr>
        <w:t xml:space="preserve">will require </w:t>
      </w:r>
      <w:r w:rsidR="00286F35">
        <w:rPr>
          <w:szCs w:val="24"/>
        </w:rPr>
        <w:t xml:space="preserve">360 </w:t>
      </w:r>
      <w:r>
        <w:rPr>
          <w:szCs w:val="24"/>
        </w:rPr>
        <w:t xml:space="preserve">hours </w:t>
      </w:r>
      <w:r w:rsidR="00286F35">
        <w:rPr>
          <w:szCs w:val="24"/>
        </w:rPr>
        <w:t xml:space="preserve">initially and 280 hours annually </w:t>
      </w:r>
      <w:r>
        <w:rPr>
          <w:szCs w:val="24"/>
        </w:rPr>
        <w:t xml:space="preserve">per respondent, for a total burden of </w:t>
      </w:r>
      <w:r w:rsidR="00286F35">
        <w:rPr>
          <w:szCs w:val="24"/>
        </w:rPr>
        <w:t>3</w:t>
      </w:r>
      <w:r w:rsidR="00CC2D91">
        <w:rPr>
          <w:szCs w:val="24"/>
        </w:rPr>
        <w:t>,</w:t>
      </w:r>
      <w:bookmarkStart w:id="0" w:name="_GoBack"/>
      <w:bookmarkEnd w:id="0"/>
      <w:r w:rsidR="00286F35">
        <w:rPr>
          <w:szCs w:val="24"/>
        </w:rPr>
        <w:t>6</w:t>
      </w:r>
      <w:r>
        <w:rPr>
          <w:szCs w:val="24"/>
        </w:rPr>
        <w:t xml:space="preserve">00 hours initially and </w:t>
      </w:r>
      <w:r w:rsidR="00286F35">
        <w:rPr>
          <w:szCs w:val="24"/>
        </w:rPr>
        <w:t>2</w:t>
      </w:r>
      <w:r w:rsidR="004067F6">
        <w:rPr>
          <w:szCs w:val="24"/>
        </w:rPr>
        <w:t>,</w:t>
      </w:r>
      <w:r w:rsidR="00286F35">
        <w:rPr>
          <w:szCs w:val="24"/>
        </w:rPr>
        <w:t xml:space="preserve">800 </w:t>
      </w:r>
      <w:r>
        <w:rPr>
          <w:szCs w:val="24"/>
        </w:rPr>
        <w:t xml:space="preserve">hours annually </w:t>
      </w:r>
      <w:r w:rsidR="00286F35">
        <w:rPr>
          <w:szCs w:val="24"/>
        </w:rPr>
        <w:t>across ten respondents</w:t>
      </w:r>
      <w:r>
        <w:rPr>
          <w:szCs w:val="24"/>
        </w:rPr>
        <w:t>.</w:t>
      </w:r>
      <w:r w:rsidRPr="00796A1E">
        <w:rPr>
          <w:szCs w:val="24"/>
        </w:rPr>
        <w:t xml:space="preserve"> </w:t>
      </w:r>
      <w:r>
        <w:rPr>
          <w:szCs w:val="24"/>
        </w:rPr>
        <w:t xml:space="preserve">This equates to </w:t>
      </w:r>
      <w:r w:rsidR="00286F35">
        <w:rPr>
          <w:szCs w:val="24"/>
        </w:rPr>
        <w:t>4</w:t>
      </w:r>
      <w:r w:rsidR="004067F6">
        <w:rPr>
          <w:szCs w:val="24"/>
        </w:rPr>
        <w:t>,</w:t>
      </w:r>
      <w:r w:rsidR="00286F35">
        <w:rPr>
          <w:szCs w:val="24"/>
        </w:rPr>
        <w:t xml:space="preserve">000 </w:t>
      </w:r>
      <w:r>
        <w:rPr>
          <w:szCs w:val="24"/>
        </w:rPr>
        <w:t xml:space="preserve">hours per year when annualized over three years or </w:t>
      </w:r>
      <w:r w:rsidR="00286F35">
        <w:rPr>
          <w:szCs w:val="24"/>
        </w:rPr>
        <w:t xml:space="preserve">400 hours </w:t>
      </w:r>
      <w:r>
        <w:rPr>
          <w:szCs w:val="24"/>
        </w:rPr>
        <w:t>per respondent when annualized over three years. T</w:t>
      </w:r>
      <w:r w:rsidRPr="00796A1E">
        <w:rPr>
          <w:szCs w:val="24"/>
        </w:rPr>
        <w:t>his collection is a recordkeeping type of collection.</w:t>
      </w:r>
      <w:r w:rsidR="00E43B9D">
        <w:rPr>
          <w:szCs w:val="24"/>
        </w:rPr>
        <w:br w:type="page"/>
      </w:r>
    </w:p>
    <w:p w:rsidR="00EE3506" w:rsidRPr="0009260E" w:rsidRDefault="00EE3506" w:rsidP="00EE3506">
      <w:pPr>
        <w:pStyle w:val="BodyText"/>
        <w:tabs>
          <w:tab w:val="clear" w:pos="720"/>
        </w:tabs>
        <w:ind w:firstLine="720"/>
        <w:rPr>
          <w:spacing w:val="-3"/>
          <w:szCs w:val="24"/>
          <w:u w:val="single"/>
        </w:rPr>
      </w:pPr>
      <w:r>
        <w:rPr>
          <w:szCs w:val="24"/>
        </w:rPr>
        <w:lastRenderedPageBreak/>
        <w:t xml:space="preserve">f. </w:t>
      </w:r>
      <w:r>
        <w:rPr>
          <w:szCs w:val="24"/>
        </w:rPr>
        <w:tab/>
      </w:r>
      <w:r w:rsidRPr="00EE3506">
        <w:rPr>
          <w:szCs w:val="24"/>
        </w:rPr>
        <w:t>Summary of Hourly Burdens</w:t>
      </w:r>
    </w:p>
    <w:p w:rsidR="00EE3506" w:rsidRPr="0009260E" w:rsidRDefault="00EE3506" w:rsidP="00EE3506">
      <w:pPr>
        <w:pStyle w:val="BodyText"/>
        <w:rPr>
          <w:szCs w:val="24"/>
        </w:rPr>
      </w:pPr>
    </w:p>
    <w:p w:rsidR="00EE3506" w:rsidRPr="0009260E" w:rsidRDefault="00EE3506" w:rsidP="00EE3506">
      <w:pPr>
        <w:pStyle w:val="BodyText"/>
        <w:rPr>
          <w:szCs w:val="24"/>
        </w:rPr>
      </w:pPr>
      <w:r w:rsidRPr="0009260E">
        <w:rPr>
          <w:szCs w:val="24"/>
        </w:rPr>
        <w:tab/>
        <w:t>The</w:t>
      </w:r>
      <w:r w:rsidRPr="0009260E">
        <w:rPr>
          <w:spacing w:val="-1"/>
          <w:szCs w:val="24"/>
        </w:rPr>
        <w:t xml:space="preserve"> </w:t>
      </w:r>
      <w:r w:rsidRPr="0009260E">
        <w:rPr>
          <w:szCs w:val="24"/>
        </w:rPr>
        <w:t>t</w:t>
      </w:r>
      <w:r w:rsidRPr="0009260E">
        <w:rPr>
          <w:spacing w:val="-1"/>
          <w:szCs w:val="24"/>
        </w:rPr>
        <w:t>a</w:t>
      </w:r>
      <w:r w:rsidRPr="0009260E">
        <w:rPr>
          <w:szCs w:val="24"/>
        </w:rPr>
        <w:t>ble</w:t>
      </w:r>
      <w:r w:rsidRPr="0009260E">
        <w:rPr>
          <w:spacing w:val="-1"/>
          <w:szCs w:val="24"/>
        </w:rPr>
        <w:t xml:space="preserve"> </w:t>
      </w:r>
      <w:r w:rsidRPr="0009260E">
        <w:rPr>
          <w:szCs w:val="24"/>
        </w:rPr>
        <w:t>b</w:t>
      </w:r>
      <w:r w:rsidRPr="0009260E">
        <w:rPr>
          <w:spacing w:val="-1"/>
          <w:szCs w:val="24"/>
        </w:rPr>
        <w:t>e</w:t>
      </w:r>
      <w:r w:rsidRPr="0009260E">
        <w:rPr>
          <w:szCs w:val="24"/>
        </w:rPr>
        <w:t>low summ</w:t>
      </w:r>
      <w:r w:rsidRPr="0009260E">
        <w:rPr>
          <w:spacing w:val="-1"/>
          <w:szCs w:val="24"/>
        </w:rPr>
        <w:t>ar</w:t>
      </w:r>
      <w:r w:rsidRPr="0009260E">
        <w:rPr>
          <w:spacing w:val="3"/>
          <w:szCs w:val="24"/>
        </w:rPr>
        <w:t>i</w:t>
      </w:r>
      <w:r w:rsidRPr="0009260E">
        <w:rPr>
          <w:spacing w:val="1"/>
          <w:szCs w:val="24"/>
        </w:rPr>
        <w:t>z</w:t>
      </w:r>
      <w:r w:rsidRPr="0009260E">
        <w:rPr>
          <w:spacing w:val="-1"/>
          <w:szCs w:val="24"/>
        </w:rPr>
        <w:t>e</w:t>
      </w:r>
      <w:r w:rsidRPr="0009260E">
        <w:rPr>
          <w:szCs w:val="24"/>
        </w:rPr>
        <w:t>s the</w:t>
      </w:r>
      <w:r w:rsidRPr="0009260E">
        <w:rPr>
          <w:spacing w:val="-1"/>
          <w:szCs w:val="24"/>
        </w:rPr>
        <w:t xml:space="preserve"> </w:t>
      </w:r>
      <w:r w:rsidRPr="0009260E">
        <w:rPr>
          <w:spacing w:val="1"/>
          <w:szCs w:val="24"/>
        </w:rPr>
        <w:t>C</w:t>
      </w:r>
      <w:r w:rsidRPr="0009260E">
        <w:rPr>
          <w:szCs w:val="24"/>
        </w:rPr>
        <w:t>ommission</w:t>
      </w:r>
      <w:r w:rsidRPr="0009260E">
        <w:rPr>
          <w:spacing w:val="-1"/>
          <w:szCs w:val="24"/>
        </w:rPr>
        <w:t>’</w:t>
      </w:r>
      <w:r w:rsidRPr="0009260E">
        <w:rPr>
          <w:szCs w:val="24"/>
        </w:rPr>
        <w:t xml:space="preserve">s </w:t>
      </w:r>
      <w:r w:rsidRPr="0009260E">
        <w:rPr>
          <w:spacing w:val="-1"/>
          <w:szCs w:val="24"/>
        </w:rPr>
        <w:t>e</w:t>
      </w:r>
      <w:r w:rsidRPr="0009260E">
        <w:rPr>
          <w:szCs w:val="24"/>
        </w:rPr>
        <w:t>stim</w:t>
      </w:r>
      <w:r w:rsidRPr="0009260E">
        <w:rPr>
          <w:spacing w:val="-1"/>
          <w:szCs w:val="24"/>
        </w:rPr>
        <w:t>a</w:t>
      </w:r>
      <w:r w:rsidRPr="0009260E">
        <w:rPr>
          <w:szCs w:val="24"/>
        </w:rPr>
        <w:t>t</w:t>
      </w:r>
      <w:r w:rsidRPr="0009260E">
        <w:rPr>
          <w:spacing w:val="-1"/>
          <w:szCs w:val="24"/>
        </w:rPr>
        <w:t>e</w:t>
      </w:r>
      <w:r w:rsidRPr="0009260E">
        <w:rPr>
          <w:szCs w:val="24"/>
        </w:rPr>
        <w:t>s of</w:t>
      </w:r>
      <w:r w:rsidRPr="0009260E">
        <w:rPr>
          <w:spacing w:val="-1"/>
          <w:szCs w:val="24"/>
        </w:rPr>
        <w:t xml:space="preserve"> </w:t>
      </w:r>
      <w:r w:rsidRPr="0009260E">
        <w:rPr>
          <w:spacing w:val="3"/>
          <w:szCs w:val="24"/>
        </w:rPr>
        <w:t>t</w:t>
      </w:r>
      <w:r w:rsidRPr="0009260E">
        <w:rPr>
          <w:szCs w:val="24"/>
        </w:rPr>
        <w:t>he</w:t>
      </w:r>
      <w:r w:rsidRPr="0009260E">
        <w:rPr>
          <w:spacing w:val="-1"/>
          <w:szCs w:val="24"/>
        </w:rPr>
        <w:t xml:space="preserve"> </w:t>
      </w:r>
      <w:r w:rsidRPr="0009260E">
        <w:rPr>
          <w:szCs w:val="24"/>
        </w:rPr>
        <w:t>tot</w:t>
      </w:r>
      <w:r w:rsidRPr="0009260E">
        <w:rPr>
          <w:spacing w:val="-1"/>
          <w:szCs w:val="24"/>
        </w:rPr>
        <w:t>a</w:t>
      </w:r>
      <w:r w:rsidRPr="0009260E">
        <w:rPr>
          <w:szCs w:val="24"/>
        </w:rPr>
        <w:t>l hou</w:t>
      </w:r>
      <w:r w:rsidRPr="0009260E">
        <w:rPr>
          <w:spacing w:val="-1"/>
          <w:szCs w:val="24"/>
        </w:rPr>
        <w:t>r</w:t>
      </w:r>
      <w:r w:rsidRPr="0009260E">
        <w:rPr>
          <w:spacing w:val="3"/>
          <w:szCs w:val="24"/>
        </w:rPr>
        <w:t>l</w:t>
      </w:r>
      <w:r w:rsidRPr="0009260E">
        <w:rPr>
          <w:szCs w:val="24"/>
        </w:rPr>
        <w:t>y</w:t>
      </w:r>
      <w:r w:rsidRPr="0009260E">
        <w:rPr>
          <w:spacing w:val="-5"/>
          <w:szCs w:val="24"/>
        </w:rPr>
        <w:t xml:space="preserve"> </w:t>
      </w:r>
      <w:r w:rsidRPr="0009260E">
        <w:rPr>
          <w:szCs w:val="24"/>
        </w:rPr>
        <w:t>bu</w:t>
      </w:r>
      <w:r w:rsidRPr="0009260E">
        <w:rPr>
          <w:spacing w:val="-1"/>
          <w:szCs w:val="24"/>
        </w:rPr>
        <w:t>r</w:t>
      </w:r>
      <w:r w:rsidRPr="0009260E">
        <w:rPr>
          <w:szCs w:val="24"/>
        </w:rPr>
        <w:t>d</w:t>
      </w:r>
      <w:r w:rsidRPr="0009260E">
        <w:rPr>
          <w:spacing w:val="-1"/>
          <w:szCs w:val="24"/>
        </w:rPr>
        <w:t>e</w:t>
      </w:r>
      <w:r w:rsidRPr="0009260E">
        <w:rPr>
          <w:szCs w:val="24"/>
        </w:rPr>
        <w:t>n.</w:t>
      </w:r>
    </w:p>
    <w:p w:rsidR="00EE3506" w:rsidRDefault="00EE3506" w:rsidP="00286F35">
      <w:pPr>
        <w:spacing w:after="0"/>
        <w:rPr>
          <w:szCs w:val="24"/>
        </w:rPr>
      </w:pPr>
    </w:p>
    <w:p w:rsidR="00286F35" w:rsidRDefault="00286F35" w:rsidP="00286F35">
      <w:pPr>
        <w:spacing w:after="0"/>
        <w:rPr>
          <w:rFonts w:cs="Times New Roman"/>
          <w:szCs w:val="24"/>
        </w:rPr>
      </w:pPr>
    </w:p>
    <w:tbl>
      <w:tblPr>
        <w:tblStyle w:val="TableGrid"/>
        <w:tblW w:w="0" w:type="auto"/>
        <w:jc w:val="center"/>
        <w:tblLook w:val="04A0" w:firstRow="1" w:lastRow="0" w:firstColumn="1" w:lastColumn="0" w:noHBand="0" w:noVBand="1"/>
      </w:tblPr>
      <w:tblGrid>
        <w:gridCol w:w="1233"/>
        <w:gridCol w:w="961"/>
        <w:gridCol w:w="1067"/>
        <w:gridCol w:w="1049"/>
        <w:gridCol w:w="1307"/>
        <w:gridCol w:w="1335"/>
        <w:gridCol w:w="1384"/>
        <w:gridCol w:w="1240"/>
      </w:tblGrid>
      <w:tr w:rsidR="00A371D8" w:rsidRPr="003A03AD" w:rsidTr="00946E2E">
        <w:trPr>
          <w:tblHeader/>
          <w:jc w:val="center"/>
        </w:trPr>
        <w:tc>
          <w:tcPr>
            <w:tcW w:w="0" w:type="auto"/>
            <w:shd w:val="clear" w:color="auto" w:fill="A6A6A6" w:themeFill="background1" w:themeFillShade="A6"/>
            <w:vAlign w:val="center"/>
          </w:tcPr>
          <w:p w:rsidR="00A371D8" w:rsidRPr="00927090" w:rsidRDefault="00A371D8" w:rsidP="00946E2E">
            <w:pPr>
              <w:jc w:val="center"/>
              <w:rPr>
                <w:b/>
                <w:sz w:val="12"/>
                <w:szCs w:val="12"/>
              </w:rPr>
            </w:pPr>
            <w:r w:rsidRPr="00927090">
              <w:rPr>
                <w:b/>
                <w:sz w:val="12"/>
                <w:szCs w:val="12"/>
              </w:rPr>
              <w:t>Collection of Information</w:t>
            </w:r>
          </w:p>
        </w:tc>
        <w:tc>
          <w:tcPr>
            <w:tcW w:w="0" w:type="auto"/>
            <w:shd w:val="clear" w:color="auto" w:fill="A6A6A6" w:themeFill="background1" w:themeFillShade="A6"/>
            <w:vAlign w:val="center"/>
          </w:tcPr>
          <w:p w:rsidR="00A371D8" w:rsidRPr="00927090" w:rsidRDefault="00A371D8" w:rsidP="00946E2E">
            <w:pPr>
              <w:jc w:val="center"/>
              <w:rPr>
                <w:b/>
                <w:sz w:val="12"/>
                <w:szCs w:val="12"/>
              </w:rPr>
            </w:pPr>
            <w:r w:rsidRPr="00927090">
              <w:rPr>
                <w:b/>
                <w:sz w:val="12"/>
                <w:szCs w:val="12"/>
              </w:rPr>
              <w:t>Type of Burden</w:t>
            </w:r>
          </w:p>
        </w:tc>
        <w:tc>
          <w:tcPr>
            <w:tcW w:w="0" w:type="auto"/>
            <w:shd w:val="clear" w:color="auto" w:fill="A6A6A6" w:themeFill="background1" w:themeFillShade="A6"/>
            <w:vAlign w:val="center"/>
          </w:tcPr>
          <w:p w:rsidR="00A371D8" w:rsidRPr="00927090" w:rsidRDefault="00A371D8" w:rsidP="00946E2E">
            <w:pPr>
              <w:jc w:val="center"/>
              <w:rPr>
                <w:b/>
                <w:sz w:val="12"/>
                <w:szCs w:val="12"/>
              </w:rPr>
            </w:pPr>
            <w:r w:rsidRPr="00927090">
              <w:rPr>
                <w:b/>
                <w:sz w:val="12"/>
                <w:szCs w:val="12"/>
              </w:rPr>
              <w:t>Total Number of Respondents</w:t>
            </w:r>
          </w:p>
        </w:tc>
        <w:tc>
          <w:tcPr>
            <w:tcW w:w="0" w:type="auto"/>
            <w:shd w:val="clear" w:color="auto" w:fill="A6A6A6" w:themeFill="background1" w:themeFillShade="A6"/>
            <w:vAlign w:val="center"/>
          </w:tcPr>
          <w:p w:rsidR="00A371D8" w:rsidRPr="00927090" w:rsidRDefault="00A371D8" w:rsidP="00946E2E">
            <w:pPr>
              <w:jc w:val="center"/>
              <w:rPr>
                <w:b/>
                <w:sz w:val="12"/>
                <w:szCs w:val="12"/>
              </w:rPr>
            </w:pPr>
            <w:r w:rsidRPr="00927090">
              <w:rPr>
                <w:b/>
                <w:sz w:val="12"/>
                <w:szCs w:val="12"/>
              </w:rPr>
              <w:t>Total Number of Responses Per Year</w:t>
            </w:r>
          </w:p>
        </w:tc>
        <w:tc>
          <w:tcPr>
            <w:tcW w:w="0" w:type="auto"/>
            <w:shd w:val="clear" w:color="auto" w:fill="A6A6A6" w:themeFill="background1" w:themeFillShade="A6"/>
            <w:vAlign w:val="center"/>
          </w:tcPr>
          <w:p w:rsidR="00A371D8" w:rsidRPr="00927090" w:rsidRDefault="00A371D8" w:rsidP="00946E2E">
            <w:pPr>
              <w:jc w:val="center"/>
              <w:rPr>
                <w:b/>
                <w:sz w:val="12"/>
                <w:szCs w:val="12"/>
              </w:rPr>
            </w:pPr>
            <w:r w:rsidRPr="00927090">
              <w:rPr>
                <w:b/>
                <w:sz w:val="12"/>
                <w:szCs w:val="12"/>
              </w:rPr>
              <w:t>Initial Burden Per Response Per Year Per Respondent</w:t>
            </w:r>
          </w:p>
        </w:tc>
        <w:tc>
          <w:tcPr>
            <w:tcW w:w="0" w:type="auto"/>
            <w:shd w:val="clear" w:color="auto" w:fill="A6A6A6" w:themeFill="background1" w:themeFillShade="A6"/>
            <w:vAlign w:val="center"/>
          </w:tcPr>
          <w:p w:rsidR="00A371D8" w:rsidRPr="00927090" w:rsidRDefault="00A371D8" w:rsidP="00946E2E">
            <w:pPr>
              <w:jc w:val="center"/>
              <w:rPr>
                <w:b/>
                <w:sz w:val="12"/>
                <w:szCs w:val="12"/>
              </w:rPr>
            </w:pPr>
            <w:r w:rsidRPr="00927090">
              <w:rPr>
                <w:b/>
                <w:sz w:val="12"/>
                <w:szCs w:val="12"/>
              </w:rPr>
              <w:t>Ongoing Burden Per Response Per Year Per Respondent</w:t>
            </w:r>
          </w:p>
        </w:tc>
        <w:tc>
          <w:tcPr>
            <w:tcW w:w="0" w:type="auto"/>
            <w:shd w:val="clear" w:color="auto" w:fill="A6A6A6" w:themeFill="background1" w:themeFillShade="A6"/>
            <w:vAlign w:val="center"/>
          </w:tcPr>
          <w:p w:rsidR="00A371D8" w:rsidRPr="00927090" w:rsidRDefault="00A371D8" w:rsidP="00946E2E">
            <w:pPr>
              <w:jc w:val="center"/>
              <w:rPr>
                <w:b/>
                <w:sz w:val="12"/>
                <w:szCs w:val="12"/>
              </w:rPr>
            </w:pPr>
            <w:r w:rsidRPr="00927090">
              <w:rPr>
                <w:b/>
                <w:sz w:val="12"/>
                <w:szCs w:val="12"/>
              </w:rPr>
              <w:t>Total Annualized Burden Per Year Per Year Per Respondent</w:t>
            </w:r>
          </w:p>
        </w:tc>
        <w:tc>
          <w:tcPr>
            <w:tcW w:w="0" w:type="auto"/>
            <w:shd w:val="clear" w:color="auto" w:fill="A6A6A6" w:themeFill="background1" w:themeFillShade="A6"/>
            <w:vAlign w:val="center"/>
          </w:tcPr>
          <w:p w:rsidR="00A371D8" w:rsidRPr="00927090" w:rsidRDefault="00A371D8" w:rsidP="00946E2E">
            <w:pPr>
              <w:jc w:val="center"/>
              <w:rPr>
                <w:b/>
                <w:sz w:val="12"/>
                <w:szCs w:val="12"/>
              </w:rPr>
            </w:pPr>
            <w:r w:rsidRPr="00927090">
              <w:rPr>
                <w:b/>
                <w:sz w:val="12"/>
                <w:szCs w:val="12"/>
              </w:rPr>
              <w:t>Total Reporting Burden For All Respondents</w:t>
            </w:r>
          </w:p>
        </w:tc>
      </w:tr>
      <w:tr w:rsidR="00A371D8" w:rsidRPr="003A03AD" w:rsidTr="00946E2E">
        <w:trPr>
          <w:jc w:val="center"/>
        </w:trPr>
        <w:tc>
          <w:tcPr>
            <w:tcW w:w="0" w:type="auto"/>
            <w:vAlign w:val="center"/>
          </w:tcPr>
          <w:p w:rsidR="00A371D8" w:rsidRPr="00927090" w:rsidRDefault="00A371D8" w:rsidP="00946E2E">
            <w:pPr>
              <w:jc w:val="center"/>
              <w:rPr>
                <w:color w:val="000000"/>
                <w:sz w:val="12"/>
                <w:szCs w:val="12"/>
              </w:rPr>
            </w:pPr>
            <w:r w:rsidRPr="00927090">
              <w:rPr>
                <w:color w:val="000000"/>
                <w:sz w:val="12"/>
                <w:szCs w:val="12"/>
              </w:rPr>
              <w:t>Regulator MOUs related to confidentiality</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Reporting</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30</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1</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166.67</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0.00</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166.67</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5</w:t>
            </w:r>
            <w:r w:rsidR="00126A2E">
              <w:rPr>
                <w:color w:val="000000"/>
                <w:sz w:val="12"/>
                <w:szCs w:val="12"/>
              </w:rPr>
              <w:t>,</w:t>
            </w:r>
            <w:r w:rsidRPr="00927090">
              <w:rPr>
                <w:color w:val="000000"/>
                <w:sz w:val="12"/>
                <w:szCs w:val="12"/>
              </w:rPr>
              <w:t>000</w:t>
            </w:r>
          </w:p>
        </w:tc>
      </w:tr>
      <w:tr w:rsidR="00A371D8" w:rsidRPr="003A03AD" w:rsidTr="00946E2E">
        <w:trPr>
          <w:jc w:val="center"/>
        </w:trPr>
        <w:tc>
          <w:tcPr>
            <w:tcW w:w="0" w:type="auto"/>
            <w:vAlign w:val="center"/>
          </w:tcPr>
          <w:p w:rsidR="00A371D8" w:rsidRPr="00927090" w:rsidRDefault="00A371D8" w:rsidP="00946E2E">
            <w:pPr>
              <w:jc w:val="center"/>
              <w:rPr>
                <w:color w:val="000000"/>
                <w:sz w:val="12"/>
                <w:szCs w:val="12"/>
              </w:rPr>
            </w:pPr>
            <w:r w:rsidRPr="00927090">
              <w:rPr>
                <w:color w:val="000000"/>
                <w:sz w:val="12"/>
                <w:szCs w:val="12"/>
              </w:rPr>
              <w:t>Requests for Commission determination</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Reporting</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21</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1</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13.33</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0.00</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13.33</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280</w:t>
            </w:r>
          </w:p>
        </w:tc>
      </w:tr>
      <w:tr w:rsidR="00A371D8" w:rsidRPr="003A03AD" w:rsidTr="00946E2E">
        <w:trPr>
          <w:jc w:val="center"/>
        </w:trPr>
        <w:tc>
          <w:tcPr>
            <w:tcW w:w="0" w:type="auto"/>
            <w:vAlign w:val="center"/>
          </w:tcPr>
          <w:p w:rsidR="00A371D8" w:rsidRPr="00927090" w:rsidRDefault="00A371D8" w:rsidP="00946E2E">
            <w:pPr>
              <w:jc w:val="center"/>
              <w:rPr>
                <w:color w:val="000000"/>
                <w:sz w:val="12"/>
                <w:szCs w:val="12"/>
              </w:rPr>
            </w:pPr>
            <w:r w:rsidRPr="00927090">
              <w:rPr>
                <w:color w:val="000000"/>
                <w:sz w:val="12"/>
                <w:szCs w:val="12"/>
              </w:rPr>
              <w:t>Systems costs incurred by SDRs</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Recordkeeping</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10</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1</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2</w:t>
            </w:r>
            <w:r w:rsidR="00126A2E">
              <w:rPr>
                <w:color w:val="000000"/>
                <w:sz w:val="12"/>
                <w:szCs w:val="12"/>
              </w:rPr>
              <w:t>,</w:t>
            </w:r>
            <w:r w:rsidRPr="00927090">
              <w:rPr>
                <w:color w:val="000000"/>
                <w:sz w:val="12"/>
                <w:szCs w:val="12"/>
              </w:rPr>
              <w:t>600</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0.00</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2</w:t>
            </w:r>
            <w:r w:rsidR="00126A2E">
              <w:rPr>
                <w:color w:val="000000"/>
                <w:sz w:val="12"/>
                <w:szCs w:val="12"/>
              </w:rPr>
              <w:t>,</w:t>
            </w:r>
            <w:r w:rsidRPr="00927090">
              <w:rPr>
                <w:color w:val="000000"/>
                <w:sz w:val="12"/>
                <w:szCs w:val="12"/>
              </w:rPr>
              <w:t>600</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26,000</w:t>
            </w:r>
          </w:p>
        </w:tc>
      </w:tr>
      <w:tr w:rsidR="00A371D8" w:rsidRPr="003A03AD" w:rsidTr="00946E2E">
        <w:trPr>
          <w:jc w:val="center"/>
        </w:trPr>
        <w:tc>
          <w:tcPr>
            <w:tcW w:w="0" w:type="auto"/>
            <w:vAlign w:val="center"/>
          </w:tcPr>
          <w:p w:rsidR="00A371D8" w:rsidRPr="00927090" w:rsidRDefault="00A371D8" w:rsidP="00946E2E">
            <w:pPr>
              <w:jc w:val="center"/>
              <w:rPr>
                <w:color w:val="000000"/>
                <w:sz w:val="12"/>
                <w:szCs w:val="12"/>
              </w:rPr>
            </w:pPr>
            <w:r w:rsidRPr="00927090">
              <w:rPr>
                <w:color w:val="000000"/>
                <w:sz w:val="12"/>
                <w:szCs w:val="12"/>
              </w:rPr>
              <w:t>Request notification costs incurred by SDRs</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Reporting</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10</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300</w:t>
            </w:r>
          </w:p>
        </w:tc>
        <w:tc>
          <w:tcPr>
            <w:tcW w:w="0" w:type="auto"/>
            <w:vAlign w:val="center"/>
          </w:tcPr>
          <w:p w:rsidR="00A371D8" w:rsidRPr="00927090" w:rsidRDefault="00A371D8" w:rsidP="00A371D8">
            <w:pPr>
              <w:jc w:val="center"/>
              <w:rPr>
                <w:color w:val="000000"/>
                <w:sz w:val="12"/>
                <w:szCs w:val="12"/>
              </w:rPr>
            </w:pPr>
            <w:r w:rsidRPr="00927090">
              <w:rPr>
                <w:color w:val="000000"/>
                <w:sz w:val="12"/>
                <w:szCs w:val="12"/>
              </w:rPr>
              <w:t>0.</w:t>
            </w:r>
            <w:r w:rsidR="00791831">
              <w:rPr>
                <w:color w:val="000000"/>
                <w:sz w:val="12"/>
                <w:szCs w:val="12"/>
              </w:rPr>
              <w:t>17</w:t>
            </w:r>
          </w:p>
        </w:tc>
        <w:tc>
          <w:tcPr>
            <w:tcW w:w="0" w:type="auto"/>
            <w:vAlign w:val="center"/>
          </w:tcPr>
          <w:p w:rsidR="00A371D8" w:rsidRPr="00927090" w:rsidRDefault="00A371D8" w:rsidP="00946E2E">
            <w:pPr>
              <w:jc w:val="center"/>
              <w:rPr>
                <w:color w:val="000000"/>
                <w:sz w:val="12"/>
                <w:szCs w:val="12"/>
              </w:rPr>
            </w:pPr>
            <w:r w:rsidRPr="00927090">
              <w:rPr>
                <w:color w:val="000000"/>
                <w:sz w:val="12"/>
                <w:szCs w:val="12"/>
              </w:rPr>
              <w:t>0.00</w:t>
            </w:r>
          </w:p>
        </w:tc>
        <w:tc>
          <w:tcPr>
            <w:tcW w:w="0" w:type="auto"/>
            <w:vAlign w:val="center"/>
          </w:tcPr>
          <w:p w:rsidR="00A371D8" w:rsidRPr="00927090" w:rsidRDefault="00791831" w:rsidP="00946E2E">
            <w:pPr>
              <w:jc w:val="center"/>
              <w:rPr>
                <w:color w:val="000000"/>
                <w:sz w:val="12"/>
                <w:szCs w:val="12"/>
              </w:rPr>
            </w:pPr>
            <w:r>
              <w:rPr>
                <w:color w:val="000000"/>
                <w:sz w:val="12"/>
                <w:szCs w:val="12"/>
              </w:rPr>
              <w:t>50</w:t>
            </w:r>
          </w:p>
        </w:tc>
        <w:tc>
          <w:tcPr>
            <w:tcW w:w="0" w:type="auto"/>
            <w:vAlign w:val="center"/>
          </w:tcPr>
          <w:p w:rsidR="00A371D8" w:rsidRPr="00927090" w:rsidRDefault="00791831" w:rsidP="00946E2E">
            <w:pPr>
              <w:jc w:val="center"/>
              <w:rPr>
                <w:color w:val="000000"/>
                <w:sz w:val="12"/>
                <w:szCs w:val="12"/>
              </w:rPr>
            </w:pPr>
            <w:r>
              <w:rPr>
                <w:color w:val="000000"/>
                <w:sz w:val="12"/>
                <w:szCs w:val="12"/>
              </w:rPr>
              <w:t>5</w:t>
            </w:r>
            <w:r w:rsidR="00A371D8" w:rsidRPr="00927090">
              <w:rPr>
                <w:color w:val="000000"/>
                <w:sz w:val="12"/>
                <w:szCs w:val="12"/>
              </w:rPr>
              <w:t>00</w:t>
            </w:r>
          </w:p>
        </w:tc>
      </w:tr>
      <w:tr w:rsidR="00A371D8" w:rsidRPr="003A03AD" w:rsidTr="00927090">
        <w:trPr>
          <w:jc w:val="center"/>
        </w:trPr>
        <w:tc>
          <w:tcPr>
            <w:tcW w:w="0" w:type="auto"/>
            <w:tcBorders>
              <w:bottom w:val="single" w:sz="4" w:space="0" w:color="auto"/>
            </w:tcBorders>
            <w:vAlign w:val="center"/>
          </w:tcPr>
          <w:p w:rsidR="00A371D8" w:rsidRPr="00927090" w:rsidRDefault="00A371D8" w:rsidP="00946E2E">
            <w:pPr>
              <w:jc w:val="center"/>
              <w:rPr>
                <w:color w:val="000000"/>
                <w:sz w:val="12"/>
                <w:szCs w:val="12"/>
              </w:rPr>
            </w:pPr>
            <w:r w:rsidRPr="00927090">
              <w:rPr>
                <w:color w:val="000000"/>
                <w:sz w:val="12"/>
                <w:szCs w:val="12"/>
              </w:rPr>
              <w:t>Records of requests, maintained by SDRs</w:t>
            </w:r>
          </w:p>
        </w:tc>
        <w:tc>
          <w:tcPr>
            <w:tcW w:w="0" w:type="auto"/>
            <w:tcBorders>
              <w:bottom w:val="single" w:sz="4" w:space="0" w:color="auto"/>
            </w:tcBorders>
            <w:vAlign w:val="center"/>
          </w:tcPr>
          <w:p w:rsidR="00A371D8" w:rsidRPr="00927090" w:rsidRDefault="00A371D8" w:rsidP="00946E2E">
            <w:pPr>
              <w:jc w:val="center"/>
              <w:rPr>
                <w:color w:val="000000"/>
                <w:sz w:val="12"/>
                <w:szCs w:val="12"/>
              </w:rPr>
            </w:pPr>
            <w:r w:rsidRPr="00927090">
              <w:rPr>
                <w:color w:val="000000"/>
                <w:sz w:val="12"/>
                <w:szCs w:val="12"/>
              </w:rPr>
              <w:t>Recordkeeping</w:t>
            </w:r>
          </w:p>
        </w:tc>
        <w:tc>
          <w:tcPr>
            <w:tcW w:w="0" w:type="auto"/>
            <w:tcBorders>
              <w:bottom w:val="single" w:sz="4" w:space="0" w:color="auto"/>
            </w:tcBorders>
            <w:vAlign w:val="center"/>
          </w:tcPr>
          <w:p w:rsidR="00A371D8" w:rsidRPr="00927090" w:rsidRDefault="00A371D8" w:rsidP="00946E2E">
            <w:pPr>
              <w:jc w:val="center"/>
              <w:rPr>
                <w:color w:val="000000"/>
                <w:sz w:val="12"/>
                <w:szCs w:val="12"/>
              </w:rPr>
            </w:pPr>
            <w:r w:rsidRPr="00927090">
              <w:rPr>
                <w:color w:val="000000"/>
                <w:sz w:val="12"/>
                <w:szCs w:val="12"/>
              </w:rPr>
              <w:t>10</w:t>
            </w:r>
          </w:p>
        </w:tc>
        <w:tc>
          <w:tcPr>
            <w:tcW w:w="0" w:type="auto"/>
            <w:tcBorders>
              <w:bottom w:val="single" w:sz="4" w:space="0" w:color="auto"/>
            </w:tcBorders>
            <w:vAlign w:val="center"/>
          </w:tcPr>
          <w:p w:rsidR="00A371D8" w:rsidRPr="00927090" w:rsidRDefault="00A371D8" w:rsidP="00946E2E">
            <w:pPr>
              <w:jc w:val="center"/>
              <w:rPr>
                <w:color w:val="000000"/>
                <w:sz w:val="12"/>
                <w:szCs w:val="12"/>
              </w:rPr>
            </w:pPr>
            <w:r w:rsidRPr="00927090">
              <w:rPr>
                <w:color w:val="000000"/>
                <w:sz w:val="12"/>
                <w:szCs w:val="12"/>
              </w:rPr>
              <w:t>1</w:t>
            </w:r>
          </w:p>
        </w:tc>
        <w:tc>
          <w:tcPr>
            <w:tcW w:w="0" w:type="auto"/>
            <w:tcBorders>
              <w:bottom w:val="single" w:sz="4" w:space="0" w:color="auto"/>
            </w:tcBorders>
            <w:vAlign w:val="center"/>
          </w:tcPr>
          <w:p w:rsidR="00A371D8" w:rsidRPr="00927090" w:rsidRDefault="00A371D8" w:rsidP="00946E2E">
            <w:pPr>
              <w:jc w:val="center"/>
              <w:rPr>
                <w:color w:val="000000"/>
                <w:sz w:val="12"/>
                <w:szCs w:val="12"/>
              </w:rPr>
            </w:pPr>
            <w:r w:rsidRPr="00927090">
              <w:rPr>
                <w:color w:val="000000"/>
                <w:sz w:val="12"/>
                <w:szCs w:val="12"/>
              </w:rPr>
              <w:t>120</w:t>
            </w:r>
          </w:p>
        </w:tc>
        <w:tc>
          <w:tcPr>
            <w:tcW w:w="0" w:type="auto"/>
            <w:tcBorders>
              <w:bottom w:val="single" w:sz="4" w:space="0" w:color="auto"/>
            </w:tcBorders>
            <w:vAlign w:val="center"/>
          </w:tcPr>
          <w:p w:rsidR="00A371D8" w:rsidRPr="00927090" w:rsidRDefault="00A371D8" w:rsidP="00946E2E">
            <w:pPr>
              <w:jc w:val="center"/>
              <w:rPr>
                <w:color w:val="000000"/>
                <w:sz w:val="12"/>
                <w:szCs w:val="12"/>
              </w:rPr>
            </w:pPr>
            <w:r w:rsidRPr="00927090">
              <w:rPr>
                <w:color w:val="000000"/>
                <w:sz w:val="12"/>
                <w:szCs w:val="12"/>
              </w:rPr>
              <w:t>280</w:t>
            </w:r>
          </w:p>
        </w:tc>
        <w:tc>
          <w:tcPr>
            <w:tcW w:w="0" w:type="auto"/>
            <w:tcBorders>
              <w:bottom w:val="single" w:sz="4" w:space="0" w:color="auto"/>
            </w:tcBorders>
            <w:vAlign w:val="center"/>
          </w:tcPr>
          <w:p w:rsidR="00A371D8" w:rsidRPr="00927090" w:rsidRDefault="00A371D8" w:rsidP="00946E2E">
            <w:pPr>
              <w:jc w:val="center"/>
              <w:rPr>
                <w:color w:val="000000"/>
                <w:sz w:val="12"/>
                <w:szCs w:val="12"/>
              </w:rPr>
            </w:pPr>
            <w:r w:rsidRPr="00927090">
              <w:rPr>
                <w:color w:val="000000"/>
                <w:sz w:val="12"/>
                <w:szCs w:val="12"/>
              </w:rPr>
              <w:t>400</w:t>
            </w:r>
          </w:p>
        </w:tc>
        <w:tc>
          <w:tcPr>
            <w:tcW w:w="0" w:type="auto"/>
            <w:tcBorders>
              <w:bottom w:val="single" w:sz="4" w:space="0" w:color="auto"/>
            </w:tcBorders>
            <w:vAlign w:val="center"/>
          </w:tcPr>
          <w:p w:rsidR="00A371D8" w:rsidRPr="00927090" w:rsidRDefault="00A371D8" w:rsidP="00946E2E">
            <w:pPr>
              <w:jc w:val="center"/>
              <w:rPr>
                <w:color w:val="000000"/>
                <w:sz w:val="12"/>
                <w:szCs w:val="12"/>
              </w:rPr>
            </w:pPr>
            <w:r w:rsidRPr="00927090">
              <w:rPr>
                <w:color w:val="000000"/>
                <w:sz w:val="12"/>
                <w:szCs w:val="12"/>
              </w:rPr>
              <w:t>4</w:t>
            </w:r>
            <w:r w:rsidR="00126A2E">
              <w:rPr>
                <w:color w:val="000000"/>
                <w:sz w:val="12"/>
                <w:szCs w:val="12"/>
              </w:rPr>
              <w:t>,</w:t>
            </w:r>
            <w:r w:rsidRPr="00927090">
              <w:rPr>
                <w:color w:val="000000"/>
                <w:sz w:val="12"/>
                <w:szCs w:val="12"/>
              </w:rPr>
              <w:t>000</w:t>
            </w:r>
          </w:p>
        </w:tc>
      </w:tr>
      <w:tr w:rsidR="00A371D8" w:rsidRPr="003A03AD" w:rsidTr="00927090">
        <w:trPr>
          <w:jc w:val="center"/>
        </w:trPr>
        <w:tc>
          <w:tcPr>
            <w:tcW w:w="0" w:type="auto"/>
            <w:shd w:val="clear" w:color="auto" w:fill="A6A6A6" w:themeFill="background1" w:themeFillShade="A6"/>
            <w:vAlign w:val="center"/>
          </w:tcPr>
          <w:p w:rsidR="00A371D8" w:rsidRPr="00927090" w:rsidRDefault="00A371D8" w:rsidP="00946E2E">
            <w:pPr>
              <w:jc w:val="center"/>
              <w:rPr>
                <w:sz w:val="12"/>
                <w:szCs w:val="12"/>
              </w:rPr>
            </w:pPr>
            <w:r w:rsidRPr="00927090">
              <w:rPr>
                <w:sz w:val="12"/>
                <w:szCs w:val="12"/>
              </w:rPr>
              <w:t>Totals</w:t>
            </w:r>
          </w:p>
        </w:tc>
        <w:tc>
          <w:tcPr>
            <w:tcW w:w="0" w:type="auto"/>
            <w:shd w:val="clear" w:color="auto" w:fill="A6A6A6" w:themeFill="background1" w:themeFillShade="A6"/>
            <w:vAlign w:val="center"/>
          </w:tcPr>
          <w:p w:rsidR="00A371D8" w:rsidRPr="00927090" w:rsidRDefault="00A371D8" w:rsidP="00946E2E">
            <w:pPr>
              <w:jc w:val="center"/>
              <w:rPr>
                <w:sz w:val="12"/>
                <w:szCs w:val="12"/>
              </w:rPr>
            </w:pPr>
          </w:p>
        </w:tc>
        <w:tc>
          <w:tcPr>
            <w:tcW w:w="0" w:type="auto"/>
            <w:shd w:val="clear" w:color="auto" w:fill="A6A6A6" w:themeFill="background1" w:themeFillShade="A6"/>
            <w:vAlign w:val="center"/>
          </w:tcPr>
          <w:p w:rsidR="00A371D8" w:rsidRPr="00927090" w:rsidRDefault="00A371D8" w:rsidP="00946E2E">
            <w:pPr>
              <w:jc w:val="center"/>
              <w:rPr>
                <w:sz w:val="12"/>
                <w:szCs w:val="12"/>
              </w:rPr>
            </w:pPr>
          </w:p>
        </w:tc>
        <w:tc>
          <w:tcPr>
            <w:tcW w:w="0" w:type="auto"/>
            <w:shd w:val="clear" w:color="auto" w:fill="A6A6A6" w:themeFill="background1" w:themeFillShade="A6"/>
            <w:vAlign w:val="center"/>
          </w:tcPr>
          <w:p w:rsidR="00A371D8" w:rsidRPr="00927090" w:rsidRDefault="00A371D8" w:rsidP="00946E2E">
            <w:pPr>
              <w:jc w:val="center"/>
              <w:rPr>
                <w:sz w:val="12"/>
                <w:szCs w:val="12"/>
              </w:rPr>
            </w:pPr>
          </w:p>
        </w:tc>
        <w:tc>
          <w:tcPr>
            <w:tcW w:w="0" w:type="auto"/>
            <w:shd w:val="clear" w:color="auto" w:fill="A6A6A6" w:themeFill="background1" w:themeFillShade="A6"/>
            <w:vAlign w:val="center"/>
          </w:tcPr>
          <w:p w:rsidR="00A371D8" w:rsidRPr="002109FB" w:rsidRDefault="00A371D8" w:rsidP="002109FB">
            <w:pPr>
              <w:jc w:val="center"/>
              <w:rPr>
                <w:b/>
                <w:color w:val="000000"/>
                <w:sz w:val="12"/>
                <w:szCs w:val="12"/>
              </w:rPr>
            </w:pPr>
          </w:p>
        </w:tc>
        <w:tc>
          <w:tcPr>
            <w:tcW w:w="0" w:type="auto"/>
            <w:shd w:val="clear" w:color="auto" w:fill="A6A6A6" w:themeFill="background1" w:themeFillShade="A6"/>
            <w:vAlign w:val="center"/>
          </w:tcPr>
          <w:p w:rsidR="00A371D8" w:rsidRPr="002109FB" w:rsidRDefault="00A371D8" w:rsidP="00946E2E">
            <w:pPr>
              <w:jc w:val="center"/>
              <w:rPr>
                <w:b/>
                <w:sz w:val="12"/>
                <w:szCs w:val="12"/>
              </w:rPr>
            </w:pPr>
          </w:p>
        </w:tc>
        <w:tc>
          <w:tcPr>
            <w:tcW w:w="0" w:type="auto"/>
            <w:shd w:val="clear" w:color="auto" w:fill="A6A6A6" w:themeFill="background1" w:themeFillShade="A6"/>
            <w:vAlign w:val="center"/>
          </w:tcPr>
          <w:p w:rsidR="00A371D8" w:rsidRPr="002109FB" w:rsidRDefault="00A371D8" w:rsidP="00946E2E">
            <w:pPr>
              <w:jc w:val="center"/>
              <w:rPr>
                <w:b/>
                <w:sz w:val="12"/>
                <w:szCs w:val="12"/>
              </w:rPr>
            </w:pPr>
          </w:p>
        </w:tc>
        <w:tc>
          <w:tcPr>
            <w:tcW w:w="0" w:type="auto"/>
            <w:shd w:val="clear" w:color="auto" w:fill="A6A6A6" w:themeFill="background1" w:themeFillShade="A6"/>
            <w:vAlign w:val="center"/>
          </w:tcPr>
          <w:p w:rsidR="00A371D8" w:rsidRPr="002109FB" w:rsidRDefault="004067F6" w:rsidP="00946E2E">
            <w:pPr>
              <w:jc w:val="center"/>
              <w:rPr>
                <w:b/>
                <w:sz w:val="12"/>
                <w:szCs w:val="12"/>
              </w:rPr>
            </w:pPr>
            <w:r>
              <w:rPr>
                <w:b/>
                <w:sz w:val="12"/>
                <w:szCs w:val="12"/>
              </w:rPr>
              <w:t>3</w:t>
            </w:r>
            <w:r w:rsidR="00791831">
              <w:rPr>
                <w:b/>
                <w:sz w:val="12"/>
                <w:szCs w:val="12"/>
              </w:rPr>
              <w:t>5</w:t>
            </w:r>
            <w:r w:rsidR="00A371D8">
              <w:rPr>
                <w:b/>
                <w:sz w:val="12"/>
                <w:szCs w:val="12"/>
              </w:rPr>
              <w:t>,</w:t>
            </w:r>
            <w:r w:rsidR="00A371D8" w:rsidRPr="002109FB">
              <w:rPr>
                <w:b/>
                <w:sz w:val="12"/>
                <w:szCs w:val="12"/>
              </w:rPr>
              <w:t>780</w:t>
            </w:r>
          </w:p>
        </w:tc>
      </w:tr>
    </w:tbl>
    <w:p w:rsidR="009B7C00" w:rsidRDefault="009B7C00" w:rsidP="0042741B">
      <w:pPr>
        <w:spacing w:after="0"/>
        <w:ind w:firstLine="720"/>
        <w:rPr>
          <w:szCs w:val="24"/>
        </w:rPr>
      </w:pPr>
    </w:p>
    <w:p w:rsidR="00AB6456" w:rsidRDefault="00AB6456" w:rsidP="00EE3506">
      <w:pPr>
        <w:spacing w:after="0"/>
        <w:rPr>
          <w:szCs w:val="24"/>
          <w:u w:val="single"/>
        </w:rPr>
      </w:pPr>
      <w:r w:rsidRPr="00796A1E">
        <w:rPr>
          <w:szCs w:val="24"/>
        </w:rPr>
        <w:tab/>
        <w:t>13.</w:t>
      </w:r>
      <w:r w:rsidRPr="00796A1E">
        <w:rPr>
          <w:szCs w:val="24"/>
        </w:rPr>
        <w:tab/>
      </w:r>
      <w:r w:rsidRPr="00796A1E">
        <w:rPr>
          <w:szCs w:val="24"/>
          <w:u w:val="single"/>
        </w:rPr>
        <w:t>Estimate of Cost to Respondents</w:t>
      </w:r>
    </w:p>
    <w:p w:rsidR="00EE3506" w:rsidRPr="00796A1E" w:rsidRDefault="00EE3506" w:rsidP="00EE3506">
      <w:pPr>
        <w:spacing w:after="0"/>
        <w:rPr>
          <w:szCs w:val="24"/>
        </w:rPr>
      </w:pPr>
    </w:p>
    <w:p w:rsidR="00AB6456" w:rsidRDefault="00AB6456" w:rsidP="00EE3506">
      <w:pPr>
        <w:spacing w:after="0"/>
        <w:rPr>
          <w:szCs w:val="24"/>
        </w:rPr>
      </w:pPr>
      <w:r w:rsidRPr="00796A1E">
        <w:rPr>
          <w:szCs w:val="24"/>
        </w:rPr>
        <w:tab/>
        <w:t xml:space="preserve">The total cost for all of the Rules and Form SDR for all respondents is </w:t>
      </w:r>
      <w:r>
        <w:rPr>
          <w:szCs w:val="24"/>
        </w:rPr>
        <w:t xml:space="preserve">approximately </w:t>
      </w:r>
      <w:r w:rsidR="00FC4714">
        <w:rPr>
          <w:szCs w:val="24"/>
        </w:rPr>
        <w:t>$400,000 annually.</w:t>
      </w:r>
    </w:p>
    <w:p w:rsidR="00EE3506" w:rsidRPr="00796A1E" w:rsidRDefault="00EE3506" w:rsidP="00EE3506">
      <w:pPr>
        <w:spacing w:after="0"/>
        <w:rPr>
          <w:szCs w:val="24"/>
        </w:rPr>
      </w:pPr>
    </w:p>
    <w:p w:rsidR="009B7C00" w:rsidRDefault="00AB6456" w:rsidP="0042741B">
      <w:pPr>
        <w:spacing w:after="0"/>
        <w:ind w:firstLine="720"/>
        <w:rPr>
          <w:szCs w:val="24"/>
        </w:rPr>
      </w:pPr>
      <w:r>
        <w:rPr>
          <w:szCs w:val="24"/>
        </w:rPr>
        <w:t xml:space="preserve">These costs arise in connection with </w:t>
      </w:r>
      <w:r>
        <w:rPr>
          <w:rFonts w:cs="Times New Roman"/>
          <w:szCs w:val="24"/>
        </w:rPr>
        <w:t xml:space="preserve">rule 13n-4(d), which provides that SDRs must maintain records of all information related to initial and subsequent requests for data access.  </w:t>
      </w:r>
      <w:r w:rsidRPr="00796A1E">
        <w:rPr>
          <w:szCs w:val="24"/>
        </w:rPr>
        <w:t xml:space="preserve">The Commission estimates a </w:t>
      </w:r>
      <w:r>
        <w:rPr>
          <w:szCs w:val="24"/>
        </w:rPr>
        <w:t>total of ten respondents for these provisions</w:t>
      </w:r>
      <w:r w:rsidRPr="00796A1E">
        <w:rPr>
          <w:szCs w:val="24"/>
        </w:rPr>
        <w:t>.</w:t>
      </w:r>
      <w:r>
        <w:rPr>
          <w:szCs w:val="24"/>
        </w:rPr>
        <w:t xml:space="preserve">  The Commission estimates that compliance with this provision will require $40,000 annually per respondent, for a total cost of $400,000 annually across ten respondents.</w:t>
      </w:r>
      <w:r w:rsidRPr="00796A1E">
        <w:rPr>
          <w:szCs w:val="24"/>
        </w:rPr>
        <w:t xml:space="preserve"> </w:t>
      </w:r>
      <w:r>
        <w:rPr>
          <w:szCs w:val="24"/>
        </w:rPr>
        <w:t>T</w:t>
      </w:r>
      <w:r w:rsidRPr="00796A1E">
        <w:rPr>
          <w:szCs w:val="24"/>
        </w:rPr>
        <w:t>his collection is a recordkeeping type of collection.</w:t>
      </w:r>
    </w:p>
    <w:p w:rsidR="009B7C00" w:rsidRDefault="009B7C00" w:rsidP="0042741B">
      <w:pPr>
        <w:spacing w:after="0"/>
        <w:ind w:firstLine="720"/>
        <w:rPr>
          <w:szCs w:val="24"/>
        </w:rPr>
      </w:pPr>
    </w:p>
    <w:p w:rsidR="00EE3506" w:rsidRPr="0009260E" w:rsidRDefault="00EE3506" w:rsidP="00EE3506">
      <w:pPr>
        <w:pStyle w:val="BodyText"/>
        <w:rPr>
          <w:szCs w:val="24"/>
        </w:rPr>
      </w:pPr>
      <w:r w:rsidRPr="0009260E">
        <w:rPr>
          <w:szCs w:val="24"/>
        </w:rPr>
        <w:tab/>
        <w:t>The</w:t>
      </w:r>
      <w:r w:rsidRPr="0009260E">
        <w:rPr>
          <w:spacing w:val="-1"/>
          <w:szCs w:val="24"/>
        </w:rPr>
        <w:t xml:space="preserve"> </w:t>
      </w:r>
      <w:r w:rsidRPr="0009260E">
        <w:rPr>
          <w:szCs w:val="24"/>
        </w:rPr>
        <w:t>t</w:t>
      </w:r>
      <w:r w:rsidRPr="0009260E">
        <w:rPr>
          <w:spacing w:val="-1"/>
          <w:szCs w:val="24"/>
        </w:rPr>
        <w:t>a</w:t>
      </w:r>
      <w:r w:rsidRPr="0009260E">
        <w:rPr>
          <w:szCs w:val="24"/>
        </w:rPr>
        <w:t>ble</w:t>
      </w:r>
      <w:r w:rsidRPr="0009260E">
        <w:rPr>
          <w:spacing w:val="-1"/>
          <w:szCs w:val="24"/>
        </w:rPr>
        <w:t xml:space="preserve"> </w:t>
      </w:r>
      <w:r w:rsidRPr="0009260E">
        <w:rPr>
          <w:szCs w:val="24"/>
        </w:rPr>
        <w:t>b</w:t>
      </w:r>
      <w:r w:rsidRPr="0009260E">
        <w:rPr>
          <w:spacing w:val="-1"/>
          <w:szCs w:val="24"/>
        </w:rPr>
        <w:t>e</w:t>
      </w:r>
      <w:r w:rsidRPr="0009260E">
        <w:rPr>
          <w:szCs w:val="24"/>
        </w:rPr>
        <w:t>low summ</w:t>
      </w:r>
      <w:r w:rsidRPr="0009260E">
        <w:rPr>
          <w:spacing w:val="-1"/>
          <w:szCs w:val="24"/>
        </w:rPr>
        <w:t>ar</w:t>
      </w:r>
      <w:r w:rsidRPr="0009260E">
        <w:rPr>
          <w:spacing w:val="3"/>
          <w:szCs w:val="24"/>
        </w:rPr>
        <w:t>i</w:t>
      </w:r>
      <w:r w:rsidRPr="0009260E">
        <w:rPr>
          <w:spacing w:val="1"/>
          <w:szCs w:val="24"/>
        </w:rPr>
        <w:t>z</w:t>
      </w:r>
      <w:r w:rsidRPr="0009260E">
        <w:rPr>
          <w:spacing w:val="-1"/>
          <w:szCs w:val="24"/>
        </w:rPr>
        <w:t>e</w:t>
      </w:r>
      <w:r w:rsidRPr="0009260E">
        <w:rPr>
          <w:szCs w:val="24"/>
        </w:rPr>
        <w:t>s the</w:t>
      </w:r>
      <w:r w:rsidRPr="0009260E">
        <w:rPr>
          <w:spacing w:val="-1"/>
          <w:szCs w:val="24"/>
        </w:rPr>
        <w:t xml:space="preserve"> </w:t>
      </w:r>
      <w:r w:rsidRPr="0009260E">
        <w:rPr>
          <w:spacing w:val="1"/>
          <w:szCs w:val="24"/>
        </w:rPr>
        <w:t>C</w:t>
      </w:r>
      <w:r w:rsidRPr="0009260E">
        <w:rPr>
          <w:szCs w:val="24"/>
        </w:rPr>
        <w:t>ommission</w:t>
      </w:r>
      <w:r w:rsidRPr="0009260E">
        <w:rPr>
          <w:spacing w:val="-1"/>
          <w:szCs w:val="24"/>
        </w:rPr>
        <w:t>’</w:t>
      </w:r>
      <w:r w:rsidRPr="0009260E">
        <w:rPr>
          <w:szCs w:val="24"/>
        </w:rPr>
        <w:t xml:space="preserve">s </w:t>
      </w:r>
      <w:r w:rsidRPr="0009260E">
        <w:rPr>
          <w:spacing w:val="-1"/>
          <w:szCs w:val="24"/>
        </w:rPr>
        <w:t>e</w:t>
      </w:r>
      <w:r w:rsidRPr="0009260E">
        <w:rPr>
          <w:szCs w:val="24"/>
        </w:rPr>
        <w:t>stim</w:t>
      </w:r>
      <w:r w:rsidRPr="0009260E">
        <w:rPr>
          <w:spacing w:val="-1"/>
          <w:szCs w:val="24"/>
        </w:rPr>
        <w:t>a</w:t>
      </w:r>
      <w:r w:rsidRPr="0009260E">
        <w:rPr>
          <w:szCs w:val="24"/>
        </w:rPr>
        <w:t>t</w:t>
      </w:r>
      <w:r w:rsidRPr="0009260E">
        <w:rPr>
          <w:spacing w:val="-1"/>
          <w:szCs w:val="24"/>
        </w:rPr>
        <w:t>e</w:t>
      </w:r>
      <w:r w:rsidRPr="0009260E">
        <w:rPr>
          <w:szCs w:val="24"/>
        </w:rPr>
        <w:t>s of</w:t>
      </w:r>
      <w:r w:rsidRPr="0009260E">
        <w:rPr>
          <w:spacing w:val="-1"/>
          <w:szCs w:val="24"/>
        </w:rPr>
        <w:t xml:space="preserve"> </w:t>
      </w:r>
      <w:r w:rsidRPr="0009260E">
        <w:rPr>
          <w:spacing w:val="3"/>
          <w:szCs w:val="24"/>
        </w:rPr>
        <w:t>t</w:t>
      </w:r>
      <w:r w:rsidRPr="0009260E">
        <w:rPr>
          <w:szCs w:val="24"/>
        </w:rPr>
        <w:t>he</w:t>
      </w:r>
      <w:r w:rsidRPr="0009260E">
        <w:rPr>
          <w:spacing w:val="-1"/>
          <w:szCs w:val="24"/>
        </w:rPr>
        <w:t xml:space="preserve"> </w:t>
      </w:r>
      <w:r w:rsidRPr="0009260E">
        <w:rPr>
          <w:szCs w:val="24"/>
        </w:rPr>
        <w:t>tot</w:t>
      </w:r>
      <w:r w:rsidRPr="0009260E">
        <w:rPr>
          <w:spacing w:val="-1"/>
          <w:szCs w:val="24"/>
        </w:rPr>
        <w:t>a</w:t>
      </w:r>
      <w:r w:rsidRPr="0009260E">
        <w:rPr>
          <w:szCs w:val="24"/>
        </w:rPr>
        <w:t xml:space="preserve">l </w:t>
      </w:r>
      <w:r>
        <w:rPr>
          <w:szCs w:val="24"/>
        </w:rPr>
        <w:t>cost</w:t>
      </w:r>
      <w:r w:rsidRPr="0009260E">
        <w:rPr>
          <w:spacing w:val="-5"/>
          <w:szCs w:val="24"/>
        </w:rPr>
        <w:t xml:space="preserve"> </w:t>
      </w:r>
      <w:r w:rsidRPr="0009260E">
        <w:rPr>
          <w:szCs w:val="24"/>
        </w:rPr>
        <w:t>bu</w:t>
      </w:r>
      <w:r w:rsidRPr="0009260E">
        <w:rPr>
          <w:spacing w:val="-1"/>
          <w:szCs w:val="24"/>
        </w:rPr>
        <w:t>r</w:t>
      </w:r>
      <w:r w:rsidRPr="0009260E">
        <w:rPr>
          <w:szCs w:val="24"/>
        </w:rPr>
        <w:t>d</w:t>
      </w:r>
      <w:r w:rsidRPr="0009260E">
        <w:rPr>
          <w:spacing w:val="-1"/>
          <w:szCs w:val="24"/>
        </w:rPr>
        <w:t>e</w:t>
      </w:r>
      <w:r w:rsidRPr="0009260E">
        <w:rPr>
          <w:szCs w:val="24"/>
        </w:rPr>
        <w:t>n.</w:t>
      </w:r>
    </w:p>
    <w:p w:rsidR="009B7C00" w:rsidRDefault="009B7C00" w:rsidP="0042741B">
      <w:pPr>
        <w:spacing w:after="0"/>
        <w:ind w:firstLine="720"/>
        <w:rPr>
          <w:szCs w:val="24"/>
        </w:rPr>
      </w:pPr>
    </w:p>
    <w:tbl>
      <w:tblPr>
        <w:tblStyle w:val="TableGrid"/>
        <w:tblW w:w="0" w:type="auto"/>
        <w:jc w:val="center"/>
        <w:tblLook w:val="04A0" w:firstRow="1" w:lastRow="0" w:firstColumn="1" w:lastColumn="0" w:noHBand="0" w:noVBand="1"/>
      </w:tblPr>
      <w:tblGrid>
        <w:gridCol w:w="1173"/>
        <w:gridCol w:w="962"/>
        <w:gridCol w:w="1084"/>
        <w:gridCol w:w="1075"/>
        <w:gridCol w:w="1311"/>
        <w:gridCol w:w="1341"/>
        <w:gridCol w:w="1395"/>
        <w:gridCol w:w="1235"/>
      </w:tblGrid>
      <w:tr w:rsidR="00A371D8" w:rsidRPr="003A03AD" w:rsidTr="00946E2E">
        <w:trPr>
          <w:tblHeader/>
          <w:jc w:val="center"/>
        </w:trPr>
        <w:tc>
          <w:tcPr>
            <w:tcW w:w="0" w:type="auto"/>
            <w:shd w:val="clear" w:color="auto" w:fill="A6A6A6" w:themeFill="background1" w:themeFillShade="A6"/>
            <w:vAlign w:val="center"/>
          </w:tcPr>
          <w:p w:rsidR="00A371D8" w:rsidRPr="00AB6456" w:rsidRDefault="00A371D8" w:rsidP="00946E2E">
            <w:pPr>
              <w:jc w:val="center"/>
              <w:rPr>
                <w:b/>
                <w:sz w:val="12"/>
                <w:szCs w:val="12"/>
              </w:rPr>
            </w:pPr>
            <w:r w:rsidRPr="00AB6456">
              <w:rPr>
                <w:b/>
                <w:sz w:val="12"/>
                <w:szCs w:val="12"/>
              </w:rPr>
              <w:t>Collection of Information</w:t>
            </w:r>
          </w:p>
        </w:tc>
        <w:tc>
          <w:tcPr>
            <w:tcW w:w="0" w:type="auto"/>
            <w:shd w:val="clear" w:color="auto" w:fill="A6A6A6" w:themeFill="background1" w:themeFillShade="A6"/>
            <w:vAlign w:val="center"/>
          </w:tcPr>
          <w:p w:rsidR="00A371D8" w:rsidRPr="00AB6456" w:rsidRDefault="00A371D8" w:rsidP="00946E2E">
            <w:pPr>
              <w:jc w:val="center"/>
              <w:rPr>
                <w:b/>
                <w:sz w:val="12"/>
                <w:szCs w:val="12"/>
              </w:rPr>
            </w:pPr>
            <w:r w:rsidRPr="00AB6456">
              <w:rPr>
                <w:b/>
                <w:sz w:val="12"/>
                <w:szCs w:val="12"/>
              </w:rPr>
              <w:t>Type of Burden</w:t>
            </w:r>
          </w:p>
        </w:tc>
        <w:tc>
          <w:tcPr>
            <w:tcW w:w="0" w:type="auto"/>
            <w:shd w:val="clear" w:color="auto" w:fill="A6A6A6" w:themeFill="background1" w:themeFillShade="A6"/>
            <w:vAlign w:val="center"/>
          </w:tcPr>
          <w:p w:rsidR="00A371D8" w:rsidRPr="00AB6456" w:rsidRDefault="00A371D8" w:rsidP="00946E2E">
            <w:pPr>
              <w:jc w:val="center"/>
              <w:rPr>
                <w:b/>
                <w:sz w:val="12"/>
                <w:szCs w:val="12"/>
              </w:rPr>
            </w:pPr>
            <w:r w:rsidRPr="00AB6456">
              <w:rPr>
                <w:b/>
                <w:sz w:val="12"/>
                <w:szCs w:val="12"/>
              </w:rPr>
              <w:t>Total Number of Respondents</w:t>
            </w:r>
          </w:p>
        </w:tc>
        <w:tc>
          <w:tcPr>
            <w:tcW w:w="0" w:type="auto"/>
            <w:shd w:val="clear" w:color="auto" w:fill="A6A6A6" w:themeFill="background1" w:themeFillShade="A6"/>
            <w:vAlign w:val="center"/>
          </w:tcPr>
          <w:p w:rsidR="00A371D8" w:rsidRPr="00AB6456" w:rsidRDefault="00A371D8" w:rsidP="00946E2E">
            <w:pPr>
              <w:jc w:val="center"/>
              <w:rPr>
                <w:b/>
                <w:sz w:val="12"/>
                <w:szCs w:val="12"/>
              </w:rPr>
            </w:pPr>
            <w:r w:rsidRPr="00AB6456">
              <w:rPr>
                <w:b/>
                <w:sz w:val="12"/>
                <w:szCs w:val="12"/>
              </w:rPr>
              <w:t>Total Number of Responses Per Year</w:t>
            </w:r>
          </w:p>
        </w:tc>
        <w:tc>
          <w:tcPr>
            <w:tcW w:w="0" w:type="auto"/>
            <w:shd w:val="clear" w:color="auto" w:fill="A6A6A6" w:themeFill="background1" w:themeFillShade="A6"/>
            <w:vAlign w:val="center"/>
          </w:tcPr>
          <w:p w:rsidR="00A371D8" w:rsidRPr="00AB6456" w:rsidRDefault="00A371D8" w:rsidP="00EE3506">
            <w:pPr>
              <w:jc w:val="center"/>
              <w:rPr>
                <w:b/>
                <w:sz w:val="12"/>
                <w:szCs w:val="12"/>
              </w:rPr>
            </w:pPr>
            <w:r w:rsidRPr="00AB6456">
              <w:rPr>
                <w:b/>
                <w:sz w:val="12"/>
                <w:szCs w:val="12"/>
              </w:rPr>
              <w:t xml:space="preserve">Initial </w:t>
            </w:r>
            <w:r>
              <w:rPr>
                <w:b/>
                <w:sz w:val="12"/>
                <w:szCs w:val="12"/>
              </w:rPr>
              <w:t>Cost</w:t>
            </w:r>
            <w:r w:rsidRPr="00AB6456">
              <w:rPr>
                <w:b/>
                <w:sz w:val="12"/>
                <w:szCs w:val="12"/>
              </w:rPr>
              <w:t xml:space="preserve"> Per Response Per Year Per Respondent</w:t>
            </w:r>
          </w:p>
        </w:tc>
        <w:tc>
          <w:tcPr>
            <w:tcW w:w="0" w:type="auto"/>
            <w:shd w:val="clear" w:color="auto" w:fill="A6A6A6" w:themeFill="background1" w:themeFillShade="A6"/>
            <w:vAlign w:val="center"/>
          </w:tcPr>
          <w:p w:rsidR="00A371D8" w:rsidRPr="00AB6456" w:rsidRDefault="00A371D8" w:rsidP="00EE3506">
            <w:pPr>
              <w:jc w:val="center"/>
              <w:rPr>
                <w:b/>
                <w:sz w:val="12"/>
                <w:szCs w:val="12"/>
              </w:rPr>
            </w:pPr>
            <w:r w:rsidRPr="00AB6456">
              <w:rPr>
                <w:b/>
                <w:sz w:val="12"/>
                <w:szCs w:val="12"/>
              </w:rPr>
              <w:t xml:space="preserve">Ongoing </w:t>
            </w:r>
            <w:r>
              <w:rPr>
                <w:b/>
                <w:sz w:val="12"/>
                <w:szCs w:val="12"/>
              </w:rPr>
              <w:t>Cost</w:t>
            </w:r>
            <w:r w:rsidRPr="00AB6456">
              <w:rPr>
                <w:b/>
                <w:sz w:val="12"/>
                <w:szCs w:val="12"/>
              </w:rPr>
              <w:t xml:space="preserve"> Per Response Per Year Per Respondent</w:t>
            </w:r>
          </w:p>
        </w:tc>
        <w:tc>
          <w:tcPr>
            <w:tcW w:w="0" w:type="auto"/>
            <w:shd w:val="clear" w:color="auto" w:fill="A6A6A6" w:themeFill="background1" w:themeFillShade="A6"/>
            <w:vAlign w:val="center"/>
          </w:tcPr>
          <w:p w:rsidR="00A371D8" w:rsidRPr="00AB6456" w:rsidRDefault="00A371D8" w:rsidP="00EE3506">
            <w:pPr>
              <w:jc w:val="center"/>
              <w:rPr>
                <w:b/>
                <w:sz w:val="12"/>
                <w:szCs w:val="12"/>
              </w:rPr>
            </w:pPr>
            <w:r w:rsidRPr="00AB6456">
              <w:rPr>
                <w:b/>
                <w:sz w:val="12"/>
                <w:szCs w:val="12"/>
              </w:rPr>
              <w:t xml:space="preserve">Total Annualized </w:t>
            </w:r>
            <w:r>
              <w:rPr>
                <w:b/>
                <w:sz w:val="12"/>
                <w:szCs w:val="12"/>
              </w:rPr>
              <w:t xml:space="preserve">Cost </w:t>
            </w:r>
            <w:r w:rsidRPr="00AB6456">
              <w:rPr>
                <w:b/>
                <w:sz w:val="12"/>
                <w:szCs w:val="12"/>
              </w:rPr>
              <w:t>Per Year Per Year Per Respondent</w:t>
            </w:r>
          </w:p>
        </w:tc>
        <w:tc>
          <w:tcPr>
            <w:tcW w:w="0" w:type="auto"/>
            <w:shd w:val="clear" w:color="auto" w:fill="A6A6A6" w:themeFill="background1" w:themeFillShade="A6"/>
            <w:vAlign w:val="center"/>
          </w:tcPr>
          <w:p w:rsidR="00A371D8" w:rsidRPr="00AB6456" w:rsidRDefault="00A371D8" w:rsidP="00EE3506">
            <w:pPr>
              <w:jc w:val="center"/>
              <w:rPr>
                <w:b/>
                <w:sz w:val="12"/>
                <w:szCs w:val="12"/>
              </w:rPr>
            </w:pPr>
            <w:r w:rsidRPr="00AB6456">
              <w:rPr>
                <w:b/>
                <w:sz w:val="12"/>
                <w:szCs w:val="12"/>
              </w:rPr>
              <w:t xml:space="preserve">Total Reporting </w:t>
            </w:r>
            <w:r>
              <w:rPr>
                <w:b/>
                <w:sz w:val="12"/>
                <w:szCs w:val="12"/>
              </w:rPr>
              <w:t>Cost</w:t>
            </w:r>
            <w:r w:rsidRPr="00AB6456">
              <w:rPr>
                <w:b/>
                <w:sz w:val="12"/>
                <w:szCs w:val="12"/>
              </w:rPr>
              <w:t xml:space="preserve"> For All Respondents</w:t>
            </w:r>
          </w:p>
        </w:tc>
      </w:tr>
      <w:tr w:rsidR="00A371D8" w:rsidRPr="003A03AD" w:rsidTr="00946E2E">
        <w:trPr>
          <w:jc w:val="center"/>
        </w:trPr>
        <w:tc>
          <w:tcPr>
            <w:tcW w:w="0" w:type="auto"/>
            <w:vAlign w:val="center"/>
          </w:tcPr>
          <w:p w:rsidR="00A371D8" w:rsidRPr="00AB6456" w:rsidRDefault="00A371D8" w:rsidP="00946E2E">
            <w:pPr>
              <w:jc w:val="center"/>
              <w:rPr>
                <w:color w:val="000000"/>
                <w:sz w:val="12"/>
                <w:szCs w:val="12"/>
              </w:rPr>
            </w:pPr>
            <w:r w:rsidRPr="00AB6456">
              <w:rPr>
                <w:color w:val="000000"/>
                <w:sz w:val="12"/>
                <w:szCs w:val="12"/>
              </w:rPr>
              <w:t>Records of requests, maintained by SDRs</w:t>
            </w:r>
          </w:p>
        </w:tc>
        <w:tc>
          <w:tcPr>
            <w:tcW w:w="0" w:type="auto"/>
            <w:vAlign w:val="center"/>
          </w:tcPr>
          <w:p w:rsidR="00A371D8" w:rsidRPr="00AB6456" w:rsidRDefault="00A371D8" w:rsidP="00946E2E">
            <w:pPr>
              <w:jc w:val="center"/>
              <w:rPr>
                <w:color w:val="000000"/>
                <w:sz w:val="12"/>
                <w:szCs w:val="12"/>
              </w:rPr>
            </w:pPr>
            <w:r w:rsidRPr="00AB6456">
              <w:rPr>
                <w:color w:val="000000"/>
                <w:sz w:val="12"/>
                <w:szCs w:val="12"/>
              </w:rPr>
              <w:t>Recordkeeping</w:t>
            </w:r>
          </w:p>
        </w:tc>
        <w:tc>
          <w:tcPr>
            <w:tcW w:w="0" w:type="auto"/>
            <w:vAlign w:val="center"/>
          </w:tcPr>
          <w:p w:rsidR="00A371D8" w:rsidRPr="00AB6456" w:rsidRDefault="00A371D8" w:rsidP="00946E2E">
            <w:pPr>
              <w:jc w:val="center"/>
              <w:rPr>
                <w:color w:val="000000"/>
                <w:sz w:val="12"/>
                <w:szCs w:val="12"/>
              </w:rPr>
            </w:pPr>
            <w:r w:rsidRPr="00AB6456">
              <w:rPr>
                <w:color w:val="000000"/>
                <w:sz w:val="12"/>
                <w:szCs w:val="12"/>
              </w:rPr>
              <w:t>10</w:t>
            </w:r>
          </w:p>
        </w:tc>
        <w:tc>
          <w:tcPr>
            <w:tcW w:w="0" w:type="auto"/>
            <w:vAlign w:val="center"/>
          </w:tcPr>
          <w:p w:rsidR="00A371D8" w:rsidRPr="00AB6456" w:rsidRDefault="00A371D8" w:rsidP="00946E2E">
            <w:pPr>
              <w:jc w:val="center"/>
              <w:rPr>
                <w:color w:val="000000"/>
                <w:sz w:val="12"/>
                <w:szCs w:val="12"/>
              </w:rPr>
            </w:pPr>
            <w:r w:rsidRPr="00AB6456">
              <w:rPr>
                <w:color w:val="000000"/>
                <w:sz w:val="12"/>
                <w:szCs w:val="12"/>
              </w:rPr>
              <w:t>1</w:t>
            </w:r>
          </w:p>
        </w:tc>
        <w:tc>
          <w:tcPr>
            <w:tcW w:w="0" w:type="auto"/>
            <w:vAlign w:val="center"/>
          </w:tcPr>
          <w:p w:rsidR="00A371D8" w:rsidRPr="00AB6456" w:rsidRDefault="00A371D8" w:rsidP="00946E2E">
            <w:pPr>
              <w:jc w:val="center"/>
              <w:rPr>
                <w:color w:val="000000"/>
                <w:sz w:val="12"/>
                <w:szCs w:val="12"/>
              </w:rPr>
            </w:pPr>
            <w:r w:rsidRPr="00AB6456">
              <w:rPr>
                <w:color w:val="000000"/>
                <w:sz w:val="12"/>
                <w:szCs w:val="12"/>
              </w:rPr>
              <w:t>0</w:t>
            </w:r>
          </w:p>
        </w:tc>
        <w:tc>
          <w:tcPr>
            <w:tcW w:w="0" w:type="auto"/>
            <w:vAlign w:val="center"/>
          </w:tcPr>
          <w:p w:rsidR="00A371D8" w:rsidRPr="00AB6456" w:rsidRDefault="00A371D8" w:rsidP="00946E2E">
            <w:pPr>
              <w:jc w:val="center"/>
              <w:rPr>
                <w:color w:val="000000"/>
                <w:sz w:val="12"/>
                <w:szCs w:val="12"/>
              </w:rPr>
            </w:pPr>
            <w:r w:rsidRPr="00AB6456">
              <w:rPr>
                <w:color w:val="000000"/>
                <w:sz w:val="12"/>
                <w:szCs w:val="12"/>
              </w:rPr>
              <w:t>$40,000</w:t>
            </w:r>
          </w:p>
        </w:tc>
        <w:tc>
          <w:tcPr>
            <w:tcW w:w="0" w:type="auto"/>
            <w:vAlign w:val="center"/>
          </w:tcPr>
          <w:p w:rsidR="00A371D8" w:rsidRPr="00AB6456" w:rsidRDefault="00A371D8" w:rsidP="00946E2E">
            <w:pPr>
              <w:jc w:val="center"/>
              <w:rPr>
                <w:color w:val="000000"/>
                <w:sz w:val="12"/>
                <w:szCs w:val="12"/>
              </w:rPr>
            </w:pPr>
            <w:r w:rsidRPr="00AB6456">
              <w:rPr>
                <w:color w:val="000000"/>
                <w:sz w:val="12"/>
                <w:szCs w:val="12"/>
              </w:rPr>
              <w:t>$40,000</w:t>
            </w:r>
          </w:p>
        </w:tc>
        <w:tc>
          <w:tcPr>
            <w:tcW w:w="0" w:type="auto"/>
            <w:vAlign w:val="center"/>
          </w:tcPr>
          <w:p w:rsidR="00A371D8" w:rsidRPr="00AB6456" w:rsidRDefault="00A371D8" w:rsidP="00946E2E">
            <w:pPr>
              <w:jc w:val="center"/>
              <w:rPr>
                <w:color w:val="000000"/>
                <w:sz w:val="12"/>
                <w:szCs w:val="12"/>
              </w:rPr>
            </w:pPr>
            <w:r w:rsidRPr="00AB6456">
              <w:rPr>
                <w:color w:val="000000"/>
                <w:sz w:val="12"/>
                <w:szCs w:val="12"/>
              </w:rPr>
              <w:t>$400,000</w:t>
            </w:r>
          </w:p>
        </w:tc>
      </w:tr>
    </w:tbl>
    <w:p w:rsidR="009B7C00" w:rsidRDefault="009B7C00" w:rsidP="0042741B">
      <w:pPr>
        <w:spacing w:after="0"/>
        <w:ind w:firstLine="720"/>
        <w:rPr>
          <w:szCs w:val="24"/>
        </w:rPr>
      </w:pPr>
    </w:p>
    <w:p w:rsidR="009B7C00" w:rsidRDefault="009B7C00" w:rsidP="008F77D4">
      <w:pPr>
        <w:spacing w:after="0"/>
        <w:ind w:firstLine="720"/>
        <w:rPr>
          <w:szCs w:val="24"/>
        </w:rPr>
      </w:pPr>
    </w:p>
    <w:p w:rsidR="008F77D4" w:rsidRPr="00796A1E" w:rsidRDefault="008F77D4" w:rsidP="002109FB">
      <w:pPr>
        <w:spacing w:after="0"/>
        <w:rPr>
          <w:szCs w:val="24"/>
        </w:rPr>
      </w:pPr>
      <w:r w:rsidRPr="00796A1E">
        <w:rPr>
          <w:szCs w:val="24"/>
        </w:rPr>
        <w:tab/>
        <w:t>14.</w:t>
      </w:r>
      <w:r w:rsidRPr="00796A1E">
        <w:rPr>
          <w:szCs w:val="24"/>
        </w:rPr>
        <w:tab/>
      </w:r>
      <w:r w:rsidRPr="00796A1E">
        <w:rPr>
          <w:szCs w:val="24"/>
          <w:u w:val="single"/>
        </w:rPr>
        <w:t>Estimate of Cost to the Federal Government</w:t>
      </w:r>
    </w:p>
    <w:p w:rsidR="008F77D4" w:rsidRPr="00796A1E" w:rsidRDefault="008F77D4" w:rsidP="002109FB">
      <w:pPr>
        <w:spacing w:after="0"/>
        <w:rPr>
          <w:szCs w:val="24"/>
        </w:rPr>
      </w:pPr>
    </w:p>
    <w:p w:rsidR="008F77D4" w:rsidRDefault="008F77D4" w:rsidP="002109FB">
      <w:pPr>
        <w:spacing w:after="0"/>
        <w:rPr>
          <w:szCs w:val="24"/>
        </w:rPr>
      </w:pPr>
      <w:r w:rsidRPr="00796A1E">
        <w:rPr>
          <w:szCs w:val="24"/>
        </w:rPr>
        <w:tab/>
        <w:t>Not applicable.</w:t>
      </w:r>
    </w:p>
    <w:p w:rsidR="008F77D4" w:rsidRDefault="008F77D4" w:rsidP="002109FB">
      <w:pPr>
        <w:spacing w:after="0"/>
        <w:rPr>
          <w:szCs w:val="24"/>
        </w:rPr>
      </w:pPr>
    </w:p>
    <w:p w:rsidR="008F77D4" w:rsidRPr="00796A1E" w:rsidRDefault="008F77D4" w:rsidP="002109FB">
      <w:pPr>
        <w:spacing w:after="0"/>
        <w:rPr>
          <w:szCs w:val="24"/>
        </w:rPr>
      </w:pPr>
      <w:r w:rsidRPr="00796A1E">
        <w:rPr>
          <w:szCs w:val="24"/>
        </w:rPr>
        <w:tab/>
        <w:t>15.</w:t>
      </w:r>
      <w:r w:rsidRPr="00796A1E">
        <w:rPr>
          <w:szCs w:val="24"/>
        </w:rPr>
        <w:tab/>
      </w:r>
      <w:r w:rsidRPr="00796A1E">
        <w:rPr>
          <w:szCs w:val="24"/>
          <w:u w:val="single"/>
        </w:rPr>
        <w:t>Explanation of Changes in Burden</w:t>
      </w:r>
    </w:p>
    <w:p w:rsidR="008F77D4" w:rsidRDefault="008F77D4" w:rsidP="002109FB">
      <w:pPr>
        <w:spacing w:after="0"/>
        <w:rPr>
          <w:szCs w:val="24"/>
        </w:rPr>
      </w:pPr>
    </w:p>
    <w:p w:rsidR="008F77D4" w:rsidRDefault="002109FB" w:rsidP="002109FB">
      <w:pPr>
        <w:spacing w:after="0"/>
        <w:rPr>
          <w:szCs w:val="24"/>
        </w:rPr>
      </w:pPr>
      <w:r>
        <w:rPr>
          <w:szCs w:val="24"/>
        </w:rPr>
        <w:tab/>
        <w:t>Not applicable.</w:t>
      </w:r>
    </w:p>
    <w:p w:rsidR="008F77D4" w:rsidRDefault="008F77D4" w:rsidP="002109FB">
      <w:pPr>
        <w:spacing w:after="0"/>
        <w:rPr>
          <w:szCs w:val="24"/>
        </w:rPr>
      </w:pPr>
    </w:p>
    <w:p w:rsidR="008F77D4" w:rsidRPr="00796A1E" w:rsidRDefault="008F77D4" w:rsidP="002109FB">
      <w:pPr>
        <w:spacing w:after="0"/>
        <w:rPr>
          <w:szCs w:val="24"/>
        </w:rPr>
      </w:pPr>
      <w:r w:rsidRPr="00796A1E">
        <w:rPr>
          <w:szCs w:val="24"/>
        </w:rPr>
        <w:lastRenderedPageBreak/>
        <w:tab/>
        <w:t>16.</w:t>
      </w:r>
      <w:r w:rsidRPr="00796A1E">
        <w:rPr>
          <w:szCs w:val="24"/>
        </w:rPr>
        <w:tab/>
      </w:r>
      <w:r w:rsidRPr="00796A1E">
        <w:rPr>
          <w:szCs w:val="24"/>
          <w:u w:val="single"/>
        </w:rPr>
        <w:t>Information Collections Planned for Statistical Purpose</w:t>
      </w:r>
    </w:p>
    <w:p w:rsidR="002109FB" w:rsidRDefault="002109FB" w:rsidP="002109FB">
      <w:pPr>
        <w:spacing w:after="0"/>
        <w:rPr>
          <w:szCs w:val="24"/>
        </w:rPr>
      </w:pPr>
    </w:p>
    <w:p w:rsidR="002109FB" w:rsidRDefault="008F77D4" w:rsidP="002109FB">
      <w:pPr>
        <w:spacing w:after="0"/>
        <w:rPr>
          <w:szCs w:val="24"/>
        </w:rPr>
      </w:pPr>
      <w:r>
        <w:rPr>
          <w:szCs w:val="24"/>
        </w:rPr>
        <w:tab/>
        <w:t>Not applicable</w:t>
      </w:r>
    </w:p>
    <w:p w:rsidR="002109FB" w:rsidRDefault="002109FB" w:rsidP="002109FB">
      <w:pPr>
        <w:spacing w:after="0"/>
        <w:rPr>
          <w:szCs w:val="24"/>
        </w:rPr>
      </w:pPr>
    </w:p>
    <w:p w:rsidR="002109FB" w:rsidRPr="00796A1E" w:rsidRDefault="002109FB" w:rsidP="002109FB">
      <w:pPr>
        <w:spacing w:after="0"/>
        <w:rPr>
          <w:szCs w:val="24"/>
        </w:rPr>
      </w:pPr>
      <w:r w:rsidRPr="00796A1E">
        <w:rPr>
          <w:szCs w:val="24"/>
        </w:rPr>
        <w:tab/>
        <w:t>17.</w:t>
      </w:r>
      <w:r w:rsidRPr="00796A1E">
        <w:rPr>
          <w:szCs w:val="24"/>
        </w:rPr>
        <w:tab/>
      </w:r>
      <w:r w:rsidRPr="00796A1E">
        <w:rPr>
          <w:szCs w:val="24"/>
          <w:u w:val="single"/>
        </w:rPr>
        <w:t>Explanation as to Why Expiration Date Will Not be Displayed</w:t>
      </w:r>
    </w:p>
    <w:p w:rsidR="002109FB" w:rsidRDefault="002109FB" w:rsidP="002109FB">
      <w:pPr>
        <w:spacing w:after="0"/>
        <w:rPr>
          <w:szCs w:val="24"/>
        </w:rPr>
      </w:pPr>
    </w:p>
    <w:p w:rsidR="002109FB" w:rsidRDefault="002109FB" w:rsidP="002109FB">
      <w:pPr>
        <w:spacing w:after="0"/>
        <w:rPr>
          <w:szCs w:val="24"/>
        </w:rPr>
      </w:pPr>
      <w:r>
        <w:rPr>
          <w:szCs w:val="24"/>
        </w:rPr>
        <w:tab/>
        <w:t>The Commission is not seeking approval to not display the OMB approval expiration date.</w:t>
      </w:r>
    </w:p>
    <w:p w:rsidR="002109FB" w:rsidRDefault="002109FB" w:rsidP="002109FB">
      <w:pPr>
        <w:spacing w:after="0"/>
        <w:rPr>
          <w:szCs w:val="24"/>
        </w:rPr>
      </w:pPr>
    </w:p>
    <w:p w:rsidR="002109FB" w:rsidRPr="00796A1E" w:rsidRDefault="002109FB" w:rsidP="002109FB">
      <w:pPr>
        <w:spacing w:after="0"/>
        <w:rPr>
          <w:szCs w:val="24"/>
        </w:rPr>
      </w:pPr>
      <w:r w:rsidRPr="00796A1E">
        <w:rPr>
          <w:szCs w:val="24"/>
        </w:rPr>
        <w:tab/>
        <w:t>18.</w:t>
      </w:r>
      <w:r w:rsidRPr="00796A1E">
        <w:rPr>
          <w:szCs w:val="24"/>
        </w:rPr>
        <w:tab/>
      </w:r>
      <w:r w:rsidRPr="00796A1E">
        <w:rPr>
          <w:szCs w:val="24"/>
          <w:u w:val="single"/>
        </w:rPr>
        <w:t>Exceptions to Certification</w:t>
      </w:r>
    </w:p>
    <w:p w:rsidR="002109FB" w:rsidRPr="00796A1E" w:rsidRDefault="002109FB" w:rsidP="002109FB">
      <w:pPr>
        <w:spacing w:after="0"/>
        <w:rPr>
          <w:szCs w:val="24"/>
        </w:rPr>
      </w:pPr>
    </w:p>
    <w:p w:rsidR="002109FB" w:rsidRPr="00796A1E" w:rsidRDefault="002109FB" w:rsidP="002109FB">
      <w:pPr>
        <w:spacing w:after="0"/>
        <w:rPr>
          <w:szCs w:val="24"/>
        </w:rPr>
      </w:pPr>
      <w:r w:rsidRPr="00796A1E">
        <w:rPr>
          <w:szCs w:val="24"/>
        </w:rPr>
        <w:tab/>
        <w:t>Not applicable.</w:t>
      </w:r>
    </w:p>
    <w:p w:rsidR="002109FB" w:rsidRPr="00796A1E" w:rsidRDefault="002109FB" w:rsidP="002109FB">
      <w:pPr>
        <w:spacing w:after="0"/>
        <w:rPr>
          <w:szCs w:val="24"/>
        </w:rPr>
      </w:pPr>
    </w:p>
    <w:p w:rsidR="002109FB" w:rsidRPr="00796A1E" w:rsidRDefault="002109FB" w:rsidP="002109FB">
      <w:pPr>
        <w:keepNext/>
        <w:spacing w:after="0"/>
        <w:rPr>
          <w:szCs w:val="24"/>
        </w:rPr>
      </w:pPr>
      <w:r w:rsidRPr="00396377">
        <w:rPr>
          <w:szCs w:val="24"/>
        </w:rPr>
        <w:t>B.</w:t>
      </w:r>
      <w:r w:rsidRPr="00796A1E">
        <w:rPr>
          <w:szCs w:val="24"/>
        </w:rPr>
        <w:tab/>
      </w:r>
      <w:r w:rsidRPr="00796A1E">
        <w:rPr>
          <w:szCs w:val="24"/>
          <w:u w:val="single"/>
        </w:rPr>
        <w:t>Collection of Information Employing Statistical Methods.</w:t>
      </w:r>
    </w:p>
    <w:p w:rsidR="002109FB" w:rsidRPr="00796A1E" w:rsidRDefault="002109FB" w:rsidP="002109FB">
      <w:pPr>
        <w:spacing w:after="0"/>
        <w:rPr>
          <w:szCs w:val="24"/>
        </w:rPr>
      </w:pPr>
    </w:p>
    <w:p w:rsidR="008F77D4" w:rsidRDefault="00E43B9D" w:rsidP="008F77D4">
      <w:pPr>
        <w:spacing w:after="0"/>
        <w:rPr>
          <w:szCs w:val="24"/>
        </w:rPr>
      </w:pPr>
      <w:r>
        <w:rPr>
          <w:szCs w:val="24"/>
        </w:rPr>
        <w:tab/>
        <w:t xml:space="preserve">The </w:t>
      </w:r>
      <w:r w:rsidR="00DB0688">
        <w:rPr>
          <w:szCs w:val="24"/>
        </w:rPr>
        <w:t>r</w:t>
      </w:r>
      <w:r>
        <w:rPr>
          <w:szCs w:val="24"/>
        </w:rPr>
        <w:t>ule</w:t>
      </w:r>
      <w:r w:rsidR="009A2C0F">
        <w:rPr>
          <w:szCs w:val="24"/>
        </w:rPr>
        <w:t>s</w:t>
      </w:r>
      <w:r>
        <w:rPr>
          <w:szCs w:val="24"/>
        </w:rPr>
        <w:t xml:space="preserve"> </w:t>
      </w:r>
      <w:r w:rsidR="002109FB" w:rsidRPr="00796A1E">
        <w:rPr>
          <w:szCs w:val="24"/>
        </w:rPr>
        <w:t>do not employ statistical methods.</w:t>
      </w:r>
    </w:p>
    <w:sectPr w:rsidR="008F77D4" w:rsidSect="002109FB">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036" w:rsidRDefault="006D5036" w:rsidP="00BB3331">
      <w:pPr>
        <w:spacing w:after="0"/>
      </w:pPr>
      <w:r>
        <w:separator/>
      </w:r>
    </w:p>
  </w:endnote>
  <w:endnote w:type="continuationSeparator" w:id="0">
    <w:p w:rsidR="006D5036" w:rsidRDefault="006D5036" w:rsidP="00BB33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036" w:rsidRDefault="006D5036" w:rsidP="00BB3331">
      <w:pPr>
        <w:spacing w:after="0"/>
      </w:pPr>
      <w:r>
        <w:separator/>
      </w:r>
    </w:p>
  </w:footnote>
  <w:footnote w:type="continuationSeparator" w:id="0">
    <w:p w:rsidR="006D5036" w:rsidRDefault="006D5036" w:rsidP="00BB3331">
      <w:pPr>
        <w:spacing w:after="0"/>
      </w:pPr>
      <w:r>
        <w:continuationSeparator/>
      </w:r>
    </w:p>
  </w:footnote>
  <w:footnote w:id="1">
    <w:p w:rsidR="004457CD" w:rsidRPr="00E43B9D" w:rsidRDefault="004457CD" w:rsidP="004457CD">
      <w:pPr>
        <w:pStyle w:val="FootnoteText"/>
        <w:rPr>
          <w:sz w:val="24"/>
          <w:szCs w:val="24"/>
        </w:rPr>
      </w:pPr>
      <w:r w:rsidRPr="00E43B9D">
        <w:rPr>
          <w:rStyle w:val="FootnoteReference"/>
          <w:sz w:val="24"/>
          <w:szCs w:val="24"/>
        </w:rPr>
        <w:footnoteRef/>
      </w:r>
      <w:r w:rsidRPr="00E43B9D">
        <w:rPr>
          <w:sz w:val="24"/>
          <w:szCs w:val="24"/>
        </w:rPr>
        <w:t xml:space="preserve"> </w:t>
      </w:r>
      <w:r w:rsidRPr="00E43B9D">
        <w:rPr>
          <w:sz w:val="24"/>
          <w:szCs w:val="24"/>
        </w:rPr>
        <w:tab/>
      </w:r>
      <w:proofErr w:type="gramStart"/>
      <w:r w:rsidRPr="00E43B9D">
        <w:rPr>
          <w:sz w:val="24"/>
          <w:szCs w:val="24"/>
        </w:rPr>
        <w:t>Pub.</w:t>
      </w:r>
      <w:proofErr w:type="gramEnd"/>
      <w:r w:rsidRPr="00E43B9D">
        <w:rPr>
          <w:sz w:val="24"/>
          <w:szCs w:val="24"/>
        </w:rPr>
        <w:t xml:space="preserve"> L. No. 111-203, § 761(a) (adding Exchange Act Section 3(a</w:t>
      </w:r>
      <w:proofErr w:type="gramStart"/>
      <w:r w:rsidRPr="00E43B9D">
        <w:rPr>
          <w:sz w:val="24"/>
          <w:szCs w:val="24"/>
        </w:rPr>
        <w:t>)(</w:t>
      </w:r>
      <w:proofErr w:type="gramEnd"/>
      <w:r w:rsidRPr="00E43B9D">
        <w:rPr>
          <w:sz w:val="24"/>
          <w:szCs w:val="24"/>
        </w:rPr>
        <w:t>75) (defining SDR)) and § 763(i) (adding Exchange Act Section 13(n) (establishing a regulatory regime for SDRs)).</w:t>
      </w:r>
    </w:p>
  </w:footnote>
  <w:footnote w:id="2">
    <w:p w:rsidR="006312FC" w:rsidRPr="00E43B9D" w:rsidRDefault="006312FC">
      <w:pPr>
        <w:pStyle w:val="FootnoteText"/>
        <w:rPr>
          <w:sz w:val="24"/>
          <w:szCs w:val="24"/>
        </w:rPr>
      </w:pPr>
      <w:r w:rsidRPr="00E43B9D">
        <w:rPr>
          <w:rStyle w:val="FootnoteReference"/>
          <w:sz w:val="24"/>
          <w:szCs w:val="24"/>
        </w:rPr>
        <w:footnoteRef/>
      </w:r>
      <w:r w:rsidRPr="00E43B9D">
        <w:rPr>
          <w:sz w:val="24"/>
          <w:szCs w:val="24"/>
        </w:rPr>
        <w:t xml:space="preserve">  </w:t>
      </w:r>
      <w:r w:rsidRPr="00E43B9D">
        <w:rPr>
          <w:sz w:val="24"/>
          <w:szCs w:val="24"/>
        </w:rPr>
        <w:tab/>
      </w:r>
      <w:r w:rsidRPr="00E43B9D">
        <w:rPr>
          <w:sz w:val="24"/>
          <w:szCs w:val="24"/>
          <w:u w:val="single"/>
        </w:rPr>
        <w:t>See</w:t>
      </w:r>
      <w:r w:rsidRPr="00E43B9D">
        <w:rPr>
          <w:sz w:val="24"/>
          <w:szCs w:val="24"/>
        </w:rPr>
        <w:t xml:space="preserve"> Exchange Act sections 13(n</w:t>
      </w:r>
      <w:proofErr w:type="gramStart"/>
      <w:r w:rsidRPr="00E43B9D">
        <w:rPr>
          <w:sz w:val="24"/>
          <w:szCs w:val="24"/>
        </w:rPr>
        <w:t>)(</w:t>
      </w:r>
      <w:proofErr w:type="gramEnd"/>
      <w:r w:rsidRPr="00E43B9D">
        <w:rPr>
          <w:sz w:val="24"/>
          <w:szCs w:val="24"/>
        </w:rPr>
        <w:t xml:space="preserve">5)(G), (H).  </w:t>
      </w:r>
      <w:r w:rsidR="00E43B9D" w:rsidRPr="00E43B9D">
        <w:rPr>
          <w:sz w:val="24"/>
          <w:szCs w:val="24"/>
        </w:rPr>
        <w:t>This summary describes the collection of information associated with the data access provisions adopted by the Dodd-Frank Act, as modified by section 86001(b) of Public Law 114-94, enacted in 2015.</w:t>
      </w:r>
    </w:p>
  </w:footnote>
  <w:footnote w:id="3">
    <w:p w:rsidR="000625FD" w:rsidRPr="00F30638" w:rsidRDefault="000625FD" w:rsidP="000625FD">
      <w:pPr>
        <w:pStyle w:val="FootnoteText"/>
        <w:ind w:left="720" w:hanging="720"/>
      </w:pPr>
      <w:r w:rsidRPr="00F30638">
        <w:rPr>
          <w:rStyle w:val="FootnoteReference"/>
        </w:rPr>
        <w:footnoteRef/>
      </w:r>
      <w:r w:rsidRPr="00F30638">
        <w:t xml:space="preserve"> </w:t>
      </w:r>
      <w:r w:rsidRPr="00F30638">
        <w:tab/>
      </w:r>
      <w:r w:rsidRPr="00CC2D91">
        <w:rPr>
          <w:u w:val="single"/>
        </w:rPr>
        <w:t>See</w:t>
      </w:r>
      <w:r w:rsidRPr="00CC2D91">
        <w:t xml:space="preserve"> </w:t>
      </w:r>
      <w:r w:rsidR="007858F5" w:rsidRPr="00CC2D91">
        <w:t>Access to Data Obtained by Security-Based Swap Data Repositories</w:t>
      </w:r>
      <w:r w:rsidRPr="00CC2D91">
        <w:t>,</w:t>
      </w:r>
      <w:r w:rsidRPr="00CC2D91">
        <w:rPr>
          <w:i/>
        </w:rPr>
        <w:t xml:space="preserve"> </w:t>
      </w:r>
      <w:r w:rsidRPr="00CC2D91">
        <w:t xml:space="preserve">Exchange Act Release No. </w:t>
      </w:r>
      <w:r w:rsidR="00CC2D91">
        <w:t>78716</w:t>
      </w:r>
      <w:r w:rsidRPr="00CC2D91">
        <w:t xml:space="preserve"> (</w:t>
      </w:r>
      <w:r w:rsidR="00CC2D91">
        <w:t>Aug. 29</w:t>
      </w:r>
      <w:r w:rsidRPr="00CC2D91">
        <w:t xml:space="preserve">, 2016), 81 FR </w:t>
      </w:r>
      <w:r w:rsidR="00CC2D91">
        <w:t>60585</w:t>
      </w:r>
      <w:r w:rsidRPr="00CC2D91">
        <w:t xml:space="preserve"> (</w:t>
      </w:r>
      <w:r w:rsidR="00CC2D91">
        <w:t>Sept. 2</w:t>
      </w:r>
      <w:r w:rsidRPr="00CC2D91">
        <w:t>, 2016).</w:t>
      </w:r>
    </w:p>
  </w:footnote>
  <w:footnote w:id="4">
    <w:p w:rsidR="009275EC" w:rsidRPr="00E43B9D" w:rsidRDefault="009275EC">
      <w:pPr>
        <w:pStyle w:val="FootnoteText"/>
        <w:rPr>
          <w:sz w:val="24"/>
          <w:szCs w:val="24"/>
        </w:rPr>
      </w:pPr>
      <w:r w:rsidRPr="00E43B9D">
        <w:rPr>
          <w:rStyle w:val="FootnoteReference"/>
          <w:sz w:val="24"/>
          <w:szCs w:val="24"/>
        </w:rPr>
        <w:footnoteRef/>
      </w:r>
      <w:r w:rsidRPr="00E43B9D">
        <w:rPr>
          <w:sz w:val="24"/>
          <w:szCs w:val="24"/>
        </w:rPr>
        <w:t xml:space="preserve">  </w:t>
      </w:r>
      <w:r w:rsidRPr="00E43B9D">
        <w:rPr>
          <w:sz w:val="24"/>
          <w:szCs w:val="24"/>
        </w:rPr>
        <w:tab/>
      </w:r>
      <w:r w:rsidRPr="00E43B9D">
        <w:rPr>
          <w:sz w:val="24"/>
          <w:szCs w:val="24"/>
          <w:u w:val="single"/>
        </w:rPr>
        <w:t>See</w:t>
      </w:r>
      <w:r w:rsidRPr="00E43B9D">
        <w:rPr>
          <w:sz w:val="24"/>
          <w:szCs w:val="24"/>
        </w:rPr>
        <w:t xml:space="preserve"> Exchange Act sections 13(n</w:t>
      </w:r>
      <w:proofErr w:type="gramStart"/>
      <w:r w:rsidRPr="00E43B9D">
        <w:rPr>
          <w:sz w:val="24"/>
          <w:szCs w:val="24"/>
        </w:rPr>
        <w:t>)(</w:t>
      </w:r>
      <w:proofErr w:type="gramEnd"/>
      <w:r w:rsidRPr="00E43B9D">
        <w:rPr>
          <w:sz w:val="24"/>
          <w:szCs w:val="24"/>
        </w:rPr>
        <w:t xml:space="preserve">5)(H).  </w:t>
      </w:r>
    </w:p>
  </w:footnote>
  <w:footnote w:id="5">
    <w:p w:rsidR="00BC3B07" w:rsidRDefault="00BC3B07">
      <w:pPr>
        <w:pStyle w:val="FootnoteText"/>
      </w:pPr>
      <w:r w:rsidRPr="00E43B9D">
        <w:rPr>
          <w:rStyle w:val="FootnoteReference"/>
          <w:sz w:val="24"/>
          <w:szCs w:val="24"/>
        </w:rPr>
        <w:footnoteRef/>
      </w:r>
      <w:r w:rsidRPr="00E43B9D">
        <w:rPr>
          <w:sz w:val="24"/>
          <w:szCs w:val="24"/>
        </w:rPr>
        <w:t xml:space="preserve">  </w:t>
      </w:r>
      <w:r w:rsidRPr="00E43B9D">
        <w:rPr>
          <w:sz w:val="24"/>
          <w:szCs w:val="24"/>
        </w:rPr>
        <w:tab/>
      </w:r>
      <w:r w:rsidRPr="00E43B9D">
        <w:rPr>
          <w:sz w:val="24"/>
          <w:szCs w:val="24"/>
          <w:u w:val="single"/>
        </w:rPr>
        <w:t>See</w:t>
      </w:r>
      <w:r w:rsidRPr="00E43B9D">
        <w:rPr>
          <w:sz w:val="24"/>
          <w:szCs w:val="24"/>
        </w:rPr>
        <w:t xml:space="preserve"> Exchange Act sections 13(n</w:t>
      </w:r>
      <w:proofErr w:type="gramStart"/>
      <w:r w:rsidRPr="00E43B9D">
        <w:rPr>
          <w:sz w:val="24"/>
          <w:szCs w:val="24"/>
        </w:rPr>
        <w:t>)(</w:t>
      </w:r>
      <w:proofErr w:type="gramEnd"/>
      <w:r w:rsidRPr="00E43B9D">
        <w:rPr>
          <w:sz w:val="24"/>
          <w:szCs w:val="24"/>
        </w:rPr>
        <w:t>5)(G)(v).</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758186"/>
      <w:docPartObj>
        <w:docPartGallery w:val="Page Numbers (Top of Page)"/>
        <w:docPartUnique/>
      </w:docPartObj>
    </w:sdtPr>
    <w:sdtEndPr>
      <w:rPr>
        <w:noProof/>
      </w:rPr>
    </w:sdtEndPr>
    <w:sdtContent>
      <w:p w:rsidR="002109FB" w:rsidRDefault="002109FB">
        <w:pPr>
          <w:pStyle w:val="Header"/>
          <w:jc w:val="center"/>
        </w:pPr>
        <w:r>
          <w:fldChar w:fldCharType="begin"/>
        </w:r>
        <w:r>
          <w:instrText xml:space="preserve"> PAGE   \* MERGEFORMAT </w:instrText>
        </w:r>
        <w:r>
          <w:fldChar w:fldCharType="separate"/>
        </w:r>
        <w:r w:rsidR="00CC2D91">
          <w:rPr>
            <w:noProof/>
          </w:rPr>
          <w:t>7</w:t>
        </w:r>
        <w:r>
          <w:rPr>
            <w:noProof/>
          </w:rPr>
          <w:fldChar w:fldCharType="end"/>
        </w:r>
      </w:p>
    </w:sdtContent>
  </w:sdt>
  <w:p w:rsidR="002109FB" w:rsidRDefault="002109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331"/>
    <w:rsid w:val="000625FD"/>
    <w:rsid w:val="00064685"/>
    <w:rsid w:val="000671A4"/>
    <w:rsid w:val="00123CAA"/>
    <w:rsid w:val="00126A2E"/>
    <w:rsid w:val="00127AC2"/>
    <w:rsid w:val="00150C12"/>
    <w:rsid w:val="00171261"/>
    <w:rsid w:val="002109FB"/>
    <w:rsid w:val="0025167D"/>
    <w:rsid w:val="00286F35"/>
    <w:rsid w:val="002C52D6"/>
    <w:rsid w:val="003315C6"/>
    <w:rsid w:val="00387CDA"/>
    <w:rsid w:val="003E59D0"/>
    <w:rsid w:val="004067F6"/>
    <w:rsid w:val="0042741B"/>
    <w:rsid w:val="004457CD"/>
    <w:rsid w:val="00485ACD"/>
    <w:rsid w:val="00521970"/>
    <w:rsid w:val="00534DD5"/>
    <w:rsid w:val="00537A77"/>
    <w:rsid w:val="00626ECF"/>
    <w:rsid w:val="006312FC"/>
    <w:rsid w:val="00642D91"/>
    <w:rsid w:val="006D5036"/>
    <w:rsid w:val="00705310"/>
    <w:rsid w:val="007858F5"/>
    <w:rsid w:val="00791831"/>
    <w:rsid w:val="007958B9"/>
    <w:rsid w:val="007B50AA"/>
    <w:rsid w:val="007C0BE9"/>
    <w:rsid w:val="00813957"/>
    <w:rsid w:val="00851E52"/>
    <w:rsid w:val="008777AA"/>
    <w:rsid w:val="008F77D4"/>
    <w:rsid w:val="00927090"/>
    <w:rsid w:val="009275EC"/>
    <w:rsid w:val="00976699"/>
    <w:rsid w:val="009828CE"/>
    <w:rsid w:val="0098733C"/>
    <w:rsid w:val="009A2C0F"/>
    <w:rsid w:val="009B7C00"/>
    <w:rsid w:val="00A371D8"/>
    <w:rsid w:val="00AB0E7A"/>
    <w:rsid w:val="00AB6456"/>
    <w:rsid w:val="00B67502"/>
    <w:rsid w:val="00B85D5C"/>
    <w:rsid w:val="00BB3331"/>
    <w:rsid w:val="00BC3B07"/>
    <w:rsid w:val="00C41FFD"/>
    <w:rsid w:val="00CC2D91"/>
    <w:rsid w:val="00CE5B18"/>
    <w:rsid w:val="00DB0688"/>
    <w:rsid w:val="00DB5042"/>
    <w:rsid w:val="00E43B9D"/>
    <w:rsid w:val="00E52182"/>
    <w:rsid w:val="00E64508"/>
    <w:rsid w:val="00EE3506"/>
    <w:rsid w:val="00FC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331"/>
    <w:pPr>
      <w:spacing w:after="120" w:line="240" w:lineRule="auto"/>
    </w:pPr>
    <w:rPr>
      <w:rFonts w:ascii="Times New Roman" w:hAnsi="Times New Roman"/>
      <w:sz w:val="24"/>
    </w:rPr>
  </w:style>
  <w:style w:type="paragraph" w:styleId="Heading1">
    <w:name w:val="heading 1"/>
    <w:basedOn w:val="Normal"/>
    <w:link w:val="Heading1Char"/>
    <w:uiPriority w:val="9"/>
    <w:qFormat/>
    <w:rsid w:val="00BB3331"/>
    <w:pPr>
      <w:keepNext/>
      <w:spacing w:after="0" w:line="480" w:lineRule="auto"/>
      <w:outlineLvl w:val="0"/>
    </w:pPr>
    <w:rPr>
      <w:b/>
    </w:rPr>
  </w:style>
  <w:style w:type="paragraph" w:styleId="Heading2">
    <w:name w:val="heading 2"/>
    <w:basedOn w:val="Normal"/>
    <w:next w:val="Normal"/>
    <w:link w:val="Heading2Char"/>
    <w:uiPriority w:val="9"/>
    <w:unhideWhenUsed/>
    <w:qFormat/>
    <w:rsid w:val="00BB3331"/>
    <w:pPr>
      <w:keepNext/>
      <w:spacing w:after="240"/>
      <w:ind w:left="720" w:hanging="720"/>
      <w:outlineLvl w:val="1"/>
    </w:pPr>
  </w:style>
  <w:style w:type="paragraph" w:styleId="Heading3">
    <w:name w:val="heading 3"/>
    <w:basedOn w:val="Normal"/>
    <w:next w:val="Normal"/>
    <w:link w:val="Heading3Char"/>
    <w:uiPriority w:val="9"/>
    <w:unhideWhenUsed/>
    <w:qFormat/>
    <w:rsid w:val="00BB3331"/>
    <w:pPr>
      <w:keepNext/>
      <w:spacing w:after="240"/>
      <w:ind w:left="1440" w:hanging="720"/>
      <w:outlineLvl w:val="2"/>
    </w:pPr>
  </w:style>
  <w:style w:type="paragraph" w:styleId="Heading4">
    <w:name w:val="heading 4"/>
    <w:basedOn w:val="Normal"/>
    <w:next w:val="Normal"/>
    <w:link w:val="Heading4Char"/>
    <w:uiPriority w:val="9"/>
    <w:unhideWhenUsed/>
    <w:qFormat/>
    <w:rsid w:val="00BB3331"/>
    <w:pPr>
      <w:keepNext/>
      <w:spacing w:after="240"/>
      <w:ind w:left="1440" w:hanging="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331"/>
    <w:rPr>
      <w:rFonts w:ascii="Times New Roman" w:hAnsi="Times New Roman"/>
      <w:b/>
      <w:sz w:val="24"/>
    </w:rPr>
  </w:style>
  <w:style w:type="character" w:customStyle="1" w:styleId="Heading2Char">
    <w:name w:val="Heading 2 Char"/>
    <w:basedOn w:val="DefaultParagraphFont"/>
    <w:link w:val="Heading2"/>
    <w:uiPriority w:val="9"/>
    <w:rsid w:val="00BB3331"/>
    <w:rPr>
      <w:rFonts w:ascii="Times New Roman" w:hAnsi="Times New Roman"/>
      <w:sz w:val="24"/>
    </w:rPr>
  </w:style>
  <w:style w:type="character" w:customStyle="1" w:styleId="Heading3Char">
    <w:name w:val="Heading 3 Char"/>
    <w:basedOn w:val="DefaultParagraphFont"/>
    <w:link w:val="Heading3"/>
    <w:uiPriority w:val="9"/>
    <w:rsid w:val="00BB3331"/>
    <w:rPr>
      <w:rFonts w:ascii="Times New Roman" w:hAnsi="Times New Roman"/>
      <w:sz w:val="24"/>
    </w:rPr>
  </w:style>
  <w:style w:type="character" w:customStyle="1" w:styleId="Heading4Char">
    <w:name w:val="Heading 4 Char"/>
    <w:basedOn w:val="DefaultParagraphFont"/>
    <w:link w:val="Heading4"/>
    <w:uiPriority w:val="9"/>
    <w:rsid w:val="00BB3331"/>
    <w:rPr>
      <w:rFonts w:ascii="Times New Roman" w:hAnsi="Times New Roman"/>
      <w:sz w:val="24"/>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nhideWhenUsed/>
    <w:qFormat/>
    <w:rsid w:val="00BB3331"/>
    <w:rPr>
      <w:sz w:val="22"/>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rsid w:val="00BB3331"/>
    <w:rPr>
      <w:rFonts w:ascii="Times New Roman" w:hAnsi="Times New Roman"/>
      <w:szCs w:val="20"/>
    </w:rPr>
  </w:style>
  <w:style w:type="character" w:styleId="FootnoteReference">
    <w:name w:val="footnote reference"/>
    <w:aliases w:val="fr,Style 19,Style 16,Style 39,Style 14,Style 35,12,Style 6,Footnote Reference Superscript,SUPERS,BVI fnr,Footnote symbol,Footnote,(Footnote Reference),Footnote reference number,note TESI,EN Footnote Reference,Voetnootverwijzing"/>
    <w:basedOn w:val="DefaultParagraphFont"/>
    <w:unhideWhenUsed/>
    <w:qFormat/>
    <w:rsid w:val="00BB3331"/>
    <w:rPr>
      <w:vertAlign w:val="superscript"/>
    </w:rPr>
  </w:style>
  <w:style w:type="paragraph" w:styleId="BalloonText">
    <w:name w:val="Balloon Text"/>
    <w:basedOn w:val="Normal"/>
    <w:link w:val="BalloonTextChar"/>
    <w:uiPriority w:val="99"/>
    <w:semiHidden/>
    <w:unhideWhenUsed/>
    <w:rsid w:val="00AB0E7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E7A"/>
    <w:rPr>
      <w:rFonts w:ascii="Tahoma" w:hAnsi="Tahoma" w:cs="Tahoma"/>
      <w:sz w:val="16"/>
      <w:szCs w:val="16"/>
    </w:rPr>
  </w:style>
  <w:style w:type="paragraph" w:customStyle="1" w:styleId="Default">
    <w:name w:val="Default"/>
    <w:rsid w:val="00AB0E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42741B"/>
    <w:rPr>
      <w:color w:val="0000FF"/>
      <w:u w:val="single"/>
    </w:rPr>
  </w:style>
  <w:style w:type="paragraph" w:styleId="BodyText">
    <w:name w:val="Body Text"/>
    <w:basedOn w:val="Normal"/>
    <w:link w:val="BodyTextChar"/>
    <w:rsid w:val="009B7C00"/>
    <w:pPr>
      <w:tabs>
        <w:tab w:val="left" w:pos="720"/>
      </w:tabs>
      <w:spacing w:after="0"/>
    </w:pPr>
    <w:rPr>
      <w:rFonts w:eastAsia="Times New Roman" w:cs="Times New Roman"/>
      <w:szCs w:val="20"/>
    </w:rPr>
  </w:style>
  <w:style w:type="character" w:customStyle="1" w:styleId="BodyTextChar">
    <w:name w:val="Body Text Char"/>
    <w:basedOn w:val="DefaultParagraphFont"/>
    <w:link w:val="BodyText"/>
    <w:rsid w:val="009B7C00"/>
    <w:rPr>
      <w:rFonts w:ascii="Times New Roman" w:eastAsia="Times New Roman" w:hAnsi="Times New Roman" w:cs="Times New Roman"/>
      <w:sz w:val="24"/>
      <w:szCs w:val="20"/>
    </w:rPr>
  </w:style>
  <w:style w:type="table" w:styleId="TableGrid">
    <w:name w:val="Table Grid"/>
    <w:basedOn w:val="TableNormal"/>
    <w:uiPriority w:val="59"/>
    <w:rsid w:val="00286F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09FB"/>
    <w:pPr>
      <w:tabs>
        <w:tab w:val="center" w:pos="4680"/>
        <w:tab w:val="right" w:pos="9360"/>
      </w:tabs>
      <w:spacing w:after="0"/>
    </w:pPr>
  </w:style>
  <w:style w:type="character" w:customStyle="1" w:styleId="HeaderChar">
    <w:name w:val="Header Char"/>
    <w:basedOn w:val="DefaultParagraphFont"/>
    <w:link w:val="Header"/>
    <w:uiPriority w:val="99"/>
    <w:rsid w:val="002109FB"/>
    <w:rPr>
      <w:rFonts w:ascii="Times New Roman" w:hAnsi="Times New Roman"/>
      <w:sz w:val="24"/>
    </w:rPr>
  </w:style>
  <w:style w:type="paragraph" w:styleId="Footer">
    <w:name w:val="footer"/>
    <w:basedOn w:val="Normal"/>
    <w:link w:val="FooterChar"/>
    <w:uiPriority w:val="99"/>
    <w:unhideWhenUsed/>
    <w:rsid w:val="002109FB"/>
    <w:pPr>
      <w:tabs>
        <w:tab w:val="center" w:pos="4680"/>
        <w:tab w:val="right" w:pos="9360"/>
      </w:tabs>
      <w:spacing w:after="0"/>
    </w:pPr>
  </w:style>
  <w:style w:type="character" w:customStyle="1" w:styleId="FooterChar">
    <w:name w:val="Footer Char"/>
    <w:basedOn w:val="DefaultParagraphFont"/>
    <w:link w:val="Footer"/>
    <w:uiPriority w:val="99"/>
    <w:rsid w:val="002109FB"/>
    <w:rPr>
      <w:rFonts w:ascii="Times New Roman" w:hAnsi="Times New Roman"/>
      <w:sz w:val="24"/>
    </w:rPr>
  </w:style>
  <w:style w:type="character" w:styleId="CommentReference">
    <w:name w:val="annotation reference"/>
    <w:basedOn w:val="DefaultParagraphFont"/>
    <w:uiPriority w:val="99"/>
    <w:semiHidden/>
    <w:unhideWhenUsed/>
    <w:rsid w:val="000625FD"/>
    <w:rPr>
      <w:sz w:val="16"/>
      <w:szCs w:val="16"/>
    </w:rPr>
  </w:style>
  <w:style w:type="paragraph" w:styleId="CommentText">
    <w:name w:val="annotation text"/>
    <w:basedOn w:val="Normal"/>
    <w:link w:val="CommentTextChar"/>
    <w:uiPriority w:val="99"/>
    <w:semiHidden/>
    <w:unhideWhenUsed/>
    <w:rsid w:val="000625FD"/>
    <w:rPr>
      <w:sz w:val="20"/>
      <w:szCs w:val="20"/>
    </w:rPr>
  </w:style>
  <w:style w:type="character" w:customStyle="1" w:styleId="CommentTextChar">
    <w:name w:val="Comment Text Char"/>
    <w:basedOn w:val="DefaultParagraphFont"/>
    <w:link w:val="CommentText"/>
    <w:uiPriority w:val="99"/>
    <w:semiHidden/>
    <w:rsid w:val="000625F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625FD"/>
    <w:rPr>
      <w:b/>
      <w:bCs/>
    </w:rPr>
  </w:style>
  <w:style w:type="character" w:customStyle="1" w:styleId="CommentSubjectChar">
    <w:name w:val="Comment Subject Char"/>
    <w:basedOn w:val="CommentTextChar"/>
    <w:link w:val="CommentSubject"/>
    <w:uiPriority w:val="99"/>
    <w:semiHidden/>
    <w:rsid w:val="000625FD"/>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331"/>
    <w:pPr>
      <w:spacing w:after="120" w:line="240" w:lineRule="auto"/>
    </w:pPr>
    <w:rPr>
      <w:rFonts w:ascii="Times New Roman" w:hAnsi="Times New Roman"/>
      <w:sz w:val="24"/>
    </w:rPr>
  </w:style>
  <w:style w:type="paragraph" w:styleId="Heading1">
    <w:name w:val="heading 1"/>
    <w:basedOn w:val="Normal"/>
    <w:link w:val="Heading1Char"/>
    <w:uiPriority w:val="9"/>
    <w:qFormat/>
    <w:rsid w:val="00BB3331"/>
    <w:pPr>
      <w:keepNext/>
      <w:spacing w:after="0" w:line="480" w:lineRule="auto"/>
      <w:outlineLvl w:val="0"/>
    </w:pPr>
    <w:rPr>
      <w:b/>
    </w:rPr>
  </w:style>
  <w:style w:type="paragraph" w:styleId="Heading2">
    <w:name w:val="heading 2"/>
    <w:basedOn w:val="Normal"/>
    <w:next w:val="Normal"/>
    <w:link w:val="Heading2Char"/>
    <w:uiPriority w:val="9"/>
    <w:unhideWhenUsed/>
    <w:qFormat/>
    <w:rsid w:val="00BB3331"/>
    <w:pPr>
      <w:keepNext/>
      <w:spacing w:after="240"/>
      <w:ind w:left="720" w:hanging="720"/>
      <w:outlineLvl w:val="1"/>
    </w:pPr>
  </w:style>
  <w:style w:type="paragraph" w:styleId="Heading3">
    <w:name w:val="heading 3"/>
    <w:basedOn w:val="Normal"/>
    <w:next w:val="Normal"/>
    <w:link w:val="Heading3Char"/>
    <w:uiPriority w:val="9"/>
    <w:unhideWhenUsed/>
    <w:qFormat/>
    <w:rsid w:val="00BB3331"/>
    <w:pPr>
      <w:keepNext/>
      <w:spacing w:after="240"/>
      <w:ind w:left="1440" w:hanging="720"/>
      <w:outlineLvl w:val="2"/>
    </w:pPr>
  </w:style>
  <w:style w:type="paragraph" w:styleId="Heading4">
    <w:name w:val="heading 4"/>
    <w:basedOn w:val="Normal"/>
    <w:next w:val="Normal"/>
    <w:link w:val="Heading4Char"/>
    <w:uiPriority w:val="9"/>
    <w:unhideWhenUsed/>
    <w:qFormat/>
    <w:rsid w:val="00BB3331"/>
    <w:pPr>
      <w:keepNext/>
      <w:spacing w:after="240"/>
      <w:ind w:left="1440" w:hanging="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331"/>
    <w:rPr>
      <w:rFonts w:ascii="Times New Roman" w:hAnsi="Times New Roman"/>
      <w:b/>
      <w:sz w:val="24"/>
    </w:rPr>
  </w:style>
  <w:style w:type="character" w:customStyle="1" w:styleId="Heading2Char">
    <w:name w:val="Heading 2 Char"/>
    <w:basedOn w:val="DefaultParagraphFont"/>
    <w:link w:val="Heading2"/>
    <w:uiPriority w:val="9"/>
    <w:rsid w:val="00BB3331"/>
    <w:rPr>
      <w:rFonts w:ascii="Times New Roman" w:hAnsi="Times New Roman"/>
      <w:sz w:val="24"/>
    </w:rPr>
  </w:style>
  <w:style w:type="character" w:customStyle="1" w:styleId="Heading3Char">
    <w:name w:val="Heading 3 Char"/>
    <w:basedOn w:val="DefaultParagraphFont"/>
    <w:link w:val="Heading3"/>
    <w:uiPriority w:val="9"/>
    <w:rsid w:val="00BB3331"/>
    <w:rPr>
      <w:rFonts w:ascii="Times New Roman" w:hAnsi="Times New Roman"/>
      <w:sz w:val="24"/>
    </w:rPr>
  </w:style>
  <w:style w:type="character" w:customStyle="1" w:styleId="Heading4Char">
    <w:name w:val="Heading 4 Char"/>
    <w:basedOn w:val="DefaultParagraphFont"/>
    <w:link w:val="Heading4"/>
    <w:uiPriority w:val="9"/>
    <w:rsid w:val="00BB3331"/>
    <w:rPr>
      <w:rFonts w:ascii="Times New Roman" w:hAnsi="Times New Roman"/>
      <w:sz w:val="24"/>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nhideWhenUsed/>
    <w:qFormat/>
    <w:rsid w:val="00BB3331"/>
    <w:rPr>
      <w:sz w:val="22"/>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rsid w:val="00BB3331"/>
    <w:rPr>
      <w:rFonts w:ascii="Times New Roman" w:hAnsi="Times New Roman"/>
      <w:szCs w:val="20"/>
    </w:rPr>
  </w:style>
  <w:style w:type="character" w:styleId="FootnoteReference">
    <w:name w:val="footnote reference"/>
    <w:aliases w:val="fr,Style 19,Style 16,Style 39,Style 14,Style 35,12,Style 6,Footnote Reference Superscript,SUPERS,BVI fnr,Footnote symbol,Footnote,(Footnote Reference),Footnote reference number,note TESI,EN Footnote Reference,Voetnootverwijzing"/>
    <w:basedOn w:val="DefaultParagraphFont"/>
    <w:unhideWhenUsed/>
    <w:qFormat/>
    <w:rsid w:val="00BB3331"/>
    <w:rPr>
      <w:vertAlign w:val="superscript"/>
    </w:rPr>
  </w:style>
  <w:style w:type="paragraph" w:styleId="BalloonText">
    <w:name w:val="Balloon Text"/>
    <w:basedOn w:val="Normal"/>
    <w:link w:val="BalloonTextChar"/>
    <w:uiPriority w:val="99"/>
    <w:semiHidden/>
    <w:unhideWhenUsed/>
    <w:rsid w:val="00AB0E7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E7A"/>
    <w:rPr>
      <w:rFonts w:ascii="Tahoma" w:hAnsi="Tahoma" w:cs="Tahoma"/>
      <w:sz w:val="16"/>
      <w:szCs w:val="16"/>
    </w:rPr>
  </w:style>
  <w:style w:type="paragraph" w:customStyle="1" w:styleId="Default">
    <w:name w:val="Default"/>
    <w:rsid w:val="00AB0E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42741B"/>
    <w:rPr>
      <w:color w:val="0000FF"/>
      <w:u w:val="single"/>
    </w:rPr>
  </w:style>
  <w:style w:type="paragraph" w:styleId="BodyText">
    <w:name w:val="Body Text"/>
    <w:basedOn w:val="Normal"/>
    <w:link w:val="BodyTextChar"/>
    <w:rsid w:val="009B7C00"/>
    <w:pPr>
      <w:tabs>
        <w:tab w:val="left" w:pos="720"/>
      </w:tabs>
      <w:spacing w:after="0"/>
    </w:pPr>
    <w:rPr>
      <w:rFonts w:eastAsia="Times New Roman" w:cs="Times New Roman"/>
      <w:szCs w:val="20"/>
    </w:rPr>
  </w:style>
  <w:style w:type="character" w:customStyle="1" w:styleId="BodyTextChar">
    <w:name w:val="Body Text Char"/>
    <w:basedOn w:val="DefaultParagraphFont"/>
    <w:link w:val="BodyText"/>
    <w:rsid w:val="009B7C00"/>
    <w:rPr>
      <w:rFonts w:ascii="Times New Roman" w:eastAsia="Times New Roman" w:hAnsi="Times New Roman" w:cs="Times New Roman"/>
      <w:sz w:val="24"/>
      <w:szCs w:val="20"/>
    </w:rPr>
  </w:style>
  <w:style w:type="table" w:styleId="TableGrid">
    <w:name w:val="Table Grid"/>
    <w:basedOn w:val="TableNormal"/>
    <w:uiPriority w:val="59"/>
    <w:rsid w:val="00286F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09FB"/>
    <w:pPr>
      <w:tabs>
        <w:tab w:val="center" w:pos="4680"/>
        <w:tab w:val="right" w:pos="9360"/>
      </w:tabs>
      <w:spacing w:after="0"/>
    </w:pPr>
  </w:style>
  <w:style w:type="character" w:customStyle="1" w:styleId="HeaderChar">
    <w:name w:val="Header Char"/>
    <w:basedOn w:val="DefaultParagraphFont"/>
    <w:link w:val="Header"/>
    <w:uiPriority w:val="99"/>
    <w:rsid w:val="002109FB"/>
    <w:rPr>
      <w:rFonts w:ascii="Times New Roman" w:hAnsi="Times New Roman"/>
      <w:sz w:val="24"/>
    </w:rPr>
  </w:style>
  <w:style w:type="paragraph" w:styleId="Footer">
    <w:name w:val="footer"/>
    <w:basedOn w:val="Normal"/>
    <w:link w:val="FooterChar"/>
    <w:uiPriority w:val="99"/>
    <w:unhideWhenUsed/>
    <w:rsid w:val="002109FB"/>
    <w:pPr>
      <w:tabs>
        <w:tab w:val="center" w:pos="4680"/>
        <w:tab w:val="right" w:pos="9360"/>
      </w:tabs>
      <w:spacing w:after="0"/>
    </w:pPr>
  </w:style>
  <w:style w:type="character" w:customStyle="1" w:styleId="FooterChar">
    <w:name w:val="Footer Char"/>
    <w:basedOn w:val="DefaultParagraphFont"/>
    <w:link w:val="Footer"/>
    <w:uiPriority w:val="99"/>
    <w:rsid w:val="002109FB"/>
    <w:rPr>
      <w:rFonts w:ascii="Times New Roman" w:hAnsi="Times New Roman"/>
      <w:sz w:val="24"/>
    </w:rPr>
  </w:style>
  <w:style w:type="character" w:styleId="CommentReference">
    <w:name w:val="annotation reference"/>
    <w:basedOn w:val="DefaultParagraphFont"/>
    <w:uiPriority w:val="99"/>
    <w:semiHidden/>
    <w:unhideWhenUsed/>
    <w:rsid w:val="000625FD"/>
    <w:rPr>
      <w:sz w:val="16"/>
      <w:szCs w:val="16"/>
    </w:rPr>
  </w:style>
  <w:style w:type="paragraph" w:styleId="CommentText">
    <w:name w:val="annotation text"/>
    <w:basedOn w:val="Normal"/>
    <w:link w:val="CommentTextChar"/>
    <w:uiPriority w:val="99"/>
    <w:semiHidden/>
    <w:unhideWhenUsed/>
    <w:rsid w:val="000625FD"/>
    <w:rPr>
      <w:sz w:val="20"/>
      <w:szCs w:val="20"/>
    </w:rPr>
  </w:style>
  <w:style w:type="character" w:customStyle="1" w:styleId="CommentTextChar">
    <w:name w:val="Comment Text Char"/>
    <w:basedOn w:val="DefaultParagraphFont"/>
    <w:link w:val="CommentText"/>
    <w:uiPriority w:val="99"/>
    <w:semiHidden/>
    <w:rsid w:val="000625F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625FD"/>
    <w:rPr>
      <w:b/>
      <w:bCs/>
    </w:rPr>
  </w:style>
  <w:style w:type="character" w:customStyle="1" w:styleId="CommentSubjectChar">
    <w:name w:val="Comment Subject Char"/>
    <w:basedOn w:val="CommentTextChar"/>
    <w:link w:val="CommentSubject"/>
    <w:uiPriority w:val="99"/>
    <w:semiHidden/>
    <w:rsid w:val="000625F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7078">
      <w:bodyDiv w:val="1"/>
      <w:marLeft w:val="0"/>
      <w:marRight w:val="0"/>
      <w:marTop w:val="0"/>
      <w:marBottom w:val="0"/>
      <w:divBdr>
        <w:top w:val="none" w:sz="0" w:space="0" w:color="auto"/>
        <w:left w:val="none" w:sz="0" w:space="0" w:color="auto"/>
        <w:bottom w:val="none" w:sz="0" w:space="0" w:color="auto"/>
        <w:right w:val="none" w:sz="0" w:space="0" w:color="auto"/>
      </w:divBdr>
    </w:div>
    <w:div w:id="79063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B567C-708D-4894-9B2D-6F39E3E72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2230</Words>
  <Characters>12712</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14913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JSK</dc:creator>
  <cp:lastModifiedBy>Tontz, Jennifer</cp:lastModifiedBy>
  <cp:revision>2</cp:revision>
  <cp:lastPrinted>2016-08-16T21:17:00Z</cp:lastPrinted>
  <dcterms:created xsi:type="dcterms:W3CDTF">2016-09-05T22:28:00Z</dcterms:created>
  <dcterms:modified xsi:type="dcterms:W3CDTF">2016-09-05T22:28:00Z</dcterms:modified>
</cp:coreProperties>
</file>