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53E9B" w14:textId="63600F7D" w:rsidR="00611B6B" w:rsidRDefault="00E2213C" w:rsidP="00E2213C">
      <w:pPr>
        <w:rPr>
          <w:b/>
          <w:sz w:val="22"/>
          <w:szCs w:val="22"/>
        </w:rPr>
      </w:pPr>
      <w:r w:rsidRPr="004C2414">
        <w:rPr>
          <w:b/>
          <w:sz w:val="22"/>
          <w:szCs w:val="22"/>
          <w:u w:val="single"/>
        </w:rPr>
        <w:t>New Collection</w:t>
      </w:r>
      <w:r>
        <w:rPr>
          <w:b/>
          <w:sz w:val="22"/>
          <w:szCs w:val="22"/>
        </w:rPr>
        <w:t xml:space="preserve">: </w:t>
      </w:r>
      <w:r w:rsidRPr="00E2213C">
        <w:rPr>
          <w:b/>
          <w:sz w:val="22"/>
          <w:szCs w:val="22"/>
        </w:rPr>
        <w:t>Inmate</w:t>
      </w:r>
      <w:r w:rsidRPr="00C26BF3">
        <w:rPr>
          <w:b/>
          <w:sz w:val="22"/>
          <w:szCs w:val="22"/>
        </w:rPr>
        <w:t xml:space="preserve"> Calling Service </w:t>
      </w:r>
      <w:r w:rsidR="00611B6B">
        <w:rPr>
          <w:b/>
          <w:sz w:val="22"/>
          <w:szCs w:val="22"/>
        </w:rPr>
        <w:t xml:space="preserve">(ICS) </w:t>
      </w:r>
      <w:r w:rsidRPr="00C26BF3">
        <w:rPr>
          <w:b/>
          <w:sz w:val="22"/>
          <w:szCs w:val="22"/>
        </w:rPr>
        <w:t xml:space="preserve">Provider Annual </w:t>
      </w:r>
      <w:r w:rsidR="00611B6B">
        <w:rPr>
          <w:b/>
          <w:sz w:val="22"/>
          <w:szCs w:val="22"/>
        </w:rPr>
        <w:tab/>
      </w:r>
      <w:r w:rsidR="00611B6B">
        <w:rPr>
          <w:b/>
          <w:sz w:val="22"/>
          <w:szCs w:val="22"/>
        </w:rPr>
        <w:tab/>
      </w:r>
      <w:r w:rsidR="00611B6B">
        <w:rPr>
          <w:b/>
          <w:sz w:val="22"/>
          <w:szCs w:val="22"/>
        </w:rPr>
        <w:tab/>
        <w:t>3060-XXXX</w:t>
      </w:r>
      <w:bookmarkStart w:id="0" w:name="_GoBack"/>
      <w:bookmarkEnd w:id="0"/>
    </w:p>
    <w:p w14:paraId="314DF0BB" w14:textId="5D1A68AC" w:rsidR="00E2213C" w:rsidRPr="00611B6B" w:rsidRDefault="00E2213C" w:rsidP="00E2213C">
      <w:pPr>
        <w:rPr>
          <w:b/>
          <w:sz w:val="22"/>
          <w:szCs w:val="22"/>
          <w:u w:val="single"/>
        </w:rPr>
      </w:pPr>
      <w:r w:rsidRPr="00C26BF3">
        <w:rPr>
          <w:b/>
          <w:sz w:val="22"/>
          <w:szCs w:val="22"/>
        </w:rPr>
        <w:t xml:space="preserve">Reporting, Certification, and Consumer Disclosure Requirements, </w:t>
      </w:r>
      <w:r>
        <w:rPr>
          <w:b/>
          <w:sz w:val="22"/>
          <w:szCs w:val="22"/>
        </w:rPr>
        <w:tab/>
      </w:r>
      <w:r>
        <w:rPr>
          <w:b/>
          <w:sz w:val="22"/>
          <w:szCs w:val="22"/>
        </w:rPr>
        <w:tab/>
      </w:r>
      <w:r>
        <w:rPr>
          <w:b/>
          <w:sz w:val="22"/>
          <w:szCs w:val="22"/>
        </w:rPr>
        <w:tab/>
      </w:r>
      <w:r w:rsidRPr="00E2213C">
        <w:rPr>
          <w:b/>
          <w:sz w:val="22"/>
          <w:szCs w:val="22"/>
        </w:rPr>
        <w:t>August 2016</w:t>
      </w:r>
    </w:p>
    <w:p w14:paraId="3D56739F" w14:textId="0FDF78FE" w:rsidR="00E2213C" w:rsidRPr="00C26BF3" w:rsidRDefault="00E2213C" w:rsidP="00E2213C">
      <w:pPr>
        <w:rPr>
          <w:b/>
          <w:sz w:val="22"/>
          <w:szCs w:val="22"/>
        </w:rPr>
      </w:pPr>
      <w:r w:rsidRPr="00C26BF3">
        <w:rPr>
          <w:b/>
          <w:sz w:val="22"/>
          <w:szCs w:val="22"/>
        </w:rPr>
        <w:t>WC Docket No. 12-375, FCC 15-136</w:t>
      </w:r>
    </w:p>
    <w:p w14:paraId="546A5AE1" w14:textId="6DA4543B" w:rsidR="00810818" w:rsidRDefault="00810818" w:rsidP="00E2213C">
      <w:pPr>
        <w:jc w:val="right"/>
        <w:rPr>
          <w:b/>
          <w:sz w:val="22"/>
          <w:szCs w:val="22"/>
          <w:u w:val="single"/>
        </w:rPr>
      </w:pPr>
    </w:p>
    <w:p w14:paraId="56D11313" w14:textId="77777777" w:rsidR="00810818" w:rsidRDefault="00810818" w:rsidP="00E2213C">
      <w:pPr>
        <w:jc w:val="right"/>
        <w:rPr>
          <w:b/>
          <w:sz w:val="22"/>
          <w:szCs w:val="22"/>
          <w:u w:val="single"/>
        </w:rPr>
      </w:pPr>
    </w:p>
    <w:p w14:paraId="42240396" w14:textId="77777777" w:rsidR="007E0735" w:rsidRPr="00C26BF3" w:rsidRDefault="007E0735" w:rsidP="007E0735">
      <w:pPr>
        <w:pStyle w:val="Heading3"/>
        <w:rPr>
          <w:sz w:val="22"/>
          <w:szCs w:val="22"/>
        </w:rPr>
      </w:pPr>
    </w:p>
    <w:p w14:paraId="7AAA6BB4" w14:textId="77777777" w:rsidR="007E0735" w:rsidRPr="00C26BF3" w:rsidRDefault="007E0735" w:rsidP="007E0735">
      <w:pPr>
        <w:pStyle w:val="Heading3"/>
        <w:jc w:val="center"/>
        <w:rPr>
          <w:b/>
          <w:sz w:val="22"/>
          <w:szCs w:val="22"/>
          <w:u w:val="none"/>
        </w:rPr>
      </w:pPr>
      <w:r w:rsidRPr="00C26BF3">
        <w:rPr>
          <w:b/>
          <w:sz w:val="22"/>
          <w:szCs w:val="22"/>
          <w:u w:val="none"/>
        </w:rPr>
        <w:t>SUPPORTING STATEMENT</w:t>
      </w:r>
    </w:p>
    <w:p w14:paraId="76F2CCE7" w14:textId="77777777" w:rsidR="007E0735" w:rsidRPr="00C26BF3" w:rsidRDefault="007E0735" w:rsidP="007E0735">
      <w:pPr>
        <w:rPr>
          <w:sz w:val="22"/>
          <w:szCs w:val="22"/>
        </w:rPr>
      </w:pPr>
    </w:p>
    <w:p w14:paraId="5BABA524" w14:textId="77777777" w:rsidR="007E0735" w:rsidRPr="00C26BF3" w:rsidRDefault="007E0735" w:rsidP="007E0735">
      <w:pPr>
        <w:pStyle w:val="Heading3"/>
        <w:rPr>
          <w:b/>
          <w:sz w:val="22"/>
          <w:szCs w:val="22"/>
        </w:rPr>
      </w:pPr>
      <w:r w:rsidRPr="00C26BF3">
        <w:rPr>
          <w:b/>
          <w:sz w:val="22"/>
          <w:szCs w:val="22"/>
          <w:u w:val="none"/>
        </w:rPr>
        <w:t>A.</w:t>
      </w:r>
      <w:r w:rsidRPr="00C26BF3">
        <w:rPr>
          <w:b/>
          <w:sz w:val="22"/>
          <w:szCs w:val="22"/>
          <w:u w:val="none"/>
        </w:rPr>
        <w:tab/>
      </w:r>
      <w:r w:rsidRPr="00C26BF3">
        <w:rPr>
          <w:b/>
          <w:sz w:val="22"/>
          <w:szCs w:val="22"/>
        </w:rPr>
        <w:t>Justification:</w:t>
      </w:r>
    </w:p>
    <w:p w14:paraId="62EB2D38" w14:textId="77777777" w:rsidR="007E0735" w:rsidRPr="00C26BF3" w:rsidRDefault="007E0735" w:rsidP="007E0735">
      <w:pPr>
        <w:pStyle w:val="ParaNum"/>
        <w:numPr>
          <w:ilvl w:val="0"/>
          <w:numId w:val="0"/>
        </w:numPr>
        <w:tabs>
          <w:tab w:val="left" w:pos="1440"/>
        </w:tabs>
        <w:spacing w:after="0"/>
        <w:jc w:val="left"/>
        <w:rPr>
          <w:szCs w:val="22"/>
        </w:rPr>
      </w:pPr>
    </w:p>
    <w:p w14:paraId="7332A0B2" w14:textId="58BE4DEA" w:rsidR="007E0735" w:rsidRPr="00C26BF3" w:rsidRDefault="007E0735" w:rsidP="007E0735">
      <w:pPr>
        <w:ind w:firstLine="720"/>
        <w:rPr>
          <w:sz w:val="22"/>
          <w:szCs w:val="22"/>
        </w:rPr>
      </w:pPr>
      <w:r w:rsidRPr="00C26BF3">
        <w:rPr>
          <w:sz w:val="22"/>
          <w:szCs w:val="22"/>
        </w:rPr>
        <w:t xml:space="preserve">1.  The </w:t>
      </w:r>
      <w:r w:rsidR="0005170F">
        <w:rPr>
          <w:sz w:val="22"/>
          <w:szCs w:val="22"/>
        </w:rPr>
        <w:t xml:space="preserve">Federal Communications </w:t>
      </w:r>
      <w:r w:rsidRPr="00C26BF3">
        <w:rPr>
          <w:sz w:val="22"/>
          <w:szCs w:val="22"/>
        </w:rPr>
        <w:t xml:space="preserve">Commission </w:t>
      </w:r>
      <w:r w:rsidR="0005170F">
        <w:rPr>
          <w:sz w:val="22"/>
          <w:szCs w:val="22"/>
        </w:rPr>
        <w:t xml:space="preserve">(Commission or FCC) </w:t>
      </w:r>
      <w:r w:rsidRPr="00C26BF3">
        <w:rPr>
          <w:sz w:val="22"/>
          <w:szCs w:val="22"/>
        </w:rPr>
        <w:t xml:space="preserve">is requesting </w:t>
      </w:r>
      <w:r w:rsidR="00D17D63" w:rsidRPr="00C26BF3">
        <w:rPr>
          <w:sz w:val="22"/>
          <w:szCs w:val="22"/>
        </w:rPr>
        <w:t>the Office of Management and Budget</w:t>
      </w:r>
      <w:r w:rsidR="0005170F">
        <w:rPr>
          <w:sz w:val="22"/>
          <w:szCs w:val="22"/>
        </w:rPr>
        <w:t>’s</w:t>
      </w:r>
      <w:r w:rsidR="00D17D63" w:rsidRPr="00C26BF3">
        <w:rPr>
          <w:sz w:val="22"/>
          <w:szCs w:val="22"/>
        </w:rPr>
        <w:t xml:space="preserve"> (OMB) </w:t>
      </w:r>
      <w:r w:rsidRPr="00C26BF3">
        <w:rPr>
          <w:sz w:val="22"/>
          <w:szCs w:val="22"/>
        </w:rPr>
        <w:t xml:space="preserve">approval of </w:t>
      </w:r>
      <w:r w:rsidR="00D17D63" w:rsidRPr="00C26BF3">
        <w:rPr>
          <w:sz w:val="22"/>
          <w:szCs w:val="22"/>
        </w:rPr>
        <w:t>the new information collection requirements f</w:t>
      </w:r>
      <w:r w:rsidRPr="00C26BF3">
        <w:rPr>
          <w:sz w:val="22"/>
          <w:szCs w:val="22"/>
        </w:rPr>
        <w:t xml:space="preserve">or </w:t>
      </w:r>
      <w:r w:rsidR="00F12073" w:rsidRPr="00C26BF3">
        <w:rPr>
          <w:sz w:val="22"/>
          <w:szCs w:val="22"/>
        </w:rPr>
        <w:t xml:space="preserve">providers of </w:t>
      </w:r>
      <w:r w:rsidRPr="00C26BF3">
        <w:rPr>
          <w:sz w:val="22"/>
          <w:szCs w:val="22"/>
        </w:rPr>
        <w:t>Inmate Calling Service</w:t>
      </w:r>
      <w:r w:rsidR="00993512" w:rsidRPr="00C26BF3">
        <w:rPr>
          <w:sz w:val="22"/>
          <w:szCs w:val="22"/>
        </w:rPr>
        <w:t>s</w:t>
      </w:r>
      <w:r w:rsidRPr="00C26BF3">
        <w:rPr>
          <w:sz w:val="22"/>
          <w:szCs w:val="22"/>
        </w:rPr>
        <w:t xml:space="preserve"> (ICS).</w:t>
      </w:r>
      <w:r w:rsidR="000534FD" w:rsidRPr="00C26BF3">
        <w:rPr>
          <w:rStyle w:val="FootnoteReference"/>
          <w:sz w:val="22"/>
          <w:szCs w:val="22"/>
        </w:rPr>
        <w:footnoteReference w:id="1"/>
      </w:r>
      <w:r w:rsidRPr="00C26BF3">
        <w:rPr>
          <w:sz w:val="22"/>
          <w:szCs w:val="22"/>
        </w:rPr>
        <w:t xml:space="preserve">  ICS providers operate </w:t>
      </w:r>
      <w:r w:rsidR="00226C84" w:rsidRPr="00C26BF3">
        <w:rPr>
          <w:sz w:val="22"/>
          <w:szCs w:val="22"/>
        </w:rPr>
        <w:t>a service that allows inmates to make calls to individuals outside the correctional facility where the inmate is being held, regardless of the technology used to deliver the service.</w:t>
      </w:r>
    </w:p>
    <w:p w14:paraId="784BC752" w14:textId="77777777" w:rsidR="007E0735" w:rsidRPr="00C26BF3" w:rsidRDefault="007E0735" w:rsidP="007E0735">
      <w:pPr>
        <w:ind w:firstLine="720"/>
        <w:rPr>
          <w:sz w:val="22"/>
          <w:szCs w:val="22"/>
        </w:rPr>
      </w:pPr>
    </w:p>
    <w:p w14:paraId="0E2A7BF8" w14:textId="69BD35FF" w:rsidR="007E0735" w:rsidRPr="00C26BF3" w:rsidRDefault="007E0735" w:rsidP="007E0735">
      <w:pPr>
        <w:pStyle w:val="ParaNumChar1"/>
        <w:tabs>
          <w:tab w:val="clear" w:pos="1080"/>
          <w:tab w:val="clear" w:pos="1440"/>
          <w:tab w:val="left" w:pos="720"/>
        </w:tabs>
        <w:ind w:firstLine="0"/>
        <w:rPr>
          <w:szCs w:val="22"/>
        </w:rPr>
      </w:pPr>
      <w:r w:rsidRPr="00C26BF3">
        <w:rPr>
          <w:szCs w:val="22"/>
        </w:rPr>
        <w:tab/>
      </w:r>
      <w:r w:rsidR="00015BEB" w:rsidRPr="00C26BF3">
        <w:rPr>
          <w:szCs w:val="22"/>
        </w:rPr>
        <w:t xml:space="preserve">In the </w:t>
      </w:r>
      <w:r w:rsidR="009520AB" w:rsidRPr="00C26BF3">
        <w:rPr>
          <w:i/>
          <w:szCs w:val="22"/>
        </w:rPr>
        <w:t xml:space="preserve">Inmate Calling Service </w:t>
      </w:r>
      <w:r w:rsidR="00015BEB" w:rsidRPr="00C26BF3">
        <w:rPr>
          <w:i/>
          <w:szCs w:val="22"/>
        </w:rPr>
        <w:t>Second Report and Order</w:t>
      </w:r>
      <w:r w:rsidR="0006415C" w:rsidRPr="00C26BF3">
        <w:rPr>
          <w:i/>
          <w:szCs w:val="22"/>
        </w:rPr>
        <w:t>,</w:t>
      </w:r>
      <w:r w:rsidR="009520AB" w:rsidRPr="00C26BF3">
        <w:rPr>
          <w:rStyle w:val="FootnoteReference"/>
          <w:szCs w:val="22"/>
        </w:rPr>
        <w:footnoteReference w:id="2"/>
      </w:r>
      <w:r w:rsidR="00614E14" w:rsidRPr="00C26BF3">
        <w:rPr>
          <w:szCs w:val="22"/>
        </w:rPr>
        <w:t xml:space="preserve"> </w:t>
      </w:r>
      <w:r w:rsidR="00281529" w:rsidRPr="00C26BF3">
        <w:rPr>
          <w:szCs w:val="22"/>
        </w:rPr>
        <w:t xml:space="preserve">FCC 15-136, </w:t>
      </w:r>
      <w:r w:rsidR="00015BEB" w:rsidRPr="00C26BF3">
        <w:rPr>
          <w:szCs w:val="22"/>
        </w:rPr>
        <w:t>the Commission undertook comprehensive reform of the ICS marketplace.</w:t>
      </w:r>
      <w:r w:rsidR="000534FD" w:rsidRPr="00C26BF3">
        <w:rPr>
          <w:rStyle w:val="FootnoteReference"/>
          <w:szCs w:val="22"/>
        </w:rPr>
        <w:footnoteReference w:id="3"/>
      </w:r>
      <w:r w:rsidR="00015BEB" w:rsidRPr="00C26BF3">
        <w:rPr>
          <w:szCs w:val="22"/>
        </w:rPr>
        <w:t xml:space="preserve"> </w:t>
      </w:r>
      <w:r w:rsidR="000534FD" w:rsidRPr="00C26BF3">
        <w:rPr>
          <w:szCs w:val="22"/>
        </w:rPr>
        <w:t xml:space="preserve"> </w:t>
      </w:r>
      <w:r w:rsidR="00015BEB" w:rsidRPr="00C26BF3">
        <w:rPr>
          <w:szCs w:val="22"/>
        </w:rPr>
        <w:t xml:space="preserve">Among other actions, the </w:t>
      </w:r>
      <w:r w:rsidR="00015BEB" w:rsidRPr="00C26BF3">
        <w:rPr>
          <w:i/>
          <w:szCs w:val="22"/>
        </w:rPr>
        <w:t>Second Report and Order</w:t>
      </w:r>
      <w:r w:rsidR="00015BEB" w:rsidRPr="00C26BF3">
        <w:rPr>
          <w:szCs w:val="22"/>
        </w:rPr>
        <w:t xml:space="preserve"> establishes new rate caps that apply to both interstate and intrastate ICS calls, limits and caps ancillary services charges, and takes other measures to ensure that ICS rates are fair, just</w:t>
      </w:r>
      <w:r w:rsidR="00F12073" w:rsidRPr="00C26BF3">
        <w:rPr>
          <w:szCs w:val="22"/>
        </w:rPr>
        <w:t>,</w:t>
      </w:r>
      <w:r w:rsidR="00015BEB" w:rsidRPr="00C26BF3">
        <w:rPr>
          <w:szCs w:val="22"/>
        </w:rPr>
        <w:t xml:space="preserve"> and reasonable.  </w:t>
      </w:r>
      <w:r w:rsidRPr="00C26BF3">
        <w:rPr>
          <w:szCs w:val="22"/>
        </w:rPr>
        <w:t>T</w:t>
      </w:r>
      <w:r w:rsidR="00015BEB" w:rsidRPr="00C26BF3">
        <w:rPr>
          <w:szCs w:val="22"/>
        </w:rPr>
        <w:t>he</w:t>
      </w:r>
      <w:r w:rsidRPr="00C26BF3">
        <w:rPr>
          <w:szCs w:val="22"/>
        </w:rPr>
        <w:t xml:space="preserve"> </w:t>
      </w:r>
      <w:r w:rsidR="00803E18" w:rsidRPr="00C26BF3">
        <w:rPr>
          <w:i/>
          <w:szCs w:val="22"/>
        </w:rPr>
        <w:t xml:space="preserve">Second </w:t>
      </w:r>
      <w:r w:rsidRPr="00C26BF3">
        <w:rPr>
          <w:i/>
          <w:szCs w:val="22"/>
        </w:rPr>
        <w:t>Report and Order</w:t>
      </w:r>
      <w:r w:rsidRPr="00C26BF3">
        <w:rPr>
          <w:szCs w:val="22"/>
        </w:rPr>
        <w:t xml:space="preserve"> further require</w:t>
      </w:r>
      <w:r w:rsidR="00880557" w:rsidRPr="00C26BF3">
        <w:rPr>
          <w:szCs w:val="22"/>
        </w:rPr>
        <w:t>s</w:t>
      </w:r>
      <w:r w:rsidRPr="00C26BF3">
        <w:rPr>
          <w:szCs w:val="22"/>
        </w:rPr>
        <w:t xml:space="preserve"> </w:t>
      </w:r>
      <w:r w:rsidR="00F12073" w:rsidRPr="00C26BF3">
        <w:rPr>
          <w:szCs w:val="22"/>
        </w:rPr>
        <w:t>each ICS provider</w:t>
      </w:r>
      <w:r w:rsidRPr="00C26BF3">
        <w:rPr>
          <w:szCs w:val="22"/>
        </w:rPr>
        <w:t xml:space="preserve"> to </w:t>
      </w:r>
      <w:r w:rsidR="00F12073" w:rsidRPr="00C26BF3">
        <w:rPr>
          <w:szCs w:val="22"/>
        </w:rPr>
        <w:t>file annual reports with the Commission and annual certifications that state that the provider is complying with the Commission’s rules governing ICS</w:t>
      </w:r>
      <w:r w:rsidRPr="00C26BF3">
        <w:rPr>
          <w:szCs w:val="22"/>
        </w:rPr>
        <w:t>.  The annual report</w:t>
      </w:r>
      <w:r w:rsidR="00803E18" w:rsidRPr="00C26BF3">
        <w:rPr>
          <w:szCs w:val="22"/>
        </w:rPr>
        <w:t>ing</w:t>
      </w:r>
      <w:r w:rsidRPr="00C26BF3">
        <w:rPr>
          <w:szCs w:val="22"/>
        </w:rPr>
        <w:t xml:space="preserve"> and certification</w:t>
      </w:r>
      <w:r w:rsidR="00803E18" w:rsidRPr="00C26BF3">
        <w:rPr>
          <w:szCs w:val="22"/>
        </w:rPr>
        <w:t xml:space="preserve"> rules require</w:t>
      </w:r>
      <w:r w:rsidRPr="00C26BF3">
        <w:rPr>
          <w:szCs w:val="22"/>
        </w:rPr>
        <w:t xml:space="preserve"> ICS provid</w:t>
      </w:r>
      <w:r w:rsidR="00D22517" w:rsidRPr="00C26BF3">
        <w:rPr>
          <w:szCs w:val="22"/>
        </w:rPr>
        <w:t>ers to file, among other things:</w:t>
      </w:r>
      <w:r w:rsidRPr="00C26BF3">
        <w:rPr>
          <w:szCs w:val="22"/>
        </w:rPr>
        <w:t xml:space="preserve"> data regarding their ICS rates and</w:t>
      </w:r>
      <w:r w:rsidR="00D22517" w:rsidRPr="00C26BF3">
        <w:rPr>
          <w:szCs w:val="22"/>
        </w:rPr>
        <w:t xml:space="preserve"> minutes of use by </w:t>
      </w:r>
      <w:r w:rsidRPr="00C26BF3">
        <w:rPr>
          <w:szCs w:val="22"/>
        </w:rPr>
        <w:t>facility</w:t>
      </w:r>
      <w:r w:rsidR="00D22517" w:rsidRPr="00C26BF3">
        <w:rPr>
          <w:szCs w:val="22"/>
        </w:rPr>
        <w:t xml:space="preserve"> and size of facility; current ancillary service charge amounts and the instances of use of each; the monthly amount of site commission payments</w:t>
      </w:r>
      <w:r w:rsidR="00F1417E" w:rsidRPr="00C26BF3">
        <w:rPr>
          <w:szCs w:val="22"/>
        </w:rPr>
        <w:t xml:space="preserve">; </w:t>
      </w:r>
      <w:r w:rsidR="0097676F" w:rsidRPr="00C26BF3">
        <w:rPr>
          <w:szCs w:val="22"/>
        </w:rPr>
        <w:t xml:space="preserve">rates for </w:t>
      </w:r>
      <w:r w:rsidR="00F1417E" w:rsidRPr="00C26BF3">
        <w:rPr>
          <w:szCs w:val="22"/>
        </w:rPr>
        <w:t>video calling services</w:t>
      </w:r>
      <w:r w:rsidR="0097676F" w:rsidRPr="00C26BF3">
        <w:rPr>
          <w:szCs w:val="22"/>
        </w:rPr>
        <w:t xml:space="preserve"> and minutes of use by facility, as well as ancillary fees charges for such services; and the number of disability-related calls, problems associated with such calls, and ancillary fees charged in connection with such calls</w:t>
      </w:r>
      <w:r w:rsidR="00D22517" w:rsidRPr="00C26BF3">
        <w:rPr>
          <w:szCs w:val="22"/>
        </w:rPr>
        <w:t>.</w:t>
      </w:r>
      <w:r w:rsidR="0098247C" w:rsidRPr="00C26BF3">
        <w:rPr>
          <w:rStyle w:val="FootnoteReference"/>
          <w:szCs w:val="22"/>
        </w:rPr>
        <w:footnoteReference w:id="4"/>
      </w:r>
      <w:r w:rsidRPr="00C26BF3">
        <w:rPr>
          <w:szCs w:val="22"/>
        </w:rPr>
        <w:t xml:space="preserve">  </w:t>
      </w:r>
      <w:r w:rsidR="00CE12E8" w:rsidRPr="00C26BF3">
        <w:rPr>
          <w:szCs w:val="22"/>
        </w:rPr>
        <w:t>The</w:t>
      </w:r>
      <w:r w:rsidR="0097676F" w:rsidRPr="00C26BF3">
        <w:rPr>
          <w:szCs w:val="22"/>
        </w:rPr>
        <w:t xml:space="preserve"> rules</w:t>
      </w:r>
      <w:r w:rsidR="00CE12E8" w:rsidRPr="00C26BF3">
        <w:rPr>
          <w:szCs w:val="22"/>
        </w:rPr>
        <w:t xml:space="preserve"> </w:t>
      </w:r>
      <w:r w:rsidRPr="00C26BF3">
        <w:rPr>
          <w:szCs w:val="22"/>
        </w:rPr>
        <w:t xml:space="preserve">also require an officer of each ICS provider to certify </w:t>
      </w:r>
      <w:r w:rsidR="00F1417E" w:rsidRPr="00C26BF3">
        <w:rPr>
          <w:szCs w:val="22"/>
        </w:rPr>
        <w:t xml:space="preserve">annually </w:t>
      </w:r>
      <w:r w:rsidRPr="00C26BF3">
        <w:rPr>
          <w:szCs w:val="22"/>
        </w:rPr>
        <w:t>the accuracy of the data submitted and the provider’s compliance with the</w:t>
      </w:r>
      <w:r w:rsidR="005F7197" w:rsidRPr="00C26BF3">
        <w:rPr>
          <w:szCs w:val="22"/>
        </w:rPr>
        <w:t xml:space="preserve"> </w:t>
      </w:r>
      <w:r w:rsidR="005F7197" w:rsidRPr="00C26BF3">
        <w:rPr>
          <w:i/>
          <w:szCs w:val="22"/>
        </w:rPr>
        <w:t>Second</w:t>
      </w:r>
      <w:r w:rsidRPr="00C26BF3">
        <w:rPr>
          <w:i/>
          <w:szCs w:val="22"/>
        </w:rPr>
        <w:t xml:space="preserve"> Report and Order</w:t>
      </w:r>
      <w:r w:rsidR="00A5043B" w:rsidRPr="00C26BF3">
        <w:rPr>
          <w:szCs w:val="22"/>
        </w:rPr>
        <w:t>.  The consumer disclosure rule requires ICS providers to inform customers about their ICS rates and ancillary service charges.</w:t>
      </w:r>
    </w:p>
    <w:p w14:paraId="1FF891EF" w14:textId="77777777" w:rsidR="007D4E7C" w:rsidRDefault="007E0735" w:rsidP="007E0735">
      <w:pPr>
        <w:pStyle w:val="ParaNumChar1"/>
        <w:tabs>
          <w:tab w:val="clear" w:pos="1080"/>
          <w:tab w:val="clear" w:pos="1440"/>
          <w:tab w:val="left" w:pos="720"/>
        </w:tabs>
        <w:ind w:firstLine="0"/>
        <w:rPr>
          <w:szCs w:val="22"/>
        </w:rPr>
      </w:pPr>
      <w:r w:rsidRPr="00C26BF3">
        <w:rPr>
          <w:szCs w:val="22"/>
        </w:rPr>
        <w:tab/>
        <w:t xml:space="preserve">Under section 201 of the Communications Act of 1934, a principal responsibility of the Commission is to ensure that charges and practices </w:t>
      </w:r>
      <w:r w:rsidR="005F7197" w:rsidRPr="00C26BF3">
        <w:rPr>
          <w:szCs w:val="22"/>
        </w:rPr>
        <w:t>related to</w:t>
      </w:r>
      <w:r w:rsidR="00310023" w:rsidRPr="00C26BF3">
        <w:rPr>
          <w:szCs w:val="22"/>
        </w:rPr>
        <w:t xml:space="preserve"> interstate and international</w:t>
      </w:r>
      <w:r w:rsidRPr="00C26BF3">
        <w:rPr>
          <w:szCs w:val="22"/>
        </w:rPr>
        <w:t xml:space="preserve"> telecommunications services</w:t>
      </w:r>
      <w:r w:rsidR="005011EB" w:rsidRPr="00C26BF3">
        <w:rPr>
          <w:szCs w:val="22"/>
        </w:rPr>
        <w:t xml:space="preserve">, including </w:t>
      </w:r>
      <w:r w:rsidR="005F7197" w:rsidRPr="00C26BF3">
        <w:rPr>
          <w:szCs w:val="22"/>
        </w:rPr>
        <w:t>interstate</w:t>
      </w:r>
      <w:r w:rsidRPr="00C26BF3">
        <w:rPr>
          <w:szCs w:val="22"/>
        </w:rPr>
        <w:t xml:space="preserve"> ICS</w:t>
      </w:r>
      <w:r w:rsidR="005011EB" w:rsidRPr="00C26BF3">
        <w:rPr>
          <w:szCs w:val="22"/>
        </w:rPr>
        <w:t>,</w:t>
      </w:r>
      <w:r w:rsidRPr="00C26BF3">
        <w:rPr>
          <w:szCs w:val="22"/>
        </w:rPr>
        <w:t xml:space="preserve"> are just and reasonable.  Additionally, under section 276 of the </w:t>
      </w:r>
      <w:r w:rsidR="005011EB" w:rsidRPr="00C26BF3">
        <w:rPr>
          <w:szCs w:val="22"/>
        </w:rPr>
        <w:t>Act</w:t>
      </w:r>
      <w:r w:rsidRPr="00C26BF3">
        <w:rPr>
          <w:szCs w:val="22"/>
        </w:rPr>
        <w:t xml:space="preserve">, the Commission is required to ensure that payphone service providers (including </w:t>
      </w:r>
      <w:r w:rsidR="00722107" w:rsidRPr="00C26BF3">
        <w:rPr>
          <w:szCs w:val="22"/>
        </w:rPr>
        <w:t>ICS providers</w:t>
      </w:r>
      <w:r w:rsidRPr="00C26BF3">
        <w:rPr>
          <w:szCs w:val="22"/>
        </w:rPr>
        <w:t>) are fairly compensated</w:t>
      </w:r>
      <w:r w:rsidR="00E6330C" w:rsidRPr="00C26BF3">
        <w:rPr>
          <w:szCs w:val="22"/>
        </w:rPr>
        <w:t xml:space="preserve"> for both interstate and intrastate calls</w:t>
      </w:r>
      <w:r w:rsidRPr="00C26BF3">
        <w:rPr>
          <w:szCs w:val="22"/>
        </w:rPr>
        <w:t>.  The annual certification and reporting requirement</w:t>
      </w:r>
      <w:r w:rsidR="00722107" w:rsidRPr="00C26BF3">
        <w:rPr>
          <w:szCs w:val="22"/>
        </w:rPr>
        <w:t>s</w:t>
      </w:r>
      <w:r w:rsidRPr="00C26BF3">
        <w:rPr>
          <w:szCs w:val="22"/>
        </w:rPr>
        <w:t xml:space="preserve"> will enable the Commission to monitor ICS providers’ rates </w:t>
      </w:r>
      <w:r w:rsidR="00F1417E" w:rsidRPr="00C26BF3">
        <w:rPr>
          <w:szCs w:val="22"/>
        </w:rPr>
        <w:t xml:space="preserve">and fees </w:t>
      </w:r>
      <w:r w:rsidRPr="00C26BF3">
        <w:rPr>
          <w:szCs w:val="22"/>
        </w:rPr>
        <w:t>to ensure they comply with the provisions of the Report and Order and therefore ensure they are just, reasonable</w:t>
      </w:r>
      <w:r w:rsidR="006B2AE3" w:rsidRPr="00C26BF3">
        <w:rPr>
          <w:szCs w:val="22"/>
        </w:rPr>
        <w:t>,</w:t>
      </w:r>
      <w:r w:rsidRPr="00C26BF3">
        <w:rPr>
          <w:szCs w:val="22"/>
        </w:rPr>
        <w:t xml:space="preserve"> </w:t>
      </w:r>
    </w:p>
    <w:p w14:paraId="72452494" w14:textId="77777777" w:rsidR="007D4E7C" w:rsidRDefault="007D4E7C" w:rsidP="007E0735">
      <w:pPr>
        <w:pStyle w:val="ParaNumChar1"/>
        <w:tabs>
          <w:tab w:val="clear" w:pos="1080"/>
          <w:tab w:val="clear" w:pos="1440"/>
          <w:tab w:val="left" w:pos="720"/>
        </w:tabs>
        <w:ind w:firstLine="0"/>
        <w:rPr>
          <w:szCs w:val="22"/>
        </w:rPr>
      </w:pPr>
    </w:p>
    <w:p w14:paraId="0EE29138" w14:textId="1E033CB1" w:rsidR="003F5D0F" w:rsidRPr="00C26BF3" w:rsidRDefault="007E0735" w:rsidP="007E0735">
      <w:pPr>
        <w:pStyle w:val="ParaNumChar1"/>
        <w:tabs>
          <w:tab w:val="clear" w:pos="1080"/>
          <w:tab w:val="clear" w:pos="1440"/>
          <w:tab w:val="left" w:pos="720"/>
        </w:tabs>
        <w:ind w:firstLine="0"/>
        <w:rPr>
          <w:szCs w:val="22"/>
        </w:rPr>
      </w:pPr>
      <w:proofErr w:type="gramStart"/>
      <w:r w:rsidRPr="00C26BF3">
        <w:rPr>
          <w:szCs w:val="22"/>
        </w:rPr>
        <w:t>and</w:t>
      </w:r>
      <w:proofErr w:type="gramEnd"/>
      <w:r w:rsidRPr="00C26BF3">
        <w:rPr>
          <w:szCs w:val="22"/>
        </w:rPr>
        <w:t xml:space="preserve"> fair as required by sections 201 and 276.  </w:t>
      </w:r>
      <w:r w:rsidR="00146BD4" w:rsidRPr="00C26BF3">
        <w:rPr>
          <w:szCs w:val="22"/>
        </w:rPr>
        <w:t xml:space="preserve">The consumer disclosure requirement will provide consumers with information that is relevant to consumer decision making </w:t>
      </w:r>
      <w:r w:rsidR="00B42E85" w:rsidRPr="00C26BF3">
        <w:rPr>
          <w:szCs w:val="22"/>
        </w:rPr>
        <w:t>and will allow the Commission to monitor ICS rates and fees.</w:t>
      </w:r>
    </w:p>
    <w:p w14:paraId="24E9C6B2" w14:textId="1ACD54B3" w:rsidR="00F16E9D" w:rsidRPr="00C26BF3" w:rsidRDefault="00F16E9D" w:rsidP="007E0735">
      <w:pPr>
        <w:pStyle w:val="ParaNumChar1"/>
        <w:tabs>
          <w:tab w:val="clear" w:pos="1080"/>
          <w:tab w:val="clear" w:pos="1440"/>
          <w:tab w:val="left" w:pos="720"/>
        </w:tabs>
        <w:ind w:firstLine="0"/>
        <w:rPr>
          <w:snapToGrid w:val="0"/>
          <w:kern w:val="28"/>
          <w:szCs w:val="22"/>
        </w:rPr>
      </w:pPr>
      <w:r w:rsidRPr="00C26BF3">
        <w:rPr>
          <w:szCs w:val="22"/>
        </w:rPr>
        <w:tab/>
        <w:t xml:space="preserve">Several interested parties, including ICS providers and state departments of correction, filed </w:t>
      </w:r>
      <w:r w:rsidR="00F1417E" w:rsidRPr="00C26BF3">
        <w:rPr>
          <w:szCs w:val="22"/>
        </w:rPr>
        <w:t xml:space="preserve">motions </w:t>
      </w:r>
      <w:r w:rsidRPr="00C26BF3">
        <w:rPr>
          <w:szCs w:val="22"/>
        </w:rPr>
        <w:t xml:space="preserve">with the United States Court of Appeals for the District of Columbia Circuit (D.C. Circuit) </w:t>
      </w:r>
      <w:r w:rsidR="00F1417E" w:rsidRPr="00C26BF3">
        <w:rPr>
          <w:szCs w:val="22"/>
        </w:rPr>
        <w:t xml:space="preserve">seeking </w:t>
      </w:r>
      <w:r w:rsidRPr="00C26BF3">
        <w:rPr>
          <w:szCs w:val="22"/>
        </w:rPr>
        <w:t>stay</w:t>
      </w:r>
      <w:r w:rsidR="00F1417E" w:rsidRPr="00C26BF3">
        <w:rPr>
          <w:szCs w:val="22"/>
        </w:rPr>
        <w:t>s</w:t>
      </w:r>
      <w:r w:rsidRPr="00C26BF3">
        <w:rPr>
          <w:szCs w:val="22"/>
        </w:rPr>
        <w:t xml:space="preserve"> of </w:t>
      </w:r>
      <w:r w:rsidR="00F1417E" w:rsidRPr="00C26BF3">
        <w:rPr>
          <w:szCs w:val="22"/>
        </w:rPr>
        <w:t xml:space="preserve">various portions of </w:t>
      </w:r>
      <w:r w:rsidRPr="00C26BF3">
        <w:rPr>
          <w:szCs w:val="22"/>
        </w:rPr>
        <w:t xml:space="preserve">the </w:t>
      </w:r>
      <w:r w:rsidRPr="00C26BF3">
        <w:rPr>
          <w:i/>
          <w:szCs w:val="22"/>
        </w:rPr>
        <w:t>Second Report and Order</w:t>
      </w:r>
      <w:r w:rsidRPr="00C26BF3">
        <w:rPr>
          <w:szCs w:val="22"/>
        </w:rPr>
        <w:t xml:space="preserve">.  </w:t>
      </w:r>
      <w:r w:rsidRPr="00C26BF3">
        <w:rPr>
          <w:snapToGrid w:val="0"/>
          <w:kern w:val="28"/>
          <w:szCs w:val="22"/>
        </w:rPr>
        <w:t>On March 7, 2016, the court stayed two provisions of the Commission’s ICS rules: 47 CFR § 64.6010 (setting caps on ICS calling rates that vary based on the size and type of facility being served) and 47 CFR § 64.6020(b)(2) (setting caps on charges and fees for single-call services).</w:t>
      </w:r>
      <w:r w:rsidRPr="00C26BF3">
        <w:rPr>
          <w:snapToGrid w:val="0"/>
          <w:kern w:val="28"/>
          <w:szCs w:val="22"/>
          <w:vertAlign w:val="superscript"/>
        </w:rPr>
        <w:footnoteReference w:id="5"/>
      </w:r>
      <w:r w:rsidRPr="00C26BF3">
        <w:rPr>
          <w:snapToGrid w:val="0"/>
          <w:kern w:val="28"/>
          <w:szCs w:val="22"/>
        </w:rPr>
        <w:t xml:space="preserve">  The D.C. Circuit’s </w:t>
      </w:r>
      <w:r w:rsidRPr="00C26BF3">
        <w:rPr>
          <w:i/>
          <w:iCs/>
          <w:snapToGrid w:val="0"/>
          <w:kern w:val="28"/>
          <w:szCs w:val="22"/>
        </w:rPr>
        <w:t>March 7 Order</w:t>
      </w:r>
      <w:r w:rsidRPr="00C26BF3">
        <w:rPr>
          <w:snapToGrid w:val="0"/>
          <w:kern w:val="28"/>
          <w:szCs w:val="22"/>
        </w:rPr>
        <w:t xml:space="preserve"> denied motions for stay of the Commission’s ICS rules “in all other respects.”</w:t>
      </w:r>
      <w:r w:rsidRPr="00C26BF3">
        <w:rPr>
          <w:snapToGrid w:val="0"/>
          <w:kern w:val="28"/>
          <w:szCs w:val="22"/>
          <w:vertAlign w:val="superscript"/>
        </w:rPr>
        <w:footnoteReference w:id="6"/>
      </w:r>
      <w:r w:rsidRPr="00C26BF3">
        <w:rPr>
          <w:snapToGrid w:val="0"/>
          <w:kern w:val="28"/>
          <w:szCs w:val="22"/>
        </w:rPr>
        <w:t xml:space="preserve">  On March 23, 2016, the D.C. Circuit modified the stay imposed in the </w:t>
      </w:r>
      <w:r w:rsidRPr="00C26BF3">
        <w:rPr>
          <w:i/>
          <w:iCs/>
          <w:snapToGrid w:val="0"/>
          <w:kern w:val="28"/>
          <w:szCs w:val="22"/>
        </w:rPr>
        <w:t xml:space="preserve">March 7 Order </w:t>
      </w:r>
      <w:r w:rsidRPr="00C26BF3">
        <w:rPr>
          <w:snapToGrid w:val="0"/>
          <w:kern w:val="28"/>
          <w:szCs w:val="22"/>
        </w:rPr>
        <w:t>to provide that “47 CFR § 64.6030 (imposing interim rate caps)” be stayed as applied to “intrastate calling services.</w:t>
      </w:r>
      <w:r w:rsidRPr="00C26BF3">
        <w:rPr>
          <w:snapToGrid w:val="0"/>
          <w:kern w:val="28"/>
          <w:szCs w:val="22"/>
          <w:vertAlign w:val="superscript"/>
        </w:rPr>
        <w:footnoteReference w:id="7"/>
      </w:r>
      <w:r w:rsidRPr="00C26BF3">
        <w:rPr>
          <w:snapToGrid w:val="0"/>
          <w:kern w:val="28"/>
          <w:szCs w:val="22"/>
        </w:rPr>
        <w:t xml:space="preserve">  </w:t>
      </w:r>
    </w:p>
    <w:p w14:paraId="37785ABB" w14:textId="5237216E" w:rsidR="00F16E9D" w:rsidRPr="00C26BF3" w:rsidRDefault="00F16E9D" w:rsidP="007E0735">
      <w:pPr>
        <w:pStyle w:val="ParaNumChar1"/>
        <w:tabs>
          <w:tab w:val="clear" w:pos="1080"/>
          <w:tab w:val="clear" w:pos="1440"/>
          <w:tab w:val="left" w:pos="720"/>
        </w:tabs>
        <w:ind w:firstLine="0"/>
        <w:rPr>
          <w:szCs w:val="22"/>
        </w:rPr>
      </w:pPr>
      <w:r w:rsidRPr="00C26BF3">
        <w:rPr>
          <w:snapToGrid w:val="0"/>
          <w:kern w:val="28"/>
          <w:szCs w:val="22"/>
        </w:rPr>
        <w:tab/>
        <w:t xml:space="preserve">The Court did not stay </w:t>
      </w:r>
      <w:r w:rsidR="00F1417E" w:rsidRPr="00C26BF3">
        <w:rPr>
          <w:snapToGrid w:val="0"/>
          <w:kern w:val="28"/>
          <w:szCs w:val="22"/>
        </w:rPr>
        <w:t xml:space="preserve">any other aspects </w:t>
      </w:r>
      <w:r w:rsidRPr="00C26BF3">
        <w:rPr>
          <w:snapToGrid w:val="0"/>
          <w:kern w:val="28"/>
          <w:szCs w:val="22"/>
        </w:rPr>
        <w:t xml:space="preserve">of the </w:t>
      </w:r>
      <w:r w:rsidRPr="00C26BF3">
        <w:rPr>
          <w:i/>
          <w:snapToGrid w:val="0"/>
          <w:kern w:val="28"/>
          <w:szCs w:val="22"/>
        </w:rPr>
        <w:t>Second Report and Order</w:t>
      </w:r>
      <w:r w:rsidRPr="00C26BF3">
        <w:rPr>
          <w:snapToGrid w:val="0"/>
          <w:kern w:val="28"/>
          <w:szCs w:val="22"/>
        </w:rPr>
        <w:t>, leaving in place, for example, the Commission’s provision</w:t>
      </w:r>
      <w:r w:rsidR="000F15C0" w:rsidRPr="00C26BF3">
        <w:rPr>
          <w:snapToGrid w:val="0"/>
          <w:kern w:val="28"/>
          <w:szCs w:val="22"/>
        </w:rPr>
        <w:t>s for the annual reporting and certification requirement (47 CFR § 64.6060) and the consumer disclosure of inmate calling services rates (47 CFR § 64.6110</w:t>
      </w:r>
      <w:r w:rsidR="00C411A1" w:rsidRPr="00C26BF3">
        <w:rPr>
          <w:snapToGrid w:val="0"/>
          <w:kern w:val="28"/>
          <w:szCs w:val="22"/>
        </w:rPr>
        <w:t xml:space="preserve">), which are relevant to this information collection.  Additionally, the Court did not stay the following rules adopted in the </w:t>
      </w:r>
      <w:r w:rsidR="00C411A1" w:rsidRPr="00C26BF3">
        <w:rPr>
          <w:i/>
          <w:snapToGrid w:val="0"/>
          <w:kern w:val="28"/>
          <w:szCs w:val="22"/>
        </w:rPr>
        <w:t>Second Report and Order</w:t>
      </w:r>
      <w:r w:rsidR="00C411A1" w:rsidRPr="00C26BF3">
        <w:rPr>
          <w:snapToGrid w:val="0"/>
          <w:kern w:val="28"/>
          <w:szCs w:val="22"/>
        </w:rPr>
        <w:t>: 47 CFR § 64.6000 (Definitions); 47 CFR § 64.6020(a), 47 CFR § 64.6020(b)(1), 47 CFR § 64.6020(b)(3)-(5) (Ancillary Service Charge); 47 CFR § 64.6040 (Rates for Calls Involving a TTY Device); 47 CFR § 64.6070 (Taxes and Fees); 47 CFR § 64.6080 (Per-Call, or Per-Connection Charges); 47 CFR § 64.6020 (Flat-Rate Calling)</w:t>
      </w:r>
      <w:r w:rsidR="007103AF" w:rsidRPr="00C26BF3">
        <w:rPr>
          <w:snapToGrid w:val="0"/>
          <w:kern w:val="28"/>
          <w:szCs w:val="22"/>
        </w:rPr>
        <w:t xml:space="preserve">; </w:t>
      </w:r>
      <w:r w:rsidR="004A3D20" w:rsidRPr="00C26BF3">
        <w:rPr>
          <w:snapToGrid w:val="0"/>
          <w:kern w:val="28"/>
          <w:szCs w:val="22"/>
        </w:rPr>
        <w:t xml:space="preserve">and </w:t>
      </w:r>
      <w:r w:rsidR="007103AF" w:rsidRPr="00C26BF3">
        <w:rPr>
          <w:snapToGrid w:val="0"/>
          <w:kern w:val="28"/>
          <w:szCs w:val="22"/>
        </w:rPr>
        <w:t>47 CFR § 64.6100 (Minimum and Maximum Prepaid Calling Account Balances</w:t>
      </w:r>
      <w:r w:rsidR="004A3D20" w:rsidRPr="00C26BF3">
        <w:rPr>
          <w:snapToGrid w:val="0"/>
          <w:kern w:val="28"/>
          <w:szCs w:val="22"/>
        </w:rPr>
        <w:t>).</w:t>
      </w:r>
    </w:p>
    <w:p w14:paraId="37A46115" w14:textId="382D25D7" w:rsidR="003345D4" w:rsidRDefault="007E0735">
      <w:pPr>
        <w:spacing w:after="120"/>
        <w:ind w:firstLine="720"/>
        <w:rPr>
          <w:sz w:val="22"/>
          <w:szCs w:val="22"/>
        </w:rPr>
      </w:pPr>
      <w:r w:rsidRPr="00C26BF3">
        <w:rPr>
          <w:sz w:val="22"/>
          <w:szCs w:val="22"/>
        </w:rPr>
        <w:t>Statutory authority for this information collection is contained in Sections: 1, 4(</w:t>
      </w:r>
      <w:proofErr w:type="spellStart"/>
      <w:r w:rsidRPr="00C26BF3">
        <w:rPr>
          <w:sz w:val="22"/>
          <w:szCs w:val="22"/>
        </w:rPr>
        <w:t>i</w:t>
      </w:r>
      <w:proofErr w:type="spellEnd"/>
      <w:r w:rsidRPr="00C26BF3">
        <w:rPr>
          <w:sz w:val="22"/>
          <w:szCs w:val="22"/>
        </w:rPr>
        <w:t>), 4(j), 201, 225, 276, and 303(r) of the Communications Act of 1934, as amended, 47 U.S.C. §§ 151, 154(</w:t>
      </w:r>
      <w:proofErr w:type="spellStart"/>
      <w:r w:rsidRPr="00C26BF3">
        <w:rPr>
          <w:sz w:val="22"/>
          <w:szCs w:val="22"/>
        </w:rPr>
        <w:t>i</w:t>
      </w:r>
      <w:proofErr w:type="spellEnd"/>
      <w:r w:rsidRPr="00C26BF3">
        <w:rPr>
          <w:sz w:val="22"/>
          <w:szCs w:val="22"/>
        </w:rPr>
        <w:t xml:space="preserve">)-(j), 201, 225, 276 and 303(r). </w:t>
      </w:r>
    </w:p>
    <w:p w14:paraId="6D71AED3" w14:textId="01892A0B" w:rsidR="00326FEB" w:rsidRDefault="00326FEB" w:rsidP="00E2213C">
      <w:pPr>
        <w:spacing w:after="120"/>
        <w:ind w:firstLine="720"/>
        <w:rPr>
          <w:sz w:val="22"/>
          <w:szCs w:val="22"/>
        </w:rPr>
      </w:pPr>
      <w:r>
        <w:rPr>
          <w:sz w:val="22"/>
          <w:szCs w:val="22"/>
        </w:rPr>
        <w:t>This information collection does not affect individuals or households; thus, there are no impacts under the Privacy Act.</w:t>
      </w:r>
    </w:p>
    <w:p w14:paraId="061E92E5" w14:textId="77777777" w:rsidR="00E2213C" w:rsidRPr="00C26BF3" w:rsidRDefault="00E2213C" w:rsidP="00E2213C">
      <w:pPr>
        <w:spacing w:after="120"/>
        <w:ind w:firstLine="720"/>
        <w:rPr>
          <w:sz w:val="22"/>
          <w:szCs w:val="22"/>
        </w:rPr>
      </w:pPr>
    </w:p>
    <w:p w14:paraId="140BF8C6" w14:textId="7CB67B0E" w:rsidR="0097585C" w:rsidRPr="00C26BF3" w:rsidRDefault="007E0735" w:rsidP="0097585C">
      <w:pPr>
        <w:ind w:firstLine="720"/>
        <w:rPr>
          <w:sz w:val="22"/>
          <w:szCs w:val="22"/>
        </w:rPr>
      </w:pPr>
      <w:r w:rsidRPr="00C26BF3">
        <w:rPr>
          <w:sz w:val="22"/>
          <w:szCs w:val="22"/>
        </w:rPr>
        <w:t xml:space="preserve">2.  The annual reporting requirements will require ICS providers to </w:t>
      </w:r>
      <w:r w:rsidR="00B770CC" w:rsidRPr="00C26BF3">
        <w:rPr>
          <w:sz w:val="22"/>
          <w:szCs w:val="22"/>
        </w:rPr>
        <w:t>submit</w:t>
      </w:r>
      <w:r w:rsidRPr="00C26BF3">
        <w:rPr>
          <w:sz w:val="22"/>
          <w:szCs w:val="22"/>
        </w:rPr>
        <w:t xml:space="preserve"> data regarding their interstate, </w:t>
      </w:r>
      <w:r w:rsidR="007A180D" w:rsidRPr="00C26BF3">
        <w:rPr>
          <w:sz w:val="22"/>
          <w:szCs w:val="22"/>
        </w:rPr>
        <w:t>international, and intrastate</w:t>
      </w:r>
      <w:r w:rsidRPr="00C26BF3">
        <w:rPr>
          <w:sz w:val="22"/>
          <w:szCs w:val="22"/>
        </w:rPr>
        <w:t xml:space="preserve"> rates</w:t>
      </w:r>
      <w:r w:rsidR="00CD6BDD" w:rsidRPr="00C26BF3">
        <w:rPr>
          <w:sz w:val="22"/>
          <w:szCs w:val="22"/>
        </w:rPr>
        <w:t xml:space="preserve">, </w:t>
      </w:r>
      <w:r w:rsidRPr="00C26BF3">
        <w:rPr>
          <w:sz w:val="22"/>
          <w:szCs w:val="22"/>
        </w:rPr>
        <w:t>by facility</w:t>
      </w:r>
      <w:r w:rsidR="000A7661" w:rsidRPr="00C26BF3">
        <w:rPr>
          <w:sz w:val="22"/>
          <w:szCs w:val="22"/>
        </w:rPr>
        <w:t>, and to note the name, size and type of each facility being served</w:t>
      </w:r>
      <w:r w:rsidRPr="00C26BF3">
        <w:rPr>
          <w:sz w:val="22"/>
          <w:szCs w:val="22"/>
        </w:rPr>
        <w:t xml:space="preserve">.  Providers will also be required to </w:t>
      </w:r>
      <w:r w:rsidR="00CA5A96" w:rsidRPr="00C26BF3">
        <w:rPr>
          <w:sz w:val="22"/>
          <w:szCs w:val="22"/>
        </w:rPr>
        <w:t>report</w:t>
      </w:r>
      <w:r w:rsidRPr="00C26BF3">
        <w:rPr>
          <w:sz w:val="22"/>
          <w:szCs w:val="22"/>
        </w:rPr>
        <w:t xml:space="preserve"> </w:t>
      </w:r>
      <w:r w:rsidR="00CA5A96" w:rsidRPr="00C26BF3">
        <w:rPr>
          <w:sz w:val="22"/>
          <w:szCs w:val="22"/>
        </w:rPr>
        <w:t xml:space="preserve">any </w:t>
      </w:r>
      <w:r w:rsidR="006B2AE3" w:rsidRPr="00C26BF3">
        <w:rPr>
          <w:sz w:val="22"/>
          <w:szCs w:val="22"/>
        </w:rPr>
        <w:t>fees for</w:t>
      </w:r>
      <w:r w:rsidR="00D22517" w:rsidRPr="00C26BF3">
        <w:rPr>
          <w:sz w:val="22"/>
          <w:szCs w:val="22"/>
        </w:rPr>
        <w:t xml:space="preserve"> ancillary service</w:t>
      </w:r>
      <w:r w:rsidR="00801DB2" w:rsidRPr="00C26BF3">
        <w:rPr>
          <w:sz w:val="22"/>
          <w:szCs w:val="22"/>
        </w:rPr>
        <w:t xml:space="preserve">s, the amount of those fees, the number of times each fee was imposed, </w:t>
      </w:r>
      <w:r w:rsidR="00D22517" w:rsidRPr="00C26BF3">
        <w:rPr>
          <w:sz w:val="22"/>
          <w:szCs w:val="22"/>
        </w:rPr>
        <w:t>and the monthly amounts of any site commissions paid</w:t>
      </w:r>
      <w:r w:rsidRPr="00C26BF3">
        <w:rPr>
          <w:sz w:val="22"/>
          <w:szCs w:val="22"/>
        </w:rPr>
        <w:t xml:space="preserve">.  </w:t>
      </w:r>
      <w:r w:rsidR="00D22517" w:rsidRPr="00C26BF3">
        <w:rPr>
          <w:sz w:val="22"/>
          <w:szCs w:val="22"/>
        </w:rPr>
        <w:t xml:space="preserve">Providers that </w:t>
      </w:r>
      <w:r w:rsidR="00CA5A96" w:rsidRPr="00C26BF3">
        <w:rPr>
          <w:sz w:val="22"/>
          <w:szCs w:val="22"/>
        </w:rPr>
        <w:t>offered</w:t>
      </w:r>
      <w:r w:rsidR="00D22517" w:rsidRPr="00C26BF3">
        <w:rPr>
          <w:sz w:val="22"/>
          <w:szCs w:val="22"/>
        </w:rPr>
        <w:t xml:space="preserve"> video </w:t>
      </w:r>
      <w:r w:rsidR="003B5DBD" w:rsidRPr="00C26BF3">
        <w:rPr>
          <w:sz w:val="22"/>
          <w:szCs w:val="22"/>
        </w:rPr>
        <w:t xml:space="preserve">calling </w:t>
      </w:r>
      <w:r w:rsidR="00D22517" w:rsidRPr="00C26BF3">
        <w:rPr>
          <w:sz w:val="22"/>
          <w:szCs w:val="22"/>
        </w:rPr>
        <w:t>services</w:t>
      </w:r>
      <w:r w:rsidR="003B5DBD" w:rsidRPr="00C26BF3">
        <w:rPr>
          <w:sz w:val="22"/>
          <w:szCs w:val="22"/>
        </w:rPr>
        <w:t xml:space="preserve"> </w:t>
      </w:r>
      <w:r w:rsidR="00D22517" w:rsidRPr="00C26BF3">
        <w:rPr>
          <w:sz w:val="22"/>
          <w:szCs w:val="22"/>
        </w:rPr>
        <w:t>during the reporting period must file the minutes of use and per-minute rates for those services</w:t>
      </w:r>
      <w:r w:rsidR="00801DB2" w:rsidRPr="00C26BF3">
        <w:rPr>
          <w:sz w:val="22"/>
          <w:szCs w:val="22"/>
        </w:rPr>
        <w:t xml:space="preserve">, as well as ancillary service charges associated with video </w:t>
      </w:r>
      <w:r w:rsidR="003B5DBD" w:rsidRPr="00C26BF3">
        <w:rPr>
          <w:sz w:val="22"/>
          <w:szCs w:val="22"/>
        </w:rPr>
        <w:t>services</w:t>
      </w:r>
      <w:r w:rsidR="00D22517" w:rsidRPr="00C26BF3">
        <w:rPr>
          <w:sz w:val="22"/>
          <w:szCs w:val="22"/>
        </w:rPr>
        <w:t xml:space="preserve">.  </w:t>
      </w:r>
      <w:r w:rsidR="00057923" w:rsidRPr="00C26BF3">
        <w:rPr>
          <w:sz w:val="22"/>
          <w:szCs w:val="22"/>
        </w:rPr>
        <w:t>Pr</w:t>
      </w:r>
      <w:r w:rsidR="00D22517" w:rsidRPr="00C26BF3">
        <w:rPr>
          <w:sz w:val="22"/>
          <w:szCs w:val="22"/>
        </w:rPr>
        <w:t xml:space="preserve">oviders </w:t>
      </w:r>
      <w:r w:rsidR="003B5DBD" w:rsidRPr="00C26BF3">
        <w:rPr>
          <w:sz w:val="22"/>
          <w:szCs w:val="22"/>
        </w:rPr>
        <w:t xml:space="preserve">also </w:t>
      </w:r>
      <w:r w:rsidR="00D22517" w:rsidRPr="00C26BF3">
        <w:rPr>
          <w:sz w:val="22"/>
          <w:szCs w:val="22"/>
        </w:rPr>
        <w:t xml:space="preserve">will be required to report: the number of </w:t>
      </w:r>
      <w:r w:rsidR="003B5DBD" w:rsidRPr="00C26BF3">
        <w:rPr>
          <w:sz w:val="22"/>
          <w:szCs w:val="22"/>
        </w:rPr>
        <w:t>disability</w:t>
      </w:r>
      <w:r w:rsidR="0098247C" w:rsidRPr="00C26BF3">
        <w:rPr>
          <w:sz w:val="22"/>
          <w:szCs w:val="22"/>
        </w:rPr>
        <w:t>-</w:t>
      </w:r>
      <w:r w:rsidR="003B5DBD" w:rsidRPr="00C26BF3">
        <w:rPr>
          <w:sz w:val="22"/>
          <w:szCs w:val="22"/>
        </w:rPr>
        <w:t xml:space="preserve">related </w:t>
      </w:r>
      <w:r w:rsidR="00D22517" w:rsidRPr="00C26BF3">
        <w:rPr>
          <w:sz w:val="22"/>
          <w:szCs w:val="22"/>
        </w:rPr>
        <w:t>calls they provided; the number of problems they experience</w:t>
      </w:r>
      <w:r w:rsidR="003B5DBD" w:rsidRPr="00C26BF3">
        <w:rPr>
          <w:sz w:val="22"/>
          <w:szCs w:val="22"/>
        </w:rPr>
        <w:t>d</w:t>
      </w:r>
      <w:r w:rsidR="00D22517" w:rsidRPr="00C26BF3">
        <w:rPr>
          <w:sz w:val="22"/>
          <w:szCs w:val="22"/>
        </w:rPr>
        <w:t xml:space="preserve"> with such calls </w:t>
      </w:r>
      <w:r w:rsidR="003B5DBD" w:rsidRPr="00C26BF3">
        <w:rPr>
          <w:sz w:val="22"/>
          <w:szCs w:val="22"/>
        </w:rPr>
        <w:t>(</w:t>
      </w:r>
      <w:r w:rsidR="00D22517" w:rsidRPr="00C26BF3">
        <w:rPr>
          <w:sz w:val="22"/>
          <w:szCs w:val="22"/>
        </w:rPr>
        <w:t>e.g.</w:t>
      </w:r>
      <w:r w:rsidR="0005170F">
        <w:rPr>
          <w:sz w:val="22"/>
          <w:szCs w:val="22"/>
        </w:rPr>
        <w:t>,</w:t>
      </w:r>
      <w:r w:rsidR="00D22517" w:rsidRPr="00C26BF3">
        <w:rPr>
          <w:sz w:val="22"/>
          <w:szCs w:val="22"/>
        </w:rPr>
        <w:t xml:space="preserve"> dropped calls, poor call qua</w:t>
      </w:r>
      <w:r w:rsidR="00801DB2" w:rsidRPr="00C26BF3">
        <w:rPr>
          <w:sz w:val="22"/>
          <w:szCs w:val="22"/>
        </w:rPr>
        <w:t>lity</w:t>
      </w:r>
      <w:r w:rsidR="003B5DBD" w:rsidRPr="00C26BF3">
        <w:rPr>
          <w:sz w:val="22"/>
          <w:szCs w:val="22"/>
        </w:rPr>
        <w:t>)</w:t>
      </w:r>
      <w:r w:rsidR="00801DB2" w:rsidRPr="00C26BF3">
        <w:rPr>
          <w:sz w:val="22"/>
          <w:szCs w:val="22"/>
        </w:rPr>
        <w:t>, and the number of incident</w:t>
      </w:r>
      <w:r w:rsidR="00D22517" w:rsidRPr="00C26BF3">
        <w:rPr>
          <w:sz w:val="22"/>
          <w:szCs w:val="22"/>
        </w:rPr>
        <w:t xml:space="preserve">s of each; </w:t>
      </w:r>
      <w:r w:rsidR="00B14E49" w:rsidRPr="00C26BF3">
        <w:rPr>
          <w:sz w:val="22"/>
          <w:szCs w:val="22"/>
        </w:rPr>
        <w:t xml:space="preserve">and the number of complaints they received related to access to ICS </w:t>
      </w:r>
      <w:r w:rsidR="00B14E49" w:rsidRPr="00C26BF3">
        <w:rPr>
          <w:sz w:val="22"/>
          <w:szCs w:val="22"/>
        </w:rPr>
        <w:lastRenderedPageBreak/>
        <w:t xml:space="preserve">by TTY and TRS users.  </w:t>
      </w:r>
      <w:r w:rsidRPr="00C26BF3">
        <w:rPr>
          <w:sz w:val="22"/>
          <w:szCs w:val="22"/>
        </w:rPr>
        <w:t xml:space="preserve">These data will assist the Commission in monitoring the effectiveness of the reforms adopted in the </w:t>
      </w:r>
      <w:r w:rsidR="00801DB2" w:rsidRPr="00C26BF3">
        <w:rPr>
          <w:i/>
          <w:sz w:val="22"/>
          <w:szCs w:val="22"/>
        </w:rPr>
        <w:t xml:space="preserve">Second </w:t>
      </w:r>
      <w:r w:rsidRPr="00C26BF3">
        <w:rPr>
          <w:i/>
          <w:sz w:val="22"/>
          <w:szCs w:val="22"/>
        </w:rPr>
        <w:t>Report and Order</w:t>
      </w:r>
      <w:r w:rsidRPr="00C26BF3">
        <w:rPr>
          <w:sz w:val="22"/>
          <w:szCs w:val="22"/>
        </w:rPr>
        <w:t>, facilitate enforcement</w:t>
      </w:r>
      <w:r w:rsidR="003B5DBD" w:rsidRPr="00C26BF3">
        <w:rPr>
          <w:sz w:val="22"/>
          <w:szCs w:val="22"/>
        </w:rPr>
        <w:t xml:space="preserve"> of the Commission’s rules</w:t>
      </w:r>
      <w:r w:rsidRPr="00C26BF3">
        <w:rPr>
          <w:sz w:val="22"/>
          <w:szCs w:val="22"/>
        </w:rPr>
        <w:t xml:space="preserve">, and enable the Commission to address the issues raised in the </w:t>
      </w:r>
      <w:r w:rsidR="00B14E49" w:rsidRPr="00C26BF3">
        <w:rPr>
          <w:i/>
          <w:sz w:val="22"/>
          <w:szCs w:val="22"/>
        </w:rPr>
        <w:t xml:space="preserve">Third </w:t>
      </w:r>
      <w:r w:rsidRPr="00C26BF3">
        <w:rPr>
          <w:i/>
          <w:sz w:val="22"/>
          <w:szCs w:val="22"/>
        </w:rPr>
        <w:t>Further Notice of Proposed Rulemaking</w:t>
      </w:r>
      <w:r w:rsidRPr="00C26BF3">
        <w:rPr>
          <w:sz w:val="22"/>
          <w:szCs w:val="22"/>
        </w:rPr>
        <w:t xml:space="preserve"> (FNPRM) </w:t>
      </w:r>
      <w:r w:rsidR="0093767E" w:rsidRPr="00C26BF3">
        <w:rPr>
          <w:sz w:val="22"/>
          <w:szCs w:val="22"/>
        </w:rPr>
        <w:t>that accompanied</w:t>
      </w:r>
      <w:r w:rsidRPr="00C26BF3">
        <w:rPr>
          <w:sz w:val="22"/>
          <w:szCs w:val="22"/>
        </w:rPr>
        <w:t xml:space="preserve"> the</w:t>
      </w:r>
      <w:r w:rsidR="00B14E49" w:rsidRPr="00C26BF3">
        <w:rPr>
          <w:sz w:val="22"/>
          <w:szCs w:val="22"/>
        </w:rPr>
        <w:t xml:space="preserve"> </w:t>
      </w:r>
      <w:r w:rsidR="00B14E49" w:rsidRPr="00C26BF3">
        <w:rPr>
          <w:i/>
          <w:sz w:val="22"/>
          <w:szCs w:val="22"/>
        </w:rPr>
        <w:t>Second</w:t>
      </w:r>
      <w:r w:rsidRPr="00C26BF3">
        <w:rPr>
          <w:i/>
          <w:sz w:val="22"/>
          <w:szCs w:val="22"/>
        </w:rPr>
        <w:t xml:space="preserve"> Report and Order</w:t>
      </w:r>
      <w:r w:rsidRPr="00C26BF3">
        <w:rPr>
          <w:sz w:val="22"/>
          <w:szCs w:val="22"/>
        </w:rPr>
        <w:t xml:space="preserve">.  </w:t>
      </w:r>
      <w:r w:rsidR="007534D3" w:rsidRPr="00C26BF3">
        <w:rPr>
          <w:sz w:val="22"/>
          <w:szCs w:val="22"/>
        </w:rPr>
        <w:t xml:space="preserve">To fulfill </w:t>
      </w:r>
      <w:r w:rsidR="00911DA8" w:rsidRPr="00C26BF3">
        <w:rPr>
          <w:sz w:val="22"/>
          <w:szCs w:val="22"/>
        </w:rPr>
        <w:t>the certification requirement,</w:t>
      </w:r>
      <w:r w:rsidR="0097585C" w:rsidRPr="00C26BF3">
        <w:rPr>
          <w:sz w:val="22"/>
          <w:szCs w:val="22"/>
        </w:rPr>
        <w:t xml:space="preserve"> an </w:t>
      </w:r>
      <w:r w:rsidRPr="00C26BF3">
        <w:rPr>
          <w:sz w:val="22"/>
          <w:szCs w:val="22"/>
        </w:rPr>
        <w:t xml:space="preserve">officer of each ICS provider must annually certify </w:t>
      </w:r>
      <w:r w:rsidR="00387192" w:rsidRPr="00C26BF3">
        <w:rPr>
          <w:sz w:val="22"/>
          <w:szCs w:val="22"/>
        </w:rPr>
        <w:t>the accuracy of the</w:t>
      </w:r>
      <w:r w:rsidRPr="00C26BF3">
        <w:rPr>
          <w:sz w:val="22"/>
          <w:szCs w:val="22"/>
        </w:rPr>
        <w:t xml:space="preserve"> information the comp</w:t>
      </w:r>
      <w:r w:rsidR="00B14E49" w:rsidRPr="00C26BF3">
        <w:rPr>
          <w:sz w:val="22"/>
          <w:szCs w:val="22"/>
        </w:rPr>
        <w:t xml:space="preserve">any reports to the Commission.  </w:t>
      </w:r>
      <w:r w:rsidRPr="00C26BF3">
        <w:rPr>
          <w:sz w:val="22"/>
          <w:szCs w:val="22"/>
        </w:rPr>
        <w:t xml:space="preserve">The requirement is a minimally burdensome way to ensure compliance with the </w:t>
      </w:r>
      <w:r w:rsidR="0037793B" w:rsidRPr="00C26BF3">
        <w:rPr>
          <w:i/>
          <w:sz w:val="22"/>
          <w:szCs w:val="22"/>
        </w:rPr>
        <w:t xml:space="preserve">Second </w:t>
      </w:r>
      <w:r w:rsidRPr="00C26BF3">
        <w:rPr>
          <w:i/>
          <w:sz w:val="22"/>
          <w:szCs w:val="22"/>
        </w:rPr>
        <w:t>Report and Order</w:t>
      </w:r>
      <w:r w:rsidRPr="00C26BF3">
        <w:rPr>
          <w:sz w:val="22"/>
          <w:szCs w:val="22"/>
        </w:rPr>
        <w:t xml:space="preserve">. </w:t>
      </w:r>
      <w:r w:rsidR="00057923" w:rsidRPr="00C26BF3">
        <w:rPr>
          <w:sz w:val="22"/>
          <w:szCs w:val="22"/>
        </w:rPr>
        <w:t xml:space="preserve">  </w:t>
      </w:r>
    </w:p>
    <w:p w14:paraId="2A53845F" w14:textId="77777777" w:rsidR="0097585C" w:rsidRPr="00C26BF3" w:rsidRDefault="0097585C" w:rsidP="0097585C">
      <w:pPr>
        <w:ind w:firstLine="720"/>
        <w:rPr>
          <w:sz w:val="22"/>
          <w:szCs w:val="22"/>
        </w:rPr>
      </w:pPr>
    </w:p>
    <w:p w14:paraId="6109EC14" w14:textId="2E801749" w:rsidR="006F545D" w:rsidRPr="00C26BF3" w:rsidRDefault="00D96394" w:rsidP="0097585C">
      <w:pPr>
        <w:ind w:firstLine="720"/>
        <w:rPr>
          <w:sz w:val="22"/>
          <w:szCs w:val="22"/>
        </w:rPr>
      </w:pPr>
      <w:r w:rsidRPr="00C26BF3">
        <w:rPr>
          <w:sz w:val="22"/>
          <w:szCs w:val="22"/>
        </w:rPr>
        <w:t>T</w:t>
      </w:r>
      <w:r w:rsidR="0097585C" w:rsidRPr="00C26BF3">
        <w:rPr>
          <w:sz w:val="22"/>
          <w:szCs w:val="22"/>
        </w:rPr>
        <w:t>he consumer disclosure rule</w:t>
      </w:r>
      <w:r w:rsidR="006F52EA" w:rsidRPr="00C26BF3">
        <w:rPr>
          <w:sz w:val="22"/>
          <w:szCs w:val="22"/>
        </w:rPr>
        <w:t xml:space="preserve"> </w:t>
      </w:r>
      <w:r w:rsidR="0097585C" w:rsidRPr="00C26BF3">
        <w:rPr>
          <w:sz w:val="22"/>
          <w:szCs w:val="22"/>
        </w:rPr>
        <w:t xml:space="preserve">will require ICS providers to </w:t>
      </w:r>
      <w:r w:rsidR="00057923" w:rsidRPr="00C26BF3">
        <w:rPr>
          <w:sz w:val="22"/>
          <w:szCs w:val="22"/>
        </w:rPr>
        <w:t>disclose their interstate, intrastate, and international rates and a</w:t>
      </w:r>
      <w:r w:rsidR="00EE0D9C" w:rsidRPr="00C26BF3">
        <w:rPr>
          <w:sz w:val="22"/>
          <w:szCs w:val="22"/>
        </w:rPr>
        <w:t xml:space="preserve">ncillary charges to consumers. </w:t>
      </w:r>
      <w:r w:rsidR="00C3190C" w:rsidRPr="00C26BF3">
        <w:rPr>
          <w:sz w:val="22"/>
          <w:szCs w:val="22"/>
        </w:rPr>
        <w:t xml:space="preserve"> The </w:t>
      </w:r>
      <w:r w:rsidR="006F545D" w:rsidRPr="00C26BF3">
        <w:rPr>
          <w:sz w:val="22"/>
          <w:szCs w:val="22"/>
        </w:rPr>
        <w:t>Commission will evaluate disclosures of all consumer charges for reasonableness</w:t>
      </w:r>
      <w:r w:rsidR="00224EDC" w:rsidRPr="00C26BF3">
        <w:rPr>
          <w:sz w:val="22"/>
          <w:szCs w:val="22"/>
        </w:rPr>
        <w:t xml:space="preserve"> based on a number of factors, including</w:t>
      </w:r>
      <w:r w:rsidR="00F66BA4" w:rsidRPr="00C26BF3">
        <w:rPr>
          <w:sz w:val="22"/>
          <w:szCs w:val="22"/>
        </w:rPr>
        <w:t xml:space="preserve">: </w:t>
      </w:r>
      <w:r w:rsidR="006F545D" w:rsidRPr="00C26BF3">
        <w:rPr>
          <w:sz w:val="22"/>
          <w:szCs w:val="22"/>
        </w:rPr>
        <w:t>disclosure of information regarding all material charges, such as the applicable rate</w:t>
      </w:r>
      <w:r w:rsidRPr="00C26BF3">
        <w:rPr>
          <w:sz w:val="22"/>
          <w:szCs w:val="22"/>
        </w:rPr>
        <w:t xml:space="preserve"> and </w:t>
      </w:r>
      <w:r w:rsidR="006F545D" w:rsidRPr="00C26BF3">
        <w:rPr>
          <w:sz w:val="22"/>
          <w:szCs w:val="22"/>
        </w:rPr>
        <w:t xml:space="preserve">any ancillary service charges; use of plain language </w:t>
      </w:r>
      <w:r w:rsidR="004067EE" w:rsidRPr="00C26BF3">
        <w:rPr>
          <w:sz w:val="22"/>
          <w:szCs w:val="22"/>
        </w:rPr>
        <w:t>that can be readily understood by</w:t>
      </w:r>
      <w:r w:rsidR="006F545D" w:rsidRPr="00C26BF3">
        <w:rPr>
          <w:sz w:val="22"/>
          <w:szCs w:val="22"/>
        </w:rPr>
        <w:t xml:space="preserve"> </w:t>
      </w:r>
      <w:r w:rsidR="008B0542" w:rsidRPr="00C26BF3">
        <w:rPr>
          <w:sz w:val="22"/>
          <w:szCs w:val="22"/>
        </w:rPr>
        <w:t xml:space="preserve">end </w:t>
      </w:r>
      <w:r w:rsidR="006F545D" w:rsidRPr="00C26BF3">
        <w:rPr>
          <w:sz w:val="22"/>
          <w:szCs w:val="22"/>
        </w:rPr>
        <w:t xml:space="preserve">users; description of </w:t>
      </w:r>
      <w:r w:rsidR="008B0542" w:rsidRPr="00C26BF3">
        <w:rPr>
          <w:sz w:val="22"/>
          <w:szCs w:val="22"/>
        </w:rPr>
        <w:t>single call and related services</w:t>
      </w:r>
      <w:r w:rsidR="00A54F78" w:rsidRPr="00C26BF3">
        <w:rPr>
          <w:sz w:val="22"/>
          <w:szCs w:val="22"/>
        </w:rPr>
        <w:t xml:space="preserve">, </w:t>
      </w:r>
      <w:r w:rsidR="008B0542" w:rsidRPr="00C26BF3">
        <w:rPr>
          <w:sz w:val="22"/>
          <w:szCs w:val="22"/>
        </w:rPr>
        <w:t>making clear that consumers have les</w:t>
      </w:r>
      <w:r w:rsidRPr="00C26BF3">
        <w:rPr>
          <w:sz w:val="22"/>
          <w:szCs w:val="22"/>
        </w:rPr>
        <w:t>s</w:t>
      </w:r>
      <w:r w:rsidR="008B0542" w:rsidRPr="00C26BF3">
        <w:rPr>
          <w:sz w:val="22"/>
          <w:szCs w:val="22"/>
        </w:rPr>
        <w:t xml:space="preserve"> costly options; timeliness of </w:t>
      </w:r>
      <w:r w:rsidR="00A54F78" w:rsidRPr="00C26BF3">
        <w:rPr>
          <w:sz w:val="22"/>
          <w:szCs w:val="22"/>
        </w:rPr>
        <w:t xml:space="preserve">notice of </w:t>
      </w:r>
      <w:r w:rsidR="008B0542" w:rsidRPr="00C26BF3">
        <w:rPr>
          <w:sz w:val="22"/>
          <w:szCs w:val="22"/>
        </w:rPr>
        <w:t>any updates</w:t>
      </w:r>
      <w:r w:rsidR="00A54F78" w:rsidRPr="00C26BF3">
        <w:rPr>
          <w:sz w:val="22"/>
          <w:szCs w:val="22"/>
        </w:rPr>
        <w:t xml:space="preserve"> and/or </w:t>
      </w:r>
      <w:r w:rsidR="008B0542" w:rsidRPr="00C26BF3">
        <w:rPr>
          <w:sz w:val="22"/>
          <w:szCs w:val="22"/>
        </w:rPr>
        <w:t xml:space="preserve">changes to the rates and fees prior to </w:t>
      </w:r>
      <w:r w:rsidR="00A54F78" w:rsidRPr="00C26BF3">
        <w:rPr>
          <w:sz w:val="22"/>
          <w:szCs w:val="22"/>
        </w:rPr>
        <w:t>their implementation</w:t>
      </w:r>
      <w:r w:rsidR="008B0542" w:rsidRPr="00C26BF3">
        <w:rPr>
          <w:sz w:val="22"/>
          <w:szCs w:val="22"/>
        </w:rPr>
        <w:t>; availability of the disclosure in a promine</w:t>
      </w:r>
      <w:r w:rsidR="00B10929" w:rsidRPr="00C26BF3">
        <w:rPr>
          <w:sz w:val="22"/>
          <w:szCs w:val="22"/>
        </w:rPr>
        <w:t xml:space="preserve">nt location </w:t>
      </w:r>
      <w:r w:rsidR="00A54F78" w:rsidRPr="00C26BF3">
        <w:rPr>
          <w:sz w:val="22"/>
          <w:szCs w:val="22"/>
        </w:rPr>
        <w:t xml:space="preserve">on </w:t>
      </w:r>
      <w:r w:rsidR="00B10929" w:rsidRPr="00C26BF3">
        <w:rPr>
          <w:sz w:val="22"/>
          <w:szCs w:val="22"/>
        </w:rPr>
        <w:t xml:space="preserve">the ICS provider’s website; </w:t>
      </w:r>
      <w:r w:rsidR="004067EE" w:rsidRPr="00C26BF3">
        <w:rPr>
          <w:sz w:val="22"/>
          <w:szCs w:val="22"/>
        </w:rPr>
        <w:t xml:space="preserve">whether </w:t>
      </w:r>
      <w:r w:rsidR="00B10929" w:rsidRPr="00C26BF3">
        <w:rPr>
          <w:sz w:val="22"/>
          <w:szCs w:val="22"/>
        </w:rPr>
        <w:t>the name, address and toll-free number of the ICS provider</w:t>
      </w:r>
      <w:r w:rsidR="004067EE" w:rsidRPr="00C26BF3">
        <w:rPr>
          <w:sz w:val="22"/>
          <w:szCs w:val="22"/>
        </w:rPr>
        <w:t xml:space="preserve"> is included in the disclosure</w:t>
      </w:r>
      <w:r w:rsidR="00B10929" w:rsidRPr="00C26BF3">
        <w:rPr>
          <w:sz w:val="22"/>
          <w:szCs w:val="22"/>
        </w:rPr>
        <w:t xml:space="preserve">; and </w:t>
      </w:r>
      <w:r w:rsidR="004067EE" w:rsidRPr="00C26BF3">
        <w:rPr>
          <w:sz w:val="22"/>
          <w:szCs w:val="22"/>
        </w:rPr>
        <w:t xml:space="preserve">whether </w:t>
      </w:r>
      <w:r w:rsidR="00B10929" w:rsidRPr="00C26BF3">
        <w:rPr>
          <w:sz w:val="22"/>
          <w:szCs w:val="22"/>
        </w:rPr>
        <w:t xml:space="preserve">the </w:t>
      </w:r>
      <w:r w:rsidR="004067EE" w:rsidRPr="00C26BF3">
        <w:rPr>
          <w:sz w:val="22"/>
          <w:szCs w:val="22"/>
        </w:rPr>
        <w:t xml:space="preserve">disclosure includes the </w:t>
      </w:r>
      <w:r w:rsidR="00B10929" w:rsidRPr="00C26BF3">
        <w:rPr>
          <w:sz w:val="22"/>
          <w:szCs w:val="22"/>
        </w:rPr>
        <w:t>toll-free number for the FCC Consumer Help Center.</w:t>
      </w:r>
      <w:r w:rsidR="00B10929" w:rsidRPr="00C26BF3">
        <w:rPr>
          <w:rStyle w:val="FootnoteReference"/>
          <w:sz w:val="22"/>
          <w:szCs w:val="22"/>
        </w:rPr>
        <w:footnoteReference w:id="8"/>
      </w:r>
      <w:r w:rsidR="00EE0D9C" w:rsidRPr="00C26BF3">
        <w:rPr>
          <w:sz w:val="22"/>
          <w:szCs w:val="22"/>
        </w:rPr>
        <w:t xml:space="preserve">  </w:t>
      </w:r>
    </w:p>
    <w:p w14:paraId="54B2A49D" w14:textId="77777777" w:rsidR="004166ED" w:rsidRPr="00C26BF3" w:rsidRDefault="004166ED" w:rsidP="007E0735">
      <w:pPr>
        <w:ind w:firstLine="720"/>
        <w:rPr>
          <w:sz w:val="22"/>
          <w:szCs w:val="22"/>
        </w:rPr>
      </w:pPr>
    </w:p>
    <w:p w14:paraId="646203B5" w14:textId="030A1F25" w:rsidR="007E0735" w:rsidRPr="00C26BF3" w:rsidRDefault="00D633B7" w:rsidP="007E0735">
      <w:pPr>
        <w:ind w:firstLine="720"/>
        <w:rPr>
          <w:sz w:val="22"/>
          <w:szCs w:val="22"/>
        </w:rPr>
      </w:pPr>
      <w:r w:rsidRPr="00C26BF3">
        <w:rPr>
          <w:sz w:val="22"/>
          <w:szCs w:val="22"/>
        </w:rPr>
        <w:t xml:space="preserve">The Wireline Competition Bureau (Bureau), pursuant to the authority delegated to it by the Commission in the </w:t>
      </w:r>
      <w:r w:rsidRPr="00C26BF3">
        <w:rPr>
          <w:i/>
          <w:sz w:val="22"/>
          <w:szCs w:val="22"/>
        </w:rPr>
        <w:t>Second Report and Order</w:t>
      </w:r>
      <w:r w:rsidRPr="00C26BF3">
        <w:rPr>
          <w:sz w:val="22"/>
          <w:szCs w:val="22"/>
        </w:rPr>
        <w:t>, has created forms to facilitate</w:t>
      </w:r>
      <w:r w:rsidR="00224EDC" w:rsidRPr="00C26BF3">
        <w:rPr>
          <w:sz w:val="22"/>
          <w:szCs w:val="22"/>
        </w:rPr>
        <w:t xml:space="preserve"> </w:t>
      </w:r>
      <w:r w:rsidRPr="00C26BF3">
        <w:rPr>
          <w:sz w:val="22"/>
          <w:szCs w:val="22"/>
        </w:rPr>
        <w:t xml:space="preserve">uniform </w:t>
      </w:r>
      <w:r w:rsidR="00224EDC" w:rsidRPr="00C26BF3">
        <w:rPr>
          <w:sz w:val="22"/>
          <w:szCs w:val="22"/>
        </w:rPr>
        <w:t xml:space="preserve">reporting and certifications and to </w:t>
      </w:r>
      <w:r w:rsidRPr="00C26BF3">
        <w:rPr>
          <w:sz w:val="22"/>
          <w:szCs w:val="22"/>
        </w:rPr>
        <w:t>promote administrative simplicity.</w:t>
      </w:r>
      <w:r w:rsidR="00993512" w:rsidRPr="00C26BF3">
        <w:rPr>
          <w:rStyle w:val="FootnoteReference"/>
          <w:sz w:val="22"/>
          <w:szCs w:val="22"/>
        </w:rPr>
        <w:footnoteReference w:id="9"/>
      </w:r>
      <w:r w:rsidRPr="00C26BF3">
        <w:rPr>
          <w:sz w:val="22"/>
          <w:szCs w:val="22"/>
        </w:rPr>
        <w:t xml:space="preserve">  We expect that requiring ICS providers to input their information into </w:t>
      </w:r>
      <w:r w:rsidR="001A2055" w:rsidRPr="00C26BF3">
        <w:rPr>
          <w:sz w:val="22"/>
          <w:szCs w:val="22"/>
        </w:rPr>
        <w:t xml:space="preserve">standardized </w:t>
      </w:r>
      <w:r w:rsidRPr="00C26BF3">
        <w:rPr>
          <w:sz w:val="22"/>
          <w:szCs w:val="22"/>
        </w:rPr>
        <w:t xml:space="preserve">forms will make it easier for the Commission to review the incoming data.  The </w:t>
      </w:r>
      <w:r w:rsidR="00224EDC" w:rsidRPr="00C26BF3">
        <w:rPr>
          <w:sz w:val="22"/>
          <w:szCs w:val="22"/>
        </w:rPr>
        <w:t xml:space="preserve">forms include </w:t>
      </w:r>
      <w:r w:rsidRPr="00C26BF3">
        <w:rPr>
          <w:sz w:val="22"/>
          <w:szCs w:val="22"/>
        </w:rPr>
        <w:t xml:space="preserve">instructions </w:t>
      </w:r>
      <w:r w:rsidR="00D17D63" w:rsidRPr="00C26BF3">
        <w:rPr>
          <w:sz w:val="22"/>
          <w:szCs w:val="22"/>
        </w:rPr>
        <w:t>on</w:t>
      </w:r>
      <w:r w:rsidRPr="00C26BF3">
        <w:rPr>
          <w:sz w:val="22"/>
          <w:szCs w:val="22"/>
        </w:rPr>
        <w:t xml:space="preserve"> how to complete the</w:t>
      </w:r>
      <w:r w:rsidR="00224EDC" w:rsidRPr="00C26BF3">
        <w:rPr>
          <w:sz w:val="22"/>
          <w:szCs w:val="22"/>
        </w:rPr>
        <w:t>m</w:t>
      </w:r>
      <w:r w:rsidR="00D96394" w:rsidRPr="00C26BF3">
        <w:rPr>
          <w:sz w:val="22"/>
          <w:szCs w:val="22"/>
        </w:rPr>
        <w:t>.</w:t>
      </w:r>
    </w:p>
    <w:p w14:paraId="1F352D71" w14:textId="77777777" w:rsidR="007E0735" w:rsidRPr="00C26BF3" w:rsidRDefault="007E0735" w:rsidP="00614E14">
      <w:pPr>
        <w:rPr>
          <w:sz w:val="22"/>
          <w:szCs w:val="22"/>
        </w:rPr>
      </w:pPr>
    </w:p>
    <w:p w14:paraId="561D1719" w14:textId="77777777" w:rsidR="007E0735" w:rsidRPr="00C26BF3" w:rsidRDefault="003A1813" w:rsidP="007E0735">
      <w:pPr>
        <w:ind w:firstLine="720"/>
        <w:rPr>
          <w:sz w:val="22"/>
          <w:szCs w:val="22"/>
        </w:rPr>
      </w:pPr>
      <w:r w:rsidRPr="00C26BF3">
        <w:rPr>
          <w:sz w:val="22"/>
          <w:szCs w:val="22"/>
        </w:rPr>
        <w:t>The data the Commission will collect are</w:t>
      </w:r>
      <w:r w:rsidR="007E0735" w:rsidRPr="00C26BF3">
        <w:rPr>
          <w:sz w:val="22"/>
          <w:szCs w:val="22"/>
        </w:rPr>
        <w:t xml:space="preserve"> </w:t>
      </w:r>
      <w:r w:rsidRPr="00C26BF3">
        <w:rPr>
          <w:sz w:val="22"/>
          <w:szCs w:val="22"/>
        </w:rPr>
        <w:t xml:space="preserve">usually and customarily compiled and </w:t>
      </w:r>
      <w:r w:rsidR="007E0735" w:rsidRPr="00C26BF3">
        <w:rPr>
          <w:sz w:val="22"/>
          <w:szCs w:val="22"/>
        </w:rPr>
        <w:t xml:space="preserve">utilized by ICS providers in the normal course </w:t>
      </w:r>
      <w:r w:rsidR="00852D58" w:rsidRPr="00C26BF3">
        <w:rPr>
          <w:sz w:val="22"/>
          <w:szCs w:val="22"/>
        </w:rPr>
        <w:t xml:space="preserve">of their activities, which we believe will </w:t>
      </w:r>
      <w:r w:rsidR="007E0735" w:rsidRPr="00C26BF3">
        <w:rPr>
          <w:sz w:val="22"/>
          <w:szCs w:val="22"/>
        </w:rPr>
        <w:t xml:space="preserve">minimize the burden of the collection.  In addition, the burden of compliance for subsequent years should diminish as providers become familiar with the Commission’s requirements and </w:t>
      </w:r>
      <w:r w:rsidR="00D0395F" w:rsidRPr="00C26BF3">
        <w:rPr>
          <w:sz w:val="22"/>
          <w:szCs w:val="22"/>
        </w:rPr>
        <w:t>put</w:t>
      </w:r>
      <w:r w:rsidR="007E0735" w:rsidRPr="00C26BF3">
        <w:rPr>
          <w:sz w:val="22"/>
          <w:szCs w:val="22"/>
        </w:rPr>
        <w:t xml:space="preserve"> systems in place to </w:t>
      </w:r>
      <w:r w:rsidR="00D0395F" w:rsidRPr="00C26BF3">
        <w:rPr>
          <w:sz w:val="22"/>
          <w:szCs w:val="22"/>
        </w:rPr>
        <w:t>facilitate compliance</w:t>
      </w:r>
      <w:r w:rsidR="007E0735" w:rsidRPr="00C26BF3">
        <w:rPr>
          <w:sz w:val="22"/>
          <w:szCs w:val="22"/>
        </w:rPr>
        <w:t xml:space="preserve">.  </w:t>
      </w:r>
    </w:p>
    <w:p w14:paraId="350C0C20" w14:textId="77777777" w:rsidR="00A56CA4" w:rsidRPr="00C26BF3" w:rsidRDefault="00A56CA4" w:rsidP="007E0735">
      <w:pPr>
        <w:ind w:firstLine="720"/>
        <w:rPr>
          <w:sz w:val="22"/>
          <w:szCs w:val="22"/>
        </w:rPr>
      </w:pPr>
    </w:p>
    <w:p w14:paraId="2A39ECA3" w14:textId="77777777" w:rsidR="00A56CA4" w:rsidRPr="00C26BF3" w:rsidRDefault="00A56CA4" w:rsidP="007E0735">
      <w:pPr>
        <w:ind w:firstLine="720"/>
        <w:rPr>
          <w:sz w:val="22"/>
          <w:szCs w:val="22"/>
        </w:rPr>
      </w:pPr>
      <w:r w:rsidRPr="00C26BF3">
        <w:rPr>
          <w:sz w:val="22"/>
          <w:szCs w:val="22"/>
        </w:rPr>
        <w:t xml:space="preserve">Providers are free to post their consumer disclosures on their websites or in another manner readily available to consumers.  The Commission is not dictating the precise form of the consumer disclosure.  Instead, it is offering providers the flexibility to craft their own disclosures, as long as they meet the requirements of the </w:t>
      </w:r>
      <w:r w:rsidRPr="00C26BF3">
        <w:rPr>
          <w:i/>
          <w:sz w:val="22"/>
          <w:szCs w:val="22"/>
        </w:rPr>
        <w:t>Second Report and Order</w:t>
      </w:r>
      <w:r w:rsidRPr="00C26BF3">
        <w:rPr>
          <w:sz w:val="22"/>
          <w:szCs w:val="22"/>
        </w:rPr>
        <w:t xml:space="preserve"> and the applicable rule.  The information listed in the consumer disclosure will be compiled and utilized by ICS providers in the normal course of business, which should minimize the burden of the collection.</w:t>
      </w:r>
    </w:p>
    <w:p w14:paraId="0B37E7DC" w14:textId="77777777" w:rsidR="007E0735" w:rsidRPr="00C26BF3" w:rsidRDefault="007E0735" w:rsidP="00A56CA4">
      <w:pPr>
        <w:rPr>
          <w:sz w:val="22"/>
          <w:szCs w:val="22"/>
        </w:rPr>
      </w:pPr>
    </w:p>
    <w:p w14:paraId="7AC690B3"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 xml:space="preserve">3.  The Commission’s </w:t>
      </w:r>
      <w:r w:rsidR="001F52CD" w:rsidRPr="00C26BF3">
        <w:rPr>
          <w:i/>
          <w:sz w:val="22"/>
          <w:szCs w:val="22"/>
        </w:rPr>
        <w:t xml:space="preserve">Second </w:t>
      </w:r>
      <w:r w:rsidRPr="00C26BF3">
        <w:rPr>
          <w:i/>
          <w:sz w:val="22"/>
          <w:szCs w:val="22"/>
        </w:rPr>
        <w:t>Report and Order</w:t>
      </w:r>
      <w:r w:rsidRPr="00C26BF3">
        <w:rPr>
          <w:sz w:val="22"/>
          <w:szCs w:val="22"/>
        </w:rPr>
        <w:t xml:space="preserve"> directs staff to develop a standardized template for the submission of data and to provide instructions to simplify compliance with</w:t>
      </w:r>
      <w:r w:rsidR="00B32969" w:rsidRPr="00C26BF3">
        <w:rPr>
          <w:sz w:val="22"/>
          <w:szCs w:val="22"/>
        </w:rPr>
        <w:t>,</w:t>
      </w:r>
      <w:r w:rsidRPr="00C26BF3">
        <w:rPr>
          <w:sz w:val="22"/>
          <w:szCs w:val="22"/>
        </w:rPr>
        <w:t xml:space="preserve"> and reduce the burdens of</w:t>
      </w:r>
      <w:r w:rsidR="00B32969" w:rsidRPr="00C26BF3">
        <w:rPr>
          <w:sz w:val="22"/>
          <w:szCs w:val="22"/>
        </w:rPr>
        <w:t>,</w:t>
      </w:r>
      <w:r w:rsidRPr="00C26BF3">
        <w:rPr>
          <w:sz w:val="22"/>
          <w:szCs w:val="22"/>
        </w:rPr>
        <w:t xml:space="preserve"> the annual certification and reporting requirement</w:t>
      </w:r>
      <w:r w:rsidR="004864C9" w:rsidRPr="00C26BF3">
        <w:rPr>
          <w:sz w:val="22"/>
          <w:szCs w:val="22"/>
        </w:rPr>
        <w:t>s</w:t>
      </w:r>
      <w:r w:rsidRPr="00C26BF3">
        <w:rPr>
          <w:sz w:val="22"/>
          <w:szCs w:val="22"/>
        </w:rPr>
        <w:t>.  The template will also include filing instructions and text fields for respondents to use to explain portions of their filings, as needed.</w:t>
      </w:r>
      <w:r w:rsidR="00B14E49" w:rsidRPr="00C26BF3">
        <w:rPr>
          <w:sz w:val="22"/>
          <w:szCs w:val="22"/>
        </w:rPr>
        <w:t xml:space="preserve">  </w:t>
      </w:r>
      <w:r w:rsidRPr="00C26BF3">
        <w:rPr>
          <w:sz w:val="22"/>
          <w:szCs w:val="22"/>
        </w:rPr>
        <w:t xml:space="preserve">Providers are encouraged to file their annual reports and certifications electronically via the Commission’s Electronic Comment Filing System (ECFS).  </w:t>
      </w:r>
    </w:p>
    <w:p w14:paraId="2EAA228F"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lastRenderedPageBreak/>
        <w:tab/>
        <w:t xml:space="preserve">4.  The Commission is not aware of any similar information already available that can be used or modified for the purposes described in Item 2 above.  </w:t>
      </w:r>
      <w:r w:rsidR="00BC09EA" w:rsidRPr="00C26BF3">
        <w:rPr>
          <w:sz w:val="22"/>
          <w:szCs w:val="22"/>
        </w:rPr>
        <w:t xml:space="preserve">Specifically, </w:t>
      </w:r>
      <w:r w:rsidR="00745159" w:rsidRPr="00C26BF3">
        <w:rPr>
          <w:sz w:val="22"/>
          <w:szCs w:val="22"/>
        </w:rPr>
        <w:t xml:space="preserve">prior to the </w:t>
      </w:r>
      <w:r w:rsidR="00745159" w:rsidRPr="00C26BF3">
        <w:rPr>
          <w:i/>
          <w:sz w:val="22"/>
          <w:szCs w:val="22"/>
        </w:rPr>
        <w:t>Second Report and Order</w:t>
      </w:r>
      <w:r w:rsidR="00745159" w:rsidRPr="00C26BF3">
        <w:rPr>
          <w:sz w:val="22"/>
          <w:szCs w:val="22"/>
        </w:rPr>
        <w:t>, ICS providers were not required to file such data with the Commission.</w:t>
      </w:r>
    </w:p>
    <w:p w14:paraId="4FFC816B"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 xml:space="preserve">5.  Because the Commission’s </w:t>
      </w:r>
      <w:r w:rsidR="00770E2D" w:rsidRPr="00C26BF3">
        <w:rPr>
          <w:i/>
          <w:sz w:val="22"/>
          <w:szCs w:val="22"/>
        </w:rPr>
        <w:t xml:space="preserve">Second </w:t>
      </w:r>
      <w:r w:rsidRPr="00C26BF3">
        <w:rPr>
          <w:i/>
          <w:sz w:val="22"/>
          <w:szCs w:val="22"/>
        </w:rPr>
        <w:t>Report and Order</w:t>
      </w:r>
      <w:r w:rsidRPr="00C26BF3">
        <w:rPr>
          <w:sz w:val="22"/>
          <w:szCs w:val="22"/>
        </w:rPr>
        <w:t xml:space="preserve"> requires all ICS providers to comply with the annual certification requirement, the requirement will affect smaller as well as larger ICS providers.  The Commission has taken steps to ensure that the reporting template is competitively neutral and not unduly burdensome for any set of </w:t>
      </w:r>
      <w:r w:rsidR="00770E2D" w:rsidRPr="00C26BF3">
        <w:rPr>
          <w:sz w:val="22"/>
          <w:szCs w:val="22"/>
        </w:rPr>
        <w:t>providers</w:t>
      </w:r>
      <w:r w:rsidRPr="00C26BF3">
        <w:rPr>
          <w:sz w:val="22"/>
          <w:szCs w:val="22"/>
        </w:rPr>
        <w:t xml:space="preserve">.  </w:t>
      </w:r>
    </w:p>
    <w:p w14:paraId="24FDCBED" w14:textId="365976D4"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 xml:space="preserve">6.  </w:t>
      </w:r>
      <w:r w:rsidR="00387192" w:rsidRPr="00C26BF3">
        <w:rPr>
          <w:sz w:val="22"/>
          <w:szCs w:val="22"/>
        </w:rPr>
        <w:t>Collecting</w:t>
      </w:r>
      <w:r w:rsidRPr="00C26BF3">
        <w:rPr>
          <w:sz w:val="22"/>
          <w:szCs w:val="22"/>
        </w:rPr>
        <w:t xml:space="preserve"> the </w:t>
      </w:r>
      <w:r w:rsidR="00770E2D" w:rsidRPr="00C26BF3">
        <w:rPr>
          <w:sz w:val="22"/>
          <w:szCs w:val="22"/>
        </w:rPr>
        <w:t>re</w:t>
      </w:r>
      <w:r w:rsidRPr="00C26BF3">
        <w:rPr>
          <w:sz w:val="22"/>
          <w:szCs w:val="22"/>
        </w:rPr>
        <w:t>porting</w:t>
      </w:r>
      <w:r w:rsidR="00770E2D" w:rsidRPr="00C26BF3">
        <w:rPr>
          <w:sz w:val="22"/>
          <w:szCs w:val="22"/>
        </w:rPr>
        <w:t xml:space="preserve"> and certifications</w:t>
      </w:r>
      <w:r w:rsidRPr="00C26BF3">
        <w:rPr>
          <w:sz w:val="22"/>
          <w:szCs w:val="22"/>
        </w:rPr>
        <w:t xml:space="preserve"> on a less frequent basis</w:t>
      </w:r>
      <w:r w:rsidR="00FF3566" w:rsidRPr="00C26BF3">
        <w:rPr>
          <w:sz w:val="22"/>
          <w:szCs w:val="22"/>
        </w:rPr>
        <w:t>,</w:t>
      </w:r>
      <w:r w:rsidRPr="00C26BF3">
        <w:rPr>
          <w:sz w:val="22"/>
          <w:szCs w:val="22"/>
        </w:rPr>
        <w:t xml:space="preserve"> or not at all</w:t>
      </w:r>
      <w:r w:rsidR="00FF3566" w:rsidRPr="00C26BF3">
        <w:rPr>
          <w:sz w:val="22"/>
          <w:szCs w:val="22"/>
        </w:rPr>
        <w:t>,</w:t>
      </w:r>
      <w:r w:rsidRPr="00C26BF3">
        <w:rPr>
          <w:sz w:val="22"/>
          <w:szCs w:val="22"/>
        </w:rPr>
        <w:t xml:space="preserve"> would deprive the Commission of the ability to monitor ICS rates on an ongoing and reasonably current basis, which would undermine the Commission’s efforts to ensure</w:t>
      </w:r>
      <w:r w:rsidR="003F701F" w:rsidRPr="00C26BF3">
        <w:rPr>
          <w:sz w:val="22"/>
          <w:szCs w:val="22"/>
        </w:rPr>
        <w:t xml:space="preserve"> that ICS is provided at</w:t>
      </w:r>
      <w:r w:rsidRPr="00C26BF3">
        <w:rPr>
          <w:sz w:val="22"/>
          <w:szCs w:val="22"/>
        </w:rPr>
        <w:t xml:space="preserve"> </w:t>
      </w:r>
      <w:r w:rsidR="003F701F" w:rsidRPr="00C26BF3">
        <w:rPr>
          <w:sz w:val="22"/>
          <w:szCs w:val="22"/>
        </w:rPr>
        <w:t>fair</w:t>
      </w:r>
      <w:r w:rsidRPr="00C26BF3">
        <w:rPr>
          <w:sz w:val="22"/>
          <w:szCs w:val="22"/>
        </w:rPr>
        <w:t xml:space="preserve">, </w:t>
      </w:r>
      <w:r w:rsidR="003F701F" w:rsidRPr="00C26BF3">
        <w:rPr>
          <w:sz w:val="22"/>
          <w:szCs w:val="22"/>
        </w:rPr>
        <w:t xml:space="preserve">just, and </w:t>
      </w:r>
      <w:r w:rsidRPr="00C26BF3">
        <w:rPr>
          <w:sz w:val="22"/>
          <w:szCs w:val="22"/>
        </w:rPr>
        <w:t>reasonable</w:t>
      </w:r>
      <w:r w:rsidR="003F701F" w:rsidRPr="00C26BF3">
        <w:rPr>
          <w:sz w:val="22"/>
          <w:szCs w:val="22"/>
        </w:rPr>
        <w:t xml:space="preserve"> rates</w:t>
      </w:r>
      <w:r w:rsidR="00D137E9" w:rsidRPr="00C26BF3">
        <w:rPr>
          <w:sz w:val="22"/>
          <w:szCs w:val="22"/>
        </w:rPr>
        <w:t xml:space="preserve"> and</w:t>
      </w:r>
      <w:r w:rsidR="003F701F" w:rsidRPr="00C26BF3">
        <w:rPr>
          <w:sz w:val="22"/>
          <w:szCs w:val="22"/>
        </w:rPr>
        <w:t xml:space="preserve"> to ensure that any ancillary services charges associated with ICS are also fair, just, and reasonable</w:t>
      </w:r>
      <w:r w:rsidRPr="00C26BF3">
        <w:rPr>
          <w:sz w:val="22"/>
          <w:szCs w:val="22"/>
        </w:rPr>
        <w:t xml:space="preserve">.  It would also deprive consumers and other affected parties of the ability to monitor ICS </w:t>
      </w:r>
      <w:r w:rsidR="001A2055" w:rsidRPr="00C26BF3">
        <w:rPr>
          <w:sz w:val="22"/>
          <w:szCs w:val="22"/>
        </w:rPr>
        <w:t xml:space="preserve">quality, </w:t>
      </w:r>
      <w:r w:rsidRPr="00C26BF3">
        <w:rPr>
          <w:sz w:val="22"/>
          <w:szCs w:val="22"/>
        </w:rPr>
        <w:t>rates</w:t>
      </w:r>
      <w:r w:rsidR="001A2055" w:rsidRPr="00C26BF3">
        <w:rPr>
          <w:sz w:val="22"/>
          <w:szCs w:val="22"/>
        </w:rPr>
        <w:t>, and fees</w:t>
      </w:r>
      <w:r w:rsidRPr="00C26BF3">
        <w:rPr>
          <w:sz w:val="22"/>
          <w:szCs w:val="22"/>
        </w:rPr>
        <w:t xml:space="preserve"> and file complaints in a timely fashion.  </w:t>
      </w:r>
    </w:p>
    <w:p w14:paraId="378505B6"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 xml:space="preserve">7.  No other special circumstances will apply to this information collection. </w:t>
      </w:r>
    </w:p>
    <w:p w14:paraId="0538DCF4" w14:textId="74719E57" w:rsidR="00BB5FBD"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 xml:space="preserve">8.  Pursuant to 5 C.F.R. § 1320.8 (d), the Commission </w:t>
      </w:r>
      <w:r w:rsidR="000C5AE1" w:rsidRPr="00C26BF3">
        <w:rPr>
          <w:sz w:val="22"/>
          <w:szCs w:val="22"/>
        </w:rPr>
        <w:t>publish</w:t>
      </w:r>
      <w:r w:rsidR="001946D2" w:rsidRPr="00C26BF3">
        <w:rPr>
          <w:sz w:val="22"/>
          <w:szCs w:val="22"/>
        </w:rPr>
        <w:t>ed</w:t>
      </w:r>
      <w:r w:rsidRPr="00C26BF3">
        <w:rPr>
          <w:sz w:val="22"/>
          <w:szCs w:val="22"/>
        </w:rPr>
        <w:t xml:space="preserve"> a 60-day notice in the Federal Register to solicit public comment on these reporting</w:t>
      </w:r>
      <w:r w:rsidR="00884782" w:rsidRPr="00C26BF3">
        <w:rPr>
          <w:sz w:val="22"/>
          <w:szCs w:val="22"/>
        </w:rPr>
        <w:t xml:space="preserve"> and certification</w:t>
      </w:r>
      <w:r w:rsidRPr="00C26BF3">
        <w:rPr>
          <w:sz w:val="22"/>
          <w:szCs w:val="22"/>
        </w:rPr>
        <w:t xml:space="preserve"> requirements</w:t>
      </w:r>
      <w:r w:rsidR="001946D2" w:rsidRPr="00C26BF3">
        <w:rPr>
          <w:sz w:val="22"/>
          <w:szCs w:val="22"/>
        </w:rPr>
        <w:t xml:space="preserve"> on </w:t>
      </w:r>
      <w:r w:rsidR="00BB5FBD" w:rsidRPr="00C26BF3">
        <w:rPr>
          <w:sz w:val="22"/>
          <w:szCs w:val="22"/>
        </w:rPr>
        <w:t>August 1</w:t>
      </w:r>
      <w:r w:rsidR="001946D2" w:rsidRPr="00C26BF3">
        <w:rPr>
          <w:sz w:val="22"/>
          <w:szCs w:val="22"/>
        </w:rPr>
        <w:t>, 2016.</w:t>
      </w:r>
      <w:r w:rsidR="00BB5FBD" w:rsidRPr="00C26BF3">
        <w:rPr>
          <w:sz w:val="22"/>
          <w:szCs w:val="22"/>
        </w:rPr>
        <w:t xml:space="preserve">  </w:t>
      </w:r>
      <w:r w:rsidR="00BB5FBD" w:rsidRPr="0005170F">
        <w:rPr>
          <w:i/>
          <w:sz w:val="22"/>
          <w:szCs w:val="22"/>
        </w:rPr>
        <w:t>See</w:t>
      </w:r>
      <w:r w:rsidR="00BB5FBD" w:rsidRPr="00C26BF3">
        <w:rPr>
          <w:sz w:val="22"/>
          <w:szCs w:val="22"/>
        </w:rPr>
        <w:t xml:space="preserve"> 81 FR 50499.  </w:t>
      </w:r>
      <w:r w:rsidR="00964474" w:rsidRPr="00C26BF3">
        <w:rPr>
          <w:sz w:val="22"/>
          <w:szCs w:val="22"/>
        </w:rPr>
        <w:t>C</w:t>
      </w:r>
      <w:r w:rsidR="00BB5FBD" w:rsidRPr="00C26BF3">
        <w:rPr>
          <w:sz w:val="22"/>
          <w:szCs w:val="22"/>
        </w:rPr>
        <w:t xml:space="preserve">omments were received from </w:t>
      </w:r>
      <w:r w:rsidR="00964474" w:rsidRPr="00C26BF3">
        <w:rPr>
          <w:sz w:val="22"/>
          <w:szCs w:val="22"/>
        </w:rPr>
        <w:t xml:space="preserve">only two </w:t>
      </w:r>
      <w:r w:rsidR="00BB5FBD" w:rsidRPr="00C26BF3">
        <w:rPr>
          <w:sz w:val="22"/>
          <w:szCs w:val="22"/>
        </w:rPr>
        <w:t xml:space="preserve">parties: Global Tel*Link </w:t>
      </w:r>
      <w:r w:rsidR="00964474" w:rsidRPr="00C26BF3">
        <w:rPr>
          <w:sz w:val="22"/>
          <w:szCs w:val="22"/>
        </w:rPr>
        <w:t xml:space="preserve">Corporation </w:t>
      </w:r>
      <w:r w:rsidR="00BB5FBD" w:rsidRPr="00C26BF3">
        <w:rPr>
          <w:sz w:val="22"/>
          <w:szCs w:val="22"/>
        </w:rPr>
        <w:t>(GTL)</w:t>
      </w:r>
      <w:r w:rsidR="00964474" w:rsidRPr="00C26BF3">
        <w:rPr>
          <w:sz w:val="22"/>
          <w:szCs w:val="22"/>
        </w:rPr>
        <w:t xml:space="preserve"> and the Wright Petitioners</w:t>
      </w:r>
      <w:r w:rsidR="00BB5FBD" w:rsidRPr="00C26BF3">
        <w:rPr>
          <w:sz w:val="22"/>
          <w:szCs w:val="22"/>
        </w:rPr>
        <w:t xml:space="preserve">. </w:t>
      </w:r>
      <w:r w:rsidR="00313D68" w:rsidRPr="00C26BF3">
        <w:rPr>
          <w:sz w:val="22"/>
          <w:szCs w:val="22"/>
        </w:rPr>
        <w:t xml:space="preserve"> We also note that </w:t>
      </w:r>
      <w:proofErr w:type="spellStart"/>
      <w:r w:rsidR="00313D68" w:rsidRPr="00C26BF3">
        <w:rPr>
          <w:sz w:val="22"/>
          <w:szCs w:val="22"/>
        </w:rPr>
        <w:t>Protocall</w:t>
      </w:r>
      <w:proofErr w:type="spellEnd"/>
      <w:r w:rsidR="00313D68" w:rsidRPr="00C26BF3">
        <w:rPr>
          <w:sz w:val="22"/>
          <w:szCs w:val="22"/>
        </w:rPr>
        <w:t xml:space="preserve"> filed an </w:t>
      </w:r>
      <w:r w:rsidR="00313D68" w:rsidRPr="00C26BF3">
        <w:rPr>
          <w:i/>
          <w:sz w:val="22"/>
          <w:szCs w:val="22"/>
        </w:rPr>
        <w:t xml:space="preserve">ex parte </w:t>
      </w:r>
      <w:r w:rsidR="00313D68" w:rsidRPr="00C26BF3">
        <w:rPr>
          <w:sz w:val="22"/>
          <w:szCs w:val="22"/>
        </w:rPr>
        <w:t>letter that appears to have been directed to either the reporting requirements or the One-Time Data Collection.</w:t>
      </w:r>
      <w:r w:rsidR="00313D68" w:rsidRPr="00C26BF3">
        <w:rPr>
          <w:rStyle w:val="FootnoteReference"/>
          <w:sz w:val="22"/>
          <w:szCs w:val="22"/>
        </w:rPr>
        <w:footnoteReference w:id="10"/>
      </w:r>
    </w:p>
    <w:p w14:paraId="71813B34" w14:textId="5FB5F415" w:rsidR="00950B13" w:rsidRPr="00C26BF3" w:rsidRDefault="00BB5FBD" w:rsidP="007E0735">
      <w:pPr>
        <w:pStyle w:val="Numberedparagraphs"/>
        <w:numPr>
          <w:ilvl w:val="0"/>
          <w:numId w:val="0"/>
        </w:numPr>
        <w:tabs>
          <w:tab w:val="clear" w:pos="1440"/>
          <w:tab w:val="left" w:pos="720"/>
        </w:tabs>
        <w:rPr>
          <w:noProof/>
          <w:sz w:val="22"/>
          <w:szCs w:val="22"/>
        </w:rPr>
      </w:pPr>
      <w:r w:rsidRPr="00C26BF3">
        <w:rPr>
          <w:sz w:val="22"/>
          <w:szCs w:val="22"/>
        </w:rPr>
        <w:tab/>
        <w:t>The comments addressed both the annual reporting, certification, and consumer disclosure requirements</w:t>
      </w:r>
      <w:r w:rsidR="00313D68" w:rsidRPr="00C26BF3">
        <w:rPr>
          <w:sz w:val="22"/>
          <w:szCs w:val="22"/>
        </w:rPr>
        <w:t>, as well as</w:t>
      </w:r>
      <w:r w:rsidR="00C824ED">
        <w:rPr>
          <w:sz w:val="22"/>
          <w:szCs w:val="22"/>
        </w:rPr>
        <w:t xml:space="preserve"> </w:t>
      </w:r>
      <w:r w:rsidRPr="00C26BF3">
        <w:rPr>
          <w:sz w:val="22"/>
          <w:szCs w:val="22"/>
        </w:rPr>
        <w:t xml:space="preserve">the </w:t>
      </w:r>
      <w:r w:rsidRPr="00C26BF3">
        <w:rPr>
          <w:noProof/>
          <w:sz w:val="22"/>
          <w:szCs w:val="22"/>
        </w:rPr>
        <w:t>2018 One-Time Data Collection.  We address only the comments related to the annual reporting, certification, and consumer requirements here, and address the comments related to the 2018 One-Time Data Collection in a separate supporting statement.</w:t>
      </w:r>
      <w:r w:rsidR="00F16E9D" w:rsidRPr="00C26BF3">
        <w:rPr>
          <w:noProof/>
          <w:sz w:val="22"/>
          <w:szCs w:val="22"/>
        </w:rPr>
        <w:t xml:space="preserve">  The comments are summarized and addressed below as follows: (1) comments on the effect of the D.C. Circuit’s</w:t>
      </w:r>
      <w:r w:rsidR="004A3D20" w:rsidRPr="00C26BF3">
        <w:rPr>
          <w:noProof/>
          <w:sz w:val="22"/>
          <w:szCs w:val="22"/>
        </w:rPr>
        <w:t xml:space="preserve"> </w:t>
      </w:r>
      <w:r w:rsidR="004A3D20" w:rsidRPr="00C26BF3">
        <w:rPr>
          <w:i/>
          <w:noProof/>
          <w:sz w:val="22"/>
          <w:szCs w:val="22"/>
        </w:rPr>
        <w:t xml:space="preserve">Partial Stay Order </w:t>
      </w:r>
      <w:r w:rsidR="004A3D20" w:rsidRPr="00C26BF3">
        <w:rPr>
          <w:noProof/>
          <w:sz w:val="22"/>
          <w:szCs w:val="22"/>
        </w:rPr>
        <w:t xml:space="preserve">and </w:t>
      </w:r>
      <w:r w:rsidR="004A3D20" w:rsidRPr="00C26BF3">
        <w:rPr>
          <w:i/>
          <w:noProof/>
          <w:sz w:val="22"/>
          <w:szCs w:val="22"/>
        </w:rPr>
        <w:t>Modified Partial Stay Order</w:t>
      </w:r>
      <w:r w:rsidR="004A3D20" w:rsidRPr="00C26BF3">
        <w:rPr>
          <w:noProof/>
          <w:sz w:val="22"/>
          <w:szCs w:val="22"/>
        </w:rPr>
        <w:t xml:space="preserve"> on the proposed information collection; (2) components of the information collection; (3) the estimated burden associated with the proposed information collection</w:t>
      </w:r>
      <w:r w:rsidR="0069257D" w:rsidRPr="00C26BF3">
        <w:rPr>
          <w:noProof/>
          <w:sz w:val="22"/>
          <w:szCs w:val="22"/>
        </w:rPr>
        <w:t xml:space="preserve">; and (4) the possibility of adopting a </w:t>
      </w:r>
      <w:r w:rsidR="0069257D" w:rsidRPr="00C26BF3">
        <w:rPr>
          <w:i/>
          <w:noProof/>
          <w:sz w:val="22"/>
          <w:szCs w:val="22"/>
        </w:rPr>
        <w:t>de minimis</w:t>
      </w:r>
      <w:r w:rsidR="0069257D" w:rsidRPr="00C26BF3">
        <w:rPr>
          <w:noProof/>
          <w:sz w:val="22"/>
          <w:szCs w:val="22"/>
        </w:rPr>
        <w:t xml:space="preserve"> exemption for small ICS providers</w:t>
      </w:r>
      <w:r w:rsidR="004A3D20" w:rsidRPr="00C26BF3">
        <w:rPr>
          <w:noProof/>
          <w:sz w:val="22"/>
          <w:szCs w:val="22"/>
        </w:rPr>
        <w:t xml:space="preserve">. </w:t>
      </w:r>
    </w:p>
    <w:p w14:paraId="05C92D6F" w14:textId="77777777" w:rsidR="00F16E9D" w:rsidRPr="00C26BF3" w:rsidRDefault="00125B7E" w:rsidP="007E0735">
      <w:pPr>
        <w:pStyle w:val="Numberedparagraphs"/>
        <w:numPr>
          <w:ilvl w:val="0"/>
          <w:numId w:val="0"/>
        </w:numPr>
        <w:tabs>
          <w:tab w:val="clear" w:pos="1440"/>
          <w:tab w:val="left" w:pos="720"/>
        </w:tabs>
        <w:rPr>
          <w:i/>
          <w:noProof/>
          <w:sz w:val="22"/>
          <w:szCs w:val="22"/>
          <w:u w:val="single"/>
        </w:rPr>
      </w:pPr>
      <w:r w:rsidRPr="00C26BF3">
        <w:rPr>
          <w:noProof/>
          <w:sz w:val="22"/>
          <w:szCs w:val="22"/>
          <w:u w:val="single"/>
        </w:rPr>
        <w:t xml:space="preserve">Impact of the </w:t>
      </w:r>
      <w:r w:rsidR="00F16E9D" w:rsidRPr="00C26BF3">
        <w:rPr>
          <w:i/>
          <w:noProof/>
          <w:sz w:val="22"/>
          <w:szCs w:val="22"/>
          <w:u w:val="single"/>
        </w:rPr>
        <w:t>Partial Stay Order</w:t>
      </w:r>
    </w:p>
    <w:p w14:paraId="11E0B266" w14:textId="460D6B77" w:rsidR="00710160" w:rsidRPr="00C26BF3" w:rsidRDefault="00710160" w:rsidP="007E0735">
      <w:pPr>
        <w:pStyle w:val="Numberedparagraphs"/>
        <w:numPr>
          <w:ilvl w:val="0"/>
          <w:numId w:val="0"/>
        </w:numPr>
        <w:tabs>
          <w:tab w:val="clear" w:pos="1440"/>
          <w:tab w:val="left" w:pos="720"/>
        </w:tabs>
        <w:rPr>
          <w:noProof/>
          <w:sz w:val="22"/>
          <w:szCs w:val="22"/>
        </w:rPr>
      </w:pPr>
      <w:r w:rsidRPr="00C26BF3">
        <w:rPr>
          <w:noProof/>
          <w:sz w:val="22"/>
          <w:szCs w:val="22"/>
        </w:rPr>
        <w:tab/>
        <w:t xml:space="preserve">GTL (at 4) urges the Commission to refrain from taking </w:t>
      </w:r>
      <w:r w:rsidR="00802336" w:rsidRPr="00C26BF3">
        <w:rPr>
          <w:noProof/>
          <w:sz w:val="22"/>
          <w:szCs w:val="22"/>
        </w:rPr>
        <w:t>“</w:t>
      </w:r>
      <w:r w:rsidRPr="00C26BF3">
        <w:rPr>
          <w:noProof/>
          <w:sz w:val="22"/>
          <w:szCs w:val="22"/>
        </w:rPr>
        <w:t xml:space="preserve">any further action on the new information collection requirements pending the </w:t>
      </w:r>
      <w:r w:rsidR="00802336" w:rsidRPr="00C26BF3">
        <w:rPr>
          <w:noProof/>
          <w:sz w:val="22"/>
          <w:szCs w:val="22"/>
        </w:rPr>
        <w:t xml:space="preserve">ongoing judicial review of the </w:t>
      </w:r>
      <w:r w:rsidR="00802336" w:rsidRPr="00C26BF3">
        <w:rPr>
          <w:i/>
          <w:noProof/>
          <w:sz w:val="22"/>
          <w:szCs w:val="22"/>
        </w:rPr>
        <w:t>2015 ICS Order</w:t>
      </w:r>
      <w:r w:rsidRPr="00C26BF3">
        <w:rPr>
          <w:noProof/>
          <w:sz w:val="22"/>
          <w:szCs w:val="22"/>
        </w:rPr>
        <w:t>.</w:t>
      </w:r>
      <w:r w:rsidR="00802336" w:rsidRPr="00C26BF3">
        <w:rPr>
          <w:noProof/>
          <w:sz w:val="22"/>
          <w:szCs w:val="22"/>
        </w:rPr>
        <w:t>”</w:t>
      </w:r>
      <w:r w:rsidRPr="00C26BF3">
        <w:rPr>
          <w:noProof/>
          <w:sz w:val="22"/>
          <w:szCs w:val="22"/>
        </w:rPr>
        <w:t xml:space="preserve">  </w:t>
      </w:r>
      <w:r w:rsidR="00802336" w:rsidRPr="00C26BF3">
        <w:rPr>
          <w:noProof/>
          <w:sz w:val="22"/>
          <w:szCs w:val="22"/>
        </w:rPr>
        <w:t>In particular</w:t>
      </w:r>
      <w:r w:rsidRPr="00C26BF3">
        <w:rPr>
          <w:noProof/>
          <w:sz w:val="22"/>
          <w:szCs w:val="22"/>
        </w:rPr>
        <w:t xml:space="preserve">, GTL (at 4) </w:t>
      </w:r>
      <w:r w:rsidR="00802336" w:rsidRPr="00C26BF3">
        <w:rPr>
          <w:noProof/>
          <w:sz w:val="22"/>
          <w:szCs w:val="22"/>
        </w:rPr>
        <w:t xml:space="preserve">notes </w:t>
      </w:r>
      <w:r w:rsidRPr="00C26BF3">
        <w:rPr>
          <w:noProof/>
          <w:sz w:val="22"/>
          <w:szCs w:val="22"/>
        </w:rPr>
        <w:t>that the ann</w:t>
      </w:r>
      <w:r w:rsidR="00802336" w:rsidRPr="00C26BF3">
        <w:rPr>
          <w:noProof/>
          <w:sz w:val="22"/>
          <w:szCs w:val="22"/>
        </w:rPr>
        <w:t>u</w:t>
      </w:r>
      <w:r w:rsidRPr="00C26BF3">
        <w:rPr>
          <w:noProof/>
          <w:sz w:val="22"/>
          <w:szCs w:val="22"/>
        </w:rPr>
        <w:t>al reporting requirement asks for information regarding intrastate ICS, and argues that</w:t>
      </w:r>
      <w:r w:rsidR="00E16166" w:rsidRPr="00C26BF3">
        <w:rPr>
          <w:noProof/>
          <w:sz w:val="22"/>
          <w:szCs w:val="22"/>
        </w:rPr>
        <w:t xml:space="preserve"> the Commission should not require ICS providers to submit </w:t>
      </w:r>
      <w:r w:rsidR="00802336" w:rsidRPr="00C26BF3">
        <w:rPr>
          <w:noProof/>
          <w:sz w:val="22"/>
          <w:szCs w:val="22"/>
        </w:rPr>
        <w:t xml:space="preserve">such </w:t>
      </w:r>
      <w:r w:rsidR="00E16166" w:rsidRPr="00C26BF3">
        <w:rPr>
          <w:noProof/>
          <w:sz w:val="22"/>
          <w:szCs w:val="22"/>
        </w:rPr>
        <w:t>data “until there is a demonstrated need for the information that justifies the administrative burden to provide it.”</w:t>
      </w:r>
    </w:p>
    <w:p w14:paraId="7428B9EF" w14:textId="2580D0FE" w:rsidR="00E16166" w:rsidRPr="00C26BF3" w:rsidRDefault="00E16166" w:rsidP="007E0735">
      <w:pPr>
        <w:pStyle w:val="Numberedparagraphs"/>
        <w:numPr>
          <w:ilvl w:val="0"/>
          <w:numId w:val="0"/>
        </w:numPr>
        <w:tabs>
          <w:tab w:val="clear" w:pos="1440"/>
          <w:tab w:val="left" w:pos="720"/>
        </w:tabs>
        <w:rPr>
          <w:noProof/>
          <w:sz w:val="22"/>
          <w:szCs w:val="22"/>
        </w:rPr>
      </w:pPr>
      <w:r w:rsidRPr="00C26BF3">
        <w:rPr>
          <w:i/>
          <w:noProof/>
          <w:sz w:val="22"/>
          <w:szCs w:val="22"/>
        </w:rPr>
        <w:t>Response</w:t>
      </w:r>
      <w:r w:rsidRPr="00C26BF3">
        <w:rPr>
          <w:noProof/>
          <w:sz w:val="22"/>
          <w:szCs w:val="22"/>
        </w:rPr>
        <w:t xml:space="preserve">. </w:t>
      </w:r>
      <w:r w:rsidR="00D2345C" w:rsidRPr="00C26BF3">
        <w:rPr>
          <w:noProof/>
          <w:sz w:val="22"/>
          <w:szCs w:val="22"/>
        </w:rPr>
        <w:t>As noted above, t</w:t>
      </w:r>
      <w:r w:rsidR="00066CCB" w:rsidRPr="00C26BF3">
        <w:rPr>
          <w:noProof/>
          <w:sz w:val="22"/>
          <w:szCs w:val="22"/>
        </w:rPr>
        <w:t xml:space="preserve">he </w:t>
      </w:r>
      <w:r w:rsidR="00066CCB" w:rsidRPr="00C26BF3">
        <w:rPr>
          <w:snapToGrid w:val="0"/>
          <w:kern w:val="28"/>
          <w:sz w:val="22"/>
          <w:szCs w:val="22"/>
        </w:rPr>
        <w:t xml:space="preserve">Commission’s provisions for the annual reporting and certification requirement (47 CFR § 64.6060) and the consumer disclosure of inmate calling services rates (47 CFR § 64.6110), were not stayed by the D.C. Circuit in either the </w:t>
      </w:r>
      <w:r w:rsidR="00066CCB" w:rsidRPr="00C26BF3">
        <w:rPr>
          <w:i/>
          <w:snapToGrid w:val="0"/>
          <w:kern w:val="28"/>
          <w:sz w:val="22"/>
          <w:szCs w:val="22"/>
        </w:rPr>
        <w:t>Partial Stay Order</w:t>
      </w:r>
      <w:r w:rsidR="00066CCB" w:rsidRPr="00C26BF3">
        <w:rPr>
          <w:snapToGrid w:val="0"/>
          <w:kern w:val="28"/>
          <w:sz w:val="22"/>
          <w:szCs w:val="22"/>
        </w:rPr>
        <w:t xml:space="preserve"> or the </w:t>
      </w:r>
      <w:r w:rsidR="00066CCB" w:rsidRPr="00C26BF3">
        <w:rPr>
          <w:i/>
          <w:snapToGrid w:val="0"/>
          <w:kern w:val="28"/>
          <w:sz w:val="22"/>
          <w:szCs w:val="22"/>
        </w:rPr>
        <w:t>Modified Partial Stay Order</w:t>
      </w:r>
      <w:r w:rsidR="00130CEA" w:rsidRPr="00C26BF3">
        <w:rPr>
          <w:snapToGrid w:val="0"/>
          <w:kern w:val="28"/>
          <w:sz w:val="22"/>
          <w:szCs w:val="22"/>
        </w:rPr>
        <w:t xml:space="preserve">.  </w:t>
      </w:r>
      <w:r w:rsidR="00D2345C" w:rsidRPr="00C26BF3">
        <w:rPr>
          <w:snapToGrid w:val="0"/>
          <w:kern w:val="28"/>
          <w:sz w:val="22"/>
          <w:szCs w:val="22"/>
        </w:rPr>
        <w:t xml:space="preserve">Thus, there is no indication that the court will take any action that would affect either the annual reporting and certification requirement or the consumer disclosure requirement.  </w:t>
      </w:r>
      <w:r w:rsidR="00D2345C" w:rsidRPr="00C26BF3">
        <w:rPr>
          <w:noProof/>
          <w:sz w:val="22"/>
          <w:szCs w:val="22"/>
        </w:rPr>
        <w:t xml:space="preserve">Moreover, the requirements at issue are critical to the Commission’s efforts to reform and regulate ICS and to the the Commission’s ability to fulfill its statutory mandates. </w:t>
      </w:r>
      <w:r w:rsidR="00E01A83" w:rsidRPr="00C26BF3">
        <w:rPr>
          <w:noProof/>
          <w:sz w:val="22"/>
          <w:szCs w:val="22"/>
        </w:rPr>
        <w:t>(</w:t>
      </w:r>
      <w:r w:rsidR="00E01A83" w:rsidRPr="00C26BF3">
        <w:rPr>
          <w:i/>
          <w:noProof/>
          <w:sz w:val="22"/>
          <w:szCs w:val="22"/>
        </w:rPr>
        <w:t xml:space="preserve">See </w:t>
      </w:r>
      <w:r w:rsidR="00130CEA" w:rsidRPr="00C26BF3">
        <w:rPr>
          <w:noProof/>
          <w:sz w:val="22"/>
          <w:szCs w:val="22"/>
        </w:rPr>
        <w:t xml:space="preserve">Item 2 above).  </w:t>
      </w:r>
      <w:r w:rsidR="00D2345C" w:rsidRPr="00C26BF3">
        <w:rPr>
          <w:noProof/>
          <w:sz w:val="22"/>
          <w:szCs w:val="22"/>
        </w:rPr>
        <w:t xml:space="preserve">Waiting for the litigation to conclude before seeking approval for the </w:t>
      </w:r>
      <w:r w:rsidRPr="00C26BF3">
        <w:rPr>
          <w:noProof/>
          <w:sz w:val="22"/>
          <w:szCs w:val="22"/>
        </w:rPr>
        <w:t xml:space="preserve">annual reporting, certification, and consumer disclosure </w:t>
      </w:r>
      <w:r w:rsidR="00D2345C" w:rsidRPr="00C26BF3">
        <w:rPr>
          <w:noProof/>
          <w:sz w:val="22"/>
          <w:szCs w:val="22"/>
        </w:rPr>
        <w:t>requirements would result in needless delay that would harm the Commission’s ability to fulfill its obligations to ensure that ICS rates and fees are fair, just, and reasonable</w:t>
      </w:r>
      <w:r w:rsidRPr="00C26BF3">
        <w:rPr>
          <w:noProof/>
          <w:sz w:val="22"/>
          <w:szCs w:val="22"/>
        </w:rPr>
        <w:t>.</w:t>
      </w:r>
    </w:p>
    <w:p w14:paraId="5971FF95" w14:textId="5E70DDAB" w:rsidR="00950B13" w:rsidRPr="00C26BF3" w:rsidRDefault="00125B7E" w:rsidP="007E0735">
      <w:pPr>
        <w:pStyle w:val="Numberedparagraphs"/>
        <w:numPr>
          <w:ilvl w:val="0"/>
          <w:numId w:val="0"/>
        </w:numPr>
        <w:tabs>
          <w:tab w:val="clear" w:pos="1440"/>
          <w:tab w:val="left" w:pos="720"/>
        </w:tabs>
        <w:rPr>
          <w:noProof/>
          <w:sz w:val="22"/>
          <w:szCs w:val="22"/>
          <w:u w:val="single"/>
        </w:rPr>
      </w:pPr>
      <w:r w:rsidRPr="00C26BF3">
        <w:rPr>
          <w:noProof/>
          <w:sz w:val="22"/>
          <w:szCs w:val="22"/>
          <w:u w:val="single"/>
        </w:rPr>
        <w:t xml:space="preserve">Modifications to the </w:t>
      </w:r>
      <w:r w:rsidR="004A3D20" w:rsidRPr="00C26BF3">
        <w:rPr>
          <w:noProof/>
          <w:sz w:val="22"/>
          <w:szCs w:val="22"/>
          <w:u w:val="single"/>
        </w:rPr>
        <w:t>Information Collected</w:t>
      </w:r>
    </w:p>
    <w:p w14:paraId="0566D76A" w14:textId="0AE5492C" w:rsidR="00A07144" w:rsidRPr="00C26BF3" w:rsidRDefault="00343285" w:rsidP="007E0735">
      <w:pPr>
        <w:pStyle w:val="Numberedparagraphs"/>
        <w:numPr>
          <w:ilvl w:val="0"/>
          <w:numId w:val="0"/>
        </w:numPr>
        <w:tabs>
          <w:tab w:val="clear" w:pos="1440"/>
          <w:tab w:val="left" w:pos="720"/>
        </w:tabs>
        <w:rPr>
          <w:noProof/>
          <w:sz w:val="22"/>
          <w:szCs w:val="22"/>
        </w:rPr>
      </w:pPr>
      <w:r w:rsidRPr="00C26BF3">
        <w:rPr>
          <w:noProof/>
          <w:sz w:val="22"/>
          <w:szCs w:val="22"/>
        </w:rPr>
        <w:tab/>
        <w:t xml:space="preserve">The Wright Petitioners (at 6) ask the Commission to modify Form 2301(a), the Annual Reporting Form, to require ICS providers to </w:t>
      </w:r>
      <w:r w:rsidR="00164B8F" w:rsidRPr="00C26BF3">
        <w:rPr>
          <w:noProof/>
          <w:sz w:val="22"/>
          <w:szCs w:val="22"/>
        </w:rPr>
        <w:t>submit</w:t>
      </w:r>
      <w:r w:rsidRPr="00C26BF3">
        <w:rPr>
          <w:noProof/>
          <w:sz w:val="22"/>
          <w:szCs w:val="22"/>
        </w:rPr>
        <w:t xml:space="preserve"> the per-minute rate for each minute of the ICS communication.  The Wright Petitioners (at 6) argue that this addition to the form better reflects </w:t>
      </w:r>
      <w:r w:rsidR="00A07144" w:rsidRPr="00C26BF3">
        <w:rPr>
          <w:noProof/>
          <w:sz w:val="22"/>
          <w:szCs w:val="22"/>
        </w:rPr>
        <w:t>a</w:t>
      </w:r>
      <w:r w:rsidRPr="00C26BF3">
        <w:rPr>
          <w:noProof/>
          <w:sz w:val="22"/>
          <w:szCs w:val="22"/>
        </w:rPr>
        <w:t xml:space="preserve"> current </w:t>
      </w:r>
      <w:r w:rsidR="00A07144" w:rsidRPr="00C26BF3">
        <w:rPr>
          <w:noProof/>
          <w:sz w:val="22"/>
          <w:szCs w:val="22"/>
        </w:rPr>
        <w:t xml:space="preserve">practice of ICS providers, many of which charge </w:t>
      </w:r>
      <w:r w:rsidR="000835A7" w:rsidRPr="00C26BF3">
        <w:rPr>
          <w:noProof/>
          <w:sz w:val="22"/>
          <w:szCs w:val="22"/>
        </w:rPr>
        <w:t>a “</w:t>
      </w:r>
      <w:r w:rsidR="00A07144" w:rsidRPr="00C26BF3">
        <w:rPr>
          <w:noProof/>
          <w:sz w:val="22"/>
          <w:szCs w:val="22"/>
        </w:rPr>
        <w:t xml:space="preserve">different per-minute rates over the duration of </w:t>
      </w:r>
      <w:r w:rsidR="000835A7" w:rsidRPr="00C26BF3">
        <w:rPr>
          <w:noProof/>
          <w:sz w:val="22"/>
          <w:szCs w:val="22"/>
        </w:rPr>
        <w:t xml:space="preserve">the </w:t>
      </w:r>
      <w:r w:rsidR="00A07144" w:rsidRPr="00C26BF3">
        <w:rPr>
          <w:noProof/>
          <w:sz w:val="22"/>
          <w:szCs w:val="22"/>
        </w:rPr>
        <w:t>ICS communication.</w:t>
      </w:r>
      <w:r w:rsidR="000835A7" w:rsidRPr="00C26BF3">
        <w:rPr>
          <w:noProof/>
          <w:sz w:val="22"/>
          <w:szCs w:val="22"/>
        </w:rPr>
        <w:t>”</w:t>
      </w:r>
      <w:r w:rsidR="00A07144" w:rsidRPr="00C26BF3">
        <w:rPr>
          <w:noProof/>
          <w:sz w:val="22"/>
          <w:szCs w:val="22"/>
        </w:rPr>
        <w:t xml:space="preserve"> </w:t>
      </w:r>
    </w:p>
    <w:p w14:paraId="5562C0A5" w14:textId="77777777" w:rsidR="00ED224D" w:rsidRPr="00C26BF3" w:rsidRDefault="00A07144" w:rsidP="007E0735">
      <w:pPr>
        <w:pStyle w:val="Numberedparagraphs"/>
        <w:numPr>
          <w:ilvl w:val="0"/>
          <w:numId w:val="0"/>
        </w:numPr>
        <w:tabs>
          <w:tab w:val="clear" w:pos="1440"/>
          <w:tab w:val="left" w:pos="720"/>
        </w:tabs>
        <w:rPr>
          <w:noProof/>
          <w:sz w:val="22"/>
          <w:szCs w:val="22"/>
        </w:rPr>
      </w:pPr>
      <w:r w:rsidRPr="00C26BF3">
        <w:rPr>
          <w:noProof/>
          <w:sz w:val="22"/>
          <w:szCs w:val="22"/>
        </w:rPr>
        <w:tab/>
        <w:t xml:space="preserve">The Wright Petitioners (at 7) </w:t>
      </w:r>
      <w:r w:rsidR="00685E31" w:rsidRPr="00C26BF3">
        <w:rPr>
          <w:noProof/>
          <w:sz w:val="22"/>
          <w:szCs w:val="22"/>
        </w:rPr>
        <w:t>also request that the Commission modify Form 2301(a) to require providers to include information regarding authorized fees and mandatory fees.  The Wright Petitioners (at 7) argue that this will allow the Commission to “obtain a more complete picture of the rates and fees paid by ICS customers.”</w:t>
      </w:r>
    </w:p>
    <w:p w14:paraId="48854A30" w14:textId="6AEFE0D4" w:rsidR="009C3C4C" w:rsidRPr="00C26BF3" w:rsidRDefault="00ED224D" w:rsidP="007E0735">
      <w:pPr>
        <w:pStyle w:val="Numberedparagraphs"/>
        <w:numPr>
          <w:ilvl w:val="0"/>
          <w:numId w:val="0"/>
        </w:numPr>
        <w:tabs>
          <w:tab w:val="clear" w:pos="1440"/>
          <w:tab w:val="left" w:pos="720"/>
        </w:tabs>
        <w:rPr>
          <w:noProof/>
          <w:sz w:val="22"/>
          <w:szCs w:val="22"/>
        </w:rPr>
      </w:pPr>
      <w:r w:rsidRPr="00C26BF3">
        <w:rPr>
          <w:i/>
          <w:noProof/>
          <w:sz w:val="22"/>
          <w:szCs w:val="22"/>
        </w:rPr>
        <w:t>Response.</w:t>
      </w:r>
      <w:r w:rsidR="009C3C4C" w:rsidRPr="00C26BF3">
        <w:rPr>
          <w:noProof/>
          <w:sz w:val="22"/>
          <w:szCs w:val="22"/>
        </w:rPr>
        <w:t xml:space="preserve">  First, </w:t>
      </w:r>
      <w:r w:rsidR="00336972" w:rsidRPr="00C26BF3">
        <w:rPr>
          <w:noProof/>
          <w:sz w:val="22"/>
          <w:szCs w:val="22"/>
        </w:rPr>
        <w:t>the Wright Petitioners (at 6) present convincing evidence that some ICS providers charge different rates for different minutes of an ICS communication</w:t>
      </w:r>
      <w:r w:rsidR="000835A7" w:rsidRPr="00C26BF3">
        <w:rPr>
          <w:noProof/>
          <w:sz w:val="22"/>
          <w:szCs w:val="22"/>
        </w:rPr>
        <w:t xml:space="preserve"> (i.e., a higher rate for the first minute and a lower rate for subsequent minutes)</w:t>
      </w:r>
      <w:r w:rsidR="00336972" w:rsidRPr="00C26BF3">
        <w:rPr>
          <w:noProof/>
          <w:sz w:val="22"/>
          <w:szCs w:val="22"/>
        </w:rPr>
        <w:t xml:space="preserve">.  </w:t>
      </w:r>
      <w:r w:rsidR="000835A7" w:rsidRPr="00C26BF3">
        <w:rPr>
          <w:noProof/>
          <w:sz w:val="22"/>
          <w:szCs w:val="22"/>
        </w:rPr>
        <w:t>W</w:t>
      </w:r>
      <w:r w:rsidR="009C3C4C" w:rsidRPr="00C26BF3">
        <w:rPr>
          <w:noProof/>
          <w:sz w:val="22"/>
          <w:szCs w:val="22"/>
        </w:rPr>
        <w:t xml:space="preserve">e agree with the Wright Petitioners’ that we should modify Form 2301(a) to </w:t>
      </w:r>
      <w:r w:rsidR="000835A7" w:rsidRPr="00C26BF3">
        <w:rPr>
          <w:noProof/>
          <w:sz w:val="22"/>
          <w:szCs w:val="22"/>
        </w:rPr>
        <w:t xml:space="preserve">capture </w:t>
      </w:r>
      <w:r w:rsidR="009C3C4C" w:rsidRPr="00C26BF3">
        <w:rPr>
          <w:noProof/>
          <w:sz w:val="22"/>
          <w:szCs w:val="22"/>
        </w:rPr>
        <w:t xml:space="preserve">different per-minute rates </w:t>
      </w:r>
      <w:r w:rsidR="000835A7" w:rsidRPr="00C26BF3">
        <w:rPr>
          <w:noProof/>
          <w:sz w:val="22"/>
          <w:szCs w:val="22"/>
        </w:rPr>
        <w:t xml:space="preserve">that may apply </w:t>
      </w:r>
      <w:r w:rsidR="009C3C4C" w:rsidRPr="00C26BF3">
        <w:rPr>
          <w:noProof/>
          <w:sz w:val="22"/>
          <w:szCs w:val="22"/>
        </w:rPr>
        <w:t>over the duration of a</w:t>
      </w:r>
      <w:r w:rsidR="000835A7" w:rsidRPr="00C26BF3">
        <w:rPr>
          <w:noProof/>
          <w:sz w:val="22"/>
          <w:szCs w:val="22"/>
        </w:rPr>
        <w:t xml:space="preserve"> single</w:t>
      </w:r>
      <w:r w:rsidR="009C3C4C" w:rsidRPr="00C26BF3">
        <w:rPr>
          <w:noProof/>
          <w:sz w:val="22"/>
          <w:szCs w:val="22"/>
        </w:rPr>
        <w:t xml:space="preserve"> ICS communication.  While we find that asking providers to list the per-minute rate for each minute of an ICS communication would be overly burdensome, we amend Form 2301(a) to include</w:t>
      </w:r>
      <w:r w:rsidR="000835A7" w:rsidRPr="00C26BF3">
        <w:rPr>
          <w:noProof/>
          <w:sz w:val="22"/>
          <w:szCs w:val="22"/>
        </w:rPr>
        <w:t xml:space="preserve"> not only</w:t>
      </w:r>
      <w:r w:rsidR="009C3C4C" w:rsidRPr="00C26BF3">
        <w:rPr>
          <w:noProof/>
          <w:sz w:val="22"/>
          <w:szCs w:val="22"/>
        </w:rPr>
        <w:t xml:space="preserve"> </w:t>
      </w:r>
      <w:r w:rsidR="00563A4C" w:rsidRPr="00C26BF3">
        <w:rPr>
          <w:noProof/>
          <w:sz w:val="22"/>
          <w:szCs w:val="22"/>
        </w:rPr>
        <w:t>the existing</w:t>
      </w:r>
      <w:r w:rsidR="009C3C4C" w:rsidRPr="00C26BF3">
        <w:rPr>
          <w:noProof/>
          <w:sz w:val="22"/>
          <w:szCs w:val="22"/>
        </w:rPr>
        <w:t xml:space="preserve"> column that asks providers to list the </w:t>
      </w:r>
      <w:r w:rsidR="0014049D" w:rsidRPr="00C26BF3">
        <w:rPr>
          <w:noProof/>
          <w:sz w:val="22"/>
          <w:szCs w:val="22"/>
        </w:rPr>
        <w:t xml:space="preserve">per-minute </w:t>
      </w:r>
      <w:r w:rsidR="009C3C4C" w:rsidRPr="00C26BF3">
        <w:rPr>
          <w:noProof/>
          <w:sz w:val="22"/>
          <w:szCs w:val="22"/>
        </w:rPr>
        <w:t xml:space="preserve">rate for </w:t>
      </w:r>
      <w:r w:rsidR="0014049D" w:rsidRPr="00C26BF3">
        <w:rPr>
          <w:noProof/>
          <w:sz w:val="22"/>
          <w:szCs w:val="22"/>
        </w:rPr>
        <w:t xml:space="preserve">different types of ICS </w:t>
      </w:r>
      <w:r w:rsidR="009C3C4C" w:rsidRPr="00C26BF3">
        <w:rPr>
          <w:noProof/>
          <w:sz w:val="22"/>
          <w:szCs w:val="22"/>
        </w:rPr>
        <w:t>call</w:t>
      </w:r>
      <w:r w:rsidR="0014049D" w:rsidRPr="00C26BF3">
        <w:rPr>
          <w:noProof/>
          <w:sz w:val="22"/>
          <w:szCs w:val="22"/>
        </w:rPr>
        <w:t>s, but also a new column</w:t>
      </w:r>
      <w:r w:rsidR="009C3C4C" w:rsidRPr="00C26BF3">
        <w:rPr>
          <w:noProof/>
          <w:sz w:val="22"/>
          <w:szCs w:val="22"/>
        </w:rPr>
        <w:t xml:space="preserve"> where </w:t>
      </w:r>
      <w:r w:rsidR="0014049D" w:rsidRPr="00C26BF3">
        <w:rPr>
          <w:noProof/>
          <w:sz w:val="22"/>
          <w:szCs w:val="22"/>
        </w:rPr>
        <w:t>providers can indicate if they charge a different amount for some minutes of a call</w:t>
      </w:r>
      <w:r w:rsidR="005D78C7" w:rsidRPr="00C26BF3">
        <w:rPr>
          <w:noProof/>
          <w:sz w:val="22"/>
          <w:szCs w:val="22"/>
        </w:rPr>
        <w:t xml:space="preserve">.  We find that this change will help the Commission better </w:t>
      </w:r>
      <w:r w:rsidR="0014049D" w:rsidRPr="00C26BF3">
        <w:rPr>
          <w:noProof/>
          <w:sz w:val="22"/>
          <w:szCs w:val="22"/>
        </w:rPr>
        <w:t xml:space="preserve">understand the ICS market and </w:t>
      </w:r>
      <w:r w:rsidR="005D78C7" w:rsidRPr="00C26BF3">
        <w:rPr>
          <w:noProof/>
          <w:sz w:val="22"/>
          <w:szCs w:val="22"/>
        </w:rPr>
        <w:t xml:space="preserve">achieve the goals set out above, while also minimizing the burden </w:t>
      </w:r>
      <w:r w:rsidR="0014049D" w:rsidRPr="00C26BF3">
        <w:rPr>
          <w:noProof/>
          <w:sz w:val="22"/>
          <w:szCs w:val="22"/>
        </w:rPr>
        <w:t>on</w:t>
      </w:r>
      <w:r w:rsidR="005D78C7" w:rsidRPr="00C26BF3">
        <w:rPr>
          <w:noProof/>
          <w:sz w:val="22"/>
          <w:szCs w:val="22"/>
        </w:rPr>
        <w:t xml:space="preserve"> ICS providers. </w:t>
      </w:r>
    </w:p>
    <w:p w14:paraId="3C7C01E2" w14:textId="15FDD508" w:rsidR="00343285" w:rsidRPr="00C26BF3" w:rsidRDefault="009C3C4C" w:rsidP="007E0735">
      <w:pPr>
        <w:pStyle w:val="Numberedparagraphs"/>
        <w:numPr>
          <w:ilvl w:val="0"/>
          <w:numId w:val="0"/>
        </w:numPr>
        <w:tabs>
          <w:tab w:val="clear" w:pos="1440"/>
          <w:tab w:val="left" w:pos="720"/>
        </w:tabs>
        <w:rPr>
          <w:sz w:val="22"/>
          <w:szCs w:val="22"/>
        </w:rPr>
      </w:pPr>
      <w:r w:rsidRPr="00C26BF3">
        <w:rPr>
          <w:noProof/>
          <w:sz w:val="22"/>
          <w:szCs w:val="22"/>
        </w:rPr>
        <w:tab/>
        <w:t>Second,</w:t>
      </w:r>
      <w:r w:rsidR="001B40C1" w:rsidRPr="00C26BF3">
        <w:rPr>
          <w:noProof/>
          <w:sz w:val="22"/>
          <w:szCs w:val="22"/>
        </w:rPr>
        <w:t xml:space="preserve"> </w:t>
      </w:r>
      <w:r w:rsidR="0014049D" w:rsidRPr="00C26BF3">
        <w:rPr>
          <w:noProof/>
          <w:sz w:val="22"/>
          <w:szCs w:val="22"/>
        </w:rPr>
        <w:t>a</w:t>
      </w:r>
      <w:r w:rsidR="00164B8F" w:rsidRPr="00C26BF3">
        <w:rPr>
          <w:noProof/>
          <w:sz w:val="22"/>
          <w:szCs w:val="22"/>
        </w:rPr>
        <w:t xml:space="preserve">lthough we agree with the Wright Petitioners that </w:t>
      </w:r>
      <w:r w:rsidR="0014049D" w:rsidRPr="00C26BF3">
        <w:rPr>
          <w:noProof/>
          <w:sz w:val="22"/>
          <w:szCs w:val="22"/>
        </w:rPr>
        <w:t xml:space="preserve">collecting </w:t>
      </w:r>
      <w:r w:rsidR="005D78C7" w:rsidRPr="00C26BF3">
        <w:rPr>
          <w:noProof/>
          <w:sz w:val="22"/>
          <w:szCs w:val="22"/>
        </w:rPr>
        <w:t>information</w:t>
      </w:r>
      <w:r w:rsidR="00164B8F" w:rsidRPr="00C26BF3">
        <w:rPr>
          <w:noProof/>
          <w:sz w:val="22"/>
          <w:szCs w:val="22"/>
        </w:rPr>
        <w:t xml:space="preserve"> </w:t>
      </w:r>
      <w:r w:rsidR="0014049D" w:rsidRPr="00C26BF3">
        <w:rPr>
          <w:noProof/>
          <w:sz w:val="22"/>
          <w:szCs w:val="22"/>
        </w:rPr>
        <w:t>regarding authorized fees</w:t>
      </w:r>
      <w:r w:rsidR="0014049D" w:rsidRPr="00C26BF3">
        <w:rPr>
          <w:rStyle w:val="FootnoteReference"/>
          <w:noProof/>
          <w:sz w:val="22"/>
          <w:szCs w:val="22"/>
        </w:rPr>
        <w:footnoteReference w:id="11"/>
      </w:r>
      <w:r w:rsidR="0014049D" w:rsidRPr="00C26BF3">
        <w:rPr>
          <w:noProof/>
          <w:sz w:val="22"/>
          <w:szCs w:val="22"/>
        </w:rPr>
        <w:t xml:space="preserve"> and mandatory fees</w:t>
      </w:r>
      <w:r w:rsidR="0014049D" w:rsidRPr="00C26BF3">
        <w:rPr>
          <w:rStyle w:val="FootnoteReference"/>
          <w:noProof/>
          <w:sz w:val="22"/>
          <w:szCs w:val="22"/>
        </w:rPr>
        <w:footnoteReference w:id="12"/>
      </w:r>
      <w:r w:rsidR="0014049D" w:rsidRPr="00C26BF3">
        <w:rPr>
          <w:noProof/>
          <w:sz w:val="22"/>
          <w:szCs w:val="22"/>
        </w:rPr>
        <w:t xml:space="preserve"> </w:t>
      </w:r>
      <w:r w:rsidR="00164B8F" w:rsidRPr="00C26BF3">
        <w:rPr>
          <w:noProof/>
          <w:sz w:val="22"/>
          <w:szCs w:val="22"/>
        </w:rPr>
        <w:t xml:space="preserve">would provide the Commission with a more complete picture of the rates and fees paid by ICS customers, we </w:t>
      </w:r>
      <w:r w:rsidR="005D78C7" w:rsidRPr="00C26BF3">
        <w:rPr>
          <w:noProof/>
          <w:sz w:val="22"/>
          <w:szCs w:val="22"/>
        </w:rPr>
        <w:t>find</w:t>
      </w:r>
      <w:r w:rsidR="001E589B" w:rsidRPr="00C26BF3">
        <w:rPr>
          <w:noProof/>
          <w:sz w:val="22"/>
          <w:szCs w:val="22"/>
        </w:rPr>
        <w:t xml:space="preserve"> that </w:t>
      </w:r>
      <w:r w:rsidR="0014049D" w:rsidRPr="00C26BF3">
        <w:rPr>
          <w:noProof/>
          <w:sz w:val="22"/>
          <w:szCs w:val="22"/>
        </w:rPr>
        <w:t xml:space="preserve">the additional burden such a requriement would place on ICS providers outweighs the incremental </w:t>
      </w:r>
      <w:r w:rsidR="005D78C7" w:rsidRPr="00C26BF3">
        <w:rPr>
          <w:noProof/>
          <w:sz w:val="22"/>
          <w:szCs w:val="22"/>
        </w:rPr>
        <w:t>benefit</w:t>
      </w:r>
      <w:r w:rsidR="001E589B" w:rsidRPr="00C26BF3">
        <w:rPr>
          <w:noProof/>
          <w:sz w:val="22"/>
          <w:szCs w:val="22"/>
        </w:rPr>
        <w:t xml:space="preserve"> </w:t>
      </w:r>
      <w:r w:rsidR="0005170F">
        <w:rPr>
          <w:noProof/>
          <w:sz w:val="22"/>
          <w:szCs w:val="22"/>
        </w:rPr>
        <w:t>of collecting such data.</w:t>
      </w:r>
      <w:r w:rsidR="00164B8F" w:rsidRPr="00C26BF3">
        <w:rPr>
          <w:noProof/>
          <w:sz w:val="22"/>
          <w:szCs w:val="22"/>
        </w:rPr>
        <w:t xml:space="preserve">  </w:t>
      </w:r>
      <w:r w:rsidR="00070841" w:rsidRPr="00C26BF3">
        <w:rPr>
          <w:noProof/>
          <w:sz w:val="22"/>
          <w:szCs w:val="22"/>
        </w:rPr>
        <w:t>A</w:t>
      </w:r>
      <w:r w:rsidR="00473340" w:rsidRPr="00C26BF3">
        <w:rPr>
          <w:noProof/>
          <w:sz w:val="22"/>
          <w:szCs w:val="22"/>
        </w:rPr>
        <w:t xml:space="preserve">n ICS provider </w:t>
      </w:r>
      <w:r w:rsidR="00070841" w:rsidRPr="00C26BF3">
        <w:rPr>
          <w:noProof/>
          <w:sz w:val="22"/>
          <w:szCs w:val="22"/>
        </w:rPr>
        <w:t xml:space="preserve">that operates in multiple jurisdictions </w:t>
      </w:r>
      <w:r w:rsidR="00473340" w:rsidRPr="00C26BF3">
        <w:rPr>
          <w:noProof/>
          <w:sz w:val="22"/>
          <w:szCs w:val="22"/>
        </w:rPr>
        <w:t xml:space="preserve">may be subject to </w:t>
      </w:r>
      <w:r w:rsidR="00070841" w:rsidRPr="00C26BF3">
        <w:rPr>
          <w:noProof/>
          <w:sz w:val="22"/>
          <w:szCs w:val="22"/>
        </w:rPr>
        <w:t xml:space="preserve">a variety of </w:t>
      </w:r>
      <w:r w:rsidR="00473340" w:rsidRPr="00C26BF3">
        <w:rPr>
          <w:noProof/>
          <w:sz w:val="22"/>
          <w:szCs w:val="22"/>
        </w:rPr>
        <w:t xml:space="preserve">different </w:t>
      </w:r>
      <w:r w:rsidR="001E589B" w:rsidRPr="00C26BF3">
        <w:rPr>
          <w:noProof/>
          <w:sz w:val="22"/>
          <w:szCs w:val="22"/>
        </w:rPr>
        <w:t>authorized and mandatory fees</w:t>
      </w:r>
      <w:r w:rsidR="00473340" w:rsidRPr="00C26BF3">
        <w:rPr>
          <w:noProof/>
          <w:sz w:val="22"/>
          <w:szCs w:val="22"/>
        </w:rPr>
        <w:t xml:space="preserve">.  </w:t>
      </w:r>
      <w:r w:rsidR="00070841" w:rsidRPr="00C26BF3">
        <w:rPr>
          <w:noProof/>
          <w:sz w:val="22"/>
          <w:szCs w:val="22"/>
        </w:rPr>
        <w:t>C</w:t>
      </w:r>
      <w:r w:rsidR="005D78C7" w:rsidRPr="00C26BF3">
        <w:rPr>
          <w:noProof/>
          <w:sz w:val="22"/>
          <w:szCs w:val="22"/>
        </w:rPr>
        <w:t xml:space="preserve">ollecting, </w:t>
      </w:r>
      <w:r w:rsidR="001E589B" w:rsidRPr="00C26BF3">
        <w:rPr>
          <w:noProof/>
          <w:sz w:val="22"/>
          <w:szCs w:val="22"/>
        </w:rPr>
        <w:t>organizing</w:t>
      </w:r>
      <w:r w:rsidR="005D78C7" w:rsidRPr="00C26BF3">
        <w:rPr>
          <w:noProof/>
          <w:sz w:val="22"/>
          <w:szCs w:val="22"/>
        </w:rPr>
        <w:t>,</w:t>
      </w:r>
      <w:r w:rsidR="001E589B" w:rsidRPr="00C26BF3">
        <w:rPr>
          <w:noProof/>
          <w:sz w:val="22"/>
          <w:szCs w:val="22"/>
        </w:rPr>
        <w:t xml:space="preserve"> and reporting these fees could be substantially burdensome, espeically for providers that do business in multiple jurisdictions.  </w:t>
      </w:r>
      <w:r w:rsidR="00473340" w:rsidRPr="00C26BF3">
        <w:rPr>
          <w:noProof/>
          <w:sz w:val="22"/>
          <w:szCs w:val="22"/>
        </w:rPr>
        <w:t xml:space="preserve">At this point, </w:t>
      </w:r>
      <w:r w:rsidR="007A64AC" w:rsidRPr="00C26BF3">
        <w:rPr>
          <w:noProof/>
          <w:sz w:val="22"/>
          <w:szCs w:val="22"/>
        </w:rPr>
        <w:t xml:space="preserve">we find that </w:t>
      </w:r>
      <w:r w:rsidR="00473340" w:rsidRPr="00C26BF3">
        <w:rPr>
          <w:noProof/>
          <w:sz w:val="22"/>
          <w:szCs w:val="22"/>
        </w:rPr>
        <w:t xml:space="preserve">the burden that ICS providers would face in </w:t>
      </w:r>
      <w:r w:rsidR="007A64AC" w:rsidRPr="00C26BF3">
        <w:rPr>
          <w:noProof/>
          <w:sz w:val="22"/>
          <w:szCs w:val="22"/>
        </w:rPr>
        <w:t>collecting and reporting this information</w:t>
      </w:r>
      <w:r w:rsidR="00070841" w:rsidRPr="00C26BF3">
        <w:rPr>
          <w:noProof/>
          <w:sz w:val="22"/>
          <w:szCs w:val="22"/>
        </w:rPr>
        <w:t xml:space="preserve"> outweighs the benefits that might be gained from collecting the data, especially given that providers are only permitted to pass these taxes and fees through to consumers without any markup</w:t>
      </w:r>
      <w:r w:rsidR="007A64AC" w:rsidRPr="00C26BF3">
        <w:rPr>
          <w:noProof/>
          <w:sz w:val="22"/>
          <w:szCs w:val="22"/>
        </w:rPr>
        <w:t>.</w:t>
      </w:r>
      <w:r w:rsidR="00070841" w:rsidRPr="00C26BF3">
        <w:rPr>
          <w:noProof/>
          <w:sz w:val="22"/>
          <w:szCs w:val="22"/>
        </w:rPr>
        <w:t xml:space="preserve">  To the extent that the Wright Petitioners are concerned about potential violations by providers marking up or modifying authorized or mandatory fees, we find that those concerns are best addressed through the Commission’s complaint processes, and not through mandatory reporting requirements.</w:t>
      </w:r>
    </w:p>
    <w:p w14:paraId="7C610AE6" w14:textId="3AD520E3" w:rsidR="002735A3" w:rsidRPr="0005170F" w:rsidRDefault="00950B13" w:rsidP="007E0735">
      <w:pPr>
        <w:pStyle w:val="Numberedparagraphs"/>
        <w:numPr>
          <w:ilvl w:val="0"/>
          <w:numId w:val="0"/>
        </w:numPr>
        <w:tabs>
          <w:tab w:val="clear" w:pos="1440"/>
          <w:tab w:val="left" w:pos="720"/>
        </w:tabs>
        <w:rPr>
          <w:sz w:val="22"/>
          <w:szCs w:val="22"/>
          <w:u w:val="single"/>
        </w:rPr>
      </w:pPr>
      <w:r w:rsidRPr="0005170F">
        <w:rPr>
          <w:sz w:val="22"/>
          <w:szCs w:val="22"/>
          <w:u w:val="single"/>
        </w:rPr>
        <w:t>Est</w:t>
      </w:r>
      <w:r w:rsidR="00577724" w:rsidRPr="0005170F">
        <w:rPr>
          <w:sz w:val="22"/>
          <w:szCs w:val="22"/>
          <w:u w:val="single"/>
        </w:rPr>
        <w:t>i</w:t>
      </w:r>
      <w:r w:rsidRPr="0005170F">
        <w:rPr>
          <w:sz w:val="22"/>
          <w:szCs w:val="22"/>
          <w:u w:val="single"/>
        </w:rPr>
        <w:t>mated Burden</w:t>
      </w:r>
    </w:p>
    <w:p w14:paraId="31EC048E" w14:textId="13D697EA" w:rsidR="00BE2DF1" w:rsidRPr="00C26BF3" w:rsidRDefault="002735A3" w:rsidP="007E0735">
      <w:pPr>
        <w:pStyle w:val="Numberedparagraphs"/>
        <w:numPr>
          <w:ilvl w:val="0"/>
          <w:numId w:val="0"/>
        </w:numPr>
        <w:tabs>
          <w:tab w:val="clear" w:pos="1440"/>
          <w:tab w:val="left" w:pos="720"/>
        </w:tabs>
        <w:rPr>
          <w:sz w:val="22"/>
          <w:szCs w:val="22"/>
        </w:rPr>
      </w:pPr>
      <w:r w:rsidRPr="00C26BF3">
        <w:rPr>
          <w:sz w:val="22"/>
          <w:szCs w:val="22"/>
        </w:rPr>
        <w:tab/>
        <w:t>GTL argues (</w:t>
      </w:r>
      <w:r w:rsidR="006D335A" w:rsidRPr="00C26BF3">
        <w:rPr>
          <w:sz w:val="22"/>
          <w:szCs w:val="22"/>
        </w:rPr>
        <w:t>at 2-3</w:t>
      </w:r>
      <w:r w:rsidRPr="00C26BF3">
        <w:rPr>
          <w:sz w:val="22"/>
          <w:szCs w:val="22"/>
        </w:rPr>
        <w:t xml:space="preserve">) that </w:t>
      </w:r>
      <w:r w:rsidR="00315030" w:rsidRPr="00C26BF3">
        <w:rPr>
          <w:sz w:val="22"/>
          <w:szCs w:val="22"/>
        </w:rPr>
        <w:t xml:space="preserve">the estimated burden associated with the </w:t>
      </w:r>
      <w:r w:rsidR="006D335A" w:rsidRPr="00C26BF3">
        <w:rPr>
          <w:sz w:val="22"/>
          <w:szCs w:val="22"/>
        </w:rPr>
        <w:t>mandatory data collection</w:t>
      </w:r>
      <w:r w:rsidR="00315030" w:rsidRPr="00C26BF3">
        <w:rPr>
          <w:sz w:val="22"/>
          <w:szCs w:val="22"/>
        </w:rPr>
        <w:t xml:space="preserve"> is</w:t>
      </w:r>
      <w:r w:rsidR="00526EBF" w:rsidRPr="00C26BF3">
        <w:rPr>
          <w:sz w:val="22"/>
          <w:szCs w:val="22"/>
        </w:rPr>
        <w:t xml:space="preserve"> too low.</w:t>
      </w:r>
      <w:r w:rsidR="00315030" w:rsidRPr="00C26BF3">
        <w:rPr>
          <w:sz w:val="22"/>
          <w:szCs w:val="22"/>
        </w:rPr>
        <w:t xml:space="preserve"> </w:t>
      </w:r>
      <w:r w:rsidR="00526EBF" w:rsidRPr="00C26BF3">
        <w:rPr>
          <w:sz w:val="22"/>
          <w:szCs w:val="22"/>
        </w:rPr>
        <w:t xml:space="preserve"> </w:t>
      </w:r>
      <w:r w:rsidR="00A228D4" w:rsidRPr="00C26BF3">
        <w:rPr>
          <w:sz w:val="22"/>
          <w:szCs w:val="22"/>
        </w:rPr>
        <w:t>GTL</w:t>
      </w:r>
      <w:r w:rsidR="00526EBF" w:rsidRPr="00C26BF3">
        <w:rPr>
          <w:sz w:val="22"/>
          <w:szCs w:val="22"/>
        </w:rPr>
        <w:t xml:space="preserve"> </w:t>
      </w:r>
      <w:r w:rsidR="0005170F">
        <w:rPr>
          <w:sz w:val="22"/>
          <w:szCs w:val="22"/>
        </w:rPr>
        <w:t>assert</w:t>
      </w:r>
      <w:r w:rsidR="00526EBF" w:rsidRPr="00C26BF3">
        <w:rPr>
          <w:sz w:val="22"/>
          <w:szCs w:val="22"/>
        </w:rPr>
        <w:t xml:space="preserve">s </w:t>
      </w:r>
      <w:r w:rsidR="006D335A" w:rsidRPr="00C26BF3">
        <w:rPr>
          <w:sz w:val="22"/>
          <w:szCs w:val="22"/>
        </w:rPr>
        <w:t>(at 3</w:t>
      </w:r>
      <w:r w:rsidR="00526EBF" w:rsidRPr="00C26BF3">
        <w:rPr>
          <w:sz w:val="22"/>
          <w:szCs w:val="22"/>
        </w:rPr>
        <w:t xml:space="preserve">) that </w:t>
      </w:r>
      <w:r w:rsidR="006D335A" w:rsidRPr="00C26BF3">
        <w:rPr>
          <w:sz w:val="22"/>
          <w:szCs w:val="22"/>
        </w:rPr>
        <w:t xml:space="preserve">the Commission’s estimate of </w:t>
      </w:r>
      <w:r w:rsidR="00A75989" w:rsidRPr="00C26BF3">
        <w:rPr>
          <w:sz w:val="22"/>
          <w:szCs w:val="22"/>
        </w:rPr>
        <w:t>4</w:t>
      </w:r>
      <w:r w:rsidR="006D335A" w:rsidRPr="00C26BF3">
        <w:rPr>
          <w:sz w:val="22"/>
          <w:szCs w:val="22"/>
        </w:rPr>
        <w:t>0 hours is “</w:t>
      </w:r>
      <w:r w:rsidR="00A228D4" w:rsidRPr="00C26BF3">
        <w:rPr>
          <w:sz w:val="22"/>
          <w:szCs w:val="22"/>
        </w:rPr>
        <w:t>substantially underst</w:t>
      </w:r>
      <w:r w:rsidR="00577724" w:rsidRPr="00C26BF3">
        <w:rPr>
          <w:sz w:val="22"/>
          <w:szCs w:val="22"/>
        </w:rPr>
        <w:t>a</w:t>
      </w:r>
      <w:r w:rsidR="00A228D4" w:rsidRPr="00C26BF3">
        <w:rPr>
          <w:sz w:val="22"/>
          <w:szCs w:val="22"/>
        </w:rPr>
        <w:t>ted,</w:t>
      </w:r>
      <w:r w:rsidR="00526EBF" w:rsidRPr="00C26BF3">
        <w:rPr>
          <w:sz w:val="22"/>
          <w:szCs w:val="22"/>
        </w:rPr>
        <w:t>”</w:t>
      </w:r>
      <w:r w:rsidR="00A228D4" w:rsidRPr="00C26BF3">
        <w:rPr>
          <w:sz w:val="22"/>
          <w:szCs w:val="22"/>
        </w:rPr>
        <w:t xml:space="preserve"> and suggests (at 6) that if GTL were to spend one hour per correctional facility to collect, compile, and formulate the data categories required by the Commission, it would spend “1900 hours to comply with the annual one-time data collection, and a similar amount of time annually to comply with the annual reporting requirement.”</w:t>
      </w:r>
      <w:r w:rsidR="00526EBF" w:rsidRPr="00C26BF3">
        <w:rPr>
          <w:sz w:val="22"/>
          <w:szCs w:val="22"/>
        </w:rPr>
        <w:t xml:space="preserve">  </w:t>
      </w:r>
    </w:p>
    <w:p w14:paraId="711FF122" w14:textId="1FD53D19" w:rsidR="000C5AE1" w:rsidRPr="00C26BF3" w:rsidRDefault="00BE2DF1" w:rsidP="007E0735">
      <w:pPr>
        <w:pStyle w:val="Numberedparagraphs"/>
        <w:numPr>
          <w:ilvl w:val="0"/>
          <w:numId w:val="0"/>
        </w:numPr>
        <w:tabs>
          <w:tab w:val="clear" w:pos="1440"/>
          <w:tab w:val="left" w:pos="720"/>
        </w:tabs>
        <w:rPr>
          <w:sz w:val="22"/>
          <w:szCs w:val="22"/>
        </w:rPr>
      </w:pPr>
      <w:r w:rsidRPr="00C26BF3">
        <w:rPr>
          <w:i/>
          <w:sz w:val="22"/>
          <w:szCs w:val="22"/>
        </w:rPr>
        <w:t>Response</w:t>
      </w:r>
      <w:r w:rsidRPr="00C26BF3">
        <w:rPr>
          <w:sz w:val="22"/>
          <w:szCs w:val="22"/>
        </w:rPr>
        <w:t>.  We note that GTL</w:t>
      </w:r>
      <w:r w:rsidR="001960CD" w:rsidRPr="00C26BF3">
        <w:rPr>
          <w:sz w:val="22"/>
          <w:szCs w:val="22"/>
        </w:rPr>
        <w:t xml:space="preserve"> did not request to see the draft forms or instructions associated with this </w:t>
      </w:r>
      <w:r w:rsidR="006D335A" w:rsidRPr="00C26BF3">
        <w:rPr>
          <w:sz w:val="22"/>
          <w:szCs w:val="22"/>
        </w:rPr>
        <w:t>data</w:t>
      </w:r>
      <w:r w:rsidR="001960CD" w:rsidRPr="00C26BF3">
        <w:rPr>
          <w:sz w:val="22"/>
          <w:szCs w:val="22"/>
        </w:rPr>
        <w:t xml:space="preserve"> collection, and thus</w:t>
      </w:r>
      <w:r w:rsidRPr="00C26BF3">
        <w:rPr>
          <w:sz w:val="22"/>
          <w:szCs w:val="22"/>
        </w:rPr>
        <w:t xml:space="preserve"> has only seen the 60-day Federal Register notice and the burden hour estimates</w:t>
      </w:r>
      <w:r w:rsidR="00577724" w:rsidRPr="00C26BF3">
        <w:rPr>
          <w:sz w:val="22"/>
          <w:szCs w:val="22"/>
        </w:rPr>
        <w:t xml:space="preserve"> listed therein</w:t>
      </w:r>
      <w:r w:rsidRPr="00C26BF3">
        <w:rPr>
          <w:sz w:val="22"/>
          <w:szCs w:val="22"/>
        </w:rPr>
        <w:t xml:space="preserve">.  As such, its comments on the estimated burden of this collection are speculative at best.  </w:t>
      </w:r>
      <w:r w:rsidR="00577724" w:rsidRPr="00C26BF3">
        <w:rPr>
          <w:sz w:val="22"/>
          <w:szCs w:val="22"/>
        </w:rPr>
        <w:t xml:space="preserve">At a minimum, we find it implausible that a company with GTL’s expertise and resources would require anything approaching an hour per facility to complete the required forms.  </w:t>
      </w:r>
      <w:r w:rsidRPr="00C26BF3">
        <w:rPr>
          <w:sz w:val="22"/>
          <w:szCs w:val="22"/>
        </w:rPr>
        <w:t xml:space="preserve">Nevertheless, </w:t>
      </w:r>
      <w:r w:rsidR="001960CD" w:rsidRPr="00C26BF3">
        <w:rPr>
          <w:sz w:val="22"/>
          <w:szCs w:val="22"/>
        </w:rPr>
        <w:t xml:space="preserve">after considering </w:t>
      </w:r>
      <w:r w:rsidR="00577724" w:rsidRPr="00C26BF3">
        <w:rPr>
          <w:sz w:val="22"/>
          <w:szCs w:val="22"/>
        </w:rPr>
        <w:t>GTL’s comments</w:t>
      </w:r>
      <w:r w:rsidR="001960CD" w:rsidRPr="00C26BF3">
        <w:rPr>
          <w:sz w:val="22"/>
          <w:szCs w:val="22"/>
        </w:rPr>
        <w:t>, we have increased the</w:t>
      </w:r>
      <w:r w:rsidR="00630BB3" w:rsidRPr="00C26BF3">
        <w:rPr>
          <w:sz w:val="22"/>
          <w:szCs w:val="22"/>
        </w:rPr>
        <w:t xml:space="preserve"> estimated burden hours from </w:t>
      </w:r>
      <w:r w:rsidR="00A75989" w:rsidRPr="00C26BF3">
        <w:rPr>
          <w:sz w:val="22"/>
          <w:szCs w:val="22"/>
        </w:rPr>
        <w:t>4</w:t>
      </w:r>
      <w:r w:rsidR="001960CD" w:rsidRPr="00C26BF3">
        <w:rPr>
          <w:sz w:val="22"/>
          <w:szCs w:val="22"/>
        </w:rPr>
        <w:t xml:space="preserve">0 hours per respondent to </w:t>
      </w:r>
      <w:r w:rsidR="00A75989" w:rsidRPr="00C26BF3">
        <w:rPr>
          <w:sz w:val="22"/>
          <w:szCs w:val="22"/>
        </w:rPr>
        <w:t>6</w:t>
      </w:r>
      <w:r w:rsidR="00630BB3" w:rsidRPr="00C26BF3">
        <w:rPr>
          <w:sz w:val="22"/>
          <w:szCs w:val="22"/>
        </w:rPr>
        <w:t>0</w:t>
      </w:r>
      <w:r w:rsidR="001960CD" w:rsidRPr="00C26BF3">
        <w:rPr>
          <w:sz w:val="22"/>
          <w:szCs w:val="22"/>
        </w:rPr>
        <w:t xml:space="preserve"> hours per</w:t>
      </w:r>
      <w:r w:rsidR="005B3B7B" w:rsidRPr="00C26BF3">
        <w:rPr>
          <w:sz w:val="22"/>
          <w:szCs w:val="22"/>
        </w:rPr>
        <w:t xml:space="preserve"> respondent.  We believe that </w:t>
      </w:r>
      <w:r w:rsidR="00A75989" w:rsidRPr="00C26BF3">
        <w:rPr>
          <w:sz w:val="22"/>
          <w:szCs w:val="22"/>
        </w:rPr>
        <w:t>6</w:t>
      </w:r>
      <w:r w:rsidR="00630BB3" w:rsidRPr="00C26BF3">
        <w:rPr>
          <w:sz w:val="22"/>
          <w:szCs w:val="22"/>
        </w:rPr>
        <w:t>0</w:t>
      </w:r>
      <w:r w:rsidR="001960CD" w:rsidRPr="00C26BF3">
        <w:rPr>
          <w:sz w:val="22"/>
          <w:szCs w:val="22"/>
        </w:rPr>
        <w:t xml:space="preserve"> hours is sufficient to </w:t>
      </w:r>
      <w:r w:rsidR="00577724" w:rsidRPr="00C26BF3">
        <w:rPr>
          <w:sz w:val="22"/>
          <w:szCs w:val="22"/>
        </w:rPr>
        <w:t>allow the average ICS provider to report</w:t>
      </w:r>
      <w:r w:rsidR="001960CD" w:rsidRPr="00C26BF3">
        <w:rPr>
          <w:sz w:val="22"/>
          <w:szCs w:val="22"/>
        </w:rPr>
        <w:t xml:space="preserve">, in the format requested, </w:t>
      </w:r>
      <w:r w:rsidR="00577724" w:rsidRPr="00C26BF3">
        <w:rPr>
          <w:sz w:val="22"/>
          <w:szCs w:val="22"/>
        </w:rPr>
        <w:t xml:space="preserve">the requested </w:t>
      </w:r>
      <w:r w:rsidR="001960CD" w:rsidRPr="00C26BF3">
        <w:rPr>
          <w:sz w:val="22"/>
          <w:szCs w:val="22"/>
        </w:rPr>
        <w:t>information</w:t>
      </w:r>
      <w:r w:rsidR="00577724" w:rsidRPr="00C26BF3">
        <w:rPr>
          <w:sz w:val="22"/>
          <w:szCs w:val="22"/>
        </w:rPr>
        <w:t xml:space="preserve"> – most, if not all, of</w:t>
      </w:r>
      <w:r w:rsidR="001960CD" w:rsidRPr="00C26BF3">
        <w:rPr>
          <w:sz w:val="22"/>
          <w:szCs w:val="22"/>
        </w:rPr>
        <w:t xml:space="preserve"> which we believe ICS providers already maintain</w:t>
      </w:r>
      <w:r w:rsidR="00577724" w:rsidRPr="00C26BF3">
        <w:rPr>
          <w:sz w:val="22"/>
          <w:szCs w:val="22"/>
        </w:rPr>
        <w:t xml:space="preserve"> as part of their day-to-day business operations</w:t>
      </w:r>
      <w:r w:rsidR="001960CD" w:rsidRPr="00C26BF3">
        <w:rPr>
          <w:sz w:val="22"/>
          <w:szCs w:val="22"/>
        </w:rPr>
        <w:t xml:space="preserve">.   </w:t>
      </w:r>
      <w:r w:rsidRPr="00C26BF3">
        <w:rPr>
          <w:sz w:val="22"/>
          <w:szCs w:val="22"/>
        </w:rPr>
        <w:t xml:space="preserve"> </w:t>
      </w:r>
    </w:p>
    <w:p w14:paraId="7172A301" w14:textId="77777777" w:rsidR="002C6D41" w:rsidRPr="0005170F" w:rsidRDefault="002C6D41" w:rsidP="007E0735">
      <w:pPr>
        <w:pStyle w:val="Numberedparagraphs"/>
        <w:numPr>
          <w:ilvl w:val="0"/>
          <w:numId w:val="0"/>
        </w:numPr>
        <w:tabs>
          <w:tab w:val="clear" w:pos="1440"/>
          <w:tab w:val="left" w:pos="720"/>
        </w:tabs>
        <w:rPr>
          <w:sz w:val="22"/>
          <w:szCs w:val="22"/>
          <w:u w:val="single"/>
        </w:rPr>
      </w:pPr>
      <w:r w:rsidRPr="0005170F">
        <w:rPr>
          <w:i/>
          <w:sz w:val="22"/>
          <w:szCs w:val="22"/>
          <w:u w:val="single"/>
        </w:rPr>
        <w:t xml:space="preserve">De Minimis </w:t>
      </w:r>
      <w:r w:rsidRPr="0005170F">
        <w:rPr>
          <w:sz w:val="22"/>
          <w:szCs w:val="22"/>
          <w:u w:val="single"/>
        </w:rPr>
        <w:t>Exception for Small Providers</w:t>
      </w:r>
    </w:p>
    <w:p w14:paraId="55E44EBB" w14:textId="2EEC7D27" w:rsidR="002C6D41" w:rsidRPr="00C26BF3" w:rsidRDefault="002C6D41" w:rsidP="007E0735">
      <w:pPr>
        <w:pStyle w:val="Numberedparagraphs"/>
        <w:numPr>
          <w:ilvl w:val="0"/>
          <w:numId w:val="0"/>
        </w:numPr>
        <w:tabs>
          <w:tab w:val="clear" w:pos="1440"/>
          <w:tab w:val="left" w:pos="720"/>
        </w:tabs>
        <w:rPr>
          <w:sz w:val="22"/>
          <w:szCs w:val="22"/>
        </w:rPr>
      </w:pPr>
      <w:r w:rsidRPr="00C26BF3">
        <w:rPr>
          <w:sz w:val="22"/>
          <w:szCs w:val="22"/>
        </w:rPr>
        <w:tab/>
      </w:r>
      <w:proofErr w:type="spellStart"/>
      <w:r w:rsidRPr="00C26BF3">
        <w:rPr>
          <w:sz w:val="22"/>
          <w:szCs w:val="22"/>
        </w:rPr>
        <w:t>Protocall</w:t>
      </w:r>
      <w:proofErr w:type="spellEnd"/>
      <w:r w:rsidRPr="00C26BF3">
        <w:rPr>
          <w:sz w:val="22"/>
          <w:szCs w:val="22"/>
        </w:rPr>
        <w:t xml:space="preserve"> argues (at 1) that it lacks the staff and support to either generate such “complex reports” or to “structure our revenue expense line items as specified by the FCC.”  Although we are cognizant of the burdens certain requirements may place on smaller providers, we do not exempt any providers from the annual reporting, certification, and consumer disclosure requirements.  As described above (in 2), these requirements are important to the Commission’s ability to fulfill its statutory obligations regarding ICS.  Moreover, the data we receive from small providers will be vital to the Commission’s ability to ensure that any future rules it adopts are effective and fair for both large and small ICS providers.  We note, for example, that the Commission relied heavily on the data provided by small providers in the </w:t>
      </w:r>
      <w:r w:rsidRPr="00C26BF3">
        <w:rPr>
          <w:i/>
          <w:sz w:val="22"/>
          <w:szCs w:val="22"/>
        </w:rPr>
        <w:t>Second Report and Order</w:t>
      </w:r>
      <w:r w:rsidRPr="00C26BF3">
        <w:rPr>
          <w:sz w:val="22"/>
          <w:szCs w:val="22"/>
        </w:rPr>
        <w:t xml:space="preserve">.  We also note that </w:t>
      </w:r>
      <w:proofErr w:type="spellStart"/>
      <w:r w:rsidRPr="00C26BF3">
        <w:rPr>
          <w:sz w:val="22"/>
          <w:szCs w:val="22"/>
        </w:rPr>
        <w:t>Protocall’s</w:t>
      </w:r>
      <w:proofErr w:type="spellEnd"/>
      <w:r w:rsidRPr="00C26BF3">
        <w:rPr>
          <w:sz w:val="22"/>
          <w:szCs w:val="22"/>
        </w:rPr>
        <w:t xml:space="preserve"> claims are unsubstantiated, which makes it difficult to assess to magnitude of </w:t>
      </w:r>
      <w:r w:rsidR="0005170F">
        <w:rPr>
          <w:sz w:val="22"/>
          <w:szCs w:val="22"/>
        </w:rPr>
        <w:t xml:space="preserve">the challenges </w:t>
      </w:r>
      <w:r w:rsidRPr="00C26BF3">
        <w:rPr>
          <w:sz w:val="22"/>
          <w:szCs w:val="22"/>
        </w:rPr>
        <w:t xml:space="preserve">that it </w:t>
      </w:r>
      <w:r w:rsidR="0005170F">
        <w:rPr>
          <w:sz w:val="22"/>
          <w:szCs w:val="22"/>
        </w:rPr>
        <w:t xml:space="preserve">may </w:t>
      </w:r>
      <w:r w:rsidRPr="00C26BF3">
        <w:rPr>
          <w:sz w:val="22"/>
          <w:szCs w:val="22"/>
        </w:rPr>
        <w:t>face in completing the data collection.  Ultimately, we find that the burden the annual data reporting and certification requirements will place on small ICS providers are far outweighed by the benefits these reports will bring.</w:t>
      </w:r>
    </w:p>
    <w:p w14:paraId="32AD2F08"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9.  The Commission does not anticipate providing any payment or gift to respondents.</w:t>
      </w:r>
    </w:p>
    <w:p w14:paraId="38F20A3E"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 xml:space="preserve">10.  The </w:t>
      </w:r>
      <w:r w:rsidR="00884782" w:rsidRPr="00C26BF3">
        <w:rPr>
          <w:sz w:val="22"/>
          <w:szCs w:val="22"/>
        </w:rPr>
        <w:t>protective order in this proceeding</w:t>
      </w:r>
      <w:r w:rsidR="00884782" w:rsidRPr="00C26BF3">
        <w:rPr>
          <w:rStyle w:val="FootnoteReference"/>
          <w:sz w:val="22"/>
          <w:szCs w:val="22"/>
        </w:rPr>
        <w:footnoteReference w:id="13"/>
      </w:r>
      <w:r w:rsidRPr="00C26BF3">
        <w:rPr>
          <w:sz w:val="22"/>
          <w:szCs w:val="22"/>
        </w:rPr>
        <w:t xml:space="preserve"> </w:t>
      </w:r>
      <w:r w:rsidR="00884782" w:rsidRPr="00C26BF3">
        <w:rPr>
          <w:sz w:val="22"/>
          <w:szCs w:val="22"/>
        </w:rPr>
        <w:t>provides</w:t>
      </w:r>
      <w:r w:rsidRPr="00C26BF3">
        <w:rPr>
          <w:sz w:val="22"/>
          <w:szCs w:val="22"/>
        </w:rPr>
        <w:t xml:space="preserve"> confidential treatment for the proprietary information submitted by ICS providers in response to the </w:t>
      </w:r>
      <w:r w:rsidR="000C5AE1" w:rsidRPr="00C26BF3">
        <w:rPr>
          <w:sz w:val="22"/>
          <w:szCs w:val="22"/>
        </w:rPr>
        <w:t>annual reporting and certification</w:t>
      </w:r>
      <w:r w:rsidR="00884782" w:rsidRPr="00C26BF3">
        <w:rPr>
          <w:sz w:val="22"/>
          <w:szCs w:val="22"/>
        </w:rPr>
        <w:t xml:space="preserve"> requirements</w:t>
      </w:r>
      <w:r w:rsidRPr="00C26BF3">
        <w:rPr>
          <w:sz w:val="22"/>
          <w:szCs w:val="22"/>
        </w:rPr>
        <w:t xml:space="preserve">.  </w:t>
      </w:r>
      <w:r w:rsidR="00884782" w:rsidRPr="00C26BF3">
        <w:rPr>
          <w:sz w:val="22"/>
          <w:szCs w:val="22"/>
        </w:rPr>
        <w:t xml:space="preserve">The Commission will provide for confidential treatment of any particular information identified as confidential by the provider.  Each confidential document should be stamped and submitted to the Secretary’s Office with an accompanying cover letter, as specified by </w:t>
      </w:r>
      <w:r w:rsidR="00884782" w:rsidRPr="00C26BF3">
        <w:rPr>
          <w:i/>
          <w:sz w:val="22"/>
          <w:szCs w:val="22"/>
        </w:rPr>
        <w:t>Protective Order</w:t>
      </w:r>
      <w:r w:rsidR="00884782" w:rsidRPr="00C26BF3">
        <w:rPr>
          <w:sz w:val="22"/>
          <w:szCs w:val="22"/>
        </w:rPr>
        <w:t xml:space="preserve">.  </w:t>
      </w:r>
      <w:r w:rsidRPr="00C26BF3">
        <w:rPr>
          <w:sz w:val="22"/>
          <w:szCs w:val="22"/>
        </w:rPr>
        <w:t xml:space="preserve">This is standard practice when the Commission seeks competitively sensitive information for ratemaking or other purposes.  </w:t>
      </w:r>
    </w:p>
    <w:p w14:paraId="387FB92D" w14:textId="77777777" w:rsidR="00A92A86"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11.  The information collection does not address any matters of a sensitive nature.</w:t>
      </w:r>
      <w:r w:rsidRPr="00C26BF3">
        <w:rPr>
          <w:sz w:val="22"/>
          <w:szCs w:val="22"/>
        </w:rPr>
        <w:tab/>
      </w:r>
    </w:p>
    <w:p w14:paraId="16EFC639" w14:textId="77777777" w:rsidR="007E0735" w:rsidRPr="00C26BF3" w:rsidRDefault="001946D2" w:rsidP="007E0735">
      <w:pPr>
        <w:pStyle w:val="Numberedparagraphs"/>
        <w:numPr>
          <w:ilvl w:val="0"/>
          <w:numId w:val="0"/>
        </w:numPr>
        <w:tabs>
          <w:tab w:val="clear" w:pos="1440"/>
          <w:tab w:val="left" w:pos="720"/>
        </w:tabs>
        <w:rPr>
          <w:sz w:val="22"/>
          <w:szCs w:val="22"/>
        </w:rPr>
      </w:pPr>
      <w:r w:rsidRPr="00C26BF3">
        <w:rPr>
          <w:sz w:val="22"/>
          <w:szCs w:val="22"/>
        </w:rPr>
        <w:tab/>
      </w:r>
      <w:r w:rsidR="007E0735" w:rsidRPr="00C26BF3">
        <w:rPr>
          <w:sz w:val="22"/>
          <w:szCs w:val="22"/>
        </w:rPr>
        <w:t xml:space="preserve">12.  The following represents the hour burden on the collections of information discussed herein.  </w:t>
      </w:r>
    </w:p>
    <w:p w14:paraId="07942824" w14:textId="77777777" w:rsidR="007E0735" w:rsidRPr="00C26BF3" w:rsidRDefault="007E0735" w:rsidP="007E0735">
      <w:pPr>
        <w:pStyle w:val="Numberedparagraphs"/>
        <w:numPr>
          <w:ilvl w:val="0"/>
          <w:numId w:val="0"/>
        </w:numPr>
        <w:tabs>
          <w:tab w:val="clear" w:pos="1440"/>
          <w:tab w:val="left" w:pos="720"/>
        </w:tabs>
        <w:rPr>
          <w:b/>
          <w:sz w:val="22"/>
          <w:szCs w:val="22"/>
        </w:rPr>
      </w:pPr>
      <w:proofErr w:type="gramStart"/>
      <w:r w:rsidRPr="00C26BF3">
        <w:rPr>
          <w:b/>
          <w:sz w:val="22"/>
          <w:szCs w:val="22"/>
        </w:rPr>
        <w:t xml:space="preserve">a.  </w:t>
      </w:r>
      <w:r w:rsidR="00AF2FAB" w:rsidRPr="00C26BF3">
        <w:rPr>
          <w:b/>
          <w:sz w:val="22"/>
          <w:szCs w:val="22"/>
          <w:u w:val="single"/>
        </w:rPr>
        <w:t>Reporting</w:t>
      </w:r>
      <w:proofErr w:type="gramEnd"/>
      <w:r w:rsidRPr="00C26BF3">
        <w:rPr>
          <w:b/>
          <w:sz w:val="22"/>
          <w:szCs w:val="22"/>
          <w:u w:val="single"/>
        </w:rPr>
        <w:t xml:space="preserve"> Requirement</w:t>
      </w:r>
      <w:r w:rsidR="00C65260" w:rsidRPr="00C26BF3">
        <w:rPr>
          <w:b/>
          <w:sz w:val="22"/>
          <w:szCs w:val="22"/>
          <w:u w:val="single"/>
        </w:rPr>
        <w:t>:</w:t>
      </w:r>
    </w:p>
    <w:p w14:paraId="59D49FBA" w14:textId="77777777" w:rsidR="007E0735" w:rsidRPr="00C26BF3" w:rsidRDefault="007E0735" w:rsidP="007E0735">
      <w:pPr>
        <w:keepLines/>
        <w:tabs>
          <w:tab w:val="left" w:pos="-720"/>
        </w:tabs>
        <w:suppressAutoHyphens/>
        <w:rPr>
          <w:spacing w:val="-3"/>
          <w:sz w:val="22"/>
          <w:szCs w:val="22"/>
        </w:rPr>
      </w:pPr>
      <w:r w:rsidRPr="00C26BF3">
        <w:rPr>
          <w:spacing w:val="-3"/>
          <w:sz w:val="22"/>
          <w:szCs w:val="22"/>
        </w:rPr>
        <w:tab/>
        <w:t xml:space="preserve">(1)  </w:t>
      </w:r>
      <w:r w:rsidRPr="00C26BF3">
        <w:rPr>
          <w:spacing w:val="-3"/>
          <w:sz w:val="22"/>
          <w:szCs w:val="22"/>
          <w:u w:val="single"/>
        </w:rPr>
        <w:t>Number of respondents</w:t>
      </w:r>
      <w:r w:rsidRPr="00C26BF3">
        <w:rPr>
          <w:spacing w:val="-3"/>
          <w:sz w:val="22"/>
          <w:szCs w:val="22"/>
        </w:rPr>
        <w:t xml:space="preserve">:  Approximately </w:t>
      </w:r>
      <w:r w:rsidR="00AF2FAB" w:rsidRPr="00C26BF3">
        <w:rPr>
          <w:spacing w:val="-3"/>
          <w:sz w:val="22"/>
          <w:szCs w:val="22"/>
        </w:rPr>
        <w:t>1</w:t>
      </w:r>
      <w:r w:rsidRPr="00C26BF3">
        <w:rPr>
          <w:spacing w:val="-3"/>
          <w:sz w:val="22"/>
          <w:szCs w:val="22"/>
        </w:rPr>
        <w:t>5.</w:t>
      </w:r>
    </w:p>
    <w:p w14:paraId="4D009AAE" w14:textId="77777777" w:rsidR="007E0735" w:rsidRPr="00C26BF3" w:rsidRDefault="007E0735" w:rsidP="007E0735">
      <w:pPr>
        <w:keepLines/>
        <w:tabs>
          <w:tab w:val="left" w:pos="-720"/>
        </w:tabs>
        <w:suppressAutoHyphens/>
        <w:rPr>
          <w:spacing w:val="-3"/>
          <w:sz w:val="22"/>
          <w:szCs w:val="22"/>
        </w:rPr>
      </w:pPr>
    </w:p>
    <w:p w14:paraId="2B3AE592" w14:textId="77777777" w:rsidR="007E0735" w:rsidRPr="00C26BF3" w:rsidRDefault="007E0735" w:rsidP="007E0735">
      <w:pPr>
        <w:keepLines/>
        <w:tabs>
          <w:tab w:val="left" w:pos="-720"/>
        </w:tabs>
        <w:suppressAutoHyphens/>
        <w:rPr>
          <w:spacing w:val="-3"/>
          <w:sz w:val="22"/>
          <w:szCs w:val="22"/>
        </w:rPr>
      </w:pPr>
      <w:r w:rsidRPr="00C26BF3">
        <w:rPr>
          <w:spacing w:val="-3"/>
          <w:sz w:val="22"/>
          <w:szCs w:val="22"/>
        </w:rPr>
        <w:tab/>
        <w:t xml:space="preserve">(2)  </w:t>
      </w:r>
      <w:r w:rsidRPr="00C26BF3">
        <w:rPr>
          <w:spacing w:val="-3"/>
          <w:sz w:val="22"/>
          <w:szCs w:val="22"/>
          <w:u w:val="single"/>
        </w:rPr>
        <w:t>Frequency of response</w:t>
      </w:r>
      <w:r w:rsidRPr="00C26BF3">
        <w:rPr>
          <w:spacing w:val="-3"/>
          <w:sz w:val="22"/>
          <w:szCs w:val="22"/>
        </w:rPr>
        <w:t xml:space="preserve">:  Annual.  </w:t>
      </w:r>
    </w:p>
    <w:p w14:paraId="0D85DC26" w14:textId="77777777" w:rsidR="007E0735" w:rsidRPr="00C26BF3" w:rsidRDefault="007E0735" w:rsidP="007E0735">
      <w:pPr>
        <w:tabs>
          <w:tab w:val="left" w:pos="-720"/>
        </w:tabs>
        <w:suppressAutoHyphens/>
        <w:rPr>
          <w:spacing w:val="-3"/>
          <w:sz w:val="22"/>
          <w:szCs w:val="22"/>
        </w:rPr>
      </w:pPr>
    </w:p>
    <w:p w14:paraId="635B4391" w14:textId="77777777" w:rsidR="007E0735" w:rsidRPr="00C26BF3" w:rsidRDefault="007E0735" w:rsidP="007E0735">
      <w:pPr>
        <w:tabs>
          <w:tab w:val="left" w:pos="-720"/>
        </w:tabs>
        <w:suppressAutoHyphens/>
        <w:rPr>
          <w:spacing w:val="-3"/>
          <w:sz w:val="22"/>
          <w:szCs w:val="22"/>
        </w:rPr>
      </w:pPr>
      <w:r w:rsidRPr="00C26BF3">
        <w:rPr>
          <w:spacing w:val="-3"/>
          <w:sz w:val="22"/>
          <w:szCs w:val="22"/>
        </w:rPr>
        <w:tab/>
        <w:t xml:space="preserve">(3)  </w:t>
      </w:r>
      <w:r w:rsidRPr="00C26BF3">
        <w:rPr>
          <w:spacing w:val="-3"/>
          <w:sz w:val="22"/>
          <w:szCs w:val="22"/>
          <w:u w:val="single"/>
        </w:rPr>
        <w:t>Total number of responses annually</w:t>
      </w:r>
      <w:r w:rsidR="00AF2FAB" w:rsidRPr="00C26BF3">
        <w:rPr>
          <w:spacing w:val="-3"/>
          <w:sz w:val="22"/>
          <w:szCs w:val="22"/>
        </w:rPr>
        <w:t>:  Approximately 1</w:t>
      </w:r>
      <w:r w:rsidRPr="00C26BF3">
        <w:rPr>
          <w:spacing w:val="-3"/>
          <w:sz w:val="22"/>
          <w:szCs w:val="22"/>
        </w:rPr>
        <w:t>5.</w:t>
      </w:r>
    </w:p>
    <w:p w14:paraId="3F3C007F" w14:textId="77777777" w:rsidR="007E0735" w:rsidRPr="00C26BF3" w:rsidRDefault="007E0735" w:rsidP="007E0735">
      <w:pPr>
        <w:tabs>
          <w:tab w:val="left" w:pos="-720"/>
        </w:tabs>
        <w:suppressAutoHyphens/>
        <w:rPr>
          <w:spacing w:val="-3"/>
          <w:sz w:val="22"/>
          <w:szCs w:val="22"/>
        </w:rPr>
      </w:pPr>
    </w:p>
    <w:p w14:paraId="7BEBD469" w14:textId="73AD18A5" w:rsidR="007E0735" w:rsidRPr="00C26BF3" w:rsidRDefault="007E0735" w:rsidP="007E0735">
      <w:pPr>
        <w:tabs>
          <w:tab w:val="left" w:pos="-720"/>
        </w:tabs>
        <w:suppressAutoHyphens/>
        <w:rPr>
          <w:spacing w:val="-3"/>
          <w:sz w:val="22"/>
          <w:szCs w:val="22"/>
        </w:rPr>
      </w:pPr>
      <w:r w:rsidRPr="00C26BF3">
        <w:rPr>
          <w:spacing w:val="-3"/>
          <w:sz w:val="22"/>
          <w:szCs w:val="22"/>
        </w:rPr>
        <w:tab/>
        <w:t xml:space="preserve">(4)  </w:t>
      </w:r>
      <w:r w:rsidRPr="00C26BF3">
        <w:rPr>
          <w:spacing w:val="-3"/>
          <w:sz w:val="22"/>
          <w:szCs w:val="22"/>
          <w:u w:val="single"/>
        </w:rPr>
        <w:t xml:space="preserve">Estimated Time </w:t>
      </w:r>
      <w:r w:rsidR="00073508" w:rsidRPr="00C26BF3">
        <w:rPr>
          <w:spacing w:val="-3"/>
          <w:sz w:val="22"/>
          <w:szCs w:val="22"/>
          <w:u w:val="single"/>
        </w:rPr>
        <w:t>per</w:t>
      </w:r>
      <w:r w:rsidRPr="00C26BF3">
        <w:rPr>
          <w:spacing w:val="-3"/>
          <w:sz w:val="22"/>
          <w:szCs w:val="22"/>
          <w:u w:val="single"/>
        </w:rPr>
        <w:t xml:space="preserve"> Response</w:t>
      </w:r>
      <w:r w:rsidRPr="00C26BF3">
        <w:rPr>
          <w:spacing w:val="-3"/>
          <w:sz w:val="22"/>
          <w:szCs w:val="22"/>
        </w:rPr>
        <w:t xml:space="preserve">:  </w:t>
      </w:r>
      <w:r w:rsidR="00B305EF" w:rsidRPr="00C26BF3">
        <w:rPr>
          <w:spacing w:val="-3"/>
          <w:sz w:val="22"/>
          <w:szCs w:val="22"/>
        </w:rPr>
        <w:t>6</w:t>
      </w:r>
      <w:r w:rsidR="00A92A86" w:rsidRPr="00C26BF3">
        <w:rPr>
          <w:spacing w:val="-3"/>
          <w:sz w:val="22"/>
          <w:szCs w:val="22"/>
        </w:rPr>
        <w:t>0</w:t>
      </w:r>
      <w:r w:rsidRPr="00C26BF3">
        <w:rPr>
          <w:spacing w:val="-3"/>
          <w:sz w:val="22"/>
          <w:szCs w:val="22"/>
        </w:rPr>
        <w:t xml:space="preserve"> hours.</w:t>
      </w:r>
    </w:p>
    <w:p w14:paraId="2140BCE7" w14:textId="77777777" w:rsidR="007E0735" w:rsidRPr="00C26BF3" w:rsidRDefault="007E0735" w:rsidP="007E0735">
      <w:pPr>
        <w:tabs>
          <w:tab w:val="left" w:pos="-720"/>
        </w:tabs>
        <w:suppressAutoHyphens/>
        <w:rPr>
          <w:spacing w:val="-3"/>
          <w:sz w:val="22"/>
          <w:szCs w:val="22"/>
        </w:rPr>
      </w:pPr>
    </w:p>
    <w:p w14:paraId="4B9BAE07" w14:textId="0441C52B" w:rsidR="007E0735" w:rsidRPr="00C26BF3" w:rsidRDefault="007E0735" w:rsidP="007E0735">
      <w:pPr>
        <w:tabs>
          <w:tab w:val="left" w:pos="-720"/>
        </w:tabs>
        <w:suppressAutoHyphens/>
        <w:rPr>
          <w:spacing w:val="-3"/>
          <w:sz w:val="22"/>
          <w:szCs w:val="22"/>
        </w:rPr>
      </w:pPr>
      <w:r w:rsidRPr="00C26BF3">
        <w:rPr>
          <w:spacing w:val="-3"/>
          <w:sz w:val="22"/>
          <w:szCs w:val="22"/>
        </w:rPr>
        <w:tab/>
      </w:r>
      <w:r w:rsidRPr="00C26BF3">
        <w:rPr>
          <w:spacing w:val="-3"/>
          <w:sz w:val="22"/>
          <w:szCs w:val="22"/>
        </w:rPr>
        <w:tab/>
      </w:r>
      <w:r w:rsidR="00AF2FAB" w:rsidRPr="00C26BF3">
        <w:rPr>
          <w:spacing w:val="-3"/>
          <w:sz w:val="22"/>
          <w:szCs w:val="22"/>
        </w:rPr>
        <w:t>15</w:t>
      </w:r>
      <w:r w:rsidRPr="00C26BF3">
        <w:rPr>
          <w:spacing w:val="-3"/>
          <w:sz w:val="22"/>
          <w:szCs w:val="22"/>
        </w:rPr>
        <w:t xml:space="preserve"> respondents x </w:t>
      </w:r>
      <w:r w:rsidR="00B305EF" w:rsidRPr="00C26BF3">
        <w:rPr>
          <w:spacing w:val="-3"/>
          <w:sz w:val="22"/>
          <w:szCs w:val="22"/>
        </w:rPr>
        <w:t>6</w:t>
      </w:r>
      <w:r w:rsidR="00A92A86" w:rsidRPr="00C26BF3">
        <w:rPr>
          <w:spacing w:val="-3"/>
          <w:sz w:val="22"/>
          <w:szCs w:val="22"/>
        </w:rPr>
        <w:t>0</w:t>
      </w:r>
      <w:r w:rsidRPr="00C26BF3">
        <w:rPr>
          <w:spacing w:val="-3"/>
          <w:sz w:val="22"/>
          <w:szCs w:val="22"/>
        </w:rPr>
        <w:t xml:space="preserve"> hours per response</w:t>
      </w:r>
      <w:r w:rsidR="00AF2FAB" w:rsidRPr="00C26BF3">
        <w:rPr>
          <w:spacing w:val="-3"/>
          <w:sz w:val="22"/>
          <w:szCs w:val="22"/>
        </w:rPr>
        <w:t xml:space="preserve"> x </w:t>
      </w:r>
      <w:r w:rsidR="002A5CC3" w:rsidRPr="00C26BF3">
        <w:rPr>
          <w:spacing w:val="-3"/>
          <w:sz w:val="22"/>
          <w:szCs w:val="22"/>
        </w:rPr>
        <w:t>1</w:t>
      </w:r>
      <w:r w:rsidR="00A92A86" w:rsidRPr="00C26BF3">
        <w:rPr>
          <w:spacing w:val="-3"/>
          <w:sz w:val="22"/>
          <w:szCs w:val="22"/>
        </w:rPr>
        <w:t xml:space="preserve"> response per respondent = </w:t>
      </w:r>
      <w:r w:rsidR="00B305EF" w:rsidRPr="00C26BF3">
        <w:rPr>
          <w:spacing w:val="-3"/>
          <w:sz w:val="22"/>
          <w:szCs w:val="22"/>
        </w:rPr>
        <w:t>9</w:t>
      </w:r>
      <w:r w:rsidR="00A92A86" w:rsidRPr="00C26BF3">
        <w:rPr>
          <w:spacing w:val="-3"/>
          <w:sz w:val="22"/>
          <w:szCs w:val="22"/>
        </w:rPr>
        <w:t>00</w:t>
      </w:r>
      <w:r w:rsidRPr="00C26BF3">
        <w:rPr>
          <w:spacing w:val="-3"/>
          <w:sz w:val="22"/>
          <w:szCs w:val="22"/>
        </w:rPr>
        <w:t xml:space="preserve"> hours.</w:t>
      </w:r>
    </w:p>
    <w:p w14:paraId="2E7020A8" w14:textId="77777777" w:rsidR="007E0735" w:rsidRPr="00C26BF3" w:rsidRDefault="007E0735" w:rsidP="007E0735">
      <w:pPr>
        <w:tabs>
          <w:tab w:val="left" w:pos="-720"/>
        </w:tabs>
        <w:suppressAutoHyphens/>
        <w:rPr>
          <w:spacing w:val="-3"/>
          <w:sz w:val="22"/>
          <w:szCs w:val="22"/>
        </w:rPr>
      </w:pPr>
    </w:p>
    <w:p w14:paraId="1EA185E7" w14:textId="6A35AB88" w:rsidR="007E0735" w:rsidRPr="00C26BF3" w:rsidRDefault="007E0735" w:rsidP="007E0735">
      <w:pPr>
        <w:tabs>
          <w:tab w:val="left" w:pos="-720"/>
        </w:tabs>
        <w:suppressAutoHyphens/>
        <w:rPr>
          <w:spacing w:val="-3"/>
          <w:sz w:val="22"/>
          <w:szCs w:val="22"/>
        </w:rPr>
      </w:pPr>
      <w:r w:rsidRPr="00C26BF3">
        <w:rPr>
          <w:spacing w:val="-3"/>
          <w:sz w:val="22"/>
          <w:szCs w:val="22"/>
        </w:rPr>
        <w:tab/>
        <w:t xml:space="preserve">(5)  </w:t>
      </w:r>
      <w:r w:rsidRPr="00C26BF3">
        <w:rPr>
          <w:spacing w:val="-3"/>
          <w:sz w:val="22"/>
          <w:szCs w:val="22"/>
          <w:u w:val="single"/>
        </w:rPr>
        <w:t>Total annual burden</w:t>
      </w:r>
      <w:r w:rsidRPr="00C26BF3">
        <w:rPr>
          <w:spacing w:val="-3"/>
          <w:sz w:val="22"/>
          <w:szCs w:val="22"/>
        </w:rPr>
        <w:t xml:space="preserve">:  </w:t>
      </w:r>
      <w:r w:rsidR="00B305EF" w:rsidRPr="00C26BF3">
        <w:rPr>
          <w:b/>
          <w:spacing w:val="-3"/>
          <w:sz w:val="22"/>
          <w:szCs w:val="22"/>
        </w:rPr>
        <w:t>9</w:t>
      </w:r>
      <w:r w:rsidR="00A92A86" w:rsidRPr="00C26BF3">
        <w:rPr>
          <w:b/>
          <w:spacing w:val="-3"/>
          <w:sz w:val="22"/>
          <w:szCs w:val="22"/>
        </w:rPr>
        <w:t xml:space="preserve">00 </w:t>
      </w:r>
      <w:r w:rsidRPr="00C26BF3">
        <w:rPr>
          <w:b/>
          <w:spacing w:val="-3"/>
          <w:sz w:val="22"/>
          <w:szCs w:val="22"/>
        </w:rPr>
        <w:t>hours</w:t>
      </w:r>
      <w:r w:rsidRPr="00C26BF3">
        <w:rPr>
          <w:spacing w:val="-3"/>
          <w:sz w:val="22"/>
          <w:szCs w:val="22"/>
        </w:rPr>
        <w:t>.</w:t>
      </w:r>
    </w:p>
    <w:p w14:paraId="359AC397" w14:textId="77777777" w:rsidR="007E0735" w:rsidRPr="00C26BF3" w:rsidRDefault="007E0735" w:rsidP="007E0735">
      <w:pPr>
        <w:tabs>
          <w:tab w:val="left" w:pos="-720"/>
        </w:tabs>
        <w:suppressAutoHyphens/>
        <w:rPr>
          <w:spacing w:val="-3"/>
          <w:sz w:val="22"/>
          <w:szCs w:val="22"/>
        </w:rPr>
      </w:pPr>
    </w:p>
    <w:p w14:paraId="0D4E3513" w14:textId="280260FE" w:rsidR="007E0735" w:rsidRPr="00C26BF3" w:rsidRDefault="007E0735" w:rsidP="007E0735">
      <w:pPr>
        <w:tabs>
          <w:tab w:val="left" w:pos="-720"/>
        </w:tabs>
        <w:suppressAutoHyphens/>
        <w:ind w:left="1440"/>
        <w:rPr>
          <w:spacing w:val="-3"/>
          <w:sz w:val="22"/>
          <w:szCs w:val="22"/>
        </w:rPr>
      </w:pPr>
      <w:r w:rsidRPr="00C26BF3">
        <w:rPr>
          <w:spacing w:val="-3"/>
          <w:sz w:val="22"/>
          <w:szCs w:val="22"/>
        </w:rPr>
        <w:t xml:space="preserve">The Commission estimates that approximately </w:t>
      </w:r>
      <w:r w:rsidR="00B06BB6" w:rsidRPr="00C26BF3">
        <w:rPr>
          <w:spacing w:val="-3"/>
          <w:sz w:val="22"/>
          <w:szCs w:val="22"/>
        </w:rPr>
        <w:t>15</w:t>
      </w:r>
      <w:r w:rsidRPr="00C26BF3">
        <w:rPr>
          <w:spacing w:val="-3"/>
          <w:sz w:val="22"/>
          <w:szCs w:val="22"/>
        </w:rPr>
        <w:t xml:space="preserve"> ICS providers will require </w:t>
      </w:r>
      <w:r w:rsidR="00B305EF" w:rsidRPr="00C26BF3">
        <w:rPr>
          <w:spacing w:val="-3"/>
          <w:sz w:val="22"/>
          <w:szCs w:val="22"/>
        </w:rPr>
        <w:t>6</w:t>
      </w:r>
      <w:r w:rsidR="00D17D63" w:rsidRPr="00C26BF3">
        <w:rPr>
          <w:spacing w:val="-3"/>
          <w:sz w:val="22"/>
          <w:szCs w:val="22"/>
        </w:rPr>
        <w:t>0</w:t>
      </w:r>
      <w:r w:rsidRPr="00C26BF3">
        <w:rPr>
          <w:spacing w:val="-3"/>
          <w:sz w:val="22"/>
          <w:szCs w:val="22"/>
        </w:rPr>
        <w:t xml:space="preserve"> hours of reporting time.  </w:t>
      </w:r>
    </w:p>
    <w:p w14:paraId="0C56DCBE" w14:textId="77777777" w:rsidR="007E0735" w:rsidRPr="00C26BF3" w:rsidRDefault="007E0735" w:rsidP="007E0735">
      <w:pPr>
        <w:tabs>
          <w:tab w:val="left" w:pos="-720"/>
        </w:tabs>
        <w:suppressAutoHyphens/>
        <w:ind w:left="1440"/>
        <w:rPr>
          <w:spacing w:val="-3"/>
          <w:sz w:val="22"/>
          <w:szCs w:val="22"/>
        </w:rPr>
      </w:pPr>
    </w:p>
    <w:p w14:paraId="7B5F1965" w14:textId="5110257F" w:rsidR="007E0735" w:rsidRPr="00C26BF3" w:rsidRDefault="007E0735" w:rsidP="007E0735">
      <w:pPr>
        <w:tabs>
          <w:tab w:val="left" w:pos="-720"/>
        </w:tabs>
        <w:suppressAutoHyphens/>
        <w:ind w:left="1440"/>
        <w:rPr>
          <w:spacing w:val="-3"/>
          <w:sz w:val="22"/>
          <w:szCs w:val="22"/>
        </w:rPr>
      </w:pPr>
      <w:r w:rsidRPr="00C26BF3">
        <w:rPr>
          <w:spacing w:val="-3"/>
          <w:sz w:val="22"/>
          <w:szCs w:val="22"/>
        </w:rPr>
        <w:t xml:space="preserve">Approximately </w:t>
      </w:r>
      <w:r w:rsidR="00B06BB6" w:rsidRPr="00C26BF3">
        <w:rPr>
          <w:spacing w:val="-3"/>
          <w:sz w:val="22"/>
          <w:szCs w:val="22"/>
        </w:rPr>
        <w:t>15</w:t>
      </w:r>
      <w:r w:rsidRPr="00C26BF3">
        <w:rPr>
          <w:spacing w:val="-3"/>
          <w:sz w:val="22"/>
          <w:szCs w:val="22"/>
        </w:rPr>
        <w:t xml:space="preserve"> respondents x 1 response x </w:t>
      </w:r>
      <w:r w:rsidR="00B305EF" w:rsidRPr="00C26BF3">
        <w:rPr>
          <w:spacing w:val="-3"/>
          <w:sz w:val="22"/>
          <w:szCs w:val="22"/>
        </w:rPr>
        <w:t>6</w:t>
      </w:r>
      <w:r w:rsidR="00D17D63" w:rsidRPr="00C26BF3">
        <w:rPr>
          <w:spacing w:val="-3"/>
          <w:sz w:val="22"/>
          <w:szCs w:val="22"/>
        </w:rPr>
        <w:t>0</w:t>
      </w:r>
      <w:r w:rsidRPr="00C26BF3">
        <w:rPr>
          <w:spacing w:val="-3"/>
          <w:sz w:val="22"/>
          <w:szCs w:val="22"/>
        </w:rPr>
        <w:t xml:space="preserve"> hours per response = </w:t>
      </w:r>
      <w:r w:rsidR="00B305EF" w:rsidRPr="00C26BF3">
        <w:rPr>
          <w:spacing w:val="-3"/>
          <w:sz w:val="22"/>
          <w:szCs w:val="22"/>
        </w:rPr>
        <w:t>9</w:t>
      </w:r>
      <w:r w:rsidR="00A92A86" w:rsidRPr="00C26BF3">
        <w:rPr>
          <w:spacing w:val="-3"/>
          <w:sz w:val="22"/>
          <w:szCs w:val="22"/>
        </w:rPr>
        <w:t>00</w:t>
      </w:r>
      <w:r w:rsidRPr="00C26BF3">
        <w:rPr>
          <w:spacing w:val="-3"/>
          <w:sz w:val="22"/>
          <w:szCs w:val="22"/>
        </w:rPr>
        <w:t xml:space="preserve"> hours.</w:t>
      </w:r>
    </w:p>
    <w:p w14:paraId="0A5E36A0" w14:textId="77777777" w:rsidR="007E0735" w:rsidRPr="00C26BF3" w:rsidRDefault="007E0735" w:rsidP="007E0735">
      <w:pPr>
        <w:tabs>
          <w:tab w:val="left" w:pos="-720"/>
        </w:tabs>
        <w:suppressAutoHyphens/>
        <w:rPr>
          <w:spacing w:val="-3"/>
          <w:sz w:val="22"/>
          <w:szCs w:val="22"/>
        </w:rPr>
      </w:pPr>
    </w:p>
    <w:p w14:paraId="5B624036" w14:textId="607DEC36" w:rsidR="007E0735" w:rsidRPr="00C26BF3" w:rsidRDefault="007E0735" w:rsidP="007E0735">
      <w:pPr>
        <w:tabs>
          <w:tab w:val="left" w:pos="-720"/>
        </w:tabs>
        <w:suppressAutoHyphens/>
        <w:rPr>
          <w:spacing w:val="-3"/>
          <w:sz w:val="22"/>
          <w:szCs w:val="22"/>
        </w:rPr>
      </w:pPr>
      <w:r w:rsidRPr="00C26BF3">
        <w:rPr>
          <w:spacing w:val="-3"/>
          <w:sz w:val="22"/>
          <w:szCs w:val="22"/>
        </w:rPr>
        <w:tab/>
        <w:t xml:space="preserve">(6)  </w:t>
      </w:r>
      <w:r w:rsidRPr="00C26BF3">
        <w:rPr>
          <w:spacing w:val="-3"/>
          <w:sz w:val="22"/>
          <w:szCs w:val="22"/>
          <w:u w:val="single"/>
        </w:rPr>
        <w:t>Total estimate of “in</w:t>
      </w:r>
      <w:r w:rsidR="00D17D63" w:rsidRPr="00C26BF3">
        <w:rPr>
          <w:spacing w:val="-3"/>
          <w:sz w:val="22"/>
          <w:szCs w:val="22"/>
          <w:u w:val="single"/>
        </w:rPr>
        <w:t>-</w:t>
      </w:r>
      <w:r w:rsidRPr="00C26BF3">
        <w:rPr>
          <w:spacing w:val="-3"/>
          <w:sz w:val="22"/>
          <w:szCs w:val="22"/>
          <w:u w:val="single"/>
        </w:rPr>
        <w:t>house” cost to respondents:</w:t>
      </w:r>
      <w:r w:rsidRPr="00C26BF3">
        <w:rPr>
          <w:spacing w:val="-3"/>
          <w:sz w:val="22"/>
          <w:szCs w:val="22"/>
        </w:rPr>
        <w:t xml:space="preserve">  </w:t>
      </w:r>
      <w:r w:rsidRPr="00C26BF3">
        <w:rPr>
          <w:b/>
          <w:sz w:val="22"/>
          <w:szCs w:val="22"/>
        </w:rPr>
        <w:t>$</w:t>
      </w:r>
      <w:r w:rsidR="00B305EF" w:rsidRPr="00C26BF3">
        <w:rPr>
          <w:b/>
          <w:sz w:val="22"/>
          <w:szCs w:val="22"/>
        </w:rPr>
        <w:t>40</w:t>
      </w:r>
      <w:r w:rsidR="00DD740A" w:rsidRPr="00C26BF3">
        <w:rPr>
          <w:b/>
          <w:sz w:val="22"/>
          <w:szCs w:val="22"/>
        </w:rPr>
        <w:t>,</w:t>
      </w:r>
      <w:r w:rsidR="00B305EF" w:rsidRPr="00C26BF3">
        <w:rPr>
          <w:b/>
          <w:sz w:val="22"/>
          <w:szCs w:val="22"/>
        </w:rPr>
        <w:t>5</w:t>
      </w:r>
      <w:r w:rsidR="00DD740A" w:rsidRPr="00C26BF3">
        <w:rPr>
          <w:b/>
          <w:sz w:val="22"/>
          <w:szCs w:val="22"/>
        </w:rPr>
        <w:t>00</w:t>
      </w:r>
      <w:r w:rsidR="00A92A86" w:rsidRPr="00C26BF3">
        <w:rPr>
          <w:sz w:val="22"/>
          <w:szCs w:val="22"/>
        </w:rPr>
        <w:t>.</w:t>
      </w:r>
    </w:p>
    <w:p w14:paraId="63463846" w14:textId="77777777" w:rsidR="007E0735" w:rsidRPr="00C26BF3" w:rsidRDefault="007E0735" w:rsidP="007E0735">
      <w:pPr>
        <w:tabs>
          <w:tab w:val="left" w:pos="-720"/>
        </w:tabs>
        <w:suppressAutoHyphens/>
        <w:rPr>
          <w:spacing w:val="-3"/>
          <w:sz w:val="22"/>
          <w:szCs w:val="22"/>
        </w:rPr>
      </w:pPr>
    </w:p>
    <w:p w14:paraId="17E9BB69" w14:textId="77777777" w:rsidR="007E0735" w:rsidRPr="00C26BF3" w:rsidRDefault="007E0735" w:rsidP="007E0735">
      <w:pPr>
        <w:tabs>
          <w:tab w:val="left" w:pos="-720"/>
        </w:tabs>
        <w:suppressAutoHyphens/>
        <w:rPr>
          <w:sz w:val="22"/>
          <w:szCs w:val="22"/>
        </w:rPr>
      </w:pPr>
      <w:r w:rsidRPr="00C26BF3">
        <w:rPr>
          <w:sz w:val="22"/>
          <w:szCs w:val="22"/>
        </w:rPr>
        <w:tab/>
        <w:t xml:space="preserve">(7)  </w:t>
      </w:r>
      <w:r w:rsidRPr="00C26BF3">
        <w:rPr>
          <w:sz w:val="22"/>
          <w:szCs w:val="22"/>
          <w:u w:val="single"/>
        </w:rPr>
        <w:t>Explanation of the calculation</w:t>
      </w:r>
      <w:r w:rsidRPr="00C26BF3">
        <w:rPr>
          <w:sz w:val="22"/>
          <w:szCs w:val="22"/>
        </w:rPr>
        <w:t xml:space="preserve">:  </w:t>
      </w:r>
    </w:p>
    <w:p w14:paraId="7CC766C9" w14:textId="77777777" w:rsidR="007E0735" w:rsidRPr="00C26BF3" w:rsidRDefault="007E0735" w:rsidP="007E0735">
      <w:pPr>
        <w:tabs>
          <w:tab w:val="left" w:pos="-720"/>
        </w:tabs>
        <w:suppressAutoHyphens/>
        <w:rPr>
          <w:sz w:val="22"/>
          <w:szCs w:val="22"/>
        </w:rPr>
      </w:pPr>
    </w:p>
    <w:p w14:paraId="08BF1D57" w14:textId="77777777" w:rsidR="007E0735" w:rsidRPr="00C26BF3" w:rsidRDefault="007E0735" w:rsidP="007E0735">
      <w:pPr>
        <w:tabs>
          <w:tab w:val="left" w:pos="-720"/>
        </w:tabs>
        <w:suppressAutoHyphens/>
        <w:ind w:left="1440"/>
        <w:rPr>
          <w:sz w:val="22"/>
          <w:szCs w:val="22"/>
        </w:rPr>
      </w:pPr>
      <w:r w:rsidRPr="00C26BF3">
        <w:rPr>
          <w:sz w:val="22"/>
          <w:szCs w:val="22"/>
        </w:rPr>
        <w:t xml:space="preserve">The Commission estimates that approximately </w:t>
      </w:r>
      <w:r w:rsidR="002A5CC3" w:rsidRPr="00C26BF3">
        <w:rPr>
          <w:sz w:val="22"/>
          <w:szCs w:val="22"/>
        </w:rPr>
        <w:t>15</w:t>
      </w:r>
      <w:r w:rsidRPr="00C26BF3">
        <w:rPr>
          <w:sz w:val="22"/>
          <w:szCs w:val="22"/>
        </w:rPr>
        <w:t xml:space="preserve"> ICS providers will be subject to this </w:t>
      </w:r>
      <w:r w:rsidR="0046755C" w:rsidRPr="00C26BF3">
        <w:rPr>
          <w:sz w:val="22"/>
          <w:szCs w:val="22"/>
        </w:rPr>
        <w:t xml:space="preserve">reporting </w:t>
      </w:r>
      <w:r w:rsidRPr="00C26BF3">
        <w:rPr>
          <w:sz w:val="22"/>
          <w:szCs w:val="22"/>
        </w:rPr>
        <w:t>requirement.</w:t>
      </w:r>
    </w:p>
    <w:p w14:paraId="26D550DF" w14:textId="77777777" w:rsidR="007E0735" w:rsidRPr="00C26BF3" w:rsidRDefault="007E0735" w:rsidP="007E0735">
      <w:pPr>
        <w:tabs>
          <w:tab w:val="left" w:pos="-720"/>
        </w:tabs>
        <w:suppressAutoHyphens/>
        <w:rPr>
          <w:sz w:val="22"/>
          <w:szCs w:val="22"/>
        </w:rPr>
      </w:pPr>
    </w:p>
    <w:p w14:paraId="608C52AD" w14:textId="74395B29" w:rsidR="007E0735" w:rsidRPr="00C26BF3" w:rsidRDefault="007E0735" w:rsidP="007E0735">
      <w:pPr>
        <w:tabs>
          <w:tab w:val="left" w:pos="-720"/>
        </w:tabs>
        <w:suppressAutoHyphens/>
        <w:ind w:left="1440"/>
        <w:rPr>
          <w:sz w:val="22"/>
          <w:szCs w:val="22"/>
        </w:rPr>
      </w:pPr>
      <w:r w:rsidRPr="00C26BF3">
        <w:rPr>
          <w:sz w:val="22"/>
          <w:szCs w:val="22"/>
        </w:rPr>
        <w:t xml:space="preserve">We assume that respondents will use </w:t>
      </w:r>
      <w:r w:rsidR="007D7054" w:rsidRPr="00C26BF3">
        <w:rPr>
          <w:sz w:val="22"/>
          <w:szCs w:val="22"/>
        </w:rPr>
        <w:t xml:space="preserve">60 </w:t>
      </w:r>
      <w:r w:rsidRPr="00C26BF3">
        <w:rPr>
          <w:sz w:val="22"/>
          <w:szCs w:val="22"/>
        </w:rPr>
        <w:t xml:space="preserve">hours of in-house accounting services (rate of $45/hour) to satisfy this </w:t>
      </w:r>
      <w:r w:rsidR="0046755C" w:rsidRPr="00C26BF3">
        <w:rPr>
          <w:sz w:val="22"/>
          <w:szCs w:val="22"/>
        </w:rPr>
        <w:t xml:space="preserve">reporting </w:t>
      </w:r>
      <w:r w:rsidRPr="00C26BF3">
        <w:rPr>
          <w:sz w:val="22"/>
          <w:szCs w:val="22"/>
        </w:rPr>
        <w:t xml:space="preserve">requirement.  Thus </w:t>
      </w:r>
      <w:r w:rsidR="007D7054" w:rsidRPr="00C26BF3">
        <w:rPr>
          <w:sz w:val="22"/>
          <w:szCs w:val="22"/>
        </w:rPr>
        <w:t xml:space="preserve">900 </w:t>
      </w:r>
      <w:r w:rsidRPr="00C26BF3">
        <w:rPr>
          <w:sz w:val="22"/>
          <w:szCs w:val="22"/>
        </w:rPr>
        <w:t>hours x $45</w:t>
      </w:r>
      <w:r w:rsidR="00A92A86" w:rsidRPr="00C26BF3">
        <w:rPr>
          <w:sz w:val="22"/>
          <w:szCs w:val="22"/>
        </w:rPr>
        <w:t xml:space="preserve"> = $</w:t>
      </w:r>
      <w:r w:rsidR="00B305EF" w:rsidRPr="00C26BF3">
        <w:rPr>
          <w:sz w:val="22"/>
          <w:szCs w:val="22"/>
        </w:rPr>
        <w:t>40</w:t>
      </w:r>
      <w:r w:rsidR="00A92A86" w:rsidRPr="00C26BF3">
        <w:rPr>
          <w:sz w:val="22"/>
          <w:szCs w:val="22"/>
        </w:rPr>
        <w:t>,</w:t>
      </w:r>
      <w:r w:rsidR="00B305EF" w:rsidRPr="00C26BF3">
        <w:rPr>
          <w:sz w:val="22"/>
          <w:szCs w:val="22"/>
        </w:rPr>
        <w:t>5</w:t>
      </w:r>
      <w:r w:rsidR="00A92A86" w:rsidRPr="00C26BF3">
        <w:rPr>
          <w:sz w:val="22"/>
          <w:szCs w:val="22"/>
        </w:rPr>
        <w:t>00.</w:t>
      </w:r>
    </w:p>
    <w:p w14:paraId="024CA49F" w14:textId="77777777" w:rsidR="00EE21C5" w:rsidRPr="00C26BF3" w:rsidRDefault="00EE21C5" w:rsidP="00EE21C5">
      <w:pPr>
        <w:tabs>
          <w:tab w:val="left" w:pos="-720"/>
        </w:tabs>
        <w:suppressAutoHyphens/>
        <w:rPr>
          <w:sz w:val="22"/>
          <w:szCs w:val="22"/>
        </w:rPr>
      </w:pPr>
    </w:p>
    <w:p w14:paraId="51541F35" w14:textId="77777777" w:rsidR="007E0735" w:rsidRPr="00C26BF3" w:rsidRDefault="007E0735" w:rsidP="007E0735">
      <w:pPr>
        <w:keepLines/>
        <w:tabs>
          <w:tab w:val="left" w:pos="-720"/>
        </w:tabs>
        <w:suppressAutoHyphens/>
        <w:rPr>
          <w:b/>
          <w:spacing w:val="-3"/>
          <w:sz w:val="22"/>
          <w:szCs w:val="22"/>
        </w:rPr>
      </w:pPr>
    </w:p>
    <w:p w14:paraId="233E1DFB" w14:textId="77777777" w:rsidR="007E0735" w:rsidRPr="00C26BF3" w:rsidRDefault="007E0735" w:rsidP="007E0735">
      <w:pPr>
        <w:keepLines/>
        <w:tabs>
          <w:tab w:val="left" w:pos="-720"/>
        </w:tabs>
        <w:suppressAutoHyphens/>
        <w:rPr>
          <w:b/>
          <w:spacing w:val="-3"/>
          <w:sz w:val="22"/>
          <w:szCs w:val="22"/>
        </w:rPr>
      </w:pPr>
      <w:proofErr w:type="gramStart"/>
      <w:r w:rsidRPr="00C26BF3">
        <w:rPr>
          <w:b/>
          <w:spacing w:val="-3"/>
          <w:sz w:val="22"/>
          <w:szCs w:val="22"/>
        </w:rPr>
        <w:t xml:space="preserve">b. </w:t>
      </w:r>
      <w:r w:rsidR="00C65260" w:rsidRPr="00C26BF3">
        <w:rPr>
          <w:b/>
          <w:spacing w:val="-3"/>
          <w:sz w:val="22"/>
          <w:szCs w:val="22"/>
          <w:u w:val="single"/>
        </w:rPr>
        <w:t xml:space="preserve"> Certification</w:t>
      </w:r>
      <w:proofErr w:type="gramEnd"/>
      <w:r w:rsidR="00C65260" w:rsidRPr="00C26BF3">
        <w:rPr>
          <w:b/>
          <w:spacing w:val="-3"/>
          <w:sz w:val="22"/>
          <w:szCs w:val="22"/>
          <w:u w:val="single"/>
        </w:rPr>
        <w:t xml:space="preserve"> </w:t>
      </w:r>
      <w:r w:rsidRPr="00C26BF3">
        <w:rPr>
          <w:b/>
          <w:spacing w:val="-3"/>
          <w:sz w:val="22"/>
          <w:szCs w:val="22"/>
          <w:u w:val="single"/>
        </w:rPr>
        <w:t>Requiremen</w:t>
      </w:r>
      <w:r w:rsidR="00C65260" w:rsidRPr="00C26BF3">
        <w:rPr>
          <w:b/>
          <w:spacing w:val="-3"/>
          <w:sz w:val="22"/>
          <w:szCs w:val="22"/>
        </w:rPr>
        <w:t>t</w:t>
      </w:r>
      <w:r w:rsidR="006129A5" w:rsidRPr="00C26BF3">
        <w:rPr>
          <w:b/>
          <w:spacing w:val="-3"/>
          <w:sz w:val="22"/>
          <w:szCs w:val="22"/>
        </w:rPr>
        <w:t>:</w:t>
      </w:r>
    </w:p>
    <w:p w14:paraId="2110FBFB" w14:textId="77777777" w:rsidR="007E0735" w:rsidRPr="00C26BF3" w:rsidRDefault="007E0735" w:rsidP="007E0735">
      <w:pPr>
        <w:keepLines/>
        <w:tabs>
          <w:tab w:val="left" w:pos="-720"/>
        </w:tabs>
        <w:suppressAutoHyphens/>
        <w:rPr>
          <w:spacing w:val="-3"/>
          <w:sz w:val="22"/>
          <w:szCs w:val="22"/>
        </w:rPr>
      </w:pPr>
    </w:p>
    <w:p w14:paraId="239F7ED6" w14:textId="77777777" w:rsidR="007E0735" w:rsidRPr="00C26BF3" w:rsidRDefault="007E0735" w:rsidP="00993512">
      <w:pPr>
        <w:pStyle w:val="ListParagraph"/>
        <w:keepLines/>
        <w:numPr>
          <w:ilvl w:val="0"/>
          <w:numId w:val="3"/>
        </w:numPr>
        <w:tabs>
          <w:tab w:val="left" w:pos="-720"/>
        </w:tabs>
        <w:suppressAutoHyphens/>
        <w:rPr>
          <w:spacing w:val="-3"/>
          <w:sz w:val="22"/>
          <w:szCs w:val="22"/>
        </w:rPr>
      </w:pPr>
      <w:r w:rsidRPr="00C26BF3">
        <w:rPr>
          <w:spacing w:val="-3"/>
          <w:sz w:val="22"/>
          <w:szCs w:val="22"/>
          <w:u w:val="single"/>
        </w:rPr>
        <w:t>Number of respondents</w:t>
      </w:r>
      <w:r w:rsidRPr="00C26BF3">
        <w:rPr>
          <w:spacing w:val="-3"/>
          <w:sz w:val="22"/>
          <w:szCs w:val="22"/>
        </w:rPr>
        <w:t xml:space="preserve">:  Approximately </w:t>
      </w:r>
      <w:r w:rsidR="00F41E80" w:rsidRPr="00C26BF3">
        <w:rPr>
          <w:spacing w:val="-3"/>
          <w:sz w:val="22"/>
          <w:szCs w:val="22"/>
        </w:rPr>
        <w:t>15</w:t>
      </w:r>
      <w:r w:rsidRPr="00C26BF3">
        <w:rPr>
          <w:spacing w:val="-3"/>
          <w:sz w:val="22"/>
          <w:szCs w:val="22"/>
        </w:rPr>
        <w:t>.</w:t>
      </w:r>
    </w:p>
    <w:p w14:paraId="38D1A97D" w14:textId="77777777" w:rsidR="007E0735" w:rsidRPr="00C26BF3" w:rsidRDefault="007E0735" w:rsidP="007E0735">
      <w:pPr>
        <w:keepLines/>
        <w:tabs>
          <w:tab w:val="left" w:pos="-720"/>
        </w:tabs>
        <w:suppressAutoHyphens/>
        <w:rPr>
          <w:spacing w:val="-3"/>
          <w:sz w:val="22"/>
          <w:szCs w:val="22"/>
        </w:rPr>
      </w:pPr>
    </w:p>
    <w:p w14:paraId="5E6000C4" w14:textId="77777777" w:rsidR="007E0735" w:rsidRPr="00C26BF3" w:rsidRDefault="007E0735" w:rsidP="007E0735">
      <w:pPr>
        <w:keepLines/>
        <w:tabs>
          <w:tab w:val="left" w:pos="-720"/>
        </w:tabs>
        <w:suppressAutoHyphens/>
        <w:rPr>
          <w:spacing w:val="-3"/>
          <w:sz w:val="22"/>
          <w:szCs w:val="22"/>
        </w:rPr>
      </w:pPr>
      <w:r w:rsidRPr="00C26BF3">
        <w:rPr>
          <w:spacing w:val="-3"/>
          <w:sz w:val="22"/>
          <w:szCs w:val="22"/>
        </w:rPr>
        <w:tab/>
        <w:t xml:space="preserve">(2)  </w:t>
      </w:r>
      <w:r w:rsidRPr="00C26BF3">
        <w:rPr>
          <w:spacing w:val="-3"/>
          <w:sz w:val="22"/>
          <w:szCs w:val="22"/>
          <w:u w:val="single"/>
        </w:rPr>
        <w:t>Frequency of response</w:t>
      </w:r>
      <w:r w:rsidRPr="00C26BF3">
        <w:rPr>
          <w:spacing w:val="-3"/>
          <w:sz w:val="22"/>
          <w:szCs w:val="22"/>
        </w:rPr>
        <w:t xml:space="preserve">:  </w:t>
      </w:r>
      <w:r w:rsidR="00F41E80" w:rsidRPr="00C26BF3">
        <w:rPr>
          <w:spacing w:val="-3"/>
          <w:sz w:val="22"/>
          <w:szCs w:val="22"/>
        </w:rPr>
        <w:t>Annual</w:t>
      </w:r>
      <w:r w:rsidRPr="00C26BF3">
        <w:rPr>
          <w:spacing w:val="-3"/>
          <w:sz w:val="22"/>
          <w:szCs w:val="22"/>
        </w:rPr>
        <w:t xml:space="preserve">.  </w:t>
      </w:r>
    </w:p>
    <w:p w14:paraId="240A4FAC" w14:textId="77777777" w:rsidR="007E0735" w:rsidRPr="00C26BF3" w:rsidRDefault="007E0735" w:rsidP="007E0735">
      <w:pPr>
        <w:tabs>
          <w:tab w:val="left" w:pos="-720"/>
        </w:tabs>
        <w:suppressAutoHyphens/>
        <w:rPr>
          <w:spacing w:val="-3"/>
          <w:sz w:val="22"/>
          <w:szCs w:val="22"/>
        </w:rPr>
      </w:pPr>
    </w:p>
    <w:p w14:paraId="3A9F459D" w14:textId="77777777" w:rsidR="007E0735" w:rsidRPr="00C26BF3" w:rsidRDefault="007E0735" w:rsidP="007E0735">
      <w:pPr>
        <w:tabs>
          <w:tab w:val="left" w:pos="-720"/>
        </w:tabs>
        <w:suppressAutoHyphens/>
        <w:rPr>
          <w:spacing w:val="-3"/>
          <w:sz w:val="22"/>
          <w:szCs w:val="22"/>
        </w:rPr>
      </w:pPr>
      <w:r w:rsidRPr="00C26BF3">
        <w:rPr>
          <w:spacing w:val="-3"/>
          <w:sz w:val="22"/>
          <w:szCs w:val="22"/>
        </w:rPr>
        <w:tab/>
        <w:t xml:space="preserve">(3)  </w:t>
      </w:r>
      <w:r w:rsidRPr="00C26BF3">
        <w:rPr>
          <w:spacing w:val="-3"/>
          <w:sz w:val="22"/>
          <w:szCs w:val="22"/>
          <w:u w:val="single"/>
        </w:rPr>
        <w:t>Total number of responses annually</w:t>
      </w:r>
      <w:r w:rsidRPr="00C26BF3">
        <w:rPr>
          <w:spacing w:val="-3"/>
          <w:sz w:val="22"/>
          <w:szCs w:val="22"/>
        </w:rPr>
        <w:t xml:space="preserve">:  Approximately </w:t>
      </w:r>
      <w:r w:rsidR="00F41E80" w:rsidRPr="00C26BF3">
        <w:rPr>
          <w:spacing w:val="-3"/>
          <w:sz w:val="22"/>
          <w:szCs w:val="22"/>
        </w:rPr>
        <w:t>15</w:t>
      </w:r>
      <w:r w:rsidRPr="00C26BF3">
        <w:rPr>
          <w:spacing w:val="-3"/>
          <w:sz w:val="22"/>
          <w:szCs w:val="22"/>
        </w:rPr>
        <w:t>.</w:t>
      </w:r>
    </w:p>
    <w:p w14:paraId="0B3E607F" w14:textId="77777777" w:rsidR="007E0735" w:rsidRPr="00C26BF3" w:rsidRDefault="007E0735" w:rsidP="007E0735">
      <w:pPr>
        <w:tabs>
          <w:tab w:val="left" w:pos="-720"/>
        </w:tabs>
        <w:suppressAutoHyphens/>
        <w:rPr>
          <w:spacing w:val="-3"/>
          <w:sz w:val="22"/>
          <w:szCs w:val="22"/>
        </w:rPr>
      </w:pPr>
    </w:p>
    <w:p w14:paraId="73088E0C" w14:textId="13C6EC70" w:rsidR="007E0735" w:rsidRPr="00C26BF3" w:rsidRDefault="007E0735" w:rsidP="007E0735">
      <w:pPr>
        <w:tabs>
          <w:tab w:val="left" w:pos="-720"/>
        </w:tabs>
        <w:suppressAutoHyphens/>
        <w:rPr>
          <w:spacing w:val="-3"/>
          <w:sz w:val="22"/>
          <w:szCs w:val="22"/>
        </w:rPr>
      </w:pPr>
      <w:r w:rsidRPr="00C26BF3">
        <w:rPr>
          <w:spacing w:val="-3"/>
          <w:sz w:val="22"/>
          <w:szCs w:val="22"/>
        </w:rPr>
        <w:tab/>
        <w:t xml:space="preserve">(4)  </w:t>
      </w:r>
      <w:r w:rsidRPr="00C26BF3">
        <w:rPr>
          <w:spacing w:val="-3"/>
          <w:sz w:val="22"/>
          <w:szCs w:val="22"/>
          <w:u w:val="single"/>
        </w:rPr>
        <w:t xml:space="preserve">Estimated Time </w:t>
      </w:r>
      <w:r w:rsidR="00073508" w:rsidRPr="00C26BF3">
        <w:rPr>
          <w:spacing w:val="-3"/>
          <w:sz w:val="22"/>
          <w:szCs w:val="22"/>
          <w:u w:val="single"/>
        </w:rPr>
        <w:t>per</w:t>
      </w:r>
      <w:r w:rsidRPr="00C26BF3">
        <w:rPr>
          <w:spacing w:val="-3"/>
          <w:sz w:val="22"/>
          <w:szCs w:val="22"/>
          <w:u w:val="single"/>
        </w:rPr>
        <w:t xml:space="preserve"> Response</w:t>
      </w:r>
      <w:r w:rsidR="00A92A86" w:rsidRPr="00C26BF3">
        <w:rPr>
          <w:spacing w:val="-3"/>
          <w:sz w:val="22"/>
          <w:szCs w:val="22"/>
        </w:rPr>
        <w:t xml:space="preserve">:  </w:t>
      </w:r>
      <w:r w:rsidR="00B305EF" w:rsidRPr="00C26BF3">
        <w:rPr>
          <w:spacing w:val="-3"/>
          <w:sz w:val="22"/>
          <w:szCs w:val="22"/>
        </w:rPr>
        <w:t xml:space="preserve">5 </w:t>
      </w:r>
      <w:r w:rsidRPr="00C26BF3">
        <w:rPr>
          <w:spacing w:val="-3"/>
          <w:sz w:val="22"/>
          <w:szCs w:val="22"/>
        </w:rPr>
        <w:t>hours.</w:t>
      </w:r>
    </w:p>
    <w:p w14:paraId="2A3E5F1E" w14:textId="77777777" w:rsidR="007E0735" w:rsidRPr="00C26BF3" w:rsidRDefault="007E0735" w:rsidP="007E0735">
      <w:pPr>
        <w:tabs>
          <w:tab w:val="left" w:pos="-720"/>
        </w:tabs>
        <w:suppressAutoHyphens/>
        <w:rPr>
          <w:spacing w:val="-3"/>
          <w:sz w:val="22"/>
          <w:szCs w:val="22"/>
        </w:rPr>
      </w:pPr>
    </w:p>
    <w:p w14:paraId="35D3C602" w14:textId="5D1CF7FC" w:rsidR="007E0735" w:rsidRPr="00C26BF3" w:rsidRDefault="007E0735" w:rsidP="007E0735">
      <w:pPr>
        <w:tabs>
          <w:tab w:val="left" w:pos="-720"/>
        </w:tabs>
        <w:suppressAutoHyphens/>
        <w:rPr>
          <w:spacing w:val="-3"/>
          <w:sz w:val="22"/>
          <w:szCs w:val="22"/>
        </w:rPr>
      </w:pPr>
      <w:r w:rsidRPr="00C26BF3">
        <w:rPr>
          <w:spacing w:val="-3"/>
          <w:sz w:val="22"/>
          <w:szCs w:val="22"/>
        </w:rPr>
        <w:tab/>
      </w:r>
      <w:r w:rsidRPr="00C26BF3">
        <w:rPr>
          <w:spacing w:val="-3"/>
          <w:sz w:val="22"/>
          <w:szCs w:val="22"/>
        </w:rPr>
        <w:tab/>
      </w:r>
      <w:r w:rsidR="00F41E80" w:rsidRPr="00C26BF3">
        <w:rPr>
          <w:spacing w:val="-3"/>
          <w:sz w:val="22"/>
          <w:szCs w:val="22"/>
        </w:rPr>
        <w:t>15</w:t>
      </w:r>
      <w:r w:rsidR="00A92A86" w:rsidRPr="00C26BF3">
        <w:rPr>
          <w:spacing w:val="-3"/>
          <w:sz w:val="22"/>
          <w:szCs w:val="22"/>
        </w:rPr>
        <w:t xml:space="preserve"> x </w:t>
      </w:r>
      <w:r w:rsidR="00B305EF" w:rsidRPr="00C26BF3">
        <w:rPr>
          <w:spacing w:val="-3"/>
          <w:sz w:val="22"/>
          <w:szCs w:val="22"/>
        </w:rPr>
        <w:t>5</w:t>
      </w:r>
      <w:r w:rsidR="00A92A86" w:rsidRPr="00C26BF3">
        <w:rPr>
          <w:spacing w:val="-3"/>
          <w:sz w:val="22"/>
          <w:szCs w:val="22"/>
        </w:rPr>
        <w:t xml:space="preserve"> </w:t>
      </w:r>
      <w:r w:rsidRPr="00C26BF3">
        <w:rPr>
          <w:spacing w:val="-3"/>
          <w:sz w:val="22"/>
          <w:szCs w:val="22"/>
        </w:rPr>
        <w:t xml:space="preserve">hours per response x 1 response per year per respondent = </w:t>
      </w:r>
      <w:r w:rsidR="00B305EF" w:rsidRPr="00C26BF3">
        <w:rPr>
          <w:spacing w:val="-3"/>
          <w:sz w:val="22"/>
          <w:szCs w:val="22"/>
        </w:rPr>
        <w:t>7</w:t>
      </w:r>
      <w:r w:rsidR="00A92A86" w:rsidRPr="00C26BF3">
        <w:rPr>
          <w:spacing w:val="-3"/>
          <w:sz w:val="22"/>
          <w:szCs w:val="22"/>
        </w:rPr>
        <w:t>5</w:t>
      </w:r>
      <w:r w:rsidRPr="00C26BF3">
        <w:rPr>
          <w:spacing w:val="-3"/>
          <w:sz w:val="22"/>
          <w:szCs w:val="22"/>
        </w:rPr>
        <w:t xml:space="preserve"> hours.</w:t>
      </w:r>
    </w:p>
    <w:p w14:paraId="186018D7" w14:textId="77777777" w:rsidR="007E0735" w:rsidRPr="00C26BF3" w:rsidRDefault="007E0735" w:rsidP="007E0735">
      <w:pPr>
        <w:tabs>
          <w:tab w:val="left" w:pos="-720"/>
        </w:tabs>
        <w:suppressAutoHyphens/>
        <w:rPr>
          <w:spacing w:val="-3"/>
          <w:sz w:val="22"/>
          <w:szCs w:val="22"/>
        </w:rPr>
      </w:pPr>
    </w:p>
    <w:p w14:paraId="39A5A8FA" w14:textId="3B627935" w:rsidR="007E0735" w:rsidRPr="00C26BF3" w:rsidRDefault="007E0735" w:rsidP="007E0735">
      <w:pPr>
        <w:tabs>
          <w:tab w:val="left" w:pos="-720"/>
        </w:tabs>
        <w:suppressAutoHyphens/>
        <w:rPr>
          <w:spacing w:val="-3"/>
          <w:sz w:val="22"/>
          <w:szCs w:val="22"/>
        </w:rPr>
      </w:pPr>
      <w:r w:rsidRPr="00C26BF3">
        <w:rPr>
          <w:spacing w:val="-3"/>
          <w:sz w:val="22"/>
          <w:szCs w:val="22"/>
        </w:rPr>
        <w:tab/>
        <w:t xml:space="preserve">(5)  </w:t>
      </w:r>
      <w:r w:rsidRPr="00C26BF3">
        <w:rPr>
          <w:spacing w:val="-3"/>
          <w:sz w:val="22"/>
          <w:szCs w:val="22"/>
          <w:u w:val="single"/>
        </w:rPr>
        <w:t>Total annual burden</w:t>
      </w:r>
      <w:r w:rsidRPr="00C26BF3">
        <w:rPr>
          <w:spacing w:val="-3"/>
          <w:sz w:val="22"/>
          <w:szCs w:val="22"/>
        </w:rPr>
        <w:t xml:space="preserve">:  </w:t>
      </w:r>
      <w:r w:rsidR="00B305EF" w:rsidRPr="00C26BF3">
        <w:rPr>
          <w:b/>
          <w:spacing w:val="-3"/>
          <w:sz w:val="22"/>
          <w:szCs w:val="22"/>
        </w:rPr>
        <w:t>7</w:t>
      </w:r>
      <w:r w:rsidR="00F41E80" w:rsidRPr="00C26BF3">
        <w:rPr>
          <w:b/>
          <w:spacing w:val="-3"/>
          <w:sz w:val="22"/>
          <w:szCs w:val="22"/>
        </w:rPr>
        <w:t>5</w:t>
      </w:r>
      <w:r w:rsidRPr="00C26BF3">
        <w:rPr>
          <w:b/>
          <w:spacing w:val="-3"/>
          <w:sz w:val="22"/>
          <w:szCs w:val="22"/>
        </w:rPr>
        <w:t xml:space="preserve"> hours</w:t>
      </w:r>
      <w:r w:rsidRPr="00C26BF3">
        <w:rPr>
          <w:spacing w:val="-3"/>
          <w:sz w:val="22"/>
          <w:szCs w:val="22"/>
        </w:rPr>
        <w:t>.</w:t>
      </w:r>
    </w:p>
    <w:p w14:paraId="2350537E" w14:textId="77777777" w:rsidR="007E0735" w:rsidRPr="00C26BF3" w:rsidRDefault="007E0735" w:rsidP="007E0735">
      <w:pPr>
        <w:tabs>
          <w:tab w:val="left" w:pos="-720"/>
        </w:tabs>
        <w:suppressAutoHyphens/>
        <w:rPr>
          <w:spacing w:val="-3"/>
          <w:sz w:val="22"/>
          <w:szCs w:val="22"/>
        </w:rPr>
      </w:pPr>
    </w:p>
    <w:p w14:paraId="5B9FC5FD" w14:textId="4BD0A6FE" w:rsidR="007E0735" w:rsidRPr="00C26BF3" w:rsidRDefault="007E0735" w:rsidP="007E0735">
      <w:pPr>
        <w:tabs>
          <w:tab w:val="left" w:pos="-720"/>
        </w:tabs>
        <w:suppressAutoHyphens/>
        <w:ind w:left="1440"/>
        <w:rPr>
          <w:spacing w:val="-3"/>
          <w:sz w:val="22"/>
          <w:szCs w:val="22"/>
        </w:rPr>
      </w:pPr>
      <w:r w:rsidRPr="00C26BF3">
        <w:rPr>
          <w:spacing w:val="-3"/>
          <w:sz w:val="22"/>
          <w:szCs w:val="22"/>
        </w:rPr>
        <w:t xml:space="preserve">The Commission estimates that approximately </w:t>
      </w:r>
      <w:r w:rsidR="00183BF5" w:rsidRPr="00C26BF3">
        <w:rPr>
          <w:spacing w:val="-3"/>
          <w:sz w:val="22"/>
          <w:szCs w:val="22"/>
        </w:rPr>
        <w:t>15</w:t>
      </w:r>
      <w:r w:rsidRPr="00C26BF3">
        <w:rPr>
          <w:spacing w:val="-3"/>
          <w:sz w:val="22"/>
          <w:szCs w:val="22"/>
        </w:rPr>
        <w:t xml:space="preserve"> </w:t>
      </w:r>
      <w:r w:rsidR="00BE0E62" w:rsidRPr="00C26BF3">
        <w:rPr>
          <w:spacing w:val="-3"/>
          <w:sz w:val="22"/>
          <w:szCs w:val="22"/>
        </w:rPr>
        <w:t>ICS</w:t>
      </w:r>
      <w:r w:rsidRPr="00C26BF3">
        <w:rPr>
          <w:spacing w:val="-3"/>
          <w:sz w:val="22"/>
          <w:szCs w:val="22"/>
        </w:rPr>
        <w:t xml:space="preserve"> providers will require </w:t>
      </w:r>
      <w:r w:rsidR="00B305EF" w:rsidRPr="00C26BF3">
        <w:rPr>
          <w:spacing w:val="-3"/>
          <w:sz w:val="22"/>
          <w:szCs w:val="22"/>
        </w:rPr>
        <w:t>5</w:t>
      </w:r>
      <w:r w:rsidR="00985F5C" w:rsidRPr="00C26BF3">
        <w:rPr>
          <w:spacing w:val="-3"/>
          <w:sz w:val="22"/>
          <w:szCs w:val="22"/>
        </w:rPr>
        <w:t xml:space="preserve"> hours </w:t>
      </w:r>
      <w:r w:rsidRPr="00C26BF3">
        <w:rPr>
          <w:spacing w:val="-3"/>
          <w:sz w:val="22"/>
          <w:szCs w:val="22"/>
        </w:rPr>
        <w:t xml:space="preserve">of time per annual filing.  </w:t>
      </w:r>
    </w:p>
    <w:p w14:paraId="1B7B641D" w14:textId="77777777" w:rsidR="007E0735" w:rsidRPr="00C26BF3" w:rsidRDefault="007E0735" w:rsidP="007E0735">
      <w:pPr>
        <w:tabs>
          <w:tab w:val="left" w:pos="-720"/>
        </w:tabs>
        <w:suppressAutoHyphens/>
        <w:ind w:left="1440"/>
        <w:rPr>
          <w:spacing w:val="-3"/>
          <w:sz w:val="22"/>
          <w:szCs w:val="22"/>
        </w:rPr>
      </w:pPr>
    </w:p>
    <w:p w14:paraId="67BC60E8" w14:textId="76508658" w:rsidR="007E0735" w:rsidRPr="00C26BF3" w:rsidRDefault="00A92A86" w:rsidP="007E0735">
      <w:pPr>
        <w:tabs>
          <w:tab w:val="left" w:pos="-720"/>
        </w:tabs>
        <w:suppressAutoHyphens/>
        <w:ind w:left="1440"/>
        <w:rPr>
          <w:spacing w:val="-3"/>
          <w:sz w:val="22"/>
          <w:szCs w:val="22"/>
        </w:rPr>
      </w:pPr>
      <w:r w:rsidRPr="00C26BF3">
        <w:rPr>
          <w:spacing w:val="-3"/>
          <w:sz w:val="22"/>
          <w:szCs w:val="22"/>
        </w:rPr>
        <w:t>Approximately 1</w:t>
      </w:r>
      <w:r w:rsidR="007E0735" w:rsidRPr="00C26BF3">
        <w:rPr>
          <w:spacing w:val="-3"/>
          <w:sz w:val="22"/>
          <w:szCs w:val="22"/>
        </w:rPr>
        <w:t>5 respondents an</w:t>
      </w:r>
      <w:r w:rsidRPr="00C26BF3">
        <w:rPr>
          <w:spacing w:val="-3"/>
          <w:sz w:val="22"/>
          <w:szCs w:val="22"/>
        </w:rPr>
        <w:t xml:space="preserve">nually x 1 response annually x </w:t>
      </w:r>
      <w:r w:rsidR="00B305EF" w:rsidRPr="00C26BF3">
        <w:rPr>
          <w:spacing w:val="-3"/>
          <w:sz w:val="22"/>
          <w:szCs w:val="22"/>
        </w:rPr>
        <w:t>5</w:t>
      </w:r>
      <w:r w:rsidRPr="00C26BF3">
        <w:rPr>
          <w:spacing w:val="-3"/>
          <w:sz w:val="22"/>
          <w:szCs w:val="22"/>
        </w:rPr>
        <w:t xml:space="preserve"> hours per response = </w:t>
      </w:r>
      <w:r w:rsidR="00B305EF" w:rsidRPr="00C26BF3">
        <w:rPr>
          <w:spacing w:val="-3"/>
          <w:sz w:val="22"/>
          <w:szCs w:val="22"/>
        </w:rPr>
        <w:t>7</w:t>
      </w:r>
      <w:r w:rsidRPr="00C26BF3">
        <w:rPr>
          <w:spacing w:val="-3"/>
          <w:sz w:val="22"/>
          <w:szCs w:val="22"/>
        </w:rPr>
        <w:t xml:space="preserve">5 </w:t>
      </w:r>
      <w:r w:rsidR="007E0735" w:rsidRPr="00C26BF3">
        <w:rPr>
          <w:spacing w:val="-3"/>
          <w:sz w:val="22"/>
          <w:szCs w:val="22"/>
        </w:rPr>
        <w:t>hours.</w:t>
      </w:r>
    </w:p>
    <w:p w14:paraId="40DEA336" w14:textId="77777777" w:rsidR="007E0735" w:rsidRPr="00C26BF3" w:rsidRDefault="007E0735" w:rsidP="007E0735">
      <w:pPr>
        <w:tabs>
          <w:tab w:val="left" w:pos="-720"/>
        </w:tabs>
        <w:suppressAutoHyphens/>
        <w:rPr>
          <w:spacing w:val="-3"/>
          <w:sz w:val="22"/>
          <w:szCs w:val="22"/>
        </w:rPr>
      </w:pPr>
    </w:p>
    <w:p w14:paraId="38281CEB" w14:textId="2590F5C1" w:rsidR="007E0735" w:rsidRPr="00C26BF3" w:rsidRDefault="007E0735" w:rsidP="007E0735">
      <w:pPr>
        <w:tabs>
          <w:tab w:val="left" w:pos="-720"/>
        </w:tabs>
        <w:suppressAutoHyphens/>
        <w:rPr>
          <w:spacing w:val="-3"/>
          <w:sz w:val="22"/>
          <w:szCs w:val="22"/>
        </w:rPr>
      </w:pPr>
      <w:r w:rsidRPr="00C26BF3">
        <w:rPr>
          <w:spacing w:val="-3"/>
          <w:sz w:val="22"/>
          <w:szCs w:val="22"/>
        </w:rPr>
        <w:tab/>
        <w:t xml:space="preserve">(6)  </w:t>
      </w:r>
      <w:r w:rsidRPr="00C26BF3">
        <w:rPr>
          <w:spacing w:val="-3"/>
          <w:sz w:val="22"/>
          <w:szCs w:val="22"/>
          <w:u w:val="single"/>
        </w:rPr>
        <w:t>Total estimate of “in</w:t>
      </w:r>
      <w:r w:rsidR="00D17D63" w:rsidRPr="00C26BF3">
        <w:rPr>
          <w:spacing w:val="-3"/>
          <w:sz w:val="22"/>
          <w:szCs w:val="22"/>
          <w:u w:val="single"/>
        </w:rPr>
        <w:t>-</w:t>
      </w:r>
      <w:r w:rsidRPr="00C26BF3">
        <w:rPr>
          <w:spacing w:val="-3"/>
          <w:sz w:val="22"/>
          <w:szCs w:val="22"/>
          <w:u w:val="single"/>
        </w:rPr>
        <w:t>house” cost to respondents:</w:t>
      </w:r>
      <w:r w:rsidRPr="00C26BF3">
        <w:rPr>
          <w:spacing w:val="-3"/>
          <w:sz w:val="22"/>
          <w:szCs w:val="22"/>
        </w:rPr>
        <w:t xml:space="preserve">  </w:t>
      </w:r>
      <w:r w:rsidRPr="00C26BF3">
        <w:rPr>
          <w:sz w:val="22"/>
          <w:szCs w:val="22"/>
        </w:rPr>
        <w:t>$</w:t>
      </w:r>
      <w:r w:rsidR="00B305EF" w:rsidRPr="00C26BF3">
        <w:rPr>
          <w:b/>
          <w:sz w:val="22"/>
          <w:szCs w:val="22"/>
        </w:rPr>
        <w:t>9</w:t>
      </w:r>
      <w:r w:rsidR="00DD740A" w:rsidRPr="00C26BF3">
        <w:rPr>
          <w:b/>
          <w:sz w:val="22"/>
          <w:szCs w:val="22"/>
        </w:rPr>
        <w:t>,</w:t>
      </w:r>
      <w:r w:rsidR="00B305EF" w:rsidRPr="00C26BF3">
        <w:rPr>
          <w:b/>
          <w:sz w:val="22"/>
          <w:szCs w:val="22"/>
        </w:rPr>
        <w:t>375</w:t>
      </w:r>
      <w:r w:rsidRPr="00C26BF3">
        <w:rPr>
          <w:sz w:val="22"/>
          <w:szCs w:val="22"/>
        </w:rPr>
        <w:t>.</w:t>
      </w:r>
    </w:p>
    <w:p w14:paraId="75EA3617" w14:textId="77777777" w:rsidR="007E0735" w:rsidRPr="00C26BF3" w:rsidRDefault="007E0735" w:rsidP="007E0735">
      <w:pPr>
        <w:tabs>
          <w:tab w:val="left" w:pos="-720"/>
        </w:tabs>
        <w:suppressAutoHyphens/>
        <w:rPr>
          <w:spacing w:val="-3"/>
          <w:sz w:val="22"/>
          <w:szCs w:val="22"/>
        </w:rPr>
      </w:pPr>
    </w:p>
    <w:p w14:paraId="3529FE93" w14:textId="77777777" w:rsidR="007E0735" w:rsidRPr="00C26BF3" w:rsidRDefault="007E0735" w:rsidP="007E0735">
      <w:pPr>
        <w:tabs>
          <w:tab w:val="left" w:pos="-720"/>
        </w:tabs>
        <w:suppressAutoHyphens/>
        <w:rPr>
          <w:sz w:val="22"/>
          <w:szCs w:val="22"/>
        </w:rPr>
      </w:pPr>
      <w:r w:rsidRPr="00C26BF3">
        <w:rPr>
          <w:sz w:val="22"/>
          <w:szCs w:val="22"/>
        </w:rPr>
        <w:tab/>
        <w:t xml:space="preserve">(7)  </w:t>
      </w:r>
      <w:r w:rsidRPr="00C26BF3">
        <w:rPr>
          <w:sz w:val="22"/>
          <w:szCs w:val="22"/>
          <w:u w:val="single"/>
        </w:rPr>
        <w:t>Explanation of the calculation</w:t>
      </w:r>
      <w:r w:rsidRPr="00C26BF3">
        <w:rPr>
          <w:sz w:val="22"/>
          <w:szCs w:val="22"/>
        </w:rPr>
        <w:t xml:space="preserve">:  </w:t>
      </w:r>
    </w:p>
    <w:p w14:paraId="27182EBC" w14:textId="77777777" w:rsidR="007E0735" w:rsidRPr="00C26BF3" w:rsidRDefault="007E0735" w:rsidP="007E0735">
      <w:pPr>
        <w:tabs>
          <w:tab w:val="left" w:pos="-720"/>
        </w:tabs>
        <w:suppressAutoHyphens/>
        <w:rPr>
          <w:sz w:val="22"/>
          <w:szCs w:val="22"/>
        </w:rPr>
      </w:pPr>
    </w:p>
    <w:p w14:paraId="65C5BA43" w14:textId="77777777" w:rsidR="007E0735" w:rsidRPr="00C26BF3" w:rsidRDefault="007E0735" w:rsidP="007E0735">
      <w:pPr>
        <w:tabs>
          <w:tab w:val="left" w:pos="-720"/>
        </w:tabs>
        <w:suppressAutoHyphens/>
        <w:ind w:left="1440"/>
        <w:rPr>
          <w:sz w:val="22"/>
          <w:szCs w:val="22"/>
        </w:rPr>
      </w:pPr>
      <w:r w:rsidRPr="00C26BF3">
        <w:rPr>
          <w:sz w:val="22"/>
          <w:szCs w:val="22"/>
        </w:rPr>
        <w:t xml:space="preserve">The Commission estimates that </w:t>
      </w:r>
      <w:r w:rsidR="007E07E9" w:rsidRPr="00C26BF3">
        <w:rPr>
          <w:sz w:val="22"/>
          <w:szCs w:val="22"/>
        </w:rPr>
        <w:t>15</w:t>
      </w:r>
      <w:r w:rsidRPr="00C26BF3">
        <w:rPr>
          <w:sz w:val="22"/>
          <w:szCs w:val="22"/>
        </w:rPr>
        <w:t xml:space="preserve"> ICS providers will be subject to this </w:t>
      </w:r>
      <w:r w:rsidR="00B45F9C" w:rsidRPr="00C26BF3">
        <w:rPr>
          <w:sz w:val="22"/>
          <w:szCs w:val="22"/>
        </w:rPr>
        <w:t xml:space="preserve">certification </w:t>
      </w:r>
      <w:r w:rsidRPr="00C26BF3">
        <w:rPr>
          <w:sz w:val="22"/>
          <w:szCs w:val="22"/>
        </w:rPr>
        <w:t>requirement.</w:t>
      </w:r>
    </w:p>
    <w:p w14:paraId="6D877F9E" w14:textId="77777777" w:rsidR="007E0735" w:rsidRPr="00C26BF3" w:rsidRDefault="007E0735" w:rsidP="007E0735">
      <w:pPr>
        <w:tabs>
          <w:tab w:val="left" w:pos="-720"/>
        </w:tabs>
        <w:suppressAutoHyphens/>
        <w:rPr>
          <w:sz w:val="22"/>
          <w:szCs w:val="22"/>
        </w:rPr>
      </w:pPr>
    </w:p>
    <w:p w14:paraId="0237C418" w14:textId="48443409" w:rsidR="007E0735" w:rsidRPr="00C26BF3" w:rsidRDefault="007E0735" w:rsidP="007E0735">
      <w:pPr>
        <w:tabs>
          <w:tab w:val="left" w:pos="-720"/>
        </w:tabs>
        <w:suppressAutoHyphens/>
        <w:ind w:left="1440"/>
        <w:rPr>
          <w:sz w:val="22"/>
          <w:szCs w:val="22"/>
        </w:rPr>
      </w:pPr>
      <w:r w:rsidRPr="00C26BF3">
        <w:rPr>
          <w:sz w:val="22"/>
          <w:szCs w:val="22"/>
        </w:rPr>
        <w:t xml:space="preserve">We assume that respondents will use </w:t>
      </w:r>
      <w:r w:rsidR="00FC796C">
        <w:rPr>
          <w:sz w:val="22"/>
          <w:szCs w:val="22"/>
        </w:rPr>
        <w:t>5</w:t>
      </w:r>
      <w:r w:rsidR="00DD740A" w:rsidRPr="00C26BF3">
        <w:rPr>
          <w:sz w:val="22"/>
          <w:szCs w:val="22"/>
        </w:rPr>
        <w:t xml:space="preserve"> </w:t>
      </w:r>
      <w:r w:rsidRPr="00C26BF3">
        <w:rPr>
          <w:sz w:val="22"/>
          <w:szCs w:val="22"/>
        </w:rPr>
        <w:t>hours of an officer of the company’s time (rate of $1</w:t>
      </w:r>
      <w:r w:rsidR="00DD740A" w:rsidRPr="00C26BF3">
        <w:rPr>
          <w:sz w:val="22"/>
          <w:szCs w:val="22"/>
        </w:rPr>
        <w:t>25</w:t>
      </w:r>
      <w:r w:rsidRPr="00C26BF3">
        <w:rPr>
          <w:sz w:val="22"/>
          <w:szCs w:val="22"/>
        </w:rPr>
        <w:t xml:space="preserve">/hour) to satisfy this </w:t>
      </w:r>
      <w:r w:rsidR="00B45F9C" w:rsidRPr="00C26BF3">
        <w:rPr>
          <w:sz w:val="22"/>
          <w:szCs w:val="22"/>
        </w:rPr>
        <w:t xml:space="preserve">certification </w:t>
      </w:r>
      <w:r w:rsidRPr="00C26BF3">
        <w:rPr>
          <w:sz w:val="22"/>
          <w:szCs w:val="22"/>
        </w:rPr>
        <w:t>requirement.  Thus</w:t>
      </w:r>
      <w:r w:rsidR="00B45F9C" w:rsidRPr="00C26BF3">
        <w:rPr>
          <w:sz w:val="22"/>
          <w:szCs w:val="22"/>
        </w:rPr>
        <w:t>,</w:t>
      </w:r>
      <w:r w:rsidRPr="00C26BF3">
        <w:rPr>
          <w:sz w:val="22"/>
          <w:szCs w:val="22"/>
        </w:rPr>
        <w:t xml:space="preserve"> </w:t>
      </w:r>
      <w:r w:rsidR="00B305EF" w:rsidRPr="00C26BF3">
        <w:rPr>
          <w:sz w:val="22"/>
          <w:szCs w:val="22"/>
        </w:rPr>
        <w:t>7</w:t>
      </w:r>
      <w:r w:rsidR="00DD740A" w:rsidRPr="00C26BF3">
        <w:rPr>
          <w:sz w:val="22"/>
          <w:szCs w:val="22"/>
        </w:rPr>
        <w:t>5</w:t>
      </w:r>
      <w:r w:rsidRPr="00C26BF3">
        <w:rPr>
          <w:sz w:val="22"/>
          <w:szCs w:val="22"/>
        </w:rPr>
        <w:t xml:space="preserve"> hours per year x $1</w:t>
      </w:r>
      <w:r w:rsidR="00DD740A" w:rsidRPr="00C26BF3">
        <w:rPr>
          <w:sz w:val="22"/>
          <w:szCs w:val="22"/>
        </w:rPr>
        <w:t>25</w:t>
      </w:r>
      <w:r w:rsidRPr="00C26BF3">
        <w:rPr>
          <w:sz w:val="22"/>
          <w:szCs w:val="22"/>
        </w:rPr>
        <w:t xml:space="preserve"> = $</w:t>
      </w:r>
      <w:r w:rsidR="00B305EF" w:rsidRPr="00C26BF3">
        <w:rPr>
          <w:sz w:val="22"/>
          <w:szCs w:val="22"/>
        </w:rPr>
        <w:t>9</w:t>
      </w:r>
      <w:r w:rsidR="00C21DF7" w:rsidRPr="00C26BF3">
        <w:rPr>
          <w:sz w:val="22"/>
          <w:szCs w:val="22"/>
        </w:rPr>
        <w:t>,</w:t>
      </w:r>
      <w:r w:rsidR="00B305EF" w:rsidRPr="00C26BF3">
        <w:rPr>
          <w:sz w:val="22"/>
          <w:szCs w:val="22"/>
        </w:rPr>
        <w:t>375</w:t>
      </w:r>
      <w:r w:rsidRPr="00C26BF3">
        <w:rPr>
          <w:sz w:val="22"/>
          <w:szCs w:val="22"/>
        </w:rPr>
        <w:t xml:space="preserve">. </w:t>
      </w:r>
    </w:p>
    <w:p w14:paraId="306A6B37" w14:textId="77777777" w:rsidR="007E0735" w:rsidRPr="00C26BF3" w:rsidRDefault="007E0735" w:rsidP="007E0735">
      <w:pPr>
        <w:tabs>
          <w:tab w:val="left" w:pos="-720"/>
        </w:tabs>
        <w:suppressAutoHyphens/>
        <w:rPr>
          <w:sz w:val="22"/>
          <w:szCs w:val="22"/>
        </w:rPr>
      </w:pPr>
    </w:p>
    <w:p w14:paraId="7D9FF40C" w14:textId="77777777" w:rsidR="0089429C" w:rsidRPr="00C26BF3" w:rsidRDefault="0089429C" w:rsidP="007E0735">
      <w:pPr>
        <w:tabs>
          <w:tab w:val="left" w:pos="-720"/>
        </w:tabs>
        <w:suppressAutoHyphens/>
        <w:rPr>
          <w:sz w:val="22"/>
          <w:szCs w:val="22"/>
        </w:rPr>
      </w:pPr>
    </w:p>
    <w:p w14:paraId="7C6263BF" w14:textId="77777777" w:rsidR="0089429C" w:rsidRPr="00C26BF3" w:rsidRDefault="0089429C" w:rsidP="007E0735">
      <w:pPr>
        <w:tabs>
          <w:tab w:val="left" w:pos="-720"/>
        </w:tabs>
        <w:suppressAutoHyphens/>
        <w:rPr>
          <w:sz w:val="22"/>
          <w:szCs w:val="22"/>
        </w:rPr>
      </w:pPr>
    </w:p>
    <w:p w14:paraId="65998C19" w14:textId="77777777" w:rsidR="00D136C4" w:rsidRPr="00C26BF3" w:rsidRDefault="007E0735" w:rsidP="007E0735">
      <w:pPr>
        <w:keepLines/>
        <w:tabs>
          <w:tab w:val="left" w:pos="-720"/>
        </w:tabs>
        <w:suppressAutoHyphens/>
        <w:rPr>
          <w:b/>
          <w:spacing w:val="-3"/>
          <w:sz w:val="22"/>
          <w:szCs w:val="22"/>
        </w:rPr>
      </w:pPr>
      <w:r w:rsidRPr="00C26BF3">
        <w:rPr>
          <w:b/>
          <w:spacing w:val="-3"/>
          <w:sz w:val="22"/>
          <w:szCs w:val="22"/>
        </w:rPr>
        <w:t>c.</w:t>
      </w:r>
      <w:r w:rsidR="00D136C4" w:rsidRPr="00C26BF3">
        <w:rPr>
          <w:b/>
          <w:spacing w:val="-3"/>
          <w:sz w:val="22"/>
          <w:szCs w:val="22"/>
        </w:rPr>
        <w:t xml:space="preserve"> </w:t>
      </w:r>
      <w:r w:rsidR="008F7AFE" w:rsidRPr="00C26BF3">
        <w:rPr>
          <w:b/>
          <w:spacing w:val="-3"/>
          <w:sz w:val="22"/>
          <w:szCs w:val="22"/>
          <w:u w:val="single"/>
        </w:rPr>
        <w:t xml:space="preserve"> </w:t>
      </w:r>
      <w:r w:rsidR="001A1A75" w:rsidRPr="00C26BF3">
        <w:rPr>
          <w:b/>
          <w:spacing w:val="-3"/>
          <w:sz w:val="22"/>
          <w:szCs w:val="22"/>
          <w:u w:val="single"/>
        </w:rPr>
        <w:t xml:space="preserve"> Consumer Disclosure</w:t>
      </w:r>
      <w:r w:rsidR="008F7AFE" w:rsidRPr="00C26BF3">
        <w:rPr>
          <w:b/>
          <w:spacing w:val="-3"/>
          <w:sz w:val="22"/>
          <w:szCs w:val="22"/>
          <w:u w:val="single"/>
        </w:rPr>
        <w:t xml:space="preserve"> Requirement</w:t>
      </w:r>
    </w:p>
    <w:p w14:paraId="4EA082B5" w14:textId="77777777" w:rsidR="00183BF5" w:rsidRPr="00C26BF3" w:rsidRDefault="00183BF5" w:rsidP="00183BF5">
      <w:pPr>
        <w:keepLines/>
        <w:tabs>
          <w:tab w:val="left" w:pos="-720"/>
        </w:tabs>
        <w:suppressAutoHyphens/>
        <w:rPr>
          <w:spacing w:val="-3"/>
          <w:sz w:val="22"/>
          <w:szCs w:val="22"/>
        </w:rPr>
      </w:pPr>
      <w:r w:rsidRPr="00C26BF3">
        <w:rPr>
          <w:spacing w:val="-3"/>
          <w:sz w:val="22"/>
          <w:szCs w:val="22"/>
        </w:rPr>
        <w:tab/>
      </w:r>
    </w:p>
    <w:p w14:paraId="7EC33B9B" w14:textId="77777777" w:rsidR="00183BF5" w:rsidRPr="00C26BF3" w:rsidRDefault="00183BF5" w:rsidP="00183BF5">
      <w:pPr>
        <w:keepLines/>
        <w:tabs>
          <w:tab w:val="left" w:pos="-720"/>
        </w:tabs>
        <w:suppressAutoHyphens/>
        <w:rPr>
          <w:spacing w:val="-3"/>
          <w:sz w:val="22"/>
          <w:szCs w:val="22"/>
        </w:rPr>
      </w:pPr>
      <w:r w:rsidRPr="00C26BF3">
        <w:rPr>
          <w:spacing w:val="-3"/>
          <w:sz w:val="22"/>
          <w:szCs w:val="22"/>
        </w:rPr>
        <w:tab/>
        <w:t xml:space="preserve">(1)  </w:t>
      </w:r>
      <w:r w:rsidRPr="00C26BF3">
        <w:rPr>
          <w:spacing w:val="-3"/>
          <w:sz w:val="22"/>
          <w:szCs w:val="22"/>
          <w:u w:val="single"/>
        </w:rPr>
        <w:t>Number of respondents</w:t>
      </w:r>
      <w:r w:rsidRPr="00C26BF3">
        <w:rPr>
          <w:spacing w:val="-3"/>
          <w:sz w:val="22"/>
          <w:szCs w:val="22"/>
        </w:rPr>
        <w:t>:  Approximately 15.</w:t>
      </w:r>
    </w:p>
    <w:p w14:paraId="22D2B20E" w14:textId="77777777" w:rsidR="00183BF5" w:rsidRPr="00C26BF3" w:rsidRDefault="00183BF5" w:rsidP="00183BF5">
      <w:pPr>
        <w:keepLines/>
        <w:tabs>
          <w:tab w:val="left" w:pos="-720"/>
        </w:tabs>
        <w:suppressAutoHyphens/>
        <w:rPr>
          <w:spacing w:val="-3"/>
          <w:sz w:val="22"/>
          <w:szCs w:val="22"/>
        </w:rPr>
      </w:pPr>
    </w:p>
    <w:p w14:paraId="08058999" w14:textId="77777777" w:rsidR="00183BF5" w:rsidRPr="00C26BF3" w:rsidRDefault="00183BF5" w:rsidP="00E61CDE">
      <w:pPr>
        <w:keepLines/>
        <w:tabs>
          <w:tab w:val="left" w:pos="-720"/>
        </w:tabs>
        <w:suppressAutoHyphens/>
        <w:ind w:left="720"/>
        <w:rPr>
          <w:spacing w:val="-3"/>
          <w:sz w:val="22"/>
          <w:szCs w:val="22"/>
        </w:rPr>
      </w:pPr>
      <w:r w:rsidRPr="00C26BF3">
        <w:rPr>
          <w:spacing w:val="-3"/>
          <w:sz w:val="22"/>
          <w:szCs w:val="22"/>
        </w:rPr>
        <w:t xml:space="preserve">(2)  </w:t>
      </w:r>
      <w:r w:rsidRPr="00C26BF3">
        <w:rPr>
          <w:spacing w:val="-3"/>
          <w:sz w:val="22"/>
          <w:szCs w:val="22"/>
          <w:u w:val="single"/>
        </w:rPr>
        <w:t>Frequency of response</w:t>
      </w:r>
      <w:r w:rsidRPr="00C26BF3">
        <w:rPr>
          <w:spacing w:val="-3"/>
          <w:sz w:val="22"/>
          <w:szCs w:val="22"/>
        </w:rPr>
        <w:t xml:space="preserve">:   </w:t>
      </w:r>
      <w:r w:rsidR="002E1B8D" w:rsidRPr="00C26BF3">
        <w:rPr>
          <w:spacing w:val="-3"/>
          <w:sz w:val="22"/>
          <w:szCs w:val="22"/>
        </w:rPr>
        <w:t>T</w:t>
      </w:r>
      <w:r w:rsidR="007F05B9" w:rsidRPr="00C26BF3">
        <w:rPr>
          <w:spacing w:val="-3"/>
          <w:sz w:val="22"/>
          <w:szCs w:val="22"/>
        </w:rPr>
        <w:t xml:space="preserve">hird party disclosure requirement. </w:t>
      </w:r>
    </w:p>
    <w:p w14:paraId="577C6322" w14:textId="77777777" w:rsidR="00183BF5" w:rsidRPr="00C26BF3" w:rsidRDefault="00183BF5" w:rsidP="00183BF5">
      <w:pPr>
        <w:tabs>
          <w:tab w:val="left" w:pos="-720"/>
        </w:tabs>
        <w:suppressAutoHyphens/>
        <w:rPr>
          <w:spacing w:val="-3"/>
          <w:sz w:val="22"/>
          <w:szCs w:val="22"/>
        </w:rPr>
      </w:pPr>
    </w:p>
    <w:p w14:paraId="59F4042A" w14:textId="77777777" w:rsidR="00183BF5" w:rsidRPr="00C26BF3" w:rsidRDefault="00183BF5" w:rsidP="00183BF5">
      <w:pPr>
        <w:tabs>
          <w:tab w:val="left" w:pos="-720"/>
        </w:tabs>
        <w:suppressAutoHyphens/>
        <w:rPr>
          <w:spacing w:val="-3"/>
          <w:sz w:val="22"/>
          <w:szCs w:val="22"/>
        </w:rPr>
      </w:pPr>
      <w:r w:rsidRPr="00C26BF3">
        <w:rPr>
          <w:spacing w:val="-3"/>
          <w:sz w:val="22"/>
          <w:szCs w:val="22"/>
        </w:rPr>
        <w:tab/>
        <w:t xml:space="preserve">(3)  </w:t>
      </w:r>
      <w:r w:rsidRPr="00C26BF3">
        <w:rPr>
          <w:spacing w:val="-3"/>
          <w:sz w:val="22"/>
          <w:szCs w:val="22"/>
          <w:u w:val="single"/>
        </w:rPr>
        <w:t>Total number of responses annually</w:t>
      </w:r>
      <w:r w:rsidRPr="00C26BF3">
        <w:rPr>
          <w:spacing w:val="-3"/>
          <w:sz w:val="22"/>
          <w:szCs w:val="22"/>
        </w:rPr>
        <w:t>:  Approximately 15.</w:t>
      </w:r>
    </w:p>
    <w:p w14:paraId="01509FEB" w14:textId="77777777" w:rsidR="00183BF5" w:rsidRPr="00C26BF3" w:rsidRDefault="00183BF5" w:rsidP="00183BF5">
      <w:pPr>
        <w:tabs>
          <w:tab w:val="left" w:pos="-720"/>
        </w:tabs>
        <w:suppressAutoHyphens/>
        <w:rPr>
          <w:spacing w:val="-3"/>
          <w:sz w:val="22"/>
          <w:szCs w:val="22"/>
        </w:rPr>
      </w:pPr>
    </w:p>
    <w:p w14:paraId="0D13B9FD" w14:textId="2C981A29" w:rsidR="00183BF5" w:rsidRPr="00C26BF3" w:rsidRDefault="00183BF5" w:rsidP="005070CD">
      <w:pPr>
        <w:tabs>
          <w:tab w:val="left" w:pos="-720"/>
        </w:tabs>
        <w:suppressAutoHyphens/>
        <w:ind w:left="720"/>
        <w:rPr>
          <w:sz w:val="22"/>
          <w:szCs w:val="22"/>
        </w:rPr>
      </w:pPr>
      <w:r w:rsidRPr="00C26BF3">
        <w:rPr>
          <w:spacing w:val="-3"/>
          <w:sz w:val="22"/>
          <w:szCs w:val="22"/>
        </w:rPr>
        <w:t xml:space="preserve">(4)  </w:t>
      </w:r>
      <w:r w:rsidRPr="00C26BF3">
        <w:rPr>
          <w:spacing w:val="-3"/>
          <w:sz w:val="22"/>
          <w:szCs w:val="22"/>
          <w:u w:val="single"/>
        </w:rPr>
        <w:t xml:space="preserve">Estimated Time </w:t>
      </w:r>
      <w:r w:rsidR="00073508" w:rsidRPr="00C26BF3">
        <w:rPr>
          <w:spacing w:val="-3"/>
          <w:sz w:val="22"/>
          <w:szCs w:val="22"/>
          <w:u w:val="single"/>
        </w:rPr>
        <w:t>per</w:t>
      </w:r>
      <w:r w:rsidRPr="00C26BF3">
        <w:rPr>
          <w:spacing w:val="-3"/>
          <w:sz w:val="22"/>
          <w:szCs w:val="22"/>
          <w:u w:val="single"/>
        </w:rPr>
        <w:t xml:space="preserve"> Response</w:t>
      </w:r>
      <w:r w:rsidR="00D601EE" w:rsidRPr="00C26BF3">
        <w:rPr>
          <w:spacing w:val="-3"/>
          <w:sz w:val="22"/>
          <w:szCs w:val="22"/>
        </w:rPr>
        <w:t xml:space="preserve">:  </w:t>
      </w:r>
      <w:r w:rsidR="00904581" w:rsidRPr="00C26BF3">
        <w:rPr>
          <w:spacing w:val="-3"/>
          <w:sz w:val="22"/>
          <w:szCs w:val="22"/>
        </w:rPr>
        <w:t xml:space="preserve">Approximately </w:t>
      </w:r>
      <w:r w:rsidR="00B305EF" w:rsidRPr="00C26BF3">
        <w:rPr>
          <w:spacing w:val="-3"/>
          <w:sz w:val="22"/>
          <w:szCs w:val="22"/>
        </w:rPr>
        <w:t xml:space="preserve">15 </w:t>
      </w:r>
      <w:r w:rsidRPr="00C26BF3">
        <w:rPr>
          <w:spacing w:val="-3"/>
          <w:sz w:val="22"/>
          <w:szCs w:val="22"/>
        </w:rPr>
        <w:t>hours.</w:t>
      </w:r>
      <w:r w:rsidR="008F7AFE" w:rsidRPr="00C26BF3">
        <w:rPr>
          <w:sz w:val="22"/>
          <w:szCs w:val="22"/>
        </w:rPr>
        <w:t xml:space="preserve">  It is difficult to estimate the time per respons</w:t>
      </w:r>
      <w:r w:rsidR="005070CD" w:rsidRPr="00C26BF3">
        <w:rPr>
          <w:sz w:val="22"/>
          <w:szCs w:val="22"/>
        </w:rPr>
        <w:t>e because the Commission is not dictating the precise form of the consumer disclosure.</w:t>
      </w:r>
      <w:r w:rsidR="007F05B9" w:rsidRPr="00C26BF3">
        <w:rPr>
          <w:sz w:val="22"/>
          <w:szCs w:val="22"/>
        </w:rPr>
        <w:t xml:space="preserve">  Each provider will post</w:t>
      </w:r>
      <w:r w:rsidR="0091113A" w:rsidRPr="00C26BF3">
        <w:rPr>
          <w:sz w:val="22"/>
          <w:szCs w:val="22"/>
        </w:rPr>
        <w:t xml:space="preserve"> the</w:t>
      </w:r>
      <w:r w:rsidR="007F05B9" w:rsidRPr="00C26BF3">
        <w:rPr>
          <w:sz w:val="22"/>
          <w:szCs w:val="22"/>
        </w:rPr>
        <w:t xml:space="preserve"> relevant information on its website</w:t>
      </w:r>
      <w:r w:rsidR="00D76571" w:rsidRPr="00C26BF3">
        <w:rPr>
          <w:sz w:val="22"/>
          <w:szCs w:val="22"/>
        </w:rPr>
        <w:t xml:space="preserve"> or in another manner readily available to consumers</w:t>
      </w:r>
      <w:r w:rsidR="007F05B9" w:rsidRPr="00C26BF3">
        <w:rPr>
          <w:sz w:val="22"/>
          <w:szCs w:val="22"/>
        </w:rPr>
        <w:t xml:space="preserve">, and will be required to update the information only when the information changes. </w:t>
      </w:r>
      <w:r w:rsidR="00B5163F" w:rsidRPr="00C26BF3">
        <w:rPr>
          <w:sz w:val="22"/>
          <w:szCs w:val="22"/>
        </w:rPr>
        <w:t xml:space="preserve">We estimate that </w:t>
      </w:r>
      <w:r w:rsidR="00D50157" w:rsidRPr="00C26BF3">
        <w:rPr>
          <w:sz w:val="22"/>
          <w:szCs w:val="22"/>
        </w:rPr>
        <w:t xml:space="preserve">compliance will require approximately </w:t>
      </w:r>
      <w:r w:rsidR="00B305EF" w:rsidRPr="00C26BF3">
        <w:rPr>
          <w:sz w:val="22"/>
          <w:szCs w:val="22"/>
        </w:rPr>
        <w:t xml:space="preserve">15 </w:t>
      </w:r>
      <w:r w:rsidR="00D50157" w:rsidRPr="00C26BF3">
        <w:rPr>
          <w:sz w:val="22"/>
          <w:szCs w:val="22"/>
        </w:rPr>
        <w:t>hours per provider</w:t>
      </w:r>
      <w:r w:rsidR="007F05B9" w:rsidRPr="00C26BF3">
        <w:rPr>
          <w:sz w:val="22"/>
          <w:szCs w:val="22"/>
        </w:rPr>
        <w:t xml:space="preserve"> annually</w:t>
      </w:r>
      <w:r w:rsidR="00D76571" w:rsidRPr="00C26BF3">
        <w:rPr>
          <w:sz w:val="22"/>
          <w:szCs w:val="22"/>
        </w:rPr>
        <w:t xml:space="preserve">, with </w:t>
      </w:r>
      <w:r w:rsidR="00B305EF" w:rsidRPr="00C26BF3">
        <w:rPr>
          <w:sz w:val="22"/>
          <w:szCs w:val="22"/>
        </w:rPr>
        <w:t xml:space="preserve">10 </w:t>
      </w:r>
      <w:r w:rsidR="00D76571" w:rsidRPr="00C26BF3">
        <w:rPr>
          <w:sz w:val="22"/>
          <w:szCs w:val="22"/>
        </w:rPr>
        <w:t xml:space="preserve">hours allocated to posting the information initially, and another </w:t>
      </w:r>
      <w:r w:rsidR="00B305EF" w:rsidRPr="00C26BF3">
        <w:rPr>
          <w:sz w:val="22"/>
          <w:szCs w:val="22"/>
        </w:rPr>
        <w:t xml:space="preserve">5 </w:t>
      </w:r>
      <w:r w:rsidR="00D76571" w:rsidRPr="00C26BF3">
        <w:rPr>
          <w:sz w:val="22"/>
          <w:szCs w:val="22"/>
        </w:rPr>
        <w:t xml:space="preserve">hours allocated to updating the information throughout the year. </w:t>
      </w:r>
    </w:p>
    <w:p w14:paraId="48D2DA8E" w14:textId="77777777" w:rsidR="00183BF5" w:rsidRPr="00C26BF3" w:rsidRDefault="00183BF5" w:rsidP="00183BF5">
      <w:pPr>
        <w:tabs>
          <w:tab w:val="left" w:pos="-720"/>
        </w:tabs>
        <w:suppressAutoHyphens/>
        <w:rPr>
          <w:spacing w:val="-3"/>
          <w:sz w:val="22"/>
          <w:szCs w:val="22"/>
        </w:rPr>
      </w:pPr>
    </w:p>
    <w:p w14:paraId="5C174F0A" w14:textId="3B0A72B9" w:rsidR="00183BF5" w:rsidRPr="00C26BF3" w:rsidRDefault="004412A3" w:rsidP="00306CAB">
      <w:pPr>
        <w:tabs>
          <w:tab w:val="left" w:pos="-720"/>
          <w:tab w:val="left" w:pos="990"/>
        </w:tabs>
        <w:suppressAutoHyphens/>
        <w:ind w:left="720"/>
        <w:rPr>
          <w:spacing w:val="-3"/>
          <w:sz w:val="22"/>
          <w:szCs w:val="22"/>
        </w:rPr>
      </w:pPr>
      <w:r w:rsidRPr="00C26BF3">
        <w:rPr>
          <w:spacing w:val="-3"/>
          <w:sz w:val="22"/>
          <w:szCs w:val="22"/>
        </w:rPr>
        <w:tab/>
      </w:r>
      <w:r w:rsidR="00306CAB" w:rsidRPr="00C26BF3">
        <w:rPr>
          <w:spacing w:val="-3"/>
          <w:sz w:val="22"/>
          <w:szCs w:val="22"/>
        </w:rPr>
        <w:tab/>
      </w:r>
      <w:r w:rsidR="00031A49" w:rsidRPr="00C26BF3">
        <w:rPr>
          <w:spacing w:val="-3"/>
          <w:sz w:val="22"/>
          <w:szCs w:val="22"/>
        </w:rPr>
        <w:t xml:space="preserve">15 </w:t>
      </w:r>
      <w:r w:rsidR="006205BF" w:rsidRPr="00C26BF3">
        <w:rPr>
          <w:spacing w:val="-3"/>
          <w:sz w:val="22"/>
          <w:szCs w:val="22"/>
        </w:rPr>
        <w:t xml:space="preserve">respondents </w:t>
      </w:r>
      <w:r w:rsidR="00031A49" w:rsidRPr="00C26BF3">
        <w:rPr>
          <w:spacing w:val="-3"/>
          <w:sz w:val="22"/>
          <w:szCs w:val="22"/>
        </w:rPr>
        <w:t xml:space="preserve">x </w:t>
      </w:r>
      <w:r w:rsidR="00B305EF" w:rsidRPr="00C26BF3">
        <w:rPr>
          <w:spacing w:val="-3"/>
          <w:sz w:val="22"/>
          <w:szCs w:val="22"/>
        </w:rPr>
        <w:t xml:space="preserve">15 </w:t>
      </w:r>
      <w:r w:rsidR="00183BF5" w:rsidRPr="00C26BF3">
        <w:rPr>
          <w:spacing w:val="-3"/>
          <w:sz w:val="22"/>
          <w:szCs w:val="22"/>
        </w:rPr>
        <w:t>hours per response x 1 respo</w:t>
      </w:r>
      <w:r w:rsidR="00031A49" w:rsidRPr="00C26BF3">
        <w:rPr>
          <w:spacing w:val="-3"/>
          <w:sz w:val="22"/>
          <w:szCs w:val="22"/>
        </w:rPr>
        <w:t xml:space="preserve">nse per year per respondent = </w:t>
      </w:r>
      <w:r w:rsidR="00B305EF" w:rsidRPr="00C26BF3">
        <w:rPr>
          <w:spacing w:val="-3"/>
          <w:sz w:val="22"/>
          <w:szCs w:val="22"/>
        </w:rPr>
        <w:t xml:space="preserve">225 </w:t>
      </w:r>
      <w:r w:rsidR="00183BF5" w:rsidRPr="00C26BF3">
        <w:rPr>
          <w:spacing w:val="-3"/>
          <w:sz w:val="22"/>
          <w:szCs w:val="22"/>
        </w:rPr>
        <w:t>hours.</w:t>
      </w:r>
    </w:p>
    <w:p w14:paraId="054025E0" w14:textId="77777777" w:rsidR="00183BF5" w:rsidRPr="00C26BF3" w:rsidRDefault="00183BF5" w:rsidP="00183BF5">
      <w:pPr>
        <w:tabs>
          <w:tab w:val="left" w:pos="-720"/>
        </w:tabs>
        <w:suppressAutoHyphens/>
        <w:rPr>
          <w:spacing w:val="-3"/>
          <w:sz w:val="22"/>
          <w:szCs w:val="22"/>
        </w:rPr>
      </w:pPr>
    </w:p>
    <w:p w14:paraId="08F9C3CB" w14:textId="1D54CE89" w:rsidR="00183BF5" w:rsidRPr="00C26BF3" w:rsidRDefault="00183BF5" w:rsidP="00183BF5">
      <w:pPr>
        <w:tabs>
          <w:tab w:val="left" w:pos="-720"/>
        </w:tabs>
        <w:suppressAutoHyphens/>
        <w:rPr>
          <w:spacing w:val="-3"/>
          <w:sz w:val="22"/>
          <w:szCs w:val="22"/>
        </w:rPr>
      </w:pPr>
      <w:r w:rsidRPr="00C26BF3">
        <w:rPr>
          <w:spacing w:val="-3"/>
          <w:sz w:val="22"/>
          <w:szCs w:val="22"/>
        </w:rPr>
        <w:tab/>
        <w:t xml:space="preserve">(5)  </w:t>
      </w:r>
      <w:r w:rsidRPr="00C26BF3">
        <w:rPr>
          <w:spacing w:val="-3"/>
          <w:sz w:val="22"/>
          <w:szCs w:val="22"/>
          <w:u w:val="single"/>
        </w:rPr>
        <w:t>Total annual burden</w:t>
      </w:r>
      <w:r w:rsidRPr="00C26BF3">
        <w:rPr>
          <w:spacing w:val="-3"/>
          <w:sz w:val="22"/>
          <w:szCs w:val="22"/>
        </w:rPr>
        <w:t xml:space="preserve">:  </w:t>
      </w:r>
      <w:r w:rsidR="00992695" w:rsidRPr="00C26BF3">
        <w:rPr>
          <w:spacing w:val="-3"/>
          <w:sz w:val="22"/>
          <w:szCs w:val="22"/>
        </w:rPr>
        <w:t>A</w:t>
      </w:r>
      <w:r w:rsidR="002E1B8D" w:rsidRPr="00C26BF3">
        <w:rPr>
          <w:spacing w:val="-3"/>
          <w:sz w:val="22"/>
          <w:szCs w:val="22"/>
        </w:rPr>
        <w:t>p</w:t>
      </w:r>
      <w:r w:rsidR="00992695" w:rsidRPr="00C26BF3">
        <w:rPr>
          <w:spacing w:val="-3"/>
          <w:sz w:val="22"/>
          <w:szCs w:val="22"/>
        </w:rPr>
        <w:t>proximately</w:t>
      </w:r>
      <w:r w:rsidR="002E1B8D" w:rsidRPr="00C26BF3">
        <w:rPr>
          <w:spacing w:val="-3"/>
          <w:sz w:val="22"/>
          <w:szCs w:val="22"/>
        </w:rPr>
        <w:t xml:space="preserve"> </w:t>
      </w:r>
      <w:r w:rsidR="00B305EF" w:rsidRPr="00C26BF3">
        <w:rPr>
          <w:b/>
          <w:spacing w:val="-3"/>
          <w:sz w:val="22"/>
          <w:szCs w:val="22"/>
        </w:rPr>
        <w:t xml:space="preserve">225 </w:t>
      </w:r>
      <w:r w:rsidRPr="00C26BF3">
        <w:rPr>
          <w:b/>
          <w:spacing w:val="-3"/>
          <w:sz w:val="22"/>
          <w:szCs w:val="22"/>
        </w:rPr>
        <w:t>hours</w:t>
      </w:r>
      <w:r w:rsidRPr="00C26BF3">
        <w:rPr>
          <w:spacing w:val="-3"/>
          <w:sz w:val="22"/>
          <w:szCs w:val="22"/>
        </w:rPr>
        <w:t>.</w:t>
      </w:r>
    </w:p>
    <w:p w14:paraId="70D8E5CF" w14:textId="77777777" w:rsidR="00183BF5" w:rsidRPr="00C26BF3" w:rsidRDefault="00183BF5" w:rsidP="00E61CDE">
      <w:pPr>
        <w:tabs>
          <w:tab w:val="left" w:pos="-720"/>
        </w:tabs>
        <w:suppressAutoHyphens/>
        <w:rPr>
          <w:spacing w:val="-3"/>
          <w:sz w:val="22"/>
          <w:szCs w:val="22"/>
        </w:rPr>
      </w:pPr>
    </w:p>
    <w:p w14:paraId="4BF536B3" w14:textId="77777777" w:rsidR="00183BF5" w:rsidRPr="00C26BF3" w:rsidRDefault="00183BF5" w:rsidP="00183BF5">
      <w:pPr>
        <w:tabs>
          <w:tab w:val="left" w:pos="-720"/>
        </w:tabs>
        <w:suppressAutoHyphens/>
        <w:ind w:left="1440"/>
        <w:rPr>
          <w:spacing w:val="-3"/>
          <w:sz w:val="22"/>
          <w:szCs w:val="22"/>
        </w:rPr>
      </w:pPr>
    </w:p>
    <w:p w14:paraId="19405EA6" w14:textId="3BD86113" w:rsidR="00C634BF" w:rsidRPr="00C26BF3" w:rsidRDefault="00C634BF" w:rsidP="00B71ED6">
      <w:pPr>
        <w:tabs>
          <w:tab w:val="left" w:pos="-720"/>
        </w:tabs>
        <w:suppressAutoHyphens/>
        <w:ind w:left="1440"/>
        <w:rPr>
          <w:spacing w:val="-3"/>
          <w:sz w:val="22"/>
          <w:szCs w:val="22"/>
        </w:rPr>
      </w:pPr>
      <w:r w:rsidRPr="00C26BF3">
        <w:rPr>
          <w:spacing w:val="-3"/>
          <w:sz w:val="22"/>
          <w:szCs w:val="22"/>
        </w:rPr>
        <w:t xml:space="preserve">The Commission estimates that approximately </w:t>
      </w:r>
      <w:r w:rsidR="00EA55AF" w:rsidRPr="00C26BF3">
        <w:rPr>
          <w:spacing w:val="-3"/>
          <w:sz w:val="22"/>
          <w:szCs w:val="22"/>
        </w:rPr>
        <w:t xml:space="preserve">15 ICS providers will require approximately </w:t>
      </w:r>
      <w:r w:rsidR="00B305EF" w:rsidRPr="00C26BF3">
        <w:rPr>
          <w:spacing w:val="-3"/>
          <w:sz w:val="22"/>
          <w:szCs w:val="22"/>
        </w:rPr>
        <w:t xml:space="preserve">15 </w:t>
      </w:r>
      <w:r w:rsidRPr="00C26BF3">
        <w:rPr>
          <w:spacing w:val="-3"/>
          <w:sz w:val="22"/>
          <w:szCs w:val="22"/>
        </w:rPr>
        <w:t xml:space="preserve">hours </w:t>
      </w:r>
      <w:r w:rsidR="006B0EB7" w:rsidRPr="00C26BF3">
        <w:rPr>
          <w:spacing w:val="-3"/>
          <w:sz w:val="22"/>
          <w:szCs w:val="22"/>
        </w:rPr>
        <w:t>each to comply with this requirement</w:t>
      </w:r>
      <w:r w:rsidRPr="00C26BF3">
        <w:rPr>
          <w:spacing w:val="-3"/>
          <w:sz w:val="22"/>
          <w:szCs w:val="22"/>
        </w:rPr>
        <w:t xml:space="preserve">.  </w:t>
      </w:r>
    </w:p>
    <w:p w14:paraId="557BD62D" w14:textId="77777777" w:rsidR="00C634BF" w:rsidRPr="00C26BF3" w:rsidRDefault="00C634BF" w:rsidP="00C634BF">
      <w:pPr>
        <w:tabs>
          <w:tab w:val="left" w:pos="-720"/>
        </w:tabs>
        <w:suppressAutoHyphens/>
        <w:ind w:left="1440"/>
        <w:rPr>
          <w:spacing w:val="-3"/>
          <w:sz w:val="22"/>
          <w:szCs w:val="22"/>
        </w:rPr>
      </w:pPr>
    </w:p>
    <w:p w14:paraId="0AD46E51" w14:textId="3A8AF8D9" w:rsidR="00183BF5" w:rsidRPr="00C26BF3" w:rsidRDefault="00EA55AF" w:rsidP="004412A3">
      <w:pPr>
        <w:tabs>
          <w:tab w:val="left" w:pos="-720"/>
        </w:tabs>
        <w:suppressAutoHyphens/>
        <w:ind w:left="1440"/>
        <w:rPr>
          <w:spacing w:val="-3"/>
          <w:sz w:val="22"/>
          <w:szCs w:val="22"/>
        </w:rPr>
      </w:pPr>
      <w:r w:rsidRPr="00C26BF3">
        <w:rPr>
          <w:spacing w:val="-3"/>
          <w:sz w:val="22"/>
          <w:szCs w:val="22"/>
        </w:rPr>
        <w:t xml:space="preserve">Approximately </w:t>
      </w:r>
      <w:r w:rsidR="00985F5C" w:rsidRPr="00C26BF3">
        <w:rPr>
          <w:spacing w:val="-3"/>
          <w:sz w:val="22"/>
          <w:szCs w:val="22"/>
        </w:rPr>
        <w:t>1</w:t>
      </w:r>
      <w:r w:rsidR="005844D9" w:rsidRPr="00C26BF3">
        <w:rPr>
          <w:spacing w:val="-3"/>
          <w:sz w:val="22"/>
          <w:szCs w:val="22"/>
        </w:rPr>
        <w:t>5</w:t>
      </w:r>
      <w:r w:rsidR="00183BF5" w:rsidRPr="00C26BF3">
        <w:rPr>
          <w:spacing w:val="-3"/>
          <w:sz w:val="22"/>
          <w:szCs w:val="22"/>
        </w:rPr>
        <w:t xml:space="preserve"> respondents x </w:t>
      </w:r>
      <w:r w:rsidR="00985F5C" w:rsidRPr="00C26BF3">
        <w:rPr>
          <w:spacing w:val="-3"/>
          <w:sz w:val="22"/>
          <w:szCs w:val="22"/>
        </w:rPr>
        <w:t>a</w:t>
      </w:r>
      <w:r w:rsidRPr="00C26BF3">
        <w:rPr>
          <w:spacing w:val="-3"/>
          <w:sz w:val="22"/>
          <w:szCs w:val="22"/>
        </w:rPr>
        <w:t>pproximately 1 response annually</w:t>
      </w:r>
      <w:r w:rsidR="00183BF5" w:rsidRPr="00C26BF3">
        <w:rPr>
          <w:spacing w:val="-3"/>
          <w:sz w:val="22"/>
          <w:szCs w:val="22"/>
        </w:rPr>
        <w:t xml:space="preserve"> x</w:t>
      </w:r>
      <w:r w:rsidR="001C4F67" w:rsidRPr="00C26BF3">
        <w:rPr>
          <w:spacing w:val="-3"/>
          <w:sz w:val="22"/>
          <w:szCs w:val="22"/>
        </w:rPr>
        <w:t xml:space="preserve"> </w:t>
      </w:r>
      <w:r w:rsidR="00166DFE" w:rsidRPr="00C26BF3">
        <w:rPr>
          <w:spacing w:val="-3"/>
          <w:sz w:val="22"/>
          <w:szCs w:val="22"/>
        </w:rPr>
        <w:t xml:space="preserve">approximately </w:t>
      </w:r>
      <w:r w:rsidR="00B305EF" w:rsidRPr="00C26BF3">
        <w:rPr>
          <w:spacing w:val="-3"/>
          <w:sz w:val="22"/>
          <w:szCs w:val="22"/>
        </w:rPr>
        <w:t xml:space="preserve">15 </w:t>
      </w:r>
      <w:r w:rsidR="00183BF5" w:rsidRPr="00C26BF3">
        <w:rPr>
          <w:spacing w:val="-3"/>
          <w:sz w:val="22"/>
          <w:szCs w:val="22"/>
        </w:rPr>
        <w:t xml:space="preserve">hours per response = </w:t>
      </w:r>
      <w:r w:rsidRPr="00C26BF3">
        <w:rPr>
          <w:spacing w:val="-3"/>
          <w:sz w:val="22"/>
          <w:szCs w:val="22"/>
        </w:rPr>
        <w:t>approximately</w:t>
      </w:r>
      <w:r w:rsidR="002E1B8D" w:rsidRPr="00C26BF3">
        <w:rPr>
          <w:spacing w:val="-3"/>
          <w:sz w:val="22"/>
          <w:szCs w:val="22"/>
        </w:rPr>
        <w:t xml:space="preserve"> </w:t>
      </w:r>
      <w:r w:rsidR="00B305EF" w:rsidRPr="00C26BF3">
        <w:rPr>
          <w:spacing w:val="-3"/>
          <w:sz w:val="22"/>
          <w:szCs w:val="22"/>
        </w:rPr>
        <w:t xml:space="preserve">225 </w:t>
      </w:r>
      <w:r w:rsidR="00183BF5" w:rsidRPr="00C26BF3">
        <w:rPr>
          <w:spacing w:val="-3"/>
          <w:sz w:val="22"/>
          <w:szCs w:val="22"/>
        </w:rPr>
        <w:t>hours.</w:t>
      </w:r>
    </w:p>
    <w:p w14:paraId="1298D778" w14:textId="77777777" w:rsidR="00183BF5" w:rsidRPr="00C26BF3" w:rsidRDefault="00183BF5" w:rsidP="00183BF5">
      <w:pPr>
        <w:tabs>
          <w:tab w:val="left" w:pos="-720"/>
        </w:tabs>
        <w:suppressAutoHyphens/>
        <w:rPr>
          <w:spacing w:val="-3"/>
          <w:sz w:val="22"/>
          <w:szCs w:val="22"/>
        </w:rPr>
      </w:pPr>
    </w:p>
    <w:p w14:paraId="0C8ED95C" w14:textId="4DBF222F" w:rsidR="00183BF5" w:rsidRPr="00C26BF3" w:rsidRDefault="00183BF5" w:rsidP="00183BF5">
      <w:pPr>
        <w:tabs>
          <w:tab w:val="left" w:pos="-720"/>
        </w:tabs>
        <w:suppressAutoHyphens/>
        <w:rPr>
          <w:spacing w:val="-3"/>
          <w:sz w:val="22"/>
          <w:szCs w:val="22"/>
        </w:rPr>
      </w:pPr>
      <w:r w:rsidRPr="00C26BF3">
        <w:rPr>
          <w:spacing w:val="-3"/>
          <w:sz w:val="22"/>
          <w:szCs w:val="22"/>
        </w:rPr>
        <w:tab/>
        <w:t xml:space="preserve">(6)  </w:t>
      </w:r>
      <w:r w:rsidRPr="00C26BF3">
        <w:rPr>
          <w:spacing w:val="-3"/>
          <w:sz w:val="22"/>
          <w:szCs w:val="22"/>
          <w:u w:val="single"/>
        </w:rPr>
        <w:t>Total estimate of “</w:t>
      </w:r>
      <w:r w:rsidR="002E1B8D" w:rsidRPr="00C26BF3">
        <w:rPr>
          <w:spacing w:val="-3"/>
          <w:sz w:val="22"/>
          <w:szCs w:val="22"/>
          <w:u w:val="single"/>
        </w:rPr>
        <w:t>in-</w:t>
      </w:r>
      <w:r w:rsidRPr="00C26BF3">
        <w:rPr>
          <w:spacing w:val="-3"/>
          <w:sz w:val="22"/>
          <w:szCs w:val="22"/>
          <w:u w:val="single"/>
        </w:rPr>
        <w:t>house” cost to respondents:</w:t>
      </w:r>
      <w:r w:rsidRPr="00C26BF3">
        <w:rPr>
          <w:spacing w:val="-3"/>
          <w:sz w:val="22"/>
          <w:szCs w:val="22"/>
        </w:rPr>
        <w:t xml:space="preserve">  </w:t>
      </w:r>
      <w:r w:rsidRPr="00C26BF3">
        <w:rPr>
          <w:b/>
          <w:sz w:val="22"/>
          <w:szCs w:val="22"/>
        </w:rPr>
        <w:t>$</w:t>
      </w:r>
      <w:r w:rsidR="007D7054" w:rsidRPr="00C26BF3">
        <w:rPr>
          <w:b/>
          <w:sz w:val="22"/>
          <w:szCs w:val="22"/>
        </w:rPr>
        <w:t>28</w:t>
      </w:r>
      <w:r w:rsidR="0063177E" w:rsidRPr="00C26BF3">
        <w:rPr>
          <w:b/>
          <w:sz w:val="22"/>
          <w:szCs w:val="22"/>
        </w:rPr>
        <w:t>,</w:t>
      </w:r>
      <w:r w:rsidR="00DD740A" w:rsidRPr="00C26BF3">
        <w:rPr>
          <w:b/>
          <w:sz w:val="22"/>
          <w:szCs w:val="22"/>
        </w:rPr>
        <w:t>125</w:t>
      </w:r>
      <w:r w:rsidRPr="00C26BF3">
        <w:rPr>
          <w:sz w:val="22"/>
          <w:szCs w:val="22"/>
        </w:rPr>
        <w:t>.</w:t>
      </w:r>
    </w:p>
    <w:p w14:paraId="5F354BD4" w14:textId="77777777" w:rsidR="00183BF5" w:rsidRPr="00C26BF3" w:rsidRDefault="00183BF5" w:rsidP="00183BF5">
      <w:pPr>
        <w:tabs>
          <w:tab w:val="left" w:pos="-720"/>
        </w:tabs>
        <w:suppressAutoHyphens/>
        <w:rPr>
          <w:spacing w:val="-3"/>
          <w:sz w:val="22"/>
          <w:szCs w:val="22"/>
        </w:rPr>
      </w:pPr>
    </w:p>
    <w:p w14:paraId="1AAAE0B4" w14:textId="77777777" w:rsidR="00183BF5" w:rsidRPr="00C26BF3" w:rsidRDefault="00183BF5" w:rsidP="00183BF5">
      <w:pPr>
        <w:tabs>
          <w:tab w:val="left" w:pos="-720"/>
        </w:tabs>
        <w:suppressAutoHyphens/>
        <w:rPr>
          <w:sz w:val="22"/>
          <w:szCs w:val="22"/>
        </w:rPr>
      </w:pPr>
      <w:r w:rsidRPr="00C26BF3">
        <w:rPr>
          <w:sz w:val="22"/>
          <w:szCs w:val="22"/>
        </w:rPr>
        <w:tab/>
        <w:t xml:space="preserve">(7)  </w:t>
      </w:r>
      <w:r w:rsidRPr="00C26BF3">
        <w:rPr>
          <w:sz w:val="22"/>
          <w:szCs w:val="22"/>
          <w:u w:val="single"/>
        </w:rPr>
        <w:t>Explanation of the calculation</w:t>
      </w:r>
      <w:r w:rsidRPr="00C26BF3">
        <w:rPr>
          <w:sz w:val="22"/>
          <w:szCs w:val="22"/>
        </w:rPr>
        <w:t xml:space="preserve">:  </w:t>
      </w:r>
    </w:p>
    <w:p w14:paraId="287B2751" w14:textId="77777777" w:rsidR="00183BF5" w:rsidRPr="00C26BF3" w:rsidRDefault="00183BF5" w:rsidP="00183BF5">
      <w:pPr>
        <w:tabs>
          <w:tab w:val="left" w:pos="-720"/>
        </w:tabs>
        <w:suppressAutoHyphens/>
        <w:rPr>
          <w:sz w:val="22"/>
          <w:szCs w:val="22"/>
        </w:rPr>
      </w:pPr>
    </w:p>
    <w:p w14:paraId="17A024AC" w14:textId="77777777" w:rsidR="00183BF5" w:rsidRPr="00C26BF3" w:rsidRDefault="00183BF5" w:rsidP="00183BF5">
      <w:pPr>
        <w:tabs>
          <w:tab w:val="left" w:pos="-720"/>
        </w:tabs>
        <w:suppressAutoHyphens/>
        <w:ind w:left="1440"/>
        <w:rPr>
          <w:sz w:val="22"/>
          <w:szCs w:val="22"/>
        </w:rPr>
      </w:pPr>
      <w:r w:rsidRPr="00C26BF3">
        <w:rPr>
          <w:sz w:val="22"/>
          <w:szCs w:val="22"/>
        </w:rPr>
        <w:t xml:space="preserve">The Commission estimates that </w:t>
      </w:r>
      <w:r w:rsidR="00763527" w:rsidRPr="00C26BF3">
        <w:rPr>
          <w:sz w:val="22"/>
          <w:szCs w:val="22"/>
        </w:rPr>
        <w:t>1</w:t>
      </w:r>
      <w:r w:rsidRPr="00C26BF3">
        <w:rPr>
          <w:sz w:val="22"/>
          <w:szCs w:val="22"/>
        </w:rPr>
        <w:t>5 ICS providers will be subject to the consumer disclosure requirements.</w:t>
      </w:r>
    </w:p>
    <w:p w14:paraId="75AB9094" w14:textId="77777777" w:rsidR="00183BF5" w:rsidRPr="00C26BF3" w:rsidRDefault="00183BF5" w:rsidP="00183BF5">
      <w:pPr>
        <w:tabs>
          <w:tab w:val="left" w:pos="-720"/>
        </w:tabs>
        <w:suppressAutoHyphens/>
        <w:rPr>
          <w:sz w:val="22"/>
          <w:szCs w:val="22"/>
        </w:rPr>
      </w:pPr>
    </w:p>
    <w:p w14:paraId="51D68383" w14:textId="70CC1D35" w:rsidR="004127AC" w:rsidRPr="00C26BF3" w:rsidRDefault="00183BF5" w:rsidP="00E63DCE">
      <w:pPr>
        <w:tabs>
          <w:tab w:val="left" w:pos="-720"/>
        </w:tabs>
        <w:suppressAutoHyphens/>
        <w:ind w:left="1440"/>
        <w:rPr>
          <w:sz w:val="22"/>
          <w:szCs w:val="22"/>
        </w:rPr>
      </w:pPr>
      <w:r w:rsidRPr="00C26BF3">
        <w:rPr>
          <w:sz w:val="22"/>
          <w:szCs w:val="22"/>
        </w:rPr>
        <w:t>We assume t</w:t>
      </w:r>
      <w:r w:rsidR="00763527" w:rsidRPr="00C26BF3">
        <w:rPr>
          <w:sz w:val="22"/>
          <w:szCs w:val="22"/>
        </w:rPr>
        <w:t xml:space="preserve">hat respondents will use </w:t>
      </w:r>
      <w:r w:rsidR="000740E9" w:rsidRPr="00C26BF3">
        <w:rPr>
          <w:sz w:val="22"/>
          <w:szCs w:val="22"/>
        </w:rPr>
        <w:t xml:space="preserve">approximately </w:t>
      </w:r>
      <w:r w:rsidR="007D7054" w:rsidRPr="00C26BF3">
        <w:rPr>
          <w:sz w:val="22"/>
          <w:szCs w:val="22"/>
        </w:rPr>
        <w:t xml:space="preserve">15 </w:t>
      </w:r>
      <w:r w:rsidRPr="00C26BF3">
        <w:rPr>
          <w:sz w:val="22"/>
          <w:szCs w:val="22"/>
        </w:rPr>
        <w:t>hours of an officer of the company’s time (rate of $</w:t>
      </w:r>
      <w:r w:rsidR="00DD740A" w:rsidRPr="00C26BF3">
        <w:rPr>
          <w:sz w:val="22"/>
          <w:szCs w:val="22"/>
        </w:rPr>
        <w:t>125</w:t>
      </w:r>
      <w:r w:rsidRPr="00C26BF3">
        <w:rPr>
          <w:sz w:val="22"/>
          <w:szCs w:val="22"/>
        </w:rPr>
        <w:t xml:space="preserve">/hour) to satisfy this requirement.  Thus </w:t>
      </w:r>
      <w:r w:rsidR="007D7054" w:rsidRPr="00C26BF3">
        <w:rPr>
          <w:sz w:val="22"/>
          <w:szCs w:val="22"/>
        </w:rPr>
        <w:t xml:space="preserve">225 </w:t>
      </w:r>
      <w:r w:rsidRPr="00C26BF3">
        <w:rPr>
          <w:sz w:val="22"/>
          <w:szCs w:val="22"/>
        </w:rPr>
        <w:t>hours per year x $1</w:t>
      </w:r>
      <w:r w:rsidR="00DD740A" w:rsidRPr="00C26BF3">
        <w:rPr>
          <w:sz w:val="22"/>
          <w:szCs w:val="22"/>
        </w:rPr>
        <w:t>25</w:t>
      </w:r>
      <w:r w:rsidRPr="00C26BF3">
        <w:rPr>
          <w:sz w:val="22"/>
          <w:szCs w:val="22"/>
        </w:rPr>
        <w:t xml:space="preserve"> = $</w:t>
      </w:r>
      <w:r w:rsidR="007D7054" w:rsidRPr="00C26BF3">
        <w:rPr>
          <w:sz w:val="22"/>
          <w:szCs w:val="22"/>
        </w:rPr>
        <w:t>28</w:t>
      </w:r>
      <w:r w:rsidR="00DD740A" w:rsidRPr="00C26BF3">
        <w:rPr>
          <w:sz w:val="22"/>
          <w:szCs w:val="22"/>
        </w:rPr>
        <w:t>,125.</w:t>
      </w:r>
    </w:p>
    <w:p w14:paraId="2D801B46" w14:textId="77777777" w:rsidR="00D136C4" w:rsidRPr="00C26BF3" w:rsidRDefault="00D136C4" w:rsidP="00306CAB">
      <w:pPr>
        <w:tabs>
          <w:tab w:val="left" w:pos="-720"/>
        </w:tabs>
        <w:suppressAutoHyphens/>
        <w:rPr>
          <w:sz w:val="22"/>
          <w:szCs w:val="22"/>
        </w:rPr>
      </w:pPr>
    </w:p>
    <w:p w14:paraId="26A30860" w14:textId="77777777" w:rsidR="00E63DCE" w:rsidRPr="00C26BF3" w:rsidRDefault="00E63DCE" w:rsidP="007E0735">
      <w:pPr>
        <w:keepLines/>
        <w:tabs>
          <w:tab w:val="left" w:pos="-720"/>
        </w:tabs>
        <w:suppressAutoHyphens/>
        <w:rPr>
          <w:b/>
          <w:spacing w:val="-3"/>
          <w:sz w:val="22"/>
          <w:szCs w:val="22"/>
        </w:rPr>
      </w:pPr>
    </w:p>
    <w:p w14:paraId="57850A57" w14:textId="77777777" w:rsidR="00E63DCE" w:rsidRPr="00C26BF3" w:rsidRDefault="00E63DCE" w:rsidP="007E0735">
      <w:pPr>
        <w:keepLines/>
        <w:tabs>
          <w:tab w:val="left" w:pos="-720"/>
        </w:tabs>
        <w:suppressAutoHyphens/>
        <w:rPr>
          <w:b/>
          <w:spacing w:val="-3"/>
          <w:sz w:val="22"/>
          <w:szCs w:val="22"/>
        </w:rPr>
      </w:pPr>
    </w:p>
    <w:p w14:paraId="25EA7FAD" w14:textId="77777777" w:rsidR="007E0735" w:rsidRPr="00C26BF3" w:rsidRDefault="00D136C4" w:rsidP="007E0735">
      <w:pPr>
        <w:keepLines/>
        <w:tabs>
          <w:tab w:val="left" w:pos="-720"/>
        </w:tabs>
        <w:suppressAutoHyphens/>
        <w:rPr>
          <w:b/>
          <w:spacing w:val="-3"/>
          <w:sz w:val="22"/>
          <w:szCs w:val="22"/>
        </w:rPr>
      </w:pPr>
      <w:r w:rsidRPr="00C26BF3">
        <w:rPr>
          <w:b/>
          <w:spacing w:val="-3"/>
          <w:sz w:val="22"/>
          <w:szCs w:val="22"/>
        </w:rPr>
        <w:t xml:space="preserve">d. </w:t>
      </w:r>
      <w:r w:rsidR="00763527" w:rsidRPr="00C26BF3">
        <w:rPr>
          <w:b/>
          <w:spacing w:val="-3"/>
          <w:sz w:val="22"/>
          <w:szCs w:val="22"/>
        </w:rPr>
        <w:tab/>
      </w:r>
      <w:r w:rsidR="007E0735" w:rsidRPr="00C26BF3">
        <w:rPr>
          <w:b/>
          <w:spacing w:val="-3"/>
          <w:sz w:val="22"/>
          <w:szCs w:val="22"/>
          <w:u w:val="single"/>
        </w:rPr>
        <w:t>Total Annual Burden Hours</w:t>
      </w:r>
      <w:r w:rsidR="007E0735" w:rsidRPr="00C26BF3">
        <w:rPr>
          <w:b/>
          <w:spacing w:val="-3"/>
          <w:sz w:val="22"/>
          <w:szCs w:val="22"/>
        </w:rPr>
        <w:t>:</w:t>
      </w:r>
    </w:p>
    <w:p w14:paraId="3030E20C" w14:textId="77777777" w:rsidR="007E0735" w:rsidRPr="00C26BF3" w:rsidRDefault="007E0735" w:rsidP="007E0735">
      <w:pPr>
        <w:tabs>
          <w:tab w:val="left" w:pos="-720"/>
        </w:tabs>
        <w:suppressAutoHyphens/>
        <w:rPr>
          <w:b/>
          <w:spacing w:val="-3"/>
          <w:sz w:val="22"/>
          <w:szCs w:val="22"/>
        </w:rPr>
      </w:pPr>
    </w:p>
    <w:p w14:paraId="5E5CA3CD" w14:textId="61897FB3" w:rsidR="007E0735" w:rsidRPr="00C26BF3" w:rsidRDefault="007E0735" w:rsidP="007E0735">
      <w:pPr>
        <w:tabs>
          <w:tab w:val="left" w:pos="-720"/>
        </w:tabs>
        <w:suppressAutoHyphens/>
        <w:ind w:left="1440"/>
        <w:rPr>
          <w:spacing w:val="-3"/>
          <w:sz w:val="22"/>
          <w:szCs w:val="22"/>
        </w:rPr>
      </w:pPr>
      <w:r w:rsidRPr="00C26BF3">
        <w:rPr>
          <w:spacing w:val="-3"/>
          <w:sz w:val="22"/>
          <w:szCs w:val="22"/>
        </w:rPr>
        <w:t xml:space="preserve"> (</w:t>
      </w:r>
      <w:r w:rsidR="00F41E80" w:rsidRPr="00C26BF3">
        <w:rPr>
          <w:spacing w:val="-3"/>
          <w:sz w:val="22"/>
          <w:szCs w:val="22"/>
        </w:rPr>
        <w:t>a)</w:t>
      </w:r>
      <w:r w:rsidR="00F41E80" w:rsidRPr="00C26BF3">
        <w:rPr>
          <w:spacing w:val="-3"/>
          <w:sz w:val="22"/>
          <w:szCs w:val="22"/>
        </w:rPr>
        <w:tab/>
        <w:t>Re</w:t>
      </w:r>
      <w:r w:rsidR="003B712A" w:rsidRPr="00C26BF3">
        <w:rPr>
          <w:spacing w:val="-3"/>
          <w:sz w:val="22"/>
          <w:szCs w:val="22"/>
        </w:rPr>
        <w:t>porting</w:t>
      </w:r>
      <w:r w:rsidR="00F41E80" w:rsidRPr="00C26BF3">
        <w:rPr>
          <w:spacing w:val="-3"/>
          <w:sz w:val="22"/>
          <w:szCs w:val="22"/>
        </w:rPr>
        <w:t xml:space="preserve"> Requirement:</w:t>
      </w:r>
      <w:r w:rsidR="00F41E80" w:rsidRPr="00C26BF3">
        <w:rPr>
          <w:spacing w:val="-3"/>
          <w:sz w:val="22"/>
          <w:szCs w:val="22"/>
        </w:rPr>
        <w:tab/>
      </w:r>
      <w:r w:rsidR="00F41E80" w:rsidRPr="00C26BF3">
        <w:rPr>
          <w:spacing w:val="-3"/>
          <w:sz w:val="22"/>
          <w:szCs w:val="22"/>
        </w:rPr>
        <w:tab/>
      </w:r>
      <w:r w:rsidR="003B712A" w:rsidRPr="00C26BF3">
        <w:rPr>
          <w:spacing w:val="-3"/>
          <w:sz w:val="22"/>
          <w:szCs w:val="22"/>
        </w:rPr>
        <w:tab/>
      </w:r>
      <w:r w:rsidR="00763527" w:rsidRPr="00C26BF3">
        <w:rPr>
          <w:spacing w:val="-3"/>
          <w:sz w:val="22"/>
          <w:szCs w:val="22"/>
        </w:rPr>
        <w:t xml:space="preserve">   </w:t>
      </w:r>
      <w:r w:rsidR="007D7054" w:rsidRPr="00C26BF3">
        <w:rPr>
          <w:spacing w:val="-3"/>
          <w:sz w:val="22"/>
          <w:szCs w:val="22"/>
        </w:rPr>
        <w:t>900</w:t>
      </w:r>
    </w:p>
    <w:p w14:paraId="2304C737" w14:textId="37BCE7F4" w:rsidR="007E0735" w:rsidRPr="00C26BF3" w:rsidRDefault="007E0735" w:rsidP="007E0735">
      <w:pPr>
        <w:tabs>
          <w:tab w:val="left" w:pos="-720"/>
        </w:tabs>
        <w:suppressAutoHyphens/>
        <w:ind w:left="1440"/>
        <w:rPr>
          <w:spacing w:val="-3"/>
          <w:sz w:val="22"/>
          <w:szCs w:val="22"/>
        </w:rPr>
      </w:pPr>
      <w:r w:rsidRPr="00C26BF3">
        <w:rPr>
          <w:spacing w:val="-3"/>
          <w:sz w:val="22"/>
          <w:szCs w:val="22"/>
        </w:rPr>
        <w:t xml:space="preserve"> (b)</w:t>
      </w:r>
      <w:r w:rsidRPr="00C26BF3">
        <w:rPr>
          <w:spacing w:val="-3"/>
          <w:sz w:val="22"/>
          <w:szCs w:val="22"/>
        </w:rPr>
        <w:tab/>
      </w:r>
      <w:r w:rsidR="003B712A" w:rsidRPr="00C26BF3">
        <w:rPr>
          <w:spacing w:val="-3"/>
          <w:sz w:val="22"/>
          <w:szCs w:val="22"/>
        </w:rPr>
        <w:t xml:space="preserve">Certification </w:t>
      </w:r>
      <w:r w:rsidRPr="00C26BF3">
        <w:rPr>
          <w:spacing w:val="-3"/>
          <w:sz w:val="22"/>
          <w:szCs w:val="22"/>
        </w:rPr>
        <w:t>Requirement:</w:t>
      </w:r>
      <w:r w:rsidR="003B712A" w:rsidRPr="00C26BF3">
        <w:rPr>
          <w:spacing w:val="-3"/>
          <w:sz w:val="22"/>
          <w:szCs w:val="22"/>
        </w:rPr>
        <w:tab/>
      </w:r>
      <w:r w:rsidR="003B712A" w:rsidRPr="00C26BF3">
        <w:rPr>
          <w:spacing w:val="-3"/>
          <w:sz w:val="22"/>
          <w:szCs w:val="22"/>
        </w:rPr>
        <w:tab/>
        <w:t xml:space="preserve">     </w:t>
      </w:r>
      <w:r w:rsidR="007D7054" w:rsidRPr="00C26BF3">
        <w:rPr>
          <w:spacing w:val="-3"/>
          <w:sz w:val="22"/>
          <w:szCs w:val="22"/>
        </w:rPr>
        <w:t>7</w:t>
      </w:r>
      <w:r w:rsidR="00F41E80" w:rsidRPr="00C26BF3">
        <w:rPr>
          <w:spacing w:val="-3"/>
          <w:sz w:val="22"/>
          <w:szCs w:val="22"/>
        </w:rPr>
        <w:t>5</w:t>
      </w:r>
      <w:r w:rsidR="00183BF5" w:rsidRPr="00C26BF3">
        <w:rPr>
          <w:spacing w:val="-3"/>
          <w:sz w:val="22"/>
          <w:szCs w:val="22"/>
          <w:u w:val="single"/>
        </w:rPr>
        <w:br/>
      </w:r>
      <w:r w:rsidR="00183BF5" w:rsidRPr="00C26BF3">
        <w:rPr>
          <w:spacing w:val="-3"/>
          <w:sz w:val="22"/>
          <w:szCs w:val="22"/>
        </w:rPr>
        <w:t xml:space="preserve"> (c)        Consumer Disclosure Requirement:</w:t>
      </w:r>
      <w:r w:rsidR="00763527" w:rsidRPr="00C26BF3">
        <w:rPr>
          <w:spacing w:val="-3"/>
          <w:sz w:val="22"/>
          <w:szCs w:val="22"/>
        </w:rPr>
        <w:t xml:space="preserve">              </w:t>
      </w:r>
      <w:r w:rsidR="007D7054" w:rsidRPr="00C26BF3">
        <w:rPr>
          <w:spacing w:val="-3"/>
          <w:sz w:val="22"/>
          <w:szCs w:val="22"/>
        </w:rPr>
        <w:t>22</w:t>
      </w:r>
      <w:r w:rsidR="00763527" w:rsidRPr="00C26BF3">
        <w:rPr>
          <w:spacing w:val="-3"/>
          <w:sz w:val="22"/>
          <w:szCs w:val="22"/>
        </w:rPr>
        <w:t>5</w:t>
      </w:r>
    </w:p>
    <w:p w14:paraId="095B575C" w14:textId="77777777" w:rsidR="007E0735" w:rsidRPr="00C26BF3" w:rsidRDefault="007E0735" w:rsidP="007E0735">
      <w:pPr>
        <w:tabs>
          <w:tab w:val="left" w:pos="-720"/>
        </w:tabs>
        <w:suppressAutoHyphens/>
        <w:rPr>
          <w:b/>
          <w:spacing w:val="-3"/>
          <w:sz w:val="22"/>
          <w:szCs w:val="22"/>
        </w:rPr>
      </w:pPr>
      <w:r w:rsidRPr="00C26BF3">
        <w:rPr>
          <w:b/>
          <w:spacing w:val="-3"/>
          <w:sz w:val="22"/>
          <w:szCs w:val="22"/>
        </w:rPr>
        <w:tab/>
      </w:r>
      <w:r w:rsidRPr="00C26BF3">
        <w:rPr>
          <w:b/>
          <w:spacing w:val="-3"/>
          <w:sz w:val="22"/>
          <w:szCs w:val="22"/>
        </w:rPr>
        <w:tab/>
      </w:r>
      <w:r w:rsidRPr="00C26BF3">
        <w:rPr>
          <w:b/>
          <w:spacing w:val="-3"/>
          <w:sz w:val="22"/>
          <w:szCs w:val="22"/>
        </w:rPr>
        <w:tab/>
      </w:r>
      <w:r w:rsidRPr="00C26BF3">
        <w:rPr>
          <w:b/>
          <w:spacing w:val="-3"/>
          <w:sz w:val="22"/>
          <w:szCs w:val="22"/>
        </w:rPr>
        <w:tab/>
      </w:r>
      <w:r w:rsidRPr="00C26BF3">
        <w:rPr>
          <w:b/>
          <w:spacing w:val="-3"/>
          <w:sz w:val="22"/>
          <w:szCs w:val="22"/>
        </w:rPr>
        <w:tab/>
      </w:r>
      <w:r w:rsidRPr="00C26BF3">
        <w:rPr>
          <w:b/>
          <w:spacing w:val="-3"/>
          <w:sz w:val="22"/>
          <w:szCs w:val="22"/>
        </w:rPr>
        <w:tab/>
      </w:r>
      <w:r w:rsidRPr="00C26BF3">
        <w:rPr>
          <w:b/>
          <w:spacing w:val="-3"/>
          <w:sz w:val="22"/>
          <w:szCs w:val="22"/>
        </w:rPr>
        <w:tab/>
      </w:r>
      <w:r w:rsidRPr="00C26BF3">
        <w:rPr>
          <w:b/>
          <w:spacing w:val="-3"/>
          <w:sz w:val="22"/>
          <w:szCs w:val="22"/>
        </w:rPr>
        <w:tab/>
        <w:t xml:space="preserve"> </w:t>
      </w:r>
    </w:p>
    <w:p w14:paraId="103317C0" w14:textId="77777777" w:rsidR="007E0735" w:rsidRPr="00C26BF3" w:rsidRDefault="007E0735" w:rsidP="007E0735">
      <w:pPr>
        <w:tabs>
          <w:tab w:val="left" w:pos="-720"/>
        </w:tabs>
        <w:suppressAutoHyphens/>
        <w:ind w:left="720"/>
        <w:rPr>
          <w:b/>
          <w:spacing w:val="-3"/>
          <w:sz w:val="22"/>
          <w:szCs w:val="22"/>
        </w:rPr>
      </w:pPr>
    </w:p>
    <w:p w14:paraId="1322E47D" w14:textId="77777777" w:rsidR="002E1B8D" w:rsidRPr="00C26BF3" w:rsidRDefault="002E1B8D" w:rsidP="007E0735">
      <w:pPr>
        <w:tabs>
          <w:tab w:val="left" w:pos="-720"/>
        </w:tabs>
        <w:suppressAutoHyphens/>
        <w:ind w:left="720"/>
        <w:rPr>
          <w:b/>
          <w:spacing w:val="-3"/>
          <w:sz w:val="22"/>
          <w:szCs w:val="22"/>
        </w:rPr>
      </w:pPr>
    </w:p>
    <w:p w14:paraId="3CA44AAE" w14:textId="77777777" w:rsidR="001946D2" w:rsidRPr="00C26BF3" w:rsidRDefault="001946D2" w:rsidP="007E0735">
      <w:pPr>
        <w:tabs>
          <w:tab w:val="left" w:pos="-720"/>
        </w:tabs>
        <w:suppressAutoHyphens/>
        <w:ind w:left="720"/>
        <w:rPr>
          <w:b/>
          <w:spacing w:val="-3"/>
          <w:sz w:val="22"/>
          <w:szCs w:val="22"/>
        </w:rPr>
      </w:pPr>
      <w:r w:rsidRPr="00C26BF3">
        <w:rPr>
          <w:b/>
          <w:spacing w:val="-3"/>
          <w:sz w:val="22"/>
          <w:szCs w:val="22"/>
        </w:rPr>
        <w:t>Total Respondents:  15</w:t>
      </w:r>
    </w:p>
    <w:p w14:paraId="05D1C2B1" w14:textId="77777777" w:rsidR="001946D2" w:rsidRPr="00C26BF3" w:rsidRDefault="001946D2" w:rsidP="007E0735">
      <w:pPr>
        <w:tabs>
          <w:tab w:val="left" w:pos="-720"/>
        </w:tabs>
        <w:suppressAutoHyphens/>
        <w:ind w:left="720"/>
        <w:rPr>
          <w:b/>
          <w:spacing w:val="-3"/>
          <w:sz w:val="22"/>
          <w:szCs w:val="22"/>
        </w:rPr>
      </w:pPr>
      <w:r w:rsidRPr="00C26BF3">
        <w:rPr>
          <w:b/>
          <w:spacing w:val="-3"/>
          <w:sz w:val="22"/>
          <w:szCs w:val="22"/>
        </w:rPr>
        <w:t xml:space="preserve">Total Responses: 15 </w:t>
      </w:r>
    </w:p>
    <w:p w14:paraId="5B26ACBB" w14:textId="309ADB64" w:rsidR="001946D2" w:rsidRPr="00C26BF3" w:rsidRDefault="001946D2" w:rsidP="007E0735">
      <w:pPr>
        <w:tabs>
          <w:tab w:val="left" w:pos="-720"/>
        </w:tabs>
        <w:suppressAutoHyphens/>
        <w:ind w:left="720"/>
        <w:rPr>
          <w:spacing w:val="-3"/>
          <w:sz w:val="22"/>
          <w:szCs w:val="22"/>
        </w:rPr>
      </w:pPr>
      <w:r w:rsidRPr="00C26BF3">
        <w:rPr>
          <w:b/>
          <w:spacing w:val="-3"/>
          <w:sz w:val="22"/>
          <w:szCs w:val="22"/>
        </w:rPr>
        <w:t xml:space="preserve">Total In-House Costs:  </w:t>
      </w:r>
      <w:r w:rsidRPr="00C26BF3">
        <w:rPr>
          <w:spacing w:val="-3"/>
          <w:sz w:val="22"/>
          <w:szCs w:val="22"/>
        </w:rPr>
        <w:t>$</w:t>
      </w:r>
      <w:r w:rsidR="007D7054" w:rsidRPr="00C26BF3">
        <w:rPr>
          <w:spacing w:val="-3"/>
          <w:sz w:val="22"/>
          <w:szCs w:val="22"/>
        </w:rPr>
        <w:t>40,500</w:t>
      </w:r>
      <w:r w:rsidRPr="00C26BF3">
        <w:rPr>
          <w:spacing w:val="-3"/>
          <w:sz w:val="22"/>
          <w:szCs w:val="22"/>
        </w:rPr>
        <w:t xml:space="preserve"> + $</w:t>
      </w:r>
      <w:r w:rsidR="007D7054" w:rsidRPr="00C26BF3">
        <w:rPr>
          <w:spacing w:val="-3"/>
          <w:sz w:val="22"/>
          <w:szCs w:val="22"/>
        </w:rPr>
        <w:t>9,375</w:t>
      </w:r>
      <w:r w:rsidR="00DD740A" w:rsidRPr="00C26BF3">
        <w:rPr>
          <w:spacing w:val="-3"/>
          <w:sz w:val="22"/>
          <w:szCs w:val="22"/>
        </w:rPr>
        <w:t xml:space="preserve"> </w:t>
      </w:r>
      <w:r w:rsidRPr="00C26BF3">
        <w:rPr>
          <w:spacing w:val="-3"/>
          <w:sz w:val="22"/>
          <w:szCs w:val="22"/>
        </w:rPr>
        <w:t>+ $</w:t>
      </w:r>
      <w:r w:rsidR="007D7054" w:rsidRPr="00C26BF3">
        <w:rPr>
          <w:spacing w:val="-3"/>
          <w:sz w:val="22"/>
          <w:szCs w:val="22"/>
        </w:rPr>
        <w:t>28</w:t>
      </w:r>
      <w:r w:rsidR="00DD740A" w:rsidRPr="00C26BF3">
        <w:rPr>
          <w:spacing w:val="-3"/>
          <w:sz w:val="22"/>
          <w:szCs w:val="22"/>
        </w:rPr>
        <w:t>,125</w:t>
      </w:r>
      <w:r w:rsidRPr="00C26BF3">
        <w:rPr>
          <w:spacing w:val="-3"/>
          <w:sz w:val="22"/>
          <w:szCs w:val="22"/>
        </w:rPr>
        <w:t xml:space="preserve"> = </w:t>
      </w:r>
      <w:r w:rsidRPr="00C26BF3">
        <w:rPr>
          <w:b/>
          <w:spacing w:val="-3"/>
          <w:sz w:val="22"/>
          <w:szCs w:val="22"/>
        </w:rPr>
        <w:t>$</w:t>
      </w:r>
      <w:r w:rsidR="007D7054" w:rsidRPr="00C26BF3">
        <w:rPr>
          <w:b/>
          <w:spacing w:val="-3"/>
          <w:sz w:val="22"/>
          <w:szCs w:val="22"/>
        </w:rPr>
        <w:t>78,000</w:t>
      </w:r>
      <w:r w:rsidR="00DD740A" w:rsidRPr="00C26BF3">
        <w:rPr>
          <w:b/>
          <w:spacing w:val="-3"/>
          <w:sz w:val="22"/>
          <w:szCs w:val="22"/>
        </w:rPr>
        <w:t>.</w:t>
      </w:r>
    </w:p>
    <w:p w14:paraId="75BD771E" w14:textId="21A4502C" w:rsidR="007E0735" w:rsidRPr="00C26BF3" w:rsidRDefault="007E0735" w:rsidP="007E0735">
      <w:pPr>
        <w:tabs>
          <w:tab w:val="left" w:pos="-720"/>
        </w:tabs>
        <w:suppressAutoHyphens/>
        <w:ind w:left="720"/>
        <w:rPr>
          <w:b/>
          <w:spacing w:val="-3"/>
          <w:sz w:val="22"/>
          <w:szCs w:val="22"/>
        </w:rPr>
      </w:pPr>
      <w:r w:rsidRPr="00C26BF3">
        <w:rPr>
          <w:b/>
          <w:spacing w:val="-3"/>
          <w:sz w:val="22"/>
          <w:szCs w:val="22"/>
        </w:rPr>
        <w:t xml:space="preserve">Total Annual Burden Hours = </w:t>
      </w:r>
      <w:r w:rsidRPr="00C26BF3">
        <w:rPr>
          <w:b/>
          <w:spacing w:val="-3"/>
          <w:sz w:val="22"/>
          <w:szCs w:val="22"/>
        </w:rPr>
        <w:tab/>
      </w:r>
      <w:r w:rsidR="007D7054" w:rsidRPr="00C26BF3">
        <w:rPr>
          <w:spacing w:val="-3"/>
          <w:sz w:val="22"/>
          <w:szCs w:val="22"/>
        </w:rPr>
        <w:t xml:space="preserve">900 </w:t>
      </w:r>
      <w:r w:rsidR="001946D2" w:rsidRPr="00C26BF3">
        <w:rPr>
          <w:spacing w:val="-3"/>
          <w:sz w:val="22"/>
          <w:szCs w:val="22"/>
        </w:rPr>
        <w:t>+</w:t>
      </w:r>
      <w:r w:rsidR="007D7054" w:rsidRPr="00C26BF3">
        <w:rPr>
          <w:spacing w:val="-3"/>
          <w:sz w:val="22"/>
          <w:szCs w:val="22"/>
        </w:rPr>
        <w:t>7</w:t>
      </w:r>
      <w:r w:rsidR="001946D2" w:rsidRPr="00C26BF3">
        <w:rPr>
          <w:spacing w:val="-3"/>
          <w:sz w:val="22"/>
          <w:szCs w:val="22"/>
        </w:rPr>
        <w:t>5 +</w:t>
      </w:r>
      <w:r w:rsidR="007D7054" w:rsidRPr="00C26BF3">
        <w:rPr>
          <w:spacing w:val="-3"/>
          <w:sz w:val="22"/>
          <w:szCs w:val="22"/>
        </w:rPr>
        <w:t>22</w:t>
      </w:r>
      <w:r w:rsidR="001946D2" w:rsidRPr="00C26BF3">
        <w:rPr>
          <w:spacing w:val="-3"/>
          <w:sz w:val="22"/>
          <w:szCs w:val="22"/>
        </w:rPr>
        <w:t>5</w:t>
      </w:r>
      <w:r w:rsidR="001946D2" w:rsidRPr="00C26BF3">
        <w:rPr>
          <w:b/>
          <w:spacing w:val="-3"/>
          <w:sz w:val="22"/>
          <w:szCs w:val="22"/>
        </w:rPr>
        <w:t xml:space="preserve"> = </w:t>
      </w:r>
      <w:r w:rsidR="007D7054" w:rsidRPr="00C26BF3">
        <w:rPr>
          <w:b/>
          <w:spacing w:val="-3"/>
          <w:sz w:val="22"/>
          <w:szCs w:val="22"/>
        </w:rPr>
        <w:t>1</w:t>
      </w:r>
      <w:r w:rsidR="003345D4">
        <w:rPr>
          <w:b/>
          <w:spacing w:val="-3"/>
          <w:sz w:val="22"/>
          <w:szCs w:val="22"/>
        </w:rPr>
        <w:t>,</w:t>
      </w:r>
      <w:r w:rsidR="007D7054" w:rsidRPr="00C26BF3">
        <w:rPr>
          <w:b/>
          <w:spacing w:val="-3"/>
          <w:sz w:val="22"/>
          <w:szCs w:val="22"/>
        </w:rPr>
        <w:t xml:space="preserve">200 </w:t>
      </w:r>
      <w:r w:rsidRPr="00C26BF3">
        <w:rPr>
          <w:b/>
          <w:spacing w:val="-3"/>
          <w:sz w:val="22"/>
          <w:szCs w:val="22"/>
        </w:rPr>
        <w:t>hours.</w:t>
      </w:r>
    </w:p>
    <w:p w14:paraId="008FBD67" w14:textId="77777777" w:rsidR="007E0735" w:rsidRPr="00C26BF3" w:rsidRDefault="007E0735" w:rsidP="007E0735">
      <w:pPr>
        <w:tabs>
          <w:tab w:val="left" w:pos="-720"/>
        </w:tabs>
        <w:suppressAutoHyphens/>
        <w:rPr>
          <w:b/>
          <w:spacing w:val="-3"/>
          <w:sz w:val="22"/>
          <w:szCs w:val="22"/>
        </w:rPr>
      </w:pPr>
    </w:p>
    <w:p w14:paraId="2561C381" w14:textId="77777777" w:rsidR="007E0735" w:rsidRPr="00C26BF3" w:rsidRDefault="007E0735" w:rsidP="007E0735">
      <w:pPr>
        <w:tabs>
          <w:tab w:val="left" w:pos="-720"/>
        </w:tabs>
        <w:suppressAutoHyphens/>
        <w:rPr>
          <w:b/>
          <w:spacing w:val="-3"/>
          <w:sz w:val="22"/>
          <w:szCs w:val="22"/>
        </w:rPr>
      </w:pPr>
    </w:p>
    <w:p w14:paraId="3295F05A" w14:textId="77777777" w:rsidR="007E0735" w:rsidRPr="00C26BF3" w:rsidRDefault="007E0735" w:rsidP="007E0735">
      <w:pPr>
        <w:pStyle w:val="Numberedparagraphs"/>
        <w:numPr>
          <w:ilvl w:val="0"/>
          <w:numId w:val="0"/>
        </w:numPr>
        <w:tabs>
          <w:tab w:val="clear" w:pos="1440"/>
        </w:tabs>
        <w:ind w:firstLine="720"/>
        <w:rPr>
          <w:sz w:val="22"/>
          <w:szCs w:val="22"/>
        </w:rPr>
      </w:pPr>
      <w:r w:rsidRPr="00C26BF3">
        <w:rPr>
          <w:spacing w:val="-3"/>
          <w:sz w:val="22"/>
          <w:szCs w:val="22"/>
        </w:rPr>
        <w:t>13.  E</w:t>
      </w:r>
      <w:r w:rsidRPr="00C26BF3">
        <w:rPr>
          <w:sz w:val="22"/>
          <w:szCs w:val="22"/>
        </w:rPr>
        <w:t>stimated operations and maintenance (O&amp;M) costs of respondents resulting from the collection of information:</w:t>
      </w:r>
    </w:p>
    <w:p w14:paraId="3D326C6C" w14:textId="77777777" w:rsidR="00443F78"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(a)</w:t>
      </w:r>
      <w:r w:rsidRPr="00C26BF3">
        <w:rPr>
          <w:sz w:val="22"/>
          <w:szCs w:val="22"/>
        </w:rPr>
        <w:tab/>
      </w:r>
      <w:r w:rsidRPr="00C26BF3">
        <w:rPr>
          <w:sz w:val="22"/>
          <w:szCs w:val="22"/>
          <w:u w:val="single"/>
        </w:rPr>
        <w:t>Total capital start-up costs component annualized over its expected useful life:</w:t>
      </w:r>
      <w:r w:rsidRPr="00C26BF3">
        <w:rPr>
          <w:sz w:val="22"/>
          <w:szCs w:val="22"/>
        </w:rPr>
        <w:t xml:space="preserve"> $0.  </w:t>
      </w:r>
    </w:p>
    <w:p w14:paraId="52764483" w14:textId="77777777" w:rsidR="007E0735" w:rsidRPr="00C26BF3" w:rsidRDefault="00443F78" w:rsidP="007E0735">
      <w:pPr>
        <w:pStyle w:val="Numberedparagraphs"/>
        <w:numPr>
          <w:ilvl w:val="0"/>
          <w:numId w:val="0"/>
        </w:numPr>
        <w:tabs>
          <w:tab w:val="clear" w:pos="1440"/>
          <w:tab w:val="left" w:pos="720"/>
        </w:tabs>
        <w:rPr>
          <w:sz w:val="22"/>
          <w:szCs w:val="22"/>
        </w:rPr>
      </w:pPr>
      <w:r w:rsidRPr="00C26BF3">
        <w:rPr>
          <w:sz w:val="22"/>
          <w:szCs w:val="22"/>
        </w:rPr>
        <w:tab/>
      </w:r>
      <w:r w:rsidR="007E0735" w:rsidRPr="00C26BF3">
        <w:rPr>
          <w:sz w:val="22"/>
          <w:szCs w:val="22"/>
        </w:rPr>
        <w:t xml:space="preserve">The collections will not result in additional capital expenditures such as computers or software.  </w:t>
      </w:r>
    </w:p>
    <w:p w14:paraId="1E2F2C82"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(b)</w:t>
      </w:r>
      <w:r w:rsidRPr="00C26BF3">
        <w:rPr>
          <w:sz w:val="22"/>
          <w:szCs w:val="22"/>
        </w:rPr>
        <w:tab/>
      </w:r>
      <w:r w:rsidRPr="00C26BF3">
        <w:rPr>
          <w:sz w:val="22"/>
          <w:szCs w:val="22"/>
          <w:u w:val="single"/>
        </w:rPr>
        <w:t>Total operation and maintenance and purchase of services component:</w:t>
      </w:r>
      <w:r w:rsidRPr="00C26BF3">
        <w:rPr>
          <w:sz w:val="22"/>
          <w:szCs w:val="22"/>
        </w:rPr>
        <w:t xml:space="preserve">  $0.</w:t>
      </w:r>
    </w:p>
    <w:p w14:paraId="12CB45AE"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(c)</w:t>
      </w:r>
      <w:r w:rsidRPr="00C26BF3">
        <w:rPr>
          <w:sz w:val="22"/>
          <w:szCs w:val="22"/>
        </w:rPr>
        <w:tab/>
      </w:r>
      <w:r w:rsidRPr="00C26BF3">
        <w:rPr>
          <w:sz w:val="22"/>
          <w:szCs w:val="22"/>
          <w:u w:val="single"/>
        </w:rPr>
        <w:t>Total annualized cost requested</w:t>
      </w:r>
      <w:r w:rsidRPr="00C26BF3">
        <w:rPr>
          <w:sz w:val="22"/>
          <w:szCs w:val="22"/>
        </w:rPr>
        <w:t xml:space="preserve">:  </w:t>
      </w:r>
      <w:r w:rsidRPr="00C26BF3">
        <w:rPr>
          <w:b/>
          <w:sz w:val="22"/>
          <w:szCs w:val="22"/>
        </w:rPr>
        <w:t>$0</w:t>
      </w:r>
      <w:r w:rsidRPr="00C26BF3">
        <w:rPr>
          <w:sz w:val="22"/>
          <w:szCs w:val="22"/>
        </w:rPr>
        <w:t>.</w:t>
      </w:r>
    </w:p>
    <w:p w14:paraId="1B3CDE82" w14:textId="77777777" w:rsidR="007E0735" w:rsidRPr="00C26BF3" w:rsidRDefault="007E0735" w:rsidP="007E0735">
      <w:pPr>
        <w:pStyle w:val="Numberedparagraphs"/>
        <w:numPr>
          <w:ilvl w:val="0"/>
          <w:numId w:val="0"/>
        </w:numPr>
        <w:tabs>
          <w:tab w:val="clear" w:pos="1440"/>
        </w:tabs>
        <w:ind w:firstLine="720"/>
        <w:rPr>
          <w:sz w:val="22"/>
          <w:szCs w:val="22"/>
        </w:rPr>
      </w:pPr>
      <w:r w:rsidRPr="00C26BF3">
        <w:rPr>
          <w:sz w:val="22"/>
          <w:szCs w:val="22"/>
        </w:rPr>
        <w:t xml:space="preserve">14.  There are unlikely to be any additional costs to the Commission because the data will be submitted by ICS providers in WC Docket No. 12-375 via the Commission’s Electronic Comment Filing System, requiring no additional Commission resources to process or publish.   </w:t>
      </w:r>
    </w:p>
    <w:p w14:paraId="0930E0D8" w14:textId="77777777" w:rsidR="00E61CDE" w:rsidRPr="00C26BF3" w:rsidRDefault="007E0735" w:rsidP="001946D2">
      <w:pPr>
        <w:widowControl w:val="0"/>
        <w:suppressAutoHyphens/>
        <w:ind w:left="720" w:right="-720"/>
        <w:rPr>
          <w:sz w:val="22"/>
          <w:szCs w:val="22"/>
        </w:rPr>
      </w:pPr>
      <w:r w:rsidRPr="00C26BF3">
        <w:rPr>
          <w:sz w:val="22"/>
          <w:szCs w:val="22"/>
        </w:rPr>
        <w:t xml:space="preserve">15.  </w:t>
      </w:r>
      <w:r w:rsidR="001946D2" w:rsidRPr="00C26BF3">
        <w:rPr>
          <w:sz w:val="22"/>
          <w:szCs w:val="22"/>
        </w:rPr>
        <w:t xml:space="preserve">This is a new information collection resulting in a program change/increase of 15 respondents, </w:t>
      </w:r>
    </w:p>
    <w:p w14:paraId="332E7A1D" w14:textId="6639E335" w:rsidR="001946D2" w:rsidRPr="00C26BF3" w:rsidRDefault="007D4E7C" w:rsidP="00E2213C">
      <w:pPr>
        <w:widowControl w:val="0"/>
        <w:suppressAutoHyphens/>
        <w:ind w:right="-720"/>
        <w:rPr>
          <w:sz w:val="22"/>
          <w:szCs w:val="22"/>
        </w:rPr>
      </w:pPr>
      <w:r>
        <w:rPr>
          <w:sz w:val="22"/>
          <w:szCs w:val="22"/>
        </w:rPr>
        <w:t>15 responses, and 1,200</w:t>
      </w:r>
      <w:r w:rsidR="001946D2" w:rsidRPr="00C26BF3">
        <w:rPr>
          <w:sz w:val="22"/>
          <w:szCs w:val="22"/>
        </w:rPr>
        <w:t xml:space="preserve"> annual burden hours.  These estimates will be added to OMB’s Active Inventory.</w:t>
      </w:r>
    </w:p>
    <w:p w14:paraId="190F747E" w14:textId="77777777" w:rsidR="001946D2" w:rsidRPr="00C26BF3" w:rsidRDefault="001946D2" w:rsidP="007E0735">
      <w:pPr>
        <w:pStyle w:val="Numberedparagraphs"/>
        <w:numPr>
          <w:ilvl w:val="0"/>
          <w:numId w:val="0"/>
        </w:numPr>
        <w:tabs>
          <w:tab w:val="clear" w:pos="1440"/>
          <w:tab w:val="left" w:pos="720"/>
        </w:tabs>
        <w:rPr>
          <w:sz w:val="22"/>
          <w:szCs w:val="22"/>
        </w:rPr>
      </w:pPr>
    </w:p>
    <w:p w14:paraId="00F4C3F8" w14:textId="77777777" w:rsidR="007E0735" w:rsidRPr="00C26BF3" w:rsidRDefault="001946D2" w:rsidP="007E0735">
      <w:pPr>
        <w:pStyle w:val="Numberedparagraphs"/>
        <w:numPr>
          <w:ilvl w:val="0"/>
          <w:numId w:val="0"/>
        </w:numPr>
        <w:tabs>
          <w:tab w:val="clear" w:pos="1440"/>
          <w:tab w:val="left" w:pos="720"/>
        </w:tabs>
        <w:rPr>
          <w:sz w:val="22"/>
          <w:szCs w:val="22"/>
        </w:rPr>
      </w:pPr>
      <w:r w:rsidRPr="00C26BF3">
        <w:rPr>
          <w:sz w:val="22"/>
          <w:szCs w:val="22"/>
        </w:rPr>
        <w:tab/>
      </w:r>
      <w:r w:rsidR="007E0735" w:rsidRPr="00C26BF3">
        <w:rPr>
          <w:sz w:val="22"/>
          <w:szCs w:val="22"/>
        </w:rPr>
        <w:t>16.  The Commission does not anticipate publishing any of the information collected.  Rather, the ICS provider certifications will be available for public review via the Commission’s ECFS.</w:t>
      </w:r>
    </w:p>
    <w:p w14:paraId="490EAB6E" w14:textId="77777777" w:rsidR="007E0735" w:rsidRPr="00C26BF3" w:rsidRDefault="007E0735" w:rsidP="007E0735">
      <w:pPr>
        <w:pStyle w:val="Numberedparagraphs"/>
        <w:numPr>
          <w:ilvl w:val="0"/>
          <w:numId w:val="0"/>
        </w:numPr>
        <w:tabs>
          <w:tab w:val="clear" w:pos="1440"/>
          <w:tab w:val="left" w:pos="720"/>
        </w:tabs>
        <w:rPr>
          <w:sz w:val="22"/>
          <w:szCs w:val="22"/>
        </w:rPr>
      </w:pPr>
      <w:r w:rsidRPr="00C26BF3">
        <w:rPr>
          <w:sz w:val="22"/>
          <w:szCs w:val="22"/>
        </w:rPr>
        <w:tab/>
        <w:t>17.  The Commission is not seeking approval not to display an OMB expiration date.</w:t>
      </w:r>
    </w:p>
    <w:p w14:paraId="52D3667D" w14:textId="75C88457" w:rsidR="007E0735" w:rsidRDefault="007E0735" w:rsidP="007E0735">
      <w:pPr>
        <w:pStyle w:val="Numberedparagraphs"/>
        <w:numPr>
          <w:ilvl w:val="0"/>
          <w:numId w:val="0"/>
        </w:numPr>
        <w:tabs>
          <w:tab w:val="clear" w:pos="1440"/>
          <w:tab w:val="left" w:pos="720"/>
        </w:tabs>
        <w:rPr>
          <w:sz w:val="22"/>
          <w:szCs w:val="22"/>
        </w:rPr>
      </w:pPr>
      <w:r w:rsidRPr="00C26BF3">
        <w:rPr>
          <w:sz w:val="22"/>
          <w:szCs w:val="22"/>
        </w:rPr>
        <w:tab/>
        <w:t xml:space="preserve">18.  </w:t>
      </w:r>
      <w:r w:rsidR="00EC5298">
        <w:rPr>
          <w:sz w:val="22"/>
          <w:szCs w:val="22"/>
        </w:rPr>
        <w:t xml:space="preserve"> </w:t>
      </w:r>
      <w:r w:rsidR="0081629A">
        <w:rPr>
          <w:sz w:val="22"/>
          <w:szCs w:val="22"/>
        </w:rPr>
        <w:t xml:space="preserve">The Commission is reporting the following changes since </w:t>
      </w:r>
      <w:r w:rsidR="00EC5298">
        <w:rPr>
          <w:sz w:val="22"/>
          <w:szCs w:val="22"/>
        </w:rPr>
        <w:t>the 60</w:t>
      </w:r>
      <w:r w:rsidR="0081629A">
        <w:rPr>
          <w:sz w:val="22"/>
          <w:szCs w:val="22"/>
        </w:rPr>
        <w:t xml:space="preserve"> D</w:t>
      </w:r>
      <w:r w:rsidR="00EC5298">
        <w:rPr>
          <w:sz w:val="22"/>
          <w:szCs w:val="22"/>
        </w:rPr>
        <w:t xml:space="preserve">ay </w:t>
      </w:r>
      <w:r w:rsidR="0081629A">
        <w:rPr>
          <w:sz w:val="22"/>
          <w:szCs w:val="22"/>
        </w:rPr>
        <w:t>N</w:t>
      </w:r>
      <w:r w:rsidR="00EC5298">
        <w:rPr>
          <w:sz w:val="22"/>
          <w:szCs w:val="22"/>
        </w:rPr>
        <w:t xml:space="preserve">otice </w:t>
      </w:r>
      <w:r w:rsidR="003345D4">
        <w:rPr>
          <w:sz w:val="22"/>
          <w:szCs w:val="22"/>
        </w:rPr>
        <w:t xml:space="preserve">was published </w:t>
      </w:r>
      <w:r w:rsidR="00EC5298">
        <w:rPr>
          <w:sz w:val="22"/>
          <w:szCs w:val="22"/>
        </w:rPr>
        <w:t>in the Federal Register</w:t>
      </w:r>
      <w:r w:rsidR="00BA7DEE">
        <w:rPr>
          <w:sz w:val="22"/>
          <w:szCs w:val="22"/>
        </w:rPr>
        <w:t xml:space="preserve"> on August 1, 20</w:t>
      </w:r>
      <w:r w:rsidR="003345D4">
        <w:rPr>
          <w:sz w:val="22"/>
          <w:szCs w:val="22"/>
        </w:rPr>
        <w:t>1</w:t>
      </w:r>
      <w:r w:rsidR="00BA7DEE">
        <w:rPr>
          <w:sz w:val="22"/>
          <w:szCs w:val="22"/>
        </w:rPr>
        <w:t>6 (81 FR 50499)</w:t>
      </w:r>
      <w:r w:rsidR="0081629A">
        <w:rPr>
          <w:sz w:val="22"/>
          <w:szCs w:val="22"/>
        </w:rPr>
        <w:t>:</w:t>
      </w:r>
      <w:r w:rsidR="00BA7DEE">
        <w:rPr>
          <w:sz w:val="22"/>
          <w:szCs w:val="22"/>
        </w:rPr>
        <w:t xml:space="preserve"> </w:t>
      </w:r>
      <w:r w:rsidR="00EC5298">
        <w:rPr>
          <w:sz w:val="22"/>
          <w:szCs w:val="22"/>
        </w:rPr>
        <w:t xml:space="preserve"> </w:t>
      </w:r>
    </w:p>
    <w:p w14:paraId="4DA7ABFA" w14:textId="0CCEFCDD" w:rsidR="00EC5298" w:rsidRPr="0081629A" w:rsidRDefault="00EC5298" w:rsidP="007E0735">
      <w:pPr>
        <w:pStyle w:val="Numberedparagraphs"/>
        <w:numPr>
          <w:ilvl w:val="0"/>
          <w:numId w:val="0"/>
        </w:numPr>
        <w:tabs>
          <w:tab w:val="clear" w:pos="1440"/>
          <w:tab w:val="left" w:pos="720"/>
        </w:tabs>
        <w:rPr>
          <w:sz w:val="22"/>
          <w:szCs w:val="22"/>
        </w:rPr>
      </w:pPr>
      <w:r w:rsidRPr="0081629A">
        <w:rPr>
          <w:sz w:val="22"/>
          <w:szCs w:val="22"/>
        </w:rPr>
        <w:tab/>
        <w:t xml:space="preserve">(a) </w:t>
      </w:r>
      <w:r w:rsidR="000410FE">
        <w:rPr>
          <w:sz w:val="22"/>
          <w:szCs w:val="22"/>
        </w:rPr>
        <w:t xml:space="preserve">The Commission revised the estimated time per response </w:t>
      </w:r>
      <w:r w:rsidRPr="0081629A">
        <w:rPr>
          <w:sz w:val="22"/>
          <w:szCs w:val="22"/>
        </w:rPr>
        <w:t>in the 30 Day Notice to “5—60 hours”</w:t>
      </w:r>
      <w:r w:rsidR="00273820">
        <w:rPr>
          <w:sz w:val="22"/>
          <w:szCs w:val="22"/>
        </w:rPr>
        <w:t xml:space="preserve"> and the total annual hourly burden to 1,200 hours</w:t>
      </w:r>
      <w:r w:rsidRPr="0081629A">
        <w:rPr>
          <w:sz w:val="22"/>
          <w:szCs w:val="22"/>
        </w:rPr>
        <w:t xml:space="preserve"> </w:t>
      </w:r>
      <w:r w:rsidR="0081629A" w:rsidRPr="00E2213C">
        <w:rPr>
          <w:sz w:val="22"/>
          <w:szCs w:val="22"/>
        </w:rPr>
        <w:t xml:space="preserve">in response to comments we received on the 60-Day Notice and </w:t>
      </w:r>
      <w:r w:rsidRPr="0081629A">
        <w:rPr>
          <w:sz w:val="22"/>
          <w:szCs w:val="22"/>
        </w:rPr>
        <w:t>to correct an error in th</w:t>
      </w:r>
      <w:r w:rsidR="0081629A" w:rsidRPr="00E2213C">
        <w:rPr>
          <w:sz w:val="22"/>
          <w:szCs w:val="22"/>
        </w:rPr>
        <w:t>at</w:t>
      </w:r>
      <w:r w:rsidRPr="0081629A">
        <w:rPr>
          <w:sz w:val="22"/>
          <w:szCs w:val="22"/>
        </w:rPr>
        <w:t xml:space="preserve"> Notice.</w:t>
      </w:r>
    </w:p>
    <w:p w14:paraId="71E881B2" w14:textId="7FC47B7A" w:rsidR="00BA7DEE" w:rsidRPr="00EC5298" w:rsidRDefault="00BA7DEE" w:rsidP="007E0735">
      <w:pPr>
        <w:pStyle w:val="Numberedparagraphs"/>
        <w:numPr>
          <w:ilvl w:val="0"/>
          <w:numId w:val="0"/>
        </w:numPr>
        <w:tabs>
          <w:tab w:val="clear" w:pos="1440"/>
          <w:tab w:val="left" w:pos="720"/>
        </w:tabs>
        <w:rPr>
          <w:sz w:val="22"/>
          <w:szCs w:val="22"/>
        </w:rPr>
      </w:pPr>
      <w:r>
        <w:rPr>
          <w:sz w:val="22"/>
          <w:szCs w:val="22"/>
        </w:rPr>
        <w:t xml:space="preserve">There are no other exceptions to the Certification Statement. </w:t>
      </w:r>
    </w:p>
    <w:p w14:paraId="130FB250" w14:textId="77777777" w:rsidR="007E0735" w:rsidRPr="00C26BF3" w:rsidRDefault="007E0735" w:rsidP="007E0735">
      <w:pPr>
        <w:rPr>
          <w:b/>
          <w:sz w:val="22"/>
          <w:szCs w:val="22"/>
        </w:rPr>
      </w:pPr>
      <w:r w:rsidRPr="00C26BF3">
        <w:rPr>
          <w:b/>
          <w:sz w:val="22"/>
          <w:szCs w:val="22"/>
        </w:rPr>
        <w:t xml:space="preserve">B.  </w:t>
      </w:r>
      <w:r w:rsidRPr="00C26BF3">
        <w:rPr>
          <w:b/>
          <w:sz w:val="22"/>
          <w:szCs w:val="22"/>
        </w:rPr>
        <w:tab/>
      </w:r>
      <w:r w:rsidRPr="00C26BF3">
        <w:rPr>
          <w:b/>
          <w:sz w:val="22"/>
          <w:szCs w:val="22"/>
          <w:u w:val="single"/>
        </w:rPr>
        <w:t>Collections of Information Employing Statistical Methods:</w:t>
      </w:r>
    </w:p>
    <w:p w14:paraId="5C3865ED" w14:textId="77777777" w:rsidR="007E0735" w:rsidRPr="00C26BF3" w:rsidRDefault="007E0735" w:rsidP="007E0735">
      <w:pPr>
        <w:rPr>
          <w:sz w:val="22"/>
          <w:szCs w:val="22"/>
        </w:rPr>
      </w:pPr>
    </w:p>
    <w:p w14:paraId="7AAB1E25" w14:textId="77777777" w:rsidR="007E0735" w:rsidRPr="00C26BF3" w:rsidRDefault="007E0735" w:rsidP="007E0735">
      <w:pPr>
        <w:pStyle w:val="Numberedparagraphs"/>
        <w:numPr>
          <w:ilvl w:val="0"/>
          <w:numId w:val="0"/>
        </w:numPr>
        <w:rPr>
          <w:sz w:val="22"/>
          <w:szCs w:val="22"/>
        </w:rPr>
      </w:pPr>
      <w:r w:rsidRPr="00C26BF3">
        <w:rPr>
          <w:sz w:val="22"/>
          <w:szCs w:val="22"/>
        </w:rPr>
        <w:t>The Commission does not anticipate that the proposed collection of information will employ statistical methods.</w:t>
      </w:r>
    </w:p>
    <w:sectPr w:rsidR="007E0735" w:rsidRPr="00C26BF3" w:rsidSect="00306CA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DF14C" w14:textId="77777777" w:rsidR="00465987" w:rsidRDefault="00465987" w:rsidP="00C72C3F">
      <w:r>
        <w:separator/>
      </w:r>
    </w:p>
  </w:endnote>
  <w:endnote w:type="continuationSeparator" w:id="0">
    <w:p w14:paraId="05D493AA" w14:textId="77777777" w:rsidR="00465987" w:rsidRDefault="00465987" w:rsidP="00C7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24F12" w14:textId="77777777" w:rsidR="000600B6" w:rsidRDefault="000600B6" w:rsidP="008B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04C44" w14:textId="77777777" w:rsidR="000600B6" w:rsidRDefault="00060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616337"/>
      <w:docPartObj>
        <w:docPartGallery w:val="Page Numbers (Bottom of Page)"/>
        <w:docPartUnique/>
      </w:docPartObj>
    </w:sdtPr>
    <w:sdtEndPr>
      <w:rPr>
        <w:noProof/>
      </w:rPr>
    </w:sdtEndPr>
    <w:sdtContent>
      <w:p w14:paraId="594F123A" w14:textId="77777777" w:rsidR="000600B6" w:rsidRDefault="000600B6">
        <w:pPr>
          <w:pStyle w:val="Footer"/>
          <w:jc w:val="center"/>
        </w:pPr>
        <w:r>
          <w:fldChar w:fldCharType="begin"/>
        </w:r>
        <w:r>
          <w:instrText xml:space="preserve"> PAGE   \* MERGEFORMAT </w:instrText>
        </w:r>
        <w:r>
          <w:fldChar w:fldCharType="separate"/>
        </w:r>
        <w:r w:rsidR="00611B6B">
          <w:rPr>
            <w:noProof/>
          </w:rPr>
          <w:t>9</w:t>
        </w:r>
        <w:r>
          <w:rPr>
            <w:noProof/>
          </w:rPr>
          <w:fldChar w:fldCharType="end"/>
        </w:r>
      </w:p>
    </w:sdtContent>
  </w:sdt>
  <w:p w14:paraId="497B235F" w14:textId="77777777" w:rsidR="000600B6" w:rsidRDefault="00060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46768" w14:textId="77777777" w:rsidR="00465987" w:rsidRDefault="00465987" w:rsidP="00C72C3F">
      <w:r>
        <w:separator/>
      </w:r>
    </w:p>
  </w:footnote>
  <w:footnote w:type="continuationSeparator" w:id="0">
    <w:p w14:paraId="6968D963" w14:textId="77777777" w:rsidR="00465987" w:rsidRDefault="00465987" w:rsidP="00C72C3F">
      <w:r>
        <w:continuationSeparator/>
      </w:r>
    </w:p>
  </w:footnote>
  <w:footnote w:id="1">
    <w:p w14:paraId="127E234A" w14:textId="77777777" w:rsidR="000600B6" w:rsidRPr="000534FD" w:rsidRDefault="000600B6" w:rsidP="0005170F">
      <w:pPr>
        <w:pStyle w:val="FootnoteText"/>
        <w:spacing w:after="80"/>
      </w:pPr>
      <w:r w:rsidRPr="000534FD">
        <w:rPr>
          <w:rStyle w:val="FootnoteReference"/>
        </w:rPr>
        <w:footnoteRef/>
      </w:r>
      <w:r w:rsidRPr="000534FD">
        <w:t xml:space="preserve"> We address the </w:t>
      </w:r>
      <w:r w:rsidRPr="00614E14">
        <w:rPr>
          <w:noProof/>
        </w:rPr>
        <w:t>2018 One-Time Data Collection</w:t>
      </w:r>
      <w:r>
        <w:rPr>
          <w:noProof/>
        </w:rPr>
        <w:t xml:space="preserve"> requirement for providers of Inmate Calling Service in a separate Supporting Statement. </w:t>
      </w:r>
    </w:p>
  </w:footnote>
  <w:footnote w:id="2">
    <w:p w14:paraId="0C1C7E24" w14:textId="77777777" w:rsidR="000600B6" w:rsidRPr="000534FD" w:rsidRDefault="000600B6" w:rsidP="0005170F">
      <w:pPr>
        <w:autoSpaceDE w:val="0"/>
        <w:autoSpaceDN w:val="0"/>
        <w:adjustRightInd w:val="0"/>
        <w:spacing w:after="80"/>
      </w:pPr>
      <w:r w:rsidRPr="000534FD">
        <w:rPr>
          <w:rStyle w:val="FootnoteReference"/>
          <w:sz w:val="20"/>
        </w:rPr>
        <w:footnoteRef/>
      </w:r>
      <w:r w:rsidRPr="000534FD">
        <w:rPr>
          <w:sz w:val="20"/>
        </w:rPr>
        <w:t xml:space="preserve"> </w:t>
      </w:r>
      <w:r w:rsidRPr="000534FD">
        <w:rPr>
          <w:i/>
          <w:sz w:val="20"/>
        </w:rPr>
        <w:t>Rates for Interstate Inmate Calling Services</w:t>
      </w:r>
      <w:r w:rsidRPr="000534FD">
        <w:rPr>
          <w:sz w:val="20"/>
        </w:rPr>
        <w:t xml:space="preserve">, WC Docket No. 12-375, Second Report and Order and Third Further Notice of Proposed Rulemaking, 30 FCC </w:t>
      </w:r>
      <w:proofErr w:type="spellStart"/>
      <w:r w:rsidRPr="000534FD">
        <w:rPr>
          <w:sz w:val="20"/>
        </w:rPr>
        <w:t>Rcd</w:t>
      </w:r>
      <w:proofErr w:type="spellEnd"/>
      <w:r w:rsidRPr="000534FD">
        <w:rPr>
          <w:sz w:val="20"/>
        </w:rPr>
        <w:t xml:space="preserve"> 12763 (2015) (</w:t>
      </w:r>
      <w:r w:rsidRPr="000534FD">
        <w:rPr>
          <w:i/>
          <w:sz w:val="20"/>
        </w:rPr>
        <w:t>Second Report and Order</w:t>
      </w:r>
      <w:r w:rsidRPr="000534FD">
        <w:rPr>
          <w:sz w:val="20"/>
        </w:rPr>
        <w:t xml:space="preserve">). </w:t>
      </w:r>
    </w:p>
  </w:footnote>
  <w:footnote w:id="3">
    <w:p w14:paraId="3C1FDDA8" w14:textId="330D3F32" w:rsidR="000600B6" w:rsidRPr="00614E14" w:rsidRDefault="000600B6" w:rsidP="0005170F">
      <w:pPr>
        <w:autoSpaceDE w:val="0"/>
        <w:autoSpaceDN w:val="0"/>
        <w:adjustRightInd w:val="0"/>
        <w:spacing w:after="80"/>
        <w:rPr>
          <w:rFonts w:eastAsiaTheme="minorHAnsi"/>
          <w:color w:val="231F20"/>
          <w:sz w:val="20"/>
        </w:rPr>
      </w:pPr>
      <w:r w:rsidRPr="00614E14">
        <w:rPr>
          <w:rStyle w:val="FootnoteReference"/>
          <w:sz w:val="20"/>
        </w:rPr>
        <w:footnoteRef/>
      </w:r>
      <w:r w:rsidRPr="00614E14">
        <w:rPr>
          <w:sz w:val="20"/>
        </w:rPr>
        <w:t xml:space="preserve"> The Commission previously addressed </w:t>
      </w:r>
      <w:r w:rsidR="00F1417E">
        <w:rPr>
          <w:sz w:val="20"/>
        </w:rPr>
        <w:t xml:space="preserve">rates for interstate </w:t>
      </w:r>
      <w:r w:rsidRPr="00614E14">
        <w:rPr>
          <w:sz w:val="20"/>
        </w:rPr>
        <w:t xml:space="preserve">ICS in 2013. </w:t>
      </w:r>
      <w:r w:rsidRPr="00614E14">
        <w:rPr>
          <w:i/>
          <w:sz w:val="20"/>
        </w:rPr>
        <w:t xml:space="preserve">See </w:t>
      </w:r>
      <w:r w:rsidRPr="00614E14">
        <w:rPr>
          <w:rFonts w:eastAsiaTheme="minorHAnsi"/>
          <w:i/>
          <w:iCs/>
          <w:color w:val="231F20"/>
          <w:sz w:val="20"/>
        </w:rPr>
        <w:t>Rates for Interstate Inmate Calling Services</w:t>
      </w:r>
      <w:r w:rsidRPr="00614E14">
        <w:rPr>
          <w:rFonts w:eastAsiaTheme="minorHAnsi"/>
          <w:color w:val="231F20"/>
          <w:sz w:val="20"/>
        </w:rPr>
        <w:t>, Report and Order and Further Notice of Proposed Rulemaking,</w:t>
      </w:r>
    </w:p>
    <w:p w14:paraId="2D8740D0" w14:textId="77777777" w:rsidR="000600B6" w:rsidRPr="000534FD" w:rsidRDefault="000600B6" w:rsidP="0005170F">
      <w:pPr>
        <w:pStyle w:val="FootnoteText"/>
        <w:spacing w:after="80"/>
      </w:pPr>
      <w:r w:rsidRPr="00614E14">
        <w:rPr>
          <w:rFonts w:eastAsiaTheme="minorHAnsi"/>
          <w:color w:val="231F20"/>
        </w:rPr>
        <w:t xml:space="preserve">WC Docket No. 12-375, 28 FCC </w:t>
      </w:r>
      <w:proofErr w:type="spellStart"/>
      <w:r w:rsidRPr="00614E14">
        <w:rPr>
          <w:rFonts w:eastAsiaTheme="minorHAnsi"/>
          <w:color w:val="231F20"/>
        </w:rPr>
        <w:t>Rcd</w:t>
      </w:r>
      <w:proofErr w:type="spellEnd"/>
      <w:r w:rsidRPr="00614E14">
        <w:rPr>
          <w:rFonts w:eastAsiaTheme="minorHAnsi"/>
          <w:color w:val="231F20"/>
        </w:rPr>
        <w:t xml:space="preserve"> 14107 (2013) (</w:t>
      </w:r>
      <w:r w:rsidRPr="00614E14">
        <w:rPr>
          <w:rFonts w:eastAsiaTheme="minorHAnsi"/>
          <w:i/>
          <w:iCs/>
          <w:color w:val="231F20"/>
        </w:rPr>
        <w:t>2013 Order</w:t>
      </w:r>
      <w:r w:rsidRPr="00614E14">
        <w:rPr>
          <w:rFonts w:eastAsiaTheme="minorHAnsi"/>
          <w:color w:val="231F20"/>
        </w:rPr>
        <w:t>).</w:t>
      </w:r>
    </w:p>
  </w:footnote>
  <w:footnote w:id="4">
    <w:p w14:paraId="38CE29AE" w14:textId="77777777" w:rsidR="000600B6" w:rsidRPr="000534FD" w:rsidRDefault="000600B6" w:rsidP="0005170F">
      <w:pPr>
        <w:pStyle w:val="FootnoteText"/>
        <w:spacing w:after="80"/>
      </w:pPr>
      <w:r w:rsidRPr="000534FD">
        <w:rPr>
          <w:rStyle w:val="FootnoteReference"/>
        </w:rPr>
        <w:footnoteRef/>
      </w:r>
      <w:r w:rsidRPr="000534FD">
        <w:t xml:space="preserve"> </w:t>
      </w:r>
      <w:r w:rsidRPr="000534FD">
        <w:rPr>
          <w:i/>
        </w:rPr>
        <w:t>See generally</w:t>
      </w:r>
      <w:r w:rsidRPr="000534FD">
        <w:t xml:space="preserve"> </w:t>
      </w:r>
      <w:r w:rsidRPr="000534FD">
        <w:rPr>
          <w:i/>
        </w:rPr>
        <w:t>Second Report and Order.</w:t>
      </w:r>
      <w:r w:rsidRPr="000534FD">
        <w:t xml:space="preserve"> </w:t>
      </w:r>
    </w:p>
  </w:footnote>
  <w:footnote w:id="5">
    <w:p w14:paraId="5821C1F0" w14:textId="77777777" w:rsidR="00F16E9D" w:rsidRPr="008F01E4" w:rsidRDefault="00F16E9D" w:rsidP="0005170F">
      <w:pPr>
        <w:pStyle w:val="FootnoteText"/>
        <w:spacing w:after="80"/>
      </w:pPr>
      <w:r w:rsidRPr="00EA4C45">
        <w:rPr>
          <w:rStyle w:val="FootnoteReference"/>
        </w:rPr>
        <w:footnoteRef/>
      </w:r>
      <w:r w:rsidRPr="00EA4C45">
        <w:t xml:space="preserve"> </w:t>
      </w:r>
      <w:r w:rsidRPr="00BA5BE4">
        <w:rPr>
          <w:i/>
          <w:iCs/>
        </w:rPr>
        <w:t>See Global Tel*Link v. FCC</w:t>
      </w:r>
      <w:r w:rsidRPr="00BA5BE4">
        <w:t>, No. 15-1451 (D.C. Cir. Mar. 7, 2016) (</w:t>
      </w:r>
      <w:r w:rsidR="004A3D20">
        <w:rPr>
          <w:i/>
          <w:iCs/>
        </w:rPr>
        <w:t>Partial Stay</w:t>
      </w:r>
      <w:r w:rsidRPr="00BA5BE4">
        <w:rPr>
          <w:i/>
          <w:iCs/>
        </w:rPr>
        <w:t xml:space="preserve"> Order</w:t>
      </w:r>
      <w:r w:rsidRPr="00BA5BE4">
        <w:t xml:space="preserve">); </w:t>
      </w:r>
      <w:r w:rsidRPr="00BA5BE4">
        <w:rPr>
          <w:i/>
          <w:iCs/>
        </w:rPr>
        <w:t>see also Wireline Competition Bureau Addresses Applicable Rates for Inmate Calling Services and Effective Dates for Provisions of the Inmate Calling Services Second Report and Order</w:t>
      </w:r>
      <w:r w:rsidRPr="008F01E4">
        <w:t>, Public Notice, DA 16-280 (WCB Mar. 16, 2016).</w:t>
      </w:r>
    </w:p>
  </w:footnote>
  <w:footnote w:id="6">
    <w:p w14:paraId="221A0A34" w14:textId="77777777" w:rsidR="00F16E9D" w:rsidRPr="00BA5BE4" w:rsidRDefault="00F16E9D" w:rsidP="0005170F">
      <w:pPr>
        <w:pStyle w:val="FootnoteText"/>
        <w:spacing w:after="80"/>
      </w:pPr>
      <w:r w:rsidRPr="00EA4C45">
        <w:rPr>
          <w:rStyle w:val="FootnoteReference"/>
        </w:rPr>
        <w:footnoteRef/>
      </w:r>
      <w:r w:rsidRPr="00EA4C45">
        <w:t xml:space="preserve"> </w:t>
      </w:r>
      <w:r w:rsidR="004A3D20">
        <w:rPr>
          <w:i/>
          <w:iCs/>
        </w:rPr>
        <w:t>Partial Stay</w:t>
      </w:r>
      <w:r w:rsidRPr="00BA5BE4">
        <w:rPr>
          <w:i/>
          <w:iCs/>
        </w:rPr>
        <w:t xml:space="preserve"> Order </w:t>
      </w:r>
      <w:r w:rsidRPr="00BA5BE4">
        <w:t xml:space="preserve">at 2. </w:t>
      </w:r>
    </w:p>
  </w:footnote>
  <w:footnote w:id="7">
    <w:p w14:paraId="5C062396" w14:textId="77777777" w:rsidR="00F16E9D" w:rsidRPr="008F01E4" w:rsidRDefault="00F16E9D" w:rsidP="0005170F">
      <w:pPr>
        <w:pStyle w:val="FootnoteText"/>
        <w:spacing w:after="80"/>
      </w:pPr>
      <w:r w:rsidRPr="00EA4C45">
        <w:rPr>
          <w:rStyle w:val="FootnoteReference"/>
        </w:rPr>
        <w:footnoteRef/>
      </w:r>
      <w:r w:rsidRPr="00EA4C45">
        <w:t xml:space="preserve"> </w:t>
      </w:r>
      <w:r w:rsidRPr="00BA5BE4">
        <w:rPr>
          <w:i/>
          <w:iCs/>
        </w:rPr>
        <w:t>See Global Tel*Link v. FCC</w:t>
      </w:r>
      <w:r w:rsidRPr="00BA5BE4">
        <w:t>, No. 15-1451 (D.C. Cir. Mar. 23, 2016) (</w:t>
      </w:r>
      <w:r w:rsidR="004A3D20">
        <w:rPr>
          <w:i/>
          <w:iCs/>
        </w:rPr>
        <w:t>Modified Partial Stay Order</w:t>
      </w:r>
      <w:r w:rsidRPr="00BA5BE4">
        <w:t xml:space="preserve">); </w:t>
      </w:r>
      <w:r w:rsidRPr="00BA5BE4">
        <w:rPr>
          <w:i/>
          <w:iCs/>
        </w:rPr>
        <w:t>see also Wireline Competition Bureau Updates Applicable Rates for Inmate Calling Services</w:t>
      </w:r>
      <w:r w:rsidRPr="008F01E4">
        <w:t>, Public Notice, DA 16-332 (WCB Mar. 29, 2016)</w:t>
      </w:r>
      <w:r>
        <w:t xml:space="preserve"> (March 29 Public Notice)</w:t>
      </w:r>
      <w:r w:rsidRPr="008F01E4">
        <w:t xml:space="preserve">. </w:t>
      </w:r>
    </w:p>
  </w:footnote>
  <w:footnote w:id="8">
    <w:p w14:paraId="72902242" w14:textId="77777777" w:rsidR="000600B6" w:rsidRDefault="000600B6" w:rsidP="0005170F">
      <w:pPr>
        <w:pStyle w:val="FootnoteText"/>
        <w:spacing w:after="80"/>
      </w:pPr>
      <w:r>
        <w:rPr>
          <w:rStyle w:val="FootnoteReference"/>
        </w:rPr>
        <w:footnoteRef/>
      </w:r>
      <w:r>
        <w:t xml:space="preserve"> </w:t>
      </w:r>
      <w:r w:rsidRPr="00B10929">
        <w:rPr>
          <w:i/>
        </w:rPr>
        <w:t>Second Report and Order</w:t>
      </w:r>
      <w:r>
        <w:t xml:space="preserve">, 30 FCC </w:t>
      </w:r>
      <w:proofErr w:type="spellStart"/>
      <w:r>
        <w:t>Rcd</w:t>
      </w:r>
      <w:proofErr w:type="spellEnd"/>
      <w:r>
        <w:t xml:space="preserve"> at 12896.</w:t>
      </w:r>
    </w:p>
  </w:footnote>
  <w:footnote w:id="9">
    <w:p w14:paraId="1E7F25FB" w14:textId="77777777" w:rsidR="000600B6" w:rsidRPr="00993512" w:rsidRDefault="000600B6" w:rsidP="0005170F">
      <w:pPr>
        <w:pStyle w:val="FootnoteText"/>
        <w:spacing w:after="80"/>
      </w:pPr>
      <w:r>
        <w:rPr>
          <w:rStyle w:val="FootnoteReference"/>
        </w:rPr>
        <w:footnoteRef/>
      </w:r>
      <w:r>
        <w:t xml:space="preserve"> As noted below, the Bureau has not created forms for the consumer disclosure required by the </w:t>
      </w:r>
      <w:r>
        <w:rPr>
          <w:i/>
        </w:rPr>
        <w:t>Second Report and Order</w:t>
      </w:r>
      <w:r>
        <w:t>.</w:t>
      </w:r>
    </w:p>
  </w:footnote>
  <w:footnote w:id="10">
    <w:p w14:paraId="0EE0C629" w14:textId="77777777" w:rsidR="00313D68" w:rsidRPr="00313D68" w:rsidRDefault="00313D68" w:rsidP="0005170F">
      <w:pPr>
        <w:pStyle w:val="FootnoteText"/>
        <w:spacing w:after="80"/>
      </w:pPr>
      <w:r>
        <w:rPr>
          <w:rStyle w:val="FootnoteReference"/>
        </w:rPr>
        <w:footnoteRef/>
      </w:r>
      <w:r>
        <w:t xml:space="preserve"> </w:t>
      </w:r>
      <w:r>
        <w:rPr>
          <w:i/>
        </w:rPr>
        <w:t xml:space="preserve">See </w:t>
      </w:r>
      <w:r>
        <w:t>letter from David Lindgre</w:t>
      </w:r>
      <w:r w:rsidR="00577724">
        <w:t>n, Presiden</w:t>
      </w:r>
      <w:r>
        <w:t xml:space="preserve">t, </w:t>
      </w:r>
      <w:proofErr w:type="spellStart"/>
      <w:r>
        <w:t>Protocall</w:t>
      </w:r>
      <w:proofErr w:type="spellEnd"/>
      <w:r>
        <w:t xml:space="preserve"> to Marlene H. Dortch, Secretary, FCC, WC Docket No. 12-375 at 1 (filed Feb. 29, 2016)</w:t>
      </w:r>
      <w:r>
        <w:rPr>
          <w:i/>
        </w:rPr>
        <w:t xml:space="preserve"> </w:t>
      </w:r>
      <w:r>
        <w:t xml:space="preserve">(requesting an exemption from “the mandatory reporting requirements.”)  Out of an abundance of caution, we address </w:t>
      </w:r>
      <w:proofErr w:type="spellStart"/>
      <w:r>
        <w:t>Protocall’s</w:t>
      </w:r>
      <w:proofErr w:type="spellEnd"/>
      <w:r>
        <w:t xml:space="preserve"> letter both here and in the supporting statement related to the 2018 One-Time Data Collection.</w:t>
      </w:r>
    </w:p>
  </w:footnote>
  <w:footnote w:id="11">
    <w:p w14:paraId="080AD812" w14:textId="77777777" w:rsidR="0014049D" w:rsidRPr="00E83E3C" w:rsidRDefault="0014049D" w:rsidP="0005170F">
      <w:pPr>
        <w:pStyle w:val="FootnoteText"/>
        <w:spacing w:after="80"/>
      </w:pPr>
      <w:r>
        <w:rPr>
          <w:rStyle w:val="FootnoteReference"/>
        </w:rPr>
        <w:footnoteRef/>
      </w:r>
      <w:r>
        <w:t xml:space="preserve"> </w:t>
      </w:r>
      <w:r w:rsidRPr="00E83E3C">
        <w:rPr>
          <w:i/>
        </w:rPr>
        <w:t>See</w:t>
      </w:r>
      <w:r w:rsidRPr="00E83E3C">
        <w:t xml:space="preserve"> </w:t>
      </w:r>
      <w:r w:rsidRPr="00687C95">
        <w:rPr>
          <w:snapToGrid w:val="0"/>
          <w:kern w:val="28"/>
        </w:rPr>
        <w:t xml:space="preserve">47 CFR § 64.6000 (“Authorized Fee means a government authorized, but discretionary, fee which a Provider must remit to a federal, state, or local government, and which a Provider is permitted, but not required, to pass through to Consumers.  An Authorized Fee may not include a markup, unless the markup is specifically authorized by a federal, state, or local statute, rule, or regulation.”). </w:t>
      </w:r>
    </w:p>
  </w:footnote>
  <w:footnote w:id="12">
    <w:p w14:paraId="230FE2D0" w14:textId="77777777" w:rsidR="0014049D" w:rsidRPr="00E83E3C" w:rsidRDefault="0014049D" w:rsidP="0005170F">
      <w:pPr>
        <w:pStyle w:val="FootnoteText"/>
        <w:spacing w:after="80"/>
      </w:pPr>
      <w:r w:rsidRPr="00E83E3C">
        <w:rPr>
          <w:rStyle w:val="FootnoteReference"/>
        </w:rPr>
        <w:footnoteRef/>
      </w:r>
      <w:r w:rsidRPr="00E83E3C">
        <w:t xml:space="preserve"> </w:t>
      </w:r>
      <w:r w:rsidRPr="00E83E3C">
        <w:rPr>
          <w:i/>
        </w:rPr>
        <w:t>See id</w:t>
      </w:r>
      <w:r w:rsidRPr="00E83E3C">
        <w:t>. (“</w:t>
      </w:r>
      <w:r>
        <w:t xml:space="preserve">Mandatory Tax or Mandatory Fee means a fee that a Provider is required to collect directly from consumers, and remit to federal, state, or local governments. A Mandatory Tax or Fee that is passed through to a Consumer may not include a markup, unless the markup is specifically authorized by a federal, state, or local statute, rule, or regulation.”). </w:t>
      </w:r>
    </w:p>
  </w:footnote>
  <w:footnote w:id="13">
    <w:p w14:paraId="6B4FBEA7" w14:textId="77777777" w:rsidR="000600B6" w:rsidRPr="000534FD" w:rsidRDefault="000600B6" w:rsidP="0005170F">
      <w:pPr>
        <w:pStyle w:val="FootnoteText"/>
        <w:spacing w:after="80"/>
      </w:pPr>
      <w:r w:rsidRPr="000534FD">
        <w:rPr>
          <w:rStyle w:val="FootnoteReference"/>
        </w:rPr>
        <w:footnoteRef/>
      </w:r>
      <w:r w:rsidRPr="000534FD">
        <w:t xml:space="preserve"> </w:t>
      </w:r>
      <w:r w:rsidRPr="000534FD">
        <w:rPr>
          <w:i/>
        </w:rPr>
        <w:t>Rates for Interstate Inmate Calling Services</w:t>
      </w:r>
      <w:r w:rsidRPr="000534FD">
        <w:t xml:space="preserve">, WC Docket 12-375, Protective Order, 28 FCC </w:t>
      </w:r>
      <w:proofErr w:type="spellStart"/>
      <w:r w:rsidRPr="000534FD">
        <w:t>Rcd</w:t>
      </w:r>
      <w:proofErr w:type="spellEnd"/>
      <w:r w:rsidRPr="000534FD">
        <w:t xml:space="preserve"> 16954 (2013) (</w:t>
      </w:r>
      <w:r w:rsidRPr="00D633B7">
        <w:rPr>
          <w:i/>
        </w:rPr>
        <w:t>Protective Order</w:t>
      </w:r>
      <w:r w:rsidRPr="00D633B7">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92563"/>
    <w:multiLevelType w:val="multilevel"/>
    <w:tmpl w:val="16A40868"/>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5808728D"/>
    <w:multiLevelType w:val="hybridMultilevel"/>
    <w:tmpl w:val="53A2C534"/>
    <w:lvl w:ilvl="0" w:tplc="93CA35C6">
      <w:start w:val="6"/>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35"/>
    <w:rsid w:val="00010AF4"/>
    <w:rsid w:val="00015BEB"/>
    <w:rsid w:val="00020514"/>
    <w:rsid w:val="00025B60"/>
    <w:rsid w:val="00030AC2"/>
    <w:rsid w:val="00031A49"/>
    <w:rsid w:val="00035B66"/>
    <w:rsid w:val="000410FE"/>
    <w:rsid w:val="0004511E"/>
    <w:rsid w:val="0005170F"/>
    <w:rsid w:val="000534FD"/>
    <w:rsid w:val="00057923"/>
    <w:rsid w:val="000600B6"/>
    <w:rsid w:val="00062010"/>
    <w:rsid w:val="0006415C"/>
    <w:rsid w:val="00065AAD"/>
    <w:rsid w:val="00066CCB"/>
    <w:rsid w:val="00070841"/>
    <w:rsid w:val="00073508"/>
    <w:rsid w:val="000740E9"/>
    <w:rsid w:val="000835A7"/>
    <w:rsid w:val="00096821"/>
    <w:rsid w:val="000A0B76"/>
    <w:rsid w:val="000A6111"/>
    <w:rsid w:val="000A7661"/>
    <w:rsid w:val="000B71A9"/>
    <w:rsid w:val="000C5AE1"/>
    <w:rsid w:val="000D6E50"/>
    <w:rsid w:val="000E3070"/>
    <w:rsid w:val="000E7967"/>
    <w:rsid w:val="000F15C0"/>
    <w:rsid w:val="000F2188"/>
    <w:rsid w:val="000F2994"/>
    <w:rsid w:val="00115EDD"/>
    <w:rsid w:val="001238E0"/>
    <w:rsid w:val="00125B7E"/>
    <w:rsid w:val="001263DB"/>
    <w:rsid w:val="00130CEA"/>
    <w:rsid w:val="00135A53"/>
    <w:rsid w:val="0014049D"/>
    <w:rsid w:val="001450A4"/>
    <w:rsid w:val="00146BD4"/>
    <w:rsid w:val="00164B8F"/>
    <w:rsid w:val="00166DFE"/>
    <w:rsid w:val="00182782"/>
    <w:rsid w:val="00183BF5"/>
    <w:rsid w:val="00184ACB"/>
    <w:rsid w:val="0018790C"/>
    <w:rsid w:val="001913BA"/>
    <w:rsid w:val="001946D2"/>
    <w:rsid w:val="001960CD"/>
    <w:rsid w:val="001A1A75"/>
    <w:rsid w:val="001A2055"/>
    <w:rsid w:val="001A3135"/>
    <w:rsid w:val="001A5DAE"/>
    <w:rsid w:val="001B40C1"/>
    <w:rsid w:val="001C2215"/>
    <w:rsid w:val="001C2467"/>
    <w:rsid w:val="001C4F67"/>
    <w:rsid w:val="001C6A7F"/>
    <w:rsid w:val="001D0EFA"/>
    <w:rsid w:val="001E2BD7"/>
    <w:rsid w:val="001E3B70"/>
    <w:rsid w:val="001E589B"/>
    <w:rsid w:val="001E609E"/>
    <w:rsid w:val="001F4768"/>
    <w:rsid w:val="001F52CD"/>
    <w:rsid w:val="002178B4"/>
    <w:rsid w:val="00224EDC"/>
    <w:rsid w:val="00226C84"/>
    <w:rsid w:val="00240B54"/>
    <w:rsid w:val="00255ECD"/>
    <w:rsid w:val="00256CE5"/>
    <w:rsid w:val="00264AE7"/>
    <w:rsid w:val="00271EB4"/>
    <w:rsid w:val="002735A3"/>
    <w:rsid w:val="00273820"/>
    <w:rsid w:val="00281529"/>
    <w:rsid w:val="0028571D"/>
    <w:rsid w:val="00287012"/>
    <w:rsid w:val="002979F9"/>
    <w:rsid w:val="002A591A"/>
    <w:rsid w:val="002A5CC3"/>
    <w:rsid w:val="002B4A07"/>
    <w:rsid w:val="002C5590"/>
    <w:rsid w:val="002C6D41"/>
    <w:rsid w:val="002D1BF2"/>
    <w:rsid w:val="002E1B8D"/>
    <w:rsid w:val="002E4B70"/>
    <w:rsid w:val="0030045E"/>
    <w:rsid w:val="00306CAB"/>
    <w:rsid w:val="00310023"/>
    <w:rsid w:val="00313D68"/>
    <w:rsid w:val="00315030"/>
    <w:rsid w:val="00326E1C"/>
    <w:rsid w:val="00326FEB"/>
    <w:rsid w:val="003323D3"/>
    <w:rsid w:val="003345D4"/>
    <w:rsid w:val="00336972"/>
    <w:rsid w:val="00337264"/>
    <w:rsid w:val="00343285"/>
    <w:rsid w:val="00356317"/>
    <w:rsid w:val="003641B2"/>
    <w:rsid w:val="0037793B"/>
    <w:rsid w:val="00387192"/>
    <w:rsid w:val="00390E1F"/>
    <w:rsid w:val="00394157"/>
    <w:rsid w:val="003A0972"/>
    <w:rsid w:val="003A1813"/>
    <w:rsid w:val="003B5DBD"/>
    <w:rsid w:val="003B712A"/>
    <w:rsid w:val="003D25A5"/>
    <w:rsid w:val="003D4B90"/>
    <w:rsid w:val="003E38F8"/>
    <w:rsid w:val="003F027E"/>
    <w:rsid w:val="003F0561"/>
    <w:rsid w:val="003F5D0F"/>
    <w:rsid w:val="003F701F"/>
    <w:rsid w:val="003F7029"/>
    <w:rsid w:val="004036D6"/>
    <w:rsid w:val="004067EE"/>
    <w:rsid w:val="004111EF"/>
    <w:rsid w:val="004127AC"/>
    <w:rsid w:val="004166ED"/>
    <w:rsid w:val="00421736"/>
    <w:rsid w:val="004412A3"/>
    <w:rsid w:val="00441954"/>
    <w:rsid w:val="00443F78"/>
    <w:rsid w:val="004453A1"/>
    <w:rsid w:val="00446B10"/>
    <w:rsid w:val="00465987"/>
    <w:rsid w:val="0046616A"/>
    <w:rsid w:val="0046755C"/>
    <w:rsid w:val="00472A28"/>
    <w:rsid w:val="00473340"/>
    <w:rsid w:val="00474DC0"/>
    <w:rsid w:val="0047516C"/>
    <w:rsid w:val="004842B9"/>
    <w:rsid w:val="004864C9"/>
    <w:rsid w:val="004A3D20"/>
    <w:rsid w:val="004B72D6"/>
    <w:rsid w:val="004C2414"/>
    <w:rsid w:val="004C707A"/>
    <w:rsid w:val="005011EB"/>
    <w:rsid w:val="005050BB"/>
    <w:rsid w:val="005070CD"/>
    <w:rsid w:val="0051080B"/>
    <w:rsid w:val="005147EC"/>
    <w:rsid w:val="00526EBF"/>
    <w:rsid w:val="00546896"/>
    <w:rsid w:val="00563A4C"/>
    <w:rsid w:val="00577724"/>
    <w:rsid w:val="005825A4"/>
    <w:rsid w:val="005844D9"/>
    <w:rsid w:val="00587D66"/>
    <w:rsid w:val="00590EE8"/>
    <w:rsid w:val="00592B89"/>
    <w:rsid w:val="005B3B7B"/>
    <w:rsid w:val="005B55D7"/>
    <w:rsid w:val="005B619F"/>
    <w:rsid w:val="005C2778"/>
    <w:rsid w:val="005C3D8A"/>
    <w:rsid w:val="005D78C7"/>
    <w:rsid w:val="005F7197"/>
    <w:rsid w:val="00611063"/>
    <w:rsid w:val="00611B6B"/>
    <w:rsid w:val="006129A5"/>
    <w:rsid w:val="00614E14"/>
    <w:rsid w:val="006205BF"/>
    <w:rsid w:val="00630BB3"/>
    <w:rsid w:val="0063177E"/>
    <w:rsid w:val="006516AB"/>
    <w:rsid w:val="00685E31"/>
    <w:rsid w:val="0069257D"/>
    <w:rsid w:val="006A11A2"/>
    <w:rsid w:val="006A28E8"/>
    <w:rsid w:val="006A6B9F"/>
    <w:rsid w:val="006B0EB7"/>
    <w:rsid w:val="006B2AE3"/>
    <w:rsid w:val="006C1DD8"/>
    <w:rsid w:val="006C2228"/>
    <w:rsid w:val="006C227A"/>
    <w:rsid w:val="006D335A"/>
    <w:rsid w:val="006F52EA"/>
    <w:rsid w:val="006F545D"/>
    <w:rsid w:val="00710160"/>
    <w:rsid w:val="007103AF"/>
    <w:rsid w:val="00722107"/>
    <w:rsid w:val="00724932"/>
    <w:rsid w:val="00745159"/>
    <w:rsid w:val="007534D3"/>
    <w:rsid w:val="00763527"/>
    <w:rsid w:val="00770E2D"/>
    <w:rsid w:val="007912EB"/>
    <w:rsid w:val="00796D26"/>
    <w:rsid w:val="007A180D"/>
    <w:rsid w:val="007A64AC"/>
    <w:rsid w:val="007B39AD"/>
    <w:rsid w:val="007D4E7C"/>
    <w:rsid w:val="007D7054"/>
    <w:rsid w:val="007E0735"/>
    <w:rsid w:val="007E07E9"/>
    <w:rsid w:val="007F05B9"/>
    <w:rsid w:val="007F6195"/>
    <w:rsid w:val="008012F4"/>
    <w:rsid w:val="00801DB2"/>
    <w:rsid w:val="00802336"/>
    <w:rsid w:val="008025AF"/>
    <w:rsid w:val="00803E18"/>
    <w:rsid w:val="00810818"/>
    <w:rsid w:val="0081629A"/>
    <w:rsid w:val="00824470"/>
    <w:rsid w:val="00824E5E"/>
    <w:rsid w:val="008360E2"/>
    <w:rsid w:val="00852D58"/>
    <w:rsid w:val="0085703A"/>
    <w:rsid w:val="00880557"/>
    <w:rsid w:val="00884782"/>
    <w:rsid w:val="0089429C"/>
    <w:rsid w:val="008A7650"/>
    <w:rsid w:val="008B0542"/>
    <w:rsid w:val="008B08E4"/>
    <w:rsid w:val="008C2B0B"/>
    <w:rsid w:val="008D3CC2"/>
    <w:rsid w:val="008D6033"/>
    <w:rsid w:val="008F40F4"/>
    <w:rsid w:val="008F7AFE"/>
    <w:rsid w:val="00904581"/>
    <w:rsid w:val="0090652D"/>
    <w:rsid w:val="0091113A"/>
    <w:rsid w:val="00911DA8"/>
    <w:rsid w:val="009202FD"/>
    <w:rsid w:val="00923039"/>
    <w:rsid w:val="0093767E"/>
    <w:rsid w:val="00940ED7"/>
    <w:rsid w:val="009432C2"/>
    <w:rsid w:val="00950B13"/>
    <w:rsid w:val="009520AB"/>
    <w:rsid w:val="00964474"/>
    <w:rsid w:val="00965934"/>
    <w:rsid w:val="00971611"/>
    <w:rsid w:val="0097585C"/>
    <w:rsid w:val="0097676F"/>
    <w:rsid w:val="0098247C"/>
    <w:rsid w:val="00985F5C"/>
    <w:rsid w:val="00992387"/>
    <w:rsid w:val="00992695"/>
    <w:rsid w:val="00993512"/>
    <w:rsid w:val="009B04F0"/>
    <w:rsid w:val="009B54AD"/>
    <w:rsid w:val="009B6DD8"/>
    <w:rsid w:val="009C0056"/>
    <w:rsid w:val="009C3C4C"/>
    <w:rsid w:val="009D013D"/>
    <w:rsid w:val="009E14F3"/>
    <w:rsid w:val="00A06C41"/>
    <w:rsid w:val="00A07144"/>
    <w:rsid w:val="00A102A0"/>
    <w:rsid w:val="00A10546"/>
    <w:rsid w:val="00A15A51"/>
    <w:rsid w:val="00A228D4"/>
    <w:rsid w:val="00A25460"/>
    <w:rsid w:val="00A502CC"/>
    <w:rsid w:val="00A5043B"/>
    <w:rsid w:val="00A52D6F"/>
    <w:rsid w:val="00A54F78"/>
    <w:rsid w:val="00A56CA4"/>
    <w:rsid w:val="00A640F9"/>
    <w:rsid w:val="00A65E9B"/>
    <w:rsid w:val="00A71505"/>
    <w:rsid w:val="00A72E4C"/>
    <w:rsid w:val="00A75989"/>
    <w:rsid w:val="00A767EB"/>
    <w:rsid w:val="00A92A86"/>
    <w:rsid w:val="00A94885"/>
    <w:rsid w:val="00AC19AC"/>
    <w:rsid w:val="00AD1E31"/>
    <w:rsid w:val="00AF2FAB"/>
    <w:rsid w:val="00AF5339"/>
    <w:rsid w:val="00B020F6"/>
    <w:rsid w:val="00B06BB6"/>
    <w:rsid w:val="00B10929"/>
    <w:rsid w:val="00B10B6C"/>
    <w:rsid w:val="00B14E49"/>
    <w:rsid w:val="00B24D36"/>
    <w:rsid w:val="00B2772C"/>
    <w:rsid w:val="00B305EF"/>
    <w:rsid w:val="00B32969"/>
    <w:rsid w:val="00B332EA"/>
    <w:rsid w:val="00B42E85"/>
    <w:rsid w:val="00B45470"/>
    <w:rsid w:val="00B45F9C"/>
    <w:rsid w:val="00B5163F"/>
    <w:rsid w:val="00B61578"/>
    <w:rsid w:val="00B67B55"/>
    <w:rsid w:val="00B709DF"/>
    <w:rsid w:val="00B71ED6"/>
    <w:rsid w:val="00B73A68"/>
    <w:rsid w:val="00B770CC"/>
    <w:rsid w:val="00B9292D"/>
    <w:rsid w:val="00B94519"/>
    <w:rsid w:val="00BA20FF"/>
    <w:rsid w:val="00BA7DEE"/>
    <w:rsid w:val="00BB5FBD"/>
    <w:rsid w:val="00BC09EA"/>
    <w:rsid w:val="00BC2D3B"/>
    <w:rsid w:val="00BC352C"/>
    <w:rsid w:val="00BD3F7D"/>
    <w:rsid w:val="00BE0E62"/>
    <w:rsid w:val="00BE2DF1"/>
    <w:rsid w:val="00C02639"/>
    <w:rsid w:val="00C05186"/>
    <w:rsid w:val="00C07C65"/>
    <w:rsid w:val="00C12D00"/>
    <w:rsid w:val="00C21DF7"/>
    <w:rsid w:val="00C26BF3"/>
    <w:rsid w:val="00C3190C"/>
    <w:rsid w:val="00C32330"/>
    <w:rsid w:val="00C37F79"/>
    <w:rsid w:val="00C411A1"/>
    <w:rsid w:val="00C458FA"/>
    <w:rsid w:val="00C46CF4"/>
    <w:rsid w:val="00C5474D"/>
    <w:rsid w:val="00C634BF"/>
    <w:rsid w:val="00C65260"/>
    <w:rsid w:val="00C72C3F"/>
    <w:rsid w:val="00C824ED"/>
    <w:rsid w:val="00CA5A96"/>
    <w:rsid w:val="00CB151A"/>
    <w:rsid w:val="00CB2931"/>
    <w:rsid w:val="00CC18FF"/>
    <w:rsid w:val="00CD6BDD"/>
    <w:rsid w:val="00CE12E8"/>
    <w:rsid w:val="00CE1B36"/>
    <w:rsid w:val="00D0315C"/>
    <w:rsid w:val="00D0395F"/>
    <w:rsid w:val="00D06D7F"/>
    <w:rsid w:val="00D136C4"/>
    <w:rsid w:val="00D137E9"/>
    <w:rsid w:val="00D13BA5"/>
    <w:rsid w:val="00D17D63"/>
    <w:rsid w:val="00D208A2"/>
    <w:rsid w:val="00D22517"/>
    <w:rsid w:val="00D2345C"/>
    <w:rsid w:val="00D23DE6"/>
    <w:rsid w:val="00D2779E"/>
    <w:rsid w:val="00D50157"/>
    <w:rsid w:val="00D55DA4"/>
    <w:rsid w:val="00D57D4C"/>
    <w:rsid w:val="00D601EE"/>
    <w:rsid w:val="00D633B7"/>
    <w:rsid w:val="00D76571"/>
    <w:rsid w:val="00D778E5"/>
    <w:rsid w:val="00D96394"/>
    <w:rsid w:val="00DB38F4"/>
    <w:rsid w:val="00DB73E4"/>
    <w:rsid w:val="00DD740A"/>
    <w:rsid w:val="00DE7666"/>
    <w:rsid w:val="00DF5230"/>
    <w:rsid w:val="00E01A83"/>
    <w:rsid w:val="00E16166"/>
    <w:rsid w:val="00E1644B"/>
    <w:rsid w:val="00E17BF4"/>
    <w:rsid w:val="00E2213C"/>
    <w:rsid w:val="00E3107F"/>
    <w:rsid w:val="00E46E5F"/>
    <w:rsid w:val="00E55798"/>
    <w:rsid w:val="00E5757A"/>
    <w:rsid w:val="00E61CDE"/>
    <w:rsid w:val="00E6330C"/>
    <w:rsid w:val="00E63DCE"/>
    <w:rsid w:val="00E83E3C"/>
    <w:rsid w:val="00E84EAB"/>
    <w:rsid w:val="00EA03C2"/>
    <w:rsid w:val="00EA55AF"/>
    <w:rsid w:val="00EA7773"/>
    <w:rsid w:val="00EC2FA1"/>
    <w:rsid w:val="00EC5298"/>
    <w:rsid w:val="00ED224D"/>
    <w:rsid w:val="00ED371E"/>
    <w:rsid w:val="00ED48CC"/>
    <w:rsid w:val="00ED6353"/>
    <w:rsid w:val="00EE0D9C"/>
    <w:rsid w:val="00EE21C5"/>
    <w:rsid w:val="00EE7D3D"/>
    <w:rsid w:val="00F1129C"/>
    <w:rsid w:val="00F12073"/>
    <w:rsid w:val="00F1417E"/>
    <w:rsid w:val="00F16E9D"/>
    <w:rsid w:val="00F323F7"/>
    <w:rsid w:val="00F41E80"/>
    <w:rsid w:val="00F41FCA"/>
    <w:rsid w:val="00F44070"/>
    <w:rsid w:val="00F66810"/>
    <w:rsid w:val="00F66BA4"/>
    <w:rsid w:val="00F66DCD"/>
    <w:rsid w:val="00F73E48"/>
    <w:rsid w:val="00F87AEF"/>
    <w:rsid w:val="00FB05B5"/>
    <w:rsid w:val="00FC470A"/>
    <w:rsid w:val="00FC5B27"/>
    <w:rsid w:val="00FC5BD2"/>
    <w:rsid w:val="00FC796C"/>
    <w:rsid w:val="00FD0207"/>
    <w:rsid w:val="00FF3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9E077"/>
  <w15:docId w15:val="{E596B003-D556-494F-9FE7-2E6DBB1F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73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0735"/>
    <w:pPr>
      <w:keepNext/>
      <w:numPr>
        <w:ilvl w:val="1"/>
        <w:numId w:val="1"/>
      </w:numPr>
      <w:spacing w:after="220"/>
      <w:outlineLvl w:val="1"/>
    </w:pPr>
    <w:rPr>
      <w:rFonts w:ascii="Times New Roman Bold" w:hAnsi="Times New Roman Bold"/>
      <w:b/>
    </w:rPr>
  </w:style>
  <w:style w:type="paragraph" w:styleId="Heading3">
    <w:name w:val="heading 3"/>
    <w:basedOn w:val="Normal"/>
    <w:next w:val="Normal"/>
    <w:link w:val="Heading3Char"/>
    <w:qFormat/>
    <w:rsid w:val="007E0735"/>
    <w:pPr>
      <w:keepNext/>
      <w:outlineLvl w:val="2"/>
    </w:pPr>
    <w:rPr>
      <w:u w:val="single"/>
    </w:rPr>
  </w:style>
  <w:style w:type="paragraph" w:styleId="Heading4">
    <w:name w:val="heading 4"/>
    <w:basedOn w:val="Normal"/>
    <w:next w:val="Normal"/>
    <w:link w:val="Heading4Char"/>
    <w:qFormat/>
    <w:rsid w:val="007E0735"/>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7E0735"/>
    <w:pPr>
      <w:numPr>
        <w:ilvl w:val="4"/>
        <w:numId w:val="1"/>
      </w:numPr>
      <w:spacing w:before="240" w:after="60"/>
      <w:outlineLvl w:val="4"/>
    </w:pPr>
    <w:rPr>
      <w:sz w:val="22"/>
    </w:rPr>
  </w:style>
  <w:style w:type="paragraph" w:styleId="Heading6">
    <w:name w:val="heading 6"/>
    <w:basedOn w:val="Normal"/>
    <w:next w:val="Normal"/>
    <w:link w:val="Heading6Char"/>
    <w:qFormat/>
    <w:rsid w:val="007E0735"/>
    <w:pPr>
      <w:numPr>
        <w:ilvl w:val="5"/>
        <w:numId w:val="1"/>
      </w:numPr>
      <w:spacing w:before="240" w:after="60"/>
      <w:outlineLvl w:val="5"/>
    </w:pPr>
    <w:rPr>
      <w:i/>
      <w:sz w:val="22"/>
    </w:rPr>
  </w:style>
  <w:style w:type="paragraph" w:styleId="Heading7">
    <w:name w:val="heading 7"/>
    <w:basedOn w:val="Normal"/>
    <w:next w:val="Normal"/>
    <w:link w:val="Heading7Char"/>
    <w:qFormat/>
    <w:rsid w:val="007E0735"/>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7E0735"/>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7E073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Bold" w:eastAsia="Times New Roman" w:hAnsi="Times New Roman Bold" w:cs="Times New Roman"/>
      <w:b/>
      <w:sz w:val="24"/>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7E0735"/>
    <w:rPr>
      <w:rFonts w:ascii="Arial" w:eastAsia="Times New Roman" w:hAnsi="Arial" w:cs="Times New Roman"/>
      <w:b/>
      <w:sz w:val="24"/>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i/>
      <w:szCs w:val="20"/>
    </w:rPr>
  </w:style>
  <w:style w:type="character" w:customStyle="1" w:styleId="Heading7Char">
    <w:name w:val="Heading 7 Char"/>
    <w:basedOn w:val="DefaultParagraphFont"/>
    <w:link w:val="Heading7"/>
    <w:rsid w:val="007E0735"/>
    <w:rPr>
      <w:rFonts w:ascii="Arial" w:eastAsia="Times New Roman" w:hAnsi="Arial" w:cs="Times New Roman"/>
      <w:sz w:val="24"/>
      <w:szCs w:val="20"/>
    </w:rPr>
  </w:style>
  <w:style w:type="character" w:customStyle="1" w:styleId="Heading8Char">
    <w:name w:val="Heading 8 Char"/>
    <w:basedOn w:val="DefaultParagraphFont"/>
    <w:link w:val="Heading8"/>
    <w:rsid w:val="007E0735"/>
    <w:rPr>
      <w:rFonts w:ascii="Arial" w:eastAsia="Times New Roman" w:hAnsi="Arial" w:cs="Times New Roman"/>
      <w:i/>
      <w:sz w:val="24"/>
      <w:szCs w:val="20"/>
    </w:rPr>
  </w:style>
  <w:style w:type="character" w:customStyle="1" w:styleId="Heading9Char">
    <w:name w:val="Heading 9 Char"/>
    <w:basedOn w:val="DefaultParagraphFont"/>
    <w:link w:val="Heading9"/>
    <w:rsid w:val="007E0735"/>
    <w:rPr>
      <w:rFonts w:ascii="Arial" w:eastAsia="Times New Roman" w:hAnsi="Arial" w:cs="Times New Roman"/>
      <w:b/>
      <w:i/>
      <w:sz w:val="1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rsid w:val="007E0735"/>
    <w:pPr>
      <w:widowControl w:val="0"/>
      <w:numPr>
        <w:numId w:val="2"/>
      </w:numPr>
      <w:spacing w:after="220"/>
      <w:ind w:firstLine="720"/>
      <w:jc w:val="both"/>
    </w:pPr>
    <w:rPr>
      <w:snapToGrid w:val="0"/>
      <w:kern w:val="28"/>
      <w:sz w:val="22"/>
    </w:rPr>
  </w:style>
  <w:style w:type="paragraph" w:customStyle="1" w:styleId="ParaNumChar1">
    <w:name w:val="ParaNum Char1"/>
    <w:basedOn w:val="Normal"/>
    <w:link w:val="ParaNumChar1Char"/>
    <w:rsid w:val="007E0735"/>
    <w:pPr>
      <w:widowControl w:val="0"/>
      <w:tabs>
        <w:tab w:val="num" w:pos="1080"/>
        <w:tab w:val="left" w:pos="1440"/>
      </w:tabs>
      <w:spacing w:after="220"/>
      <w:ind w:firstLine="720"/>
    </w:pPr>
    <w:rPr>
      <w:sz w:val="22"/>
    </w:r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uiPriority w:val="99"/>
    <w:unhideWhenUsed/>
    <w:rsid w:val="00C72C3F"/>
    <w:pPr>
      <w:tabs>
        <w:tab w:val="center" w:pos="4680"/>
        <w:tab w:val="right" w:pos="9360"/>
      </w:tabs>
    </w:pPr>
  </w:style>
  <w:style w:type="character" w:customStyle="1" w:styleId="HeaderChar">
    <w:name w:val="Header Char"/>
    <w:basedOn w:val="DefaultParagraphFont"/>
    <w:link w:val="Header"/>
    <w:uiPriority w:val="99"/>
    <w:rsid w:val="00C72C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72C3F"/>
    <w:pPr>
      <w:tabs>
        <w:tab w:val="center" w:pos="4680"/>
        <w:tab w:val="right" w:pos="9360"/>
      </w:tabs>
    </w:pPr>
  </w:style>
  <w:style w:type="character" w:customStyle="1" w:styleId="FooterChar">
    <w:name w:val="Footer Char"/>
    <w:basedOn w:val="DefaultParagraphFont"/>
    <w:link w:val="Footer"/>
    <w:uiPriority w:val="99"/>
    <w:rsid w:val="00C72C3F"/>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9520AB"/>
    <w:rPr>
      <w:sz w:val="20"/>
    </w:rPr>
  </w:style>
  <w:style w:type="character" w:customStyle="1" w:styleId="FootnoteTextChar">
    <w:name w:val="Footnote Text Char"/>
    <w:basedOn w:val="DefaultParagraphFont"/>
    <w:link w:val="FootnoteText"/>
    <w:uiPriority w:val="99"/>
    <w:rsid w:val="009520AB"/>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520AB"/>
    <w:rPr>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semiHidden/>
    <w:unhideWhenUsed/>
    <w:rsid w:val="00BC2D3B"/>
    <w:rPr>
      <w:sz w:val="20"/>
    </w:rPr>
  </w:style>
  <w:style w:type="character" w:customStyle="1" w:styleId="CommentTextChar">
    <w:name w:val="Comment Text Char"/>
    <w:basedOn w:val="DefaultParagraphFont"/>
    <w:link w:val="CommentText"/>
    <w:uiPriority w:val="99"/>
    <w:semiHidden/>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uiPriority w:val="99"/>
    <w:semiHidden/>
    <w:unhideWhenUsed/>
    <w:rsid w:val="00BC352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261BF-46F0-4176-9AA9-F2D924E3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3885</Words>
  <Characters>22149</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Sanquist</dc:creator>
  <cp:keywords/>
  <dc:description/>
  <cp:lastModifiedBy>Nicole Ongele</cp:lastModifiedBy>
  <cp:revision>2</cp:revision>
  <cp:lastPrinted>2016-11-03T15:55:00Z</cp:lastPrinted>
  <dcterms:created xsi:type="dcterms:W3CDTF">2016-11-03T23:30:00Z</dcterms:created>
  <dcterms:modified xsi:type="dcterms:W3CDTF">2016-11-03T23:30:00Z</dcterms:modified>
</cp:coreProperties>
</file>