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4680"/>
        <w:gridCol w:w="4680"/>
      </w:tblGrid>
      <w:tr w:rsidR="00DF6D15" w14:paraId="57BB9C0E" w14:textId="77777777">
        <w:trPr>
          <w:cantSplit/>
          <w:trHeight w:hRule="exact" w:val="720"/>
        </w:trPr>
        <w:tc>
          <w:tcPr>
            <w:tcW w:w="4680" w:type="dxa"/>
          </w:tcPr>
          <w:p w14:paraId="6737FC23" w14:textId="77777777" w:rsidR="00DF6D15" w:rsidRDefault="00304C25">
            <w:pPr>
              <w:rPr>
                <w:rFonts w:ascii="Arial" w:hAnsi="Arial" w:cs="Arial"/>
                <w:b/>
                <w:color w:val="000080"/>
                <w:sz w:val="30"/>
              </w:rPr>
            </w:pPr>
            <w:bookmarkStart w:id="0" w:name="_GoBack"/>
            <w:bookmarkEnd w:id="0"/>
            <w:r>
              <w:rPr>
                <w:rFonts w:ascii="Arial" w:hAnsi="Arial" w:cs="Arial"/>
                <w:b/>
                <w:color w:val="000080"/>
                <w:sz w:val="30"/>
              </w:rPr>
              <w:t>Department of</w:t>
            </w:r>
          </w:p>
          <w:p w14:paraId="69D0CB24" w14:textId="77777777" w:rsidR="00DF6D15" w:rsidRDefault="00304C25">
            <w:pPr>
              <w:rPr>
                <w:rFonts w:ascii="Arial" w:hAnsi="Arial" w:cs="Arial"/>
                <w:b/>
                <w:color w:val="000080"/>
                <w:sz w:val="30"/>
              </w:rPr>
            </w:pPr>
            <w:r>
              <w:rPr>
                <w:rFonts w:ascii="Arial" w:hAnsi="Arial" w:cs="Arial"/>
                <w:b/>
                <w:color w:val="000080"/>
                <w:sz w:val="30"/>
              </w:rPr>
              <w:t>Veterans Affairs</w:t>
            </w:r>
          </w:p>
        </w:tc>
        <w:tc>
          <w:tcPr>
            <w:tcW w:w="4680" w:type="dxa"/>
          </w:tcPr>
          <w:p w14:paraId="0A0E0AA9" w14:textId="77777777" w:rsidR="00DF6D15" w:rsidRDefault="00304C25">
            <w:pPr>
              <w:jc w:val="right"/>
              <w:rPr>
                <w:rFonts w:ascii="Arial" w:hAnsi="Arial" w:cs="Arial"/>
                <w:b/>
                <w:color w:val="000080"/>
                <w:sz w:val="60"/>
              </w:rPr>
            </w:pPr>
            <w:r>
              <w:rPr>
                <w:rFonts w:ascii="Arial" w:hAnsi="Arial" w:cs="Arial"/>
                <w:b/>
                <w:color w:val="000080"/>
                <w:sz w:val="60"/>
              </w:rPr>
              <w:t>Memorandum</w:t>
            </w:r>
          </w:p>
        </w:tc>
      </w:tr>
    </w:tbl>
    <w:p w14:paraId="535EBACC" w14:textId="77777777" w:rsidR="00DF6D15" w:rsidRDefault="00DF6D15">
      <w:pPr>
        <w:spacing w:line="240" w:lineRule="exact"/>
        <w:rPr>
          <w:rFonts w:ascii="Arial" w:hAnsi="Arial" w:cs="Arial"/>
        </w:rPr>
      </w:pPr>
    </w:p>
    <w:p w14:paraId="7446952D" w14:textId="77777777" w:rsidR="00AD0BBD" w:rsidRDefault="00AD0BBD">
      <w:pPr>
        <w:spacing w:line="240" w:lineRule="exact"/>
        <w:rPr>
          <w:rFonts w:ascii="Arial" w:hAnsi="Arial" w:cs="Arial"/>
        </w:rPr>
      </w:pPr>
    </w:p>
    <w:tbl>
      <w:tblPr>
        <w:tblW w:w="0" w:type="auto"/>
        <w:tblInd w:w="-720" w:type="dxa"/>
        <w:tblLayout w:type="fixed"/>
        <w:tblCellMar>
          <w:left w:w="72" w:type="dxa"/>
          <w:right w:w="72" w:type="dxa"/>
        </w:tblCellMar>
        <w:tblLook w:val="0000" w:firstRow="0" w:lastRow="0" w:firstColumn="0" w:lastColumn="0" w:noHBand="0" w:noVBand="0"/>
      </w:tblPr>
      <w:tblGrid>
        <w:gridCol w:w="972"/>
        <w:gridCol w:w="3737"/>
      </w:tblGrid>
      <w:tr w:rsidR="00DF6D15" w:rsidRPr="00027D34" w14:paraId="476B09BC" w14:textId="77777777" w:rsidTr="007E618A">
        <w:trPr>
          <w:cantSplit/>
          <w:trHeight w:val="396"/>
        </w:trPr>
        <w:tc>
          <w:tcPr>
            <w:tcW w:w="972" w:type="dxa"/>
          </w:tcPr>
          <w:p w14:paraId="74310BA8" w14:textId="2C738798" w:rsidR="00DF6D15" w:rsidRPr="00027D34" w:rsidRDefault="00CE066A" w:rsidP="007E618A">
            <w:pPr>
              <w:spacing w:line="240" w:lineRule="exact"/>
              <w:jc w:val="right"/>
              <w:rPr>
                <w:rFonts w:ascii="Arial" w:hAnsi="Arial" w:cs="Arial"/>
                <w:color w:val="000080"/>
                <w:sz w:val="22"/>
                <w:szCs w:val="22"/>
              </w:rPr>
            </w:pPr>
            <w:r w:rsidRPr="00027D34">
              <w:rPr>
                <w:rFonts w:ascii="Arial" w:hAnsi="Arial" w:cs="Arial"/>
                <w:color w:val="000080"/>
                <w:sz w:val="22"/>
                <w:szCs w:val="22"/>
              </w:rPr>
              <w:t xml:space="preserve"> </w:t>
            </w:r>
            <w:r w:rsidR="00304C25" w:rsidRPr="00027D34">
              <w:rPr>
                <w:rFonts w:ascii="Arial" w:hAnsi="Arial" w:cs="Arial"/>
                <w:color w:val="000080"/>
                <w:sz w:val="22"/>
                <w:szCs w:val="22"/>
              </w:rPr>
              <w:t xml:space="preserve">Date: </w:t>
            </w:r>
          </w:p>
        </w:tc>
        <w:tc>
          <w:tcPr>
            <w:tcW w:w="3737" w:type="dxa"/>
          </w:tcPr>
          <w:p w14:paraId="18992D49" w14:textId="42B7996C" w:rsidR="00DF6D15" w:rsidRPr="00027D34" w:rsidRDefault="001D7037" w:rsidP="001D7037">
            <w:pPr>
              <w:spacing w:line="240" w:lineRule="exact"/>
              <w:ind w:left="288"/>
              <w:rPr>
                <w:rFonts w:ascii="Arial" w:hAnsi="Arial" w:cs="Arial"/>
                <w:sz w:val="22"/>
                <w:szCs w:val="22"/>
              </w:rPr>
            </w:pPr>
            <w:r>
              <w:rPr>
                <w:rFonts w:ascii="Arial" w:hAnsi="Arial" w:cs="Arial"/>
                <w:sz w:val="22"/>
                <w:szCs w:val="22"/>
              </w:rPr>
              <w:t>Novem</w:t>
            </w:r>
            <w:r w:rsidR="009932C4">
              <w:rPr>
                <w:rFonts w:ascii="Arial" w:hAnsi="Arial" w:cs="Arial"/>
                <w:sz w:val="22"/>
                <w:szCs w:val="22"/>
              </w:rPr>
              <w:t>ber</w:t>
            </w:r>
            <w:r w:rsidR="00123018">
              <w:rPr>
                <w:rFonts w:ascii="Arial" w:hAnsi="Arial" w:cs="Arial"/>
                <w:sz w:val="22"/>
                <w:szCs w:val="22"/>
              </w:rPr>
              <w:t xml:space="preserve"> </w:t>
            </w:r>
            <w:r>
              <w:rPr>
                <w:rFonts w:ascii="Arial" w:hAnsi="Arial" w:cs="Arial"/>
                <w:sz w:val="22"/>
                <w:szCs w:val="22"/>
              </w:rPr>
              <w:t>01</w:t>
            </w:r>
            <w:r w:rsidR="00CE066A" w:rsidRPr="00027D34">
              <w:rPr>
                <w:rFonts w:ascii="Arial" w:hAnsi="Arial" w:cs="Arial"/>
                <w:sz w:val="22"/>
                <w:szCs w:val="22"/>
              </w:rPr>
              <w:t>, 2016</w:t>
            </w:r>
          </w:p>
        </w:tc>
      </w:tr>
    </w:tbl>
    <w:p w14:paraId="70613E52" w14:textId="77777777" w:rsidR="00DF6D15" w:rsidRPr="00027D34" w:rsidRDefault="00DF6D15">
      <w:pPr>
        <w:spacing w:line="240" w:lineRule="exact"/>
        <w:rPr>
          <w:rFonts w:ascii="Arial" w:hAnsi="Arial" w:cs="Arial"/>
          <w:sz w:val="22"/>
          <w:szCs w:val="22"/>
        </w:rPr>
      </w:pPr>
    </w:p>
    <w:tbl>
      <w:tblPr>
        <w:tblW w:w="10422" w:type="dxa"/>
        <w:tblInd w:w="-720" w:type="dxa"/>
        <w:tblLayout w:type="fixed"/>
        <w:tblCellMar>
          <w:left w:w="72" w:type="dxa"/>
          <w:right w:w="72" w:type="dxa"/>
        </w:tblCellMar>
        <w:tblLook w:val="0000" w:firstRow="0" w:lastRow="0" w:firstColumn="0" w:lastColumn="0" w:noHBand="0" w:noVBand="0"/>
      </w:tblPr>
      <w:tblGrid>
        <w:gridCol w:w="342"/>
        <w:gridCol w:w="720"/>
        <w:gridCol w:w="9360"/>
      </w:tblGrid>
      <w:tr w:rsidR="00DF6D15" w:rsidRPr="00027D34" w14:paraId="68A9587B" w14:textId="77777777" w:rsidTr="00C85F43">
        <w:trPr>
          <w:cantSplit/>
        </w:trPr>
        <w:tc>
          <w:tcPr>
            <w:tcW w:w="1062" w:type="dxa"/>
            <w:gridSpan w:val="2"/>
          </w:tcPr>
          <w:p w14:paraId="3320026A" w14:textId="5A291735" w:rsidR="00DF6D15" w:rsidRPr="00027D34" w:rsidRDefault="00CE066A">
            <w:pPr>
              <w:spacing w:line="240" w:lineRule="exact"/>
              <w:jc w:val="right"/>
              <w:rPr>
                <w:rFonts w:ascii="Arial" w:hAnsi="Arial" w:cs="Arial"/>
                <w:color w:val="000080"/>
                <w:sz w:val="22"/>
                <w:szCs w:val="22"/>
              </w:rPr>
            </w:pPr>
            <w:r w:rsidRPr="00027D34">
              <w:rPr>
                <w:rFonts w:ascii="Arial" w:hAnsi="Arial" w:cs="Arial"/>
                <w:color w:val="000080"/>
                <w:sz w:val="22"/>
                <w:szCs w:val="22"/>
              </w:rPr>
              <w:t>To</w:t>
            </w:r>
            <w:r w:rsidR="00304C25" w:rsidRPr="00027D34">
              <w:rPr>
                <w:rFonts w:ascii="Arial" w:hAnsi="Arial" w:cs="Arial"/>
                <w:color w:val="000080"/>
                <w:sz w:val="22"/>
                <w:szCs w:val="22"/>
              </w:rPr>
              <w:t>:</w:t>
            </w:r>
          </w:p>
          <w:p w14:paraId="6E0977D8" w14:textId="77777777" w:rsidR="00CE066A" w:rsidRPr="00027D34" w:rsidRDefault="00CE066A">
            <w:pPr>
              <w:spacing w:line="240" w:lineRule="exact"/>
              <w:jc w:val="right"/>
              <w:rPr>
                <w:rFonts w:ascii="Arial" w:hAnsi="Arial" w:cs="Arial"/>
                <w:color w:val="000080"/>
                <w:sz w:val="22"/>
                <w:szCs w:val="22"/>
              </w:rPr>
            </w:pPr>
          </w:p>
          <w:p w14:paraId="7678A4A8" w14:textId="77777777" w:rsidR="00CE066A" w:rsidRPr="00027D34" w:rsidRDefault="00CE066A">
            <w:pPr>
              <w:spacing w:line="240" w:lineRule="exact"/>
              <w:jc w:val="right"/>
              <w:rPr>
                <w:rFonts w:ascii="Arial" w:hAnsi="Arial" w:cs="Arial"/>
                <w:color w:val="000080"/>
                <w:sz w:val="22"/>
                <w:szCs w:val="22"/>
              </w:rPr>
            </w:pPr>
          </w:p>
          <w:p w14:paraId="0D51AC1B" w14:textId="77777777" w:rsidR="00CE066A" w:rsidRPr="00027D34" w:rsidRDefault="00CE066A">
            <w:pPr>
              <w:spacing w:line="240" w:lineRule="exact"/>
              <w:jc w:val="right"/>
              <w:rPr>
                <w:rFonts w:ascii="Arial" w:hAnsi="Arial" w:cs="Arial"/>
                <w:color w:val="000080"/>
                <w:sz w:val="22"/>
                <w:szCs w:val="22"/>
              </w:rPr>
            </w:pPr>
          </w:p>
          <w:p w14:paraId="5E8973B7" w14:textId="77777777" w:rsidR="00CE066A" w:rsidRPr="00027D34" w:rsidRDefault="00CE066A" w:rsidP="00C85F43">
            <w:pPr>
              <w:spacing w:before="60" w:line="240" w:lineRule="exact"/>
              <w:jc w:val="right"/>
              <w:rPr>
                <w:rFonts w:ascii="Arial" w:hAnsi="Arial" w:cs="Arial"/>
                <w:color w:val="000080"/>
                <w:sz w:val="22"/>
                <w:szCs w:val="22"/>
              </w:rPr>
            </w:pPr>
            <w:r w:rsidRPr="00027D34">
              <w:rPr>
                <w:rFonts w:ascii="Arial" w:hAnsi="Arial" w:cs="Arial"/>
                <w:color w:val="000080"/>
                <w:sz w:val="22"/>
                <w:szCs w:val="22"/>
              </w:rPr>
              <w:t>Through:</w:t>
            </w:r>
          </w:p>
          <w:p w14:paraId="756C4363" w14:textId="77777777" w:rsidR="00CE066A" w:rsidRPr="00027D34" w:rsidRDefault="00CE066A">
            <w:pPr>
              <w:spacing w:line="240" w:lineRule="exact"/>
              <w:jc w:val="right"/>
              <w:rPr>
                <w:rFonts w:ascii="Arial" w:hAnsi="Arial" w:cs="Arial"/>
                <w:color w:val="000080"/>
                <w:sz w:val="22"/>
                <w:szCs w:val="22"/>
              </w:rPr>
            </w:pPr>
          </w:p>
          <w:p w14:paraId="34A86821" w14:textId="77777777" w:rsidR="00CE066A" w:rsidRPr="00027D34" w:rsidRDefault="00CE066A">
            <w:pPr>
              <w:spacing w:line="240" w:lineRule="exact"/>
              <w:jc w:val="right"/>
              <w:rPr>
                <w:rFonts w:ascii="Arial" w:hAnsi="Arial" w:cs="Arial"/>
                <w:color w:val="000080"/>
                <w:sz w:val="22"/>
                <w:szCs w:val="22"/>
              </w:rPr>
            </w:pPr>
          </w:p>
          <w:p w14:paraId="3BAF7854" w14:textId="77777777" w:rsidR="00CE066A" w:rsidRPr="00027D34" w:rsidRDefault="00CE066A">
            <w:pPr>
              <w:spacing w:line="240" w:lineRule="exact"/>
              <w:jc w:val="right"/>
              <w:rPr>
                <w:rFonts w:ascii="Arial" w:hAnsi="Arial" w:cs="Arial"/>
                <w:color w:val="000080"/>
                <w:sz w:val="22"/>
                <w:szCs w:val="22"/>
              </w:rPr>
            </w:pPr>
          </w:p>
          <w:p w14:paraId="55A80D26" w14:textId="77777777" w:rsidR="00CE066A" w:rsidRPr="00027D34" w:rsidRDefault="00CE066A" w:rsidP="00C85F43">
            <w:pPr>
              <w:spacing w:before="100" w:line="240" w:lineRule="exact"/>
              <w:jc w:val="right"/>
              <w:rPr>
                <w:rFonts w:ascii="Arial" w:hAnsi="Arial" w:cs="Arial"/>
                <w:color w:val="000080"/>
                <w:sz w:val="22"/>
                <w:szCs w:val="22"/>
              </w:rPr>
            </w:pPr>
            <w:r w:rsidRPr="00027D34">
              <w:rPr>
                <w:rFonts w:ascii="Arial" w:hAnsi="Arial" w:cs="Arial"/>
                <w:color w:val="000080"/>
                <w:sz w:val="22"/>
                <w:szCs w:val="22"/>
              </w:rPr>
              <w:t>From:</w:t>
            </w:r>
          </w:p>
          <w:p w14:paraId="2B0D5475" w14:textId="77777777" w:rsidR="00CE066A" w:rsidRPr="00027D34" w:rsidRDefault="00CE066A">
            <w:pPr>
              <w:spacing w:line="240" w:lineRule="exact"/>
              <w:jc w:val="right"/>
              <w:rPr>
                <w:rFonts w:ascii="Arial" w:hAnsi="Arial" w:cs="Arial"/>
                <w:color w:val="000080"/>
                <w:sz w:val="22"/>
                <w:szCs w:val="22"/>
              </w:rPr>
            </w:pPr>
          </w:p>
          <w:p w14:paraId="5DA0C580" w14:textId="556225D3" w:rsidR="00CE066A" w:rsidRPr="00027D34" w:rsidRDefault="00CE066A">
            <w:pPr>
              <w:spacing w:line="240" w:lineRule="exact"/>
              <w:jc w:val="right"/>
              <w:rPr>
                <w:rFonts w:ascii="Arial" w:hAnsi="Arial" w:cs="Arial"/>
                <w:color w:val="000080"/>
                <w:sz w:val="22"/>
                <w:szCs w:val="22"/>
              </w:rPr>
            </w:pPr>
          </w:p>
        </w:tc>
        <w:tc>
          <w:tcPr>
            <w:tcW w:w="9360" w:type="dxa"/>
          </w:tcPr>
          <w:p w14:paraId="70209459" w14:textId="77777777" w:rsidR="00CE066A" w:rsidRPr="00027D34" w:rsidRDefault="00CE066A" w:rsidP="007E618A">
            <w:pPr>
              <w:ind w:left="198"/>
              <w:rPr>
                <w:rFonts w:ascii="Arial" w:hAnsi="Arial" w:cs="Arial"/>
                <w:sz w:val="22"/>
                <w:szCs w:val="22"/>
              </w:rPr>
            </w:pPr>
            <w:r w:rsidRPr="00027D34">
              <w:rPr>
                <w:rFonts w:ascii="Arial" w:hAnsi="Arial" w:cs="Arial"/>
                <w:sz w:val="22"/>
                <w:szCs w:val="22"/>
              </w:rPr>
              <w:t>Stephanie Tatham, OMB Desk Officer</w:t>
            </w:r>
          </w:p>
          <w:p w14:paraId="2CE81537" w14:textId="77777777" w:rsidR="00CE066A" w:rsidRPr="00027D34" w:rsidRDefault="00CE066A" w:rsidP="007E618A">
            <w:pPr>
              <w:ind w:left="198"/>
              <w:rPr>
                <w:rFonts w:ascii="Arial" w:hAnsi="Arial" w:cs="Arial"/>
                <w:sz w:val="22"/>
                <w:szCs w:val="22"/>
              </w:rPr>
            </w:pPr>
            <w:r w:rsidRPr="00027D34">
              <w:rPr>
                <w:rFonts w:ascii="Arial" w:hAnsi="Arial" w:cs="Arial"/>
                <w:sz w:val="22"/>
                <w:szCs w:val="22"/>
              </w:rPr>
              <w:t>Office of Information and Regulatory Affairs</w:t>
            </w:r>
          </w:p>
          <w:p w14:paraId="1EB2241C" w14:textId="57582934" w:rsidR="00CE066A" w:rsidRPr="00027D34" w:rsidRDefault="00CE066A" w:rsidP="007E618A">
            <w:pPr>
              <w:ind w:left="198"/>
              <w:rPr>
                <w:rFonts w:ascii="Arial" w:hAnsi="Arial" w:cs="Arial"/>
                <w:sz w:val="22"/>
                <w:szCs w:val="22"/>
              </w:rPr>
            </w:pPr>
            <w:r w:rsidRPr="00027D34">
              <w:rPr>
                <w:rFonts w:ascii="Arial" w:hAnsi="Arial" w:cs="Arial"/>
                <w:sz w:val="22"/>
                <w:szCs w:val="22"/>
              </w:rPr>
              <w:t xml:space="preserve">Office of Management and Budget </w:t>
            </w:r>
          </w:p>
          <w:p w14:paraId="14B70D4F" w14:textId="77777777" w:rsidR="00CE066A" w:rsidRPr="00027D34" w:rsidRDefault="00CE066A" w:rsidP="007E618A">
            <w:pPr>
              <w:ind w:left="198"/>
              <w:rPr>
                <w:rFonts w:ascii="Arial" w:hAnsi="Arial" w:cs="Arial"/>
                <w:sz w:val="22"/>
                <w:szCs w:val="22"/>
              </w:rPr>
            </w:pPr>
          </w:p>
          <w:p w14:paraId="633A8240" w14:textId="246D541A" w:rsidR="00772D6B" w:rsidRPr="00027D34" w:rsidRDefault="00772D6B" w:rsidP="00C85F43">
            <w:pPr>
              <w:ind w:left="198"/>
              <w:rPr>
                <w:rFonts w:ascii="Arial" w:hAnsi="Arial" w:cs="Arial"/>
                <w:sz w:val="22"/>
                <w:szCs w:val="22"/>
              </w:rPr>
            </w:pPr>
            <w:r w:rsidRPr="00027D34">
              <w:rPr>
                <w:rFonts w:ascii="Arial" w:hAnsi="Arial" w:cs="Arial"/>
                <w:sz w:val="22"/>
                <w:szCs w:val="22"/>
              </w:rPr>
              <w:t>Cynthia Harvey-Pryor, Acting VA Clearance Officer</w:t>
            </w:r>
          </w:p>
          <w:p w14:paraId="56A3C9F5" w14:textId="77777777" w:rsidR="00772D6B" w:rsidRPr="00027D34" w:rsidRDefault="00772D6B" w:rsidP="007E618A">
            <w:pPr>
              <w:ind w:left="198"/>
              <w:rPr>
                <w:rFonts w:ascii="Arial" w:hAnsi="Arial" w:cs="Arial"/>
                <w:sz w:val="22"/>
                <w:szCs w:val="22"/>
              </w:rPr>
            </w:pPr>
            <w:r w:rsidRPr="00027D34">
              <w:rPr>
                <w:rFonts w:ascii="Arial" w:hAnsi="Arial" w:cs="Arial"/>
                <w:sz w:val="22"/>
                <w:szCs w:val="22"/>
              </w:rPr>
              <w:t>Office of Privacy and Records Management</w:t>
            </w:r>
          </w:p>
          <w:p w14:paraId="5E796ABF" w14:textId="11401D60" w:rsidR="00772D6B" w:rsidRDefault="00772D6B" w:rsidP="007E618A">
            <w:pPr>
              <w:ind w:left="198"/>
              <w:rPr>
                <w:rFonts w:ascii="Arial" w:hAnsi="Arial" w:cs="Arial"/>
                <w:sz w:val="22"/>
                <w:szCs w:val="22"/>
              </w:rPr>
            </w:pPr>
            <w:r w:rsidRPr="00027D34">
              <w:rPr>
                <w:rFonts w:ascii="Arial" w:hAnsi="Arial" w:cs="Arial"/>
                <w:sz w:val="22"/>
                <w:szCs w:val="22"/>
              </w:rPr>
              <w:t>Office of Information Technology</w:t>
            </w:r>
            <w:r w:rsidR="00C85F43">
              <w:rPr>
                <w:rFonts w:ascii="Arial" w:hAnsi="Arial" w:cs="Arial"/>
                <w:sz w:val="22"/>
                <w:szCs w:val="22"/>
              </w:rPr>
              <w:t xml:space="preserve"> (005R1B)</w:t>
            </w:r>
            <w:r w:rsidRPr="00027D34">
              <w:rPr>
                <w:rFonts w:ascii="Arial" w:hAnsi="Arial" w:cs="Arial"/>
                <w:sz w:val="22"/>
                <w:szCs w:val="22"/>
              </w:rPr>
              <w:t xml:space="preserve"> </w:t>
            </w:r>
          </w:p>
          <w:p w14:paraId="07AFD1E0" w14:textId="77777777" w:rsidR="00772D6B" w:rsidRDefault="00772D6B" w:rsidP="007E618A">
            <w:pPr>
              <w:ind w:left="198"/>
              <w:rPr>
                <w:rFonts w:ascii="Arial" w:hAnsi="Arial" w:cs="Arial"/>
                <w:sz w:val="22"/>
                <w:szCs w:val="22"/>
              </w:rPr>
            </w:pPr>
          </w:p>
          <w:p w14:paraId="2EF61A38" w14:textId="15687F27" w:rsidR="00B87990" w:rsidRDefault="00742F48" w:rsidP="007E618A">
            <w:pPr>
              <w:ind w:left="198"/>
              <w:rPr>
                <w:rFonts w:ascii="Arial" w:hAnsi="Arial" w:cs="Arial"/>
                <w:sz w:val="22"/>
                <w:szCs w:val="22"/>
              </w:rPr>
            </w:pPr>
            <w:r>
              <w:rPr>
                <w:rFonts w:ascii="Arial" w:hAnsi="Arial" w:cs="Arial"/>
                <w:sz w:val="22"/>
                <w:szCs w:val="22"/>
              </w:rPr>
              <w:t>Brian Lilley, Management Analyst</w:t>
            </w:r>
          </w:p>
          <w:p w14:paraId="3216DAAB" w14:textId="73281AD5" w:rsidR="00CE066A" w:rsidRPr="007E618A" w:rsidRDefault="00742F48" w:rsidP="007E618A">
            <w:pPr>
              <w:ind w:left="198"/>
              <w:rPr>
                <w:rFonts w:ascii="Arial" w:hAnsi="Arial" w:cs="Arial"/>
                <w:sz w:val="22"/>
                <w:szCs w:val="22"/>
              </w:rPr>
            </w:pPr>
            <w:r>
              <w:rPr>
                <w:rFonts w:ascii="Arial" w:hAnsi="Arial" w:cs="Arial"/>
                <w:sz w:val="22"/>
                <w:szCs w:val="22"/>
              </w:rPr>
              <w:t>Loan Guaranty Service (26)</w:t>
            </w:r>
          </w:p>
          <w:p w14:paraId="0E82F96E" w14:textId="3AF5BB42" w:rsidR="00CE066A" w:rsidRPr="00027D34" w:rsidRDefault="00CC5281" w:rsidP="00C85F43">
            <w:pPr>
              <w:ind w:left="198"/>
              <w:rPr>
                <w:rFonts w:ascii="Arial" w:hAnsi="Arial" w:cs="Arial"/>
                <w:sz w:val="22"/>
                <w:szCs w:val="22"/>
              </w:rPr>
            </w:pPr>
            <w:r>
              <w:rPr>
                <w:rFonts w:ascii="Arial" w:hAnsi="Arial" w:cs="Arial"/>
                <w:sz w:val="22"/>
                <w:szCs w:val="22"/>
              </w:rPr>
              <w:t>Veterans Benefits Administration</w:t>
            </w:r>
            <w:r w:rsidR="00083376" w:rsidRPr="00083376">
              <w:rPr>
                <w:rFonts w:ascii="Arial" w:hAnsi="Arial" w:cs="Arial"/>
                <w:sz w:val="22"/>
                <w:szCs w:val="22"/>
              </w:rPr>
              <w:t>,</w:t>
            </w:r>
            <w:r w:rsidR="00083376" w:rsidRPr="007E618A">
              <w:rPr>
                <w:rFonts w:ascii="Arial" w:hAnsi="Arial" w:cs="Arial"/>
                <w:sz w:val="22"/>
                <w:szCs w:val="22"/>
              </w:rPr>
              <w:t xml:space="preserve"> </w:t>
            </w:r>
            <w:r w:rsidR="00083376">
              <w:rPr>
                <w:rFonts w:ascii="Arial" w:hAnsi="Arial" w:cs="Arial"/>
                <w:sz w:val="22"/>
                <w:szCs w:val="22"/>
              </w:rPr>
              <w:br/>
              <w:t>Department of Veterans Affairs</w:t>
            </w:r>
          </w:p>
          <w:p w14:paraId="7BC5A71F" w14:textId="63A3CB3F" w:rsidR="00DF6D15" w:rsidRPr="00027D34" w:rsidRDefault="00D0306B" w:rsidP="00CE066A">
            <w:pPr>
              <w:rPr>
                <w:rFonts w:ascii="Arial" w:hAnsi="Arial" w:cs="Arial"/>
                <w:sz w:val="22"/>
                <w:szCs w:val="22"/>
              </w:rPr>
            </w:pPr>
            <w:r w:rsidRPr="00027D34">
              <w:rPr>
                <w:rFonts w:ascii="Arial" w:hAnsi="Arial" w:cs="Arial"/>
                <w:sz w:val="22"/>
                <w:szCs w:val="22"/>
              </w:rPr>
              <w:fldChar w:fldCharType="begin"/>
            </w:r>
            <w:r w:rsidR="00304C25" w:rsidRPr="00027D34">
              <w:rPr>
                <w:rFonts w:ascii="Arial" w:hAnsi="Arial" w:cs="Arial"/>
                <w:sz w:val="22"/>
                <w:szCs w:val="22"/>
              </w:rPr>
              <w:instrText>fillin "FROM - Title and routing Symbol"</w:instrText>
            </w:r>
            <w:r w:rsidRPr="00027D34">
              <w:rPr>
                <w:rFonts w:ascii="Arial" w:hAnsi="Arial" w:cs="Arial"/>
                <w:sz w:val="22"/>
                <w:szCs w:val="22"/>
              </w:rPr>
              <w:fldChar w:fldCharType="end"/>
            </w:r>
          </w:p>
        </w:tc>
      </w:tr>
      <w:tr w:rsidR="00DF6D15" w:rsidRPr="00027D34" w14:paraId="702185CF" w14:textId="77777777" w:rsidTr="00C85F43">
        <w:trPr>
          <w:gridBefore w:val="1"/>
          <w:wBefore w:w="342" w:type="dxa"/>
          <w:cantSplit/>
        </w:trPr>
        <w:tc>
          <w:tcPr>
            <w:tcW w:w="720" w:type="dxa"/>
          </w:tcPr>
          <w:p w14:paraId="76699759" w14:textId="77777777" w:rsidR="00DF6D15" w:rsidRPr="00027D34" w:rsidRDefault="00304C25" w:rsidP="006162C7">
            <w:pPr>
              <w:tabs>
                <w:tab w:val="left" w:pos="360"/>
              </w:tabs>
              <w:spacing w:line="240" w:lineRule="exact"/>
              <w:ind w:left="-72"/>
              <w:jc w:val="right"/>
              <w:rPr>
                <w:rFonts w:ascii="Arial" w:hAnsi="Arial" w:cs="Arial"/>
                <w:color w:val="000080"/>
                <w:sz w:val="22"/>
                <w:szCs w:val="22"/>
              </w:rPr>
            </w:pPr>
            <w:r w:rsidRPr="00027D34">
              <w:rPr>
                <w:rFonts w:ascii="Arial" w:hAnsi="Arial" w:cs="Arial"/>
                <w:color w:val="000080"/>
                <w:sz w:val="22"/>
                <w:szCs w:val="22"/>
              </w:rPr>
              <w:t>Subj:</w:t>
            </w:r>
          </w:p>
        </w:tc>
        <w:tc>
          <w:tcPr>
            <w:tcW w:w="9360" w:type="dxa"/>
          </w:tcPr>
          <w:p w14:paraId="4BE01F67" w14:textId="27BE83DC" w:rsidR="00DF6D15" w:rsidRPr="00027D34" w:rsidRDefault="00CE066A" w:rsidP="007943FE">
            <w:pPr>
              <w:ind w:left="198"/>
              <w:rPr>
                <w:rFonts w:ascii="Arial" w:hAnsi="Arial" w:cs="Arial"/>
                <w:sz w:val="22"/>
                <w:szCs w:val="22"/>
              </w:rPr>
            </w:pPr>
            <w:r w:rsidRPr="00027D34">
              <w:rPr>
                <w:rFonts w:ascii="Arial" w:hAnsi="Arial" w:cs="Arial"/>
                <w:sz w:val="22"/>
                <w:szCs w:val="22"/>
              </w:rPr>
              <w:t xml:space="preserve">Request for Emergency </w:t>
            </w:r>
            <w:r w:rsidR="00AE6839">
              <w:rPr>
                <w:rFonts w:ascii="Arial" w:hAnsi="Arial" w:cs="Arial"/>
                <w:sz w:val="22"/>
                <w:szCs w:val="22"/>
              </w:rPr>
              <w:t>Extension (EE)</w:t>
            </w:r>
            <w:r w:rsidRPr="00027D34">
              <w:rPr>
                <w:rFonts w:ascii="Arial" w:hAnsi="Arial" w:cs="Arial"/>
                <w:sz w:val="22"/>
                <w:szCs w:val="22"/>
              </w:rPr>
              <w:t xml:space="preserve"> of </w:t>
            </w:r>
            <w:r w:rsidR="007943FE">
              <w:rPr>
                <w:rFonts w:ascii="Arial" w:hAnsi="Arial" w:cs="Arial"/>
                <w:sz w:val="22"/>
                <w:szCs w:val="22"/>
              </w:rPr>
              <w:t>OMB Control Number</w:t>
            </w:r>
            <w:r w:rsidR="00002D9B">
              <w:rPr>
                <w:rFonts w:ascii="Arial" w:hAnsi="Arial" w:cs="Arial"/>
                <w:sz w:val="22"/>
                <w:szCs w:val="22"/>
              </w:rPr>
              <w:t xml:space="preserve"> </w:t>
            </w:r>
          </w:p>
        </w:tc>
      </w:tr>
    </w:tbl>
    <w:p w14:paraId="51175CC5" w14:textId="77777777" w:rsidR="00DF6D15" w:rsidRDefault="00DF6D15" w:rsidP="006162C7">
      <w:pPr>
        <w:tabs>
          <w:tab w:val="left" w:pos="0"/>
        </w:tabs>
        <w:spacing w:line="240" w:lineRule="exact"/>
        <w:rPr>
          <w:rFonts w:ascii="Arial" w:hAnsi="Arial" w:cs="Arial"/>
          <w:sz w:val="22"/>
          <w:szCs w:val="22"/>
        </w:rPr>
      </w:pPr>
    </w:p>
    <w:p w14:paraId="52D5DB5A" w14:textId="77777777" w:rsidR="00AD0BBD" w:rsidRPr="005E00A2" w:rsidRDefault="00AD0BBD" w:rsidP="006162C7">
      <w:pPr>
        <w:tabs>
          <w:tab w:val="left" w:pos="0"/>
        </w:tabs>
        <w:spacing w:line="240" w:lineRule="exact"/>
        <w:rPr>
          <w:rFonts w:ascii="Arial" w:hAnsi="Arial" w:cs="Arial"/>
          <w:sz w:val="22"/>
          <w:szCs w:val="22"/>
        </w:rPr>
      </w:pPr>
    </w:p>
    <w:p w14:paraId="269E33E1" w14:textId="77777777" w:rsidR="004D75EE" w:rsidRDefault="004D75EE" w:rsidP="005E00A2">
      <w:pPr>
        <w:pStyle w:val="ListParagraph"/>
        <w:numPr>
          <w:ilvl w:val="0"/>
          <w:numId w:val="27"/>
        </w:numPr>
        <w:rPr>
          <w:rFonts w:ascii="Arial" w:hAnsi="Arial" w:cs="Arial"/>
          <w:sz w:val="22"/>
          <w:szCs w:val="22"/>
        </w:rPr>
      </w:pPr>
      <w:r>
        <w:rPr>
          <w:rFonts w:ascii="Arial" w:hAnsi="Arial" w:cs="Arial"/>
          <w:sz w:val="22"/>
          <w:szCs w:val="22"/>
        </w:rPr>
        <w:t>The collection of information:</w:t>
      </w:r>
      <w:r>
        <w:rPr>
          <w:rFonts w:ascii="Arial" w:hAnsi="Arial" w:cs="Arial"/>
          <w:sz w:val="22"/>
          <w:szCs w:val="22"/>
        </w:rPr>
        <w:br/>
      </w:r>
    </w:p>
    <w:p w14:paraId="27CFA103" w14:textId="50069858" w:rsidR="005E00A2" w:rsidRPr="00CC5281" w:rsidRDefault="00CE066A" w:rsidP="00CC5281">
      <w:pPr>
        <w:pStyle w:val="ListParagraph"/>
        <w:rPr>
          <w:rFonts w:ascii="Arial" w:hAnsi="Arial" w:cs="Arial"/>
          <w:sz w:val="22"/>
          <w:szCs w:val="22"/>
        </w:rPr>
      </w:pPr>
      <w:r w:rsidRPr="005E00A2">
        <w:rPr>
          <w:rFonts w:ascii="Arial" w:hAnsi="Arial" w:cs="Arial"/>
          <w:sz w:val="22"/>
          <w:szCs w:val="22"/>
        </w:rPr>
        <w:t xml:space="preserve">VA is submitting a request for </w:t>
      </w:r>
      <w:r w:rsidR="00455FD2">
        <w:rPr>
          <w:rFonts w:ascii="Arial" w:hAnsi="Arial" w:cs="Arial"/>
          <w:sz w:val="22"/>
          <w:szCs w:val="22"/>
        </w:rPr>
        <w:t>a</w:t>
      </w:r>
      <w:r w:rsidR="00CC5281">
        <w:rPr>
          <w:rFonts w:ascii="Arial" w:hAnsi="Arial" w:cs="Arial"/>
          <w:sz w:val="22"/>
          <w:szCs w:val="22"/>
        </w:rPr>
        <w:t>n</w:t>
      </w:r>
      <w:r w:rsidR="00455FD2">
        <w:rPr>
          <w:rFonts w:ascii="Arial" w:hAnsi="Arial" w:cs="Arial"/>
          <w:sz w:val="22"/>
          <w:szCs w:val="22"/>
        </w:rPr>
        <w:t xml:space="preserve"> </w:t>
      </w:r>
      <w:r w:rsidRPr="005E00A2">
        <w:rPr>
          <w:rFonts w:ascii="Arial" w:hAnsi="Arial" w:cs="Arial"/>
          <w:sz w:val="22"/>
          <w:szCs w:val="22"/>
        </w:rPr>
        <w:t xml:space="preserve">“Emergency </w:t>
      </w:r>
      <w:r w:rsidR="0001685D" w:rsidRPr="005E00A2">
        <w:rPr>
          <w:rFonts w:ascii="Arial" w:hAnsi="Arial" w:cs="Arial"/>
          <w:sz w:val="22"/>
          <w:szCs w:val="22"/>
        </w:rPr>
        <w:t>Extension</w:t>
      </w:r>
      <w:r w:rsidRPr="005E00A2">
        <w:rPr>
          <w:rFonts w:ascii="Arial" w:hAnsi="Arial" w:cs="Arial"/>
          <w:sz w:val="22"/>
          <w:szCs w:val="22"/>
        </w:rPr>
        <w:t xml:space="preserve">” </w:t>
      </w:r>
      <w:r w:rsidR="0001685D" w:rsidRPr="005E00A2">
        <w:rPr>
          <w:rFonts w:ascii="Arial" w:hAnsi="Arial" w:cs="Arial"/>
          <w:sz w:val="22"/>
          <w:szCs w:val="22"/>
        </w:rPr>
        <w:t>of OMB control number 2900-0</w:t>
      </w:r>
      <w:r w:rsidR="00CC5281">
        <w:rPr>
          <w:rFonts w:ascii="Arial" w:hAnsi="Arial" w:cs="Arial"/>
          <w:sz w:val="22"/>
          <w:szCs w:val="22"/>
        </w:rPr>
        <w:t>111</w:t>
      </w:r>
      <w:r w:rsidR="00002D9B">
        <w:rPr>
          <w:rFonts w:ascii="Arial" w:hAnsi="Arial" w:cs="Arial"/>
          <w:sz w:val="22"/>
          <w:szCs w:val="22"/>
        </w:rPr>
        <w:t>,</w:t>
      </w:r>
      <w:r w:rsidR="0001685D" w:rsidRPr="005E00A2">
        <w:rPr>
          <w:rFonts w:ascii="Arial" w:hAnsi="Arial" w:cs="Arial"/>
          <w:sz w:val="22"/>
          <w:szCs w:val="22"/>
        </w:rPr>
        <w:t xml:space="preserve"> </w:t>
      </w:r>
      <w:r w:rsidR="00B87990" w:rsidRPr="005E00A2">
        <w:rPr>
          <w:rFonts w:ascii="Arial" w:hAnsi="Arial" w:cs="Arial"/>
          <w:sz w:val="22"/>
          <w:szCs w:val="22"/>
        </w:rPr>
        <w:t xml:space="preserve">the </w:t>
      </w:r>
      <w:r w:rsidR="00CC5281">
        <w:rPr>
          <w:rFonts w:ascii="Arial" w:hAnsi="Arial" w:cs="Arial"/>
          <w:sz w:val="22"/>
          <w:szCs w:val="22"/>
        </w:rPr>
        <w:t>Statement of Purchaser or Owner Assuming Seller’s Loan</w:t>
      </w:r>
      <w:r w:rsidR="00B87990" w:rsidRPr="00CC5281">
        <w:rPr>
          <w:rFonts w:ascii="Arial" w:hAnsi="Arial" w:cs="Arial"/>
          <w:sz w:val="22"/>
          <w:szCs w:val="22"/>
        </w:rPr>
        <w:t xml:space="preserve">.  </w:t>
      </w:r>
    </w:p>
    <w:p w14:paraId="11C2718F" w14:textId="77777777" w:rsidR="005E00A2" w:rsidRPr="005E00A2" w:rsidRDefault="005E00A2" w:rsidP="005E00A2">
      <w:pPr>
        <w:pStyle w:val="ListParagraph"/>
        <w:rPr>
          <w:rFonts w:ascii="Arial" w:hAnsi="Arial" w:cs="Arial"/>
          <w:sz w:val="22"/>
          <w:szCs w:val="22"/>
        </w:rPr>
      </w:pPr>
    </w:p>
    <w:p w14:paraId="48D786A4" w14:textId="3AEEB190" w:rsidR="00381FA7" w:rsidRPr="005E00A2" w:rsidRDefault="00CC5281" w:rsidP="00615EF6">
      <w:pPr>
        <w:pStyle w:val="ListParagraph"/>
        <w:rPr>
          <w:rFonts w:ascii="Arial" w:hAnsi="Arial" w:cs="Arial"/>
          <w:sz w:val="22"/>
          <w:szCs w:val="22"/>
        </w:rPr>
      </w:pPr>
      <w:r>
        <w:rPr>
          <w:rFonts w:ascii="Arial" w:hAnsi="Arial" w:cs="Arial"/>
          <w:sz w:val="22"/>
          <w:szCs w:val="22"/>
        </w:rPr>
        <w:t xml:space="preserve">This </w:t>
      </w:r>
      <w:r w:rsidRPr="00CC5281">
        <w:rPr>
          <w:rFonts w:ascii="Arial" w:hAnsi="Arial" w:cs="Arial"/>
          <w:sz w:val="22"/>
          <w:szCs w:val="22"/>
        </w:rPr>
        <w:t>form is completed by purchasers who are assuming veterans’ guaranteed, insured, and direct home loans.  The data furnished on the form is essential to determinations for release of liability and substitution of entitlement in accordance with 38 U.S.C. 3713(a) (release of liability) and 3702(b</w:t>
      </w:r>
      <w:proofErr w:type="gramStart"/>
      <w:r w:rsidRPr="00CC5281">
        <w:rPr>
          <w:rFonts w:ascii="Arial" w:hAnsi="Arial" w:cs="Arial"/>
          <w:sz w:val="22"/>
          <w:szCs w:val="22"/>
        </w:rPr>
        <w:t>)(</w:t>
      </w:r>
      <w:proofErr w:type="gramEnd"/>
      <w:r w:rsidRPr="00CC5281">
        <w:rPr>
          <w:rFonts w:ascii="Arial" w:hAnsi="Arial" w:cs="Arial"/>
          <w:sz w:val="22"/>
          <w:szCs w:val="22"/>
        </w:rPr>
        <w:t xml:space="preserve">2) (substitution of entitlement).  </w:t>
      </w:r>
      <w:r w:rsidR="007C5192" w:rsidRPr="007C5192">
        <w:rPr>
          <w:rFonts w:ascii="Arial" w:hAnsi="Arial" w:cs="Arial"/>
          <w:sz w:val="22"/>
          <w:szCs w:val="22"/>
        </w:rPr>
        <w:t>The majority of releases of liability cases are now processed by servicers, rather than the Department of Veterans Affairs (VA).</w:t>
      </w:r>
    </w:p>
    <w:p w14:paraId="5C36067B" w14:textId="4D8B4E45" w:rsidR="00027D34" w:rsidRPr="005E00A2" w:rsidRDefault="00AD0BBD" w:rsidP="005E00A2">
      <w:pPr>
        <w:tabs>
          <w:tab w:val="left" w:pos="540"/>
        </w:tabs>
        <w:rPr>
          <w:rFonts w:ascii="Arial" w:hAnsi="Arial" w:cs="Arial"/>
          <w:color w:val="1F497D" w:themeColor="text2"/>
          <w:sz w:val="22"/>
          <w:szCs w:val="22"/>
        </w:rPr>
      </w:pPr>
      <w:r w:rsidRPr="005E00A2">
        <w:rPr>
          <w:rFonts w:ascii="Arial" w:hAnsi="Arial" w:cs="Arial"/>
          <w:color w:val="1F497D" w:themeColor="text2"/>
          <w:sz w:val="22"/>
          <w:szCs w:val="22"/>
        </w:rPr>
        <w:t xml:space="preserve">    </w:t>
      </w:r>
    </w:p>
    <w:p w14:paraId="7E0D546E" w14:textId="61CE4638" w:rsidR="001407B6" w:rsidRPr="005E00A2" w:rsidRDefault="001407B6" w:rsidP="00DF08F0">
      <w:pPr>
        <w:numPr>
          <w:ilvl w:val="0"/>
          <w:numId w:val="24"/>
        </w:numPr>
        <w:tabs>
          <w:tab w:val="left" w:pos="1080"/>
        </w:tabs>
        <w:spacing w:line="280" w:lineRule="exact"/>
        <w:ind w:left="1080" w:hanging="180"/>
        <w:rPr>
          <w:rFonts w:ascii="Arial" w:hAnsi="Arial" w:cs="Arial"/>
          <w:b/>
          <w:sz w:val="22"/>
          <w:szCs w:val="22"/>
        </w:rPr>
      </w:pPr>
      <w:r w:rsidRPr="005E00A2">
        <w:rPr>
          <w:rFonts w:ascii="Arial" w:hAnsi="Arial" w:cs="Arial"/>
          <w:b/>
          <w:sz w:val="22"/>
          <w:szCs w:val="22"/>
        </w:rPr>
        <w:t xml:space="preserve">Data collection is needed prior to the expiration of time periods established in this Part; and </w:t>
      </w:r>
    </w:p>
    <w:p w14:paraId="606D0ACD" w14:textId="77777777" w:rsidR="001407B6" w:rsidRPr="005E00A2" w:rsidRDefault="001407B6" w:rsidP="00DF08F0">
      <w:pPr>
        <w:tabs>
          <w:tab w:val="left" w:pos="1080"/>
        </w:tabs>
        <w:spacing w:line="280" w:lineRule="exact"/>
        <w:ind w:left="1080" w:hanging="180"/>
        <w:rPr>
          <w:rFonts w:ascii="Arial" w:hAnsi="Arial"/>
          <w:bCs/>
          <w:snapToGrid w:val="0"/>
          <w:sz w:val="22"/>
          <w:szCs w:val="22"/>
        </w:rPr>
      </w:pPr>
    </w:p>
    <w:p w14:paraId="4D21E86B" w14:textId="64E2A786" w:rsidR="001407B6" w:rsidRPr="005E00A2" w:rsidRDefault="00DF08F0" w:rsidP="00DF08F0">
      <w:pPr>
        <w:tabs>
          <w:tab w:val="left" w:pos="0"/>
          <w:tab w:val="left" w:pos="1080"/>
        </w:tabs>
        <w:ind w:left="1080" w:hanging="180"/>
        <w:rPr>
          <w:rFonts w:ascii="Arial" w:hAnsi="Arial" w:cs="Arial"/>
          <w:sz w:val="22"/>
          <w:szCs w:val="22"/>
        </w:rPr>
      </w:pPr>
      <w:r>
        <w:rPr>
          <w:rFonts w:ascii="Arial" w:hAnsi="Arial" w:cs="Arial"/>
          <w:sz w:val="22"/>
          <w:szCs w:val="22"/>
        </w:rPr>
        <w:tab/>
      </w:r>
      <w:r w:rsidR="001407B6" w:rsidRPr="005E00A2">
        <w:rPr>
          <w:rFonts w:ascii="Arial" w:hAnsi="Arial" w:cs="Arial"/>
          <w:sz w:val="22"/>
          <w:szCs w:val="22"/>
        </w:rPr>
        <w:t>The emergency extension of this collection of information is needed before the expiration date of November 30, 2016</w:t>
      </w:r>
      <w:r w:rsidR="00742F48">
        <w:rPr>
          <w:rFonts w:ascii="Arial" w:hAnsi="Arial" w:cs="Arial"/>
          <w:sz w:val="22"/>
          <w:szCs w:val="22"/>
        </w:rPr>
        <w:t>,</w:t>
      </w:r>
      <w:r w:rsidR="001407B6" w:rsidRPr="005E00A2">
        <w:rPr>
          <w:rFonts w:ascii="Arial" w:hAnsi="Arial" w:cs="Arial"/>
          <w:sz w:val="22"/>
          <w:szCs w:val="22"/>
        </w:rPr>
        <w:t xml:space="preserve"> in order to complete the standard 60 and 30-day </w:t>
      </w:r>
      <w:r w:rsidR="004A5755" w:rsidRPr="004A5755">
        <w:rPr>
          <w:rFonts w:ascii="Arial" w:hAnsi="Arial" w:cs="Arial"/>
          <w:sz w:val="22"/>
          <w:szCs w:val="22"/>
        </w:rPr>
        <w:t xml:space="preserve">Federal Register </w:t>
      </w:r>
      <w:r w:rsidR="00531A48">
        <w:rPr>
          <w:rFonts w:ascii="Arial" w:hAnsi="Arial" w:cs="Arial"/>
          <w:sz w:val="22"/>
          <w:szCs w:val="22"/>
        </w:rPr>
        <w:t>N</w:t>
      </w:r>
      <w:r w:rsidR="001407B6" w:rsidRPr="005E00A2">
        <w:rPr>
          <w:rFonts w:ascii="Arial" w:hAnsi="Arial" w:cs="Arial"/>
          <w:sz w:val="22"/>
          <w:szCs w:val="22"/>
        </w:rPr>
        <w:t xml:space="preserve">otice and </w:t>
      </w:r>
      <w:r w:rsidR="00531A48">
        <w:rPr>
          <w:rFonts w:ascii="Arial" w:hAnsi="Arial" w:cs="Arial"/>
          <w:sz w:val="22"/>
          <w:szCs w:val="22"/>
        </w:rPr>
        <w:t xml:space="preserve">public </w:t>
      </w:r>
      <w:r w:rsidR="001407B6" w:rsidRPr="005E00A2">
        <w:rPr>
          <w:rFonts w:ascii="Arial" w:hAnsi="Arial" w:cs="Arial"/>
          <w:sz w:val="22"/>
          <w:szCs w:val="22"/>
        </w:rPr>
        <w:t>comment periods established under the Paperwork Reduction Act (</w:t>
      </w:r>
      <w:r w:rsidR="007943FE">
        <w:rPr>
          <w:rFonts w:ascii="Arial" w:hAnsi="Arial" w:cs="Arial"/>
          <w:sz w:val="22"/>
          <w:szCs w:val="22"/>
        </w:rPr>
        <w:t>15</w:t>
      </w:r>
      <w:r w:rsidR="001407B6" w:rsidRPr="005E00A2">
        <w:rPr>
          <w:rFonts w:ascii="Arial" w:hAnsi="Arial" w:cs="Arial"/>
          <w:sz w:val="22"/>
          <w:szCs w:val="22"/>
        </w:rPr>
        <w:t xml:space="preserve">0 days total) </w:t>
      </w:r>
      <w:r w:rsidR="007943FE">
        <w:rPr>
          <w:rFonts w:ascii="Arial" w:hAnsi="Arial" w:cs="Arial"/>
          <w:sz w:val="22"/>
          <w:szCs w:val="22"/>
        </w:rPr>
        <w:t>including</w:t>
      </w:r>
      <w:r w:rsidR="005D518D">
        <w:rPr>
          <w:rFonts w:ascii="Arial" w:hAnsi="Arial" w:cs="Arial"/>
          <w:sz w:val="22"/>
          <w:szCs w:val="22"/>
        </w:rPr>
        <w:t xml:space="preserve"> OMB</w:t>
      </w:r>
      <w:r w:rsidR="001407B6" w:rsidRPr="005E00A2">
        <w:rPr>
          <w:rFonts w:ascii="Arial" w:hAnsi="Arial" w:cs="Arial"/>
          <w:sz w:val="22"/>
          <w:szCs w:val="22"/>
        </w:rPr>
        <w:t xml:space="preserve"> review.  </w:t>
      </w:r>
    </w:p>
    <w:p w14:paraId="20F04C33" w14:textId="77777777" w:rsidR="001407B6" w:rsidRPr="005E00A2" w:rsidRDefault="001407B6" w:rsidP="001407B6">
      <w:pPr>
        <w:tabs>
          <w:tab w:val="left" w:pos="360"/>
        </w:tabs>
        <w:spacing w:line="280" w:lineRule="exact"/>
        <w:ind w:left="360"/>
        <w:rPr>
          <w:rFonts w:ascii="Arial" w:hAnsi="Arial"/>
          <w:bCs/>
          <w:snapToGrid w:val="0"/>
          <w:sz w:val="22"/>
          <w:szCs w:val="22"/>
        </w:rPr>
      </w:pPr>
    </w:p>
    <w:p w14:paraId="3DA7F31B" w14:textId="77777777" w:rsidR="001407B6" w:rsidRPr="005E00A2" w:rsidRDefault="001407B6" w:rsidP="00DF08F0">
      <w:pPr>
        <w:numPr>
          <w:ilvl w:val="0"/>
          <w:numId w:val="24"/>
        </w:numPr>
        <w:spacing w:line="280" w:lineRule="exact"/>
        <w:ind w:left="1080" w:hanging="180"/>
        <w:rPr>
          <w:rFonts w:ascii="Arial" w:hAnsi="Arial" w:cs="Arial"/>
          <w:sz w:val="22"/>
          <w:szCs w:val="22"/>
        </w:rPr>
      </w:pPr>
      <w:r w:rsidRPr="005E00A2">
        <w:rPr>
          <w:rFonts w:ascii="Arial" w:hAnsi="Arial" w:cs="Arial"/>
          <w:b/>
          <w:sz w:val="22"/>
          <w:szCs w:val="22"/>
        </w:rPr>
        <w:t>Data collection is essential to the mission of the agency</w:t>
      </w:r>
    </w:p>
    <w:p w14:paraId="67A61F6D" w14:textId="77777777" w:rsidR="005E00A2" w:rsidRPr="005E00A2" w:rsidRDefault="005E00A2" w:rsidP="001407B6">
      <w:pPr>
        <w:spacing w:line="280" w:lineRule="exact"/>
        <w:ind w:left="1080"/>
        <w:rPr>
          <w:rFonts w:ascii="Arial" w:hAnsi="Arial"/>
          <w:sz w:val="22"/>
          <w:szCs w:val="22"/>
        </w:rPr>
      </w:pPr>
    </w:p>
    <w:p w14:paraId="42550543" w14:textId="6641ADE6" w:rsidR="001407B6" w:rsidRDefault="007C5192" w:rsidP="00701C57">
      <w:pPr>
        <w:tabs>
          <w:tab w:val="left" w:pos="1440"/>
          <w:tab w:val="left" w:pos="1800"/>
        </w:tabs>
        <w:autoSpaceDE w:val="0"/>
        <w:autoSpaceDN w:val="0"/>
        <w:adjustRightInd w:val="0"/>
        <w:spacing w:line="280" w:lineRule="exact"/>
        <w:ind w:left="1080" w:right="-18"/>
        <w:rPr>
          <w:rFonts w:ascii="Arial" w:hAnsi="Arial"/>
          <w:sz w:val="22"/>
          <w:szCs w:val="22"/>
        </w:rPr>
      </w:pPr>
      <w:r w:rsidRPr="007C5192">
        <w:rPr>
          <w:rFonts w:ascii="Arial" w:hAnsi="Arial"/>
          <w:sz w:val="22"/>
          <w:szCs w:val="22"/>
        </w:rPr>
        <w:t>The information collected on VA Form 26-6382 is essential for VA to make determinations for release of liability as well as for credit underwriting determinations for substitution of entitlement cases</w:t>
      </w:r>
      <w:r w:rsidR="00742F48">
        <w:rPr>
          <w:rFonts w:ascii="Arial" w:hAnsi="Arial"/>
          <w:sz w:val="22"/>
          <w:szCs w:val="22"/>
        </w:rPr>
        <w:t>,</w:t>
      </w:r>
      <w:r w:rsidRPr="007C5192">
        <w:rPr>
          <w:rFonts w:ascii="Arial" w:hAnsi="Arial"/>
          <w:sz w:val="22"/>
          <w:szCs w:val="22"/>
        </w:rPr>
        <w:t xml:space="preserve"> as required</w:t>
      </w:r>
      <w:r>
        <w:rPr>
          <w:rFonts w:ascii="Arial" w:hAnsi="Arial"/>
          <w:sz w:val="22"/>
          <w:szCs w:val="22"/>
        </w:rPr>
        <w:t xml:space="preserve">.  </w:t>
      </w:r>
      <w:r w:rsidR="00701C57" w:rsidRPr="00701C57">
        <w:rPr>
          <w:rFonts w:ascii="Arial" w:hAnsi="Arial"/>
          <w:sz w:val="22"/>
          <w:szCs w:val="22"/>
        </w:rPr>
        <w:t xml:space="preserve">VA Form 26-6382 is available on the One-VA website in a fillable electronic format.  VBA is currently hosting this form on a secure server.  The majority of form usage is done by lenders, and cases processed by VA are done on a very limited basis.  </w:t>
      </w:r>
    </w:p>
    <w:p w14:paraId="2A23F514" w14:textId="77777777" w:rsidR="00701C57" w:rsidRPr="005E00A2" w:rsidRDefault="00701C57" w:rsidP="00701C57">
      <w:pPr>
        <w:tabs>
          <w:tab w:val="left" w:pos="1440"/>
          <w:tab w:val="left" w:pos="1800"/>
        </w:tabs>
        <w:autoSpaceDE w:val="0"/>
        <w:autoSpaceDN w:val="0"/>
        <w:adjustRightInd w:val="0"/>
        <w:spacing w:line="280" w:lineRule="exact"/>
        <w:ind w:left="1080" w:right="-18"/>
        <w:rPr>
          <w:rFonts w:ascii="Arial" w:hAnsi="Arial" w:cs="Arial"/>
          <w:sz w:val="22"/>
          <w:szCs w:val="22"/>
        </w:rPr>
      </w:pPr>
    </w:p>
    <w:p w14:paraId="52B7B1F5" w14:textId="5E050E0E" w:rsidR="001407B6" w:rsidRPr="003246AE" w:rsidRDefault="001407B6" w:rsidP="005E00A2">
      <w:pPr>
        <w:pStyle w:val="ListParagraph"/>
        <w:numPr>
          <w:ilvl w:val="0"/>
          <w:numId w:val="27"/>
        </w:numPr>
        <w:tabs>
          <w:tab w:val="left" w:pos="720"/>
          <w:tab w:val="left" w:pos="1080"/>
          <w:tab w:val="left" w:pos="1620"/>
          <w:tab w:val="left" w:pos="2160"/>
          <w:tab w:val="left" w:pos="2700"/>
          <w:tab w:val="left" w:pos="3240"/>
          <w:tab w:val="left" w:pos="3780"/>
          <w:tab w:val="left" w:pos="4320"/>
        </w:tabs>
        <w:autoSpaceDE w:val="0"/>
        <w:autoSpaceDN w:val="0"/>
        <w:adjustRightInd w:val="0"/>
        <w:spacing w:after="240" w:line="280" w:lineRule="exact"/>
        <w:rPr>
          <w:rFonts w:ascii="Arial" w:hAnsi="Arial" w:cs="Arial"/>
          <w:b/>
          <w:sz w:val="22"/>
          <w:szCs w:val="22"/>
        </w:rPr>
      </w:pPr>
      <w:r w:rsidRPr="003246AE">
        <w:rPr>
          <w:rFonts w:ascii="Arial" w:hAnsi="Arial" w:cs="Arial"/>
          <w:b/>
          <w:sz w:val="22"/>
          <w:szCs w:val="22"/>
        </w:rPr>
        <w:t>The agency cannot reasonably comply with the normal clearance procedures under this Part because:</w:t>
      </w:r>
    </w:p>
    <w:p w14:paraId="5B732663" w14:textId="00B931D1" w:rsidR="00B94B09" w:rsidRPr="00B94B09" w:rsidRDefault="00DF08F0" w:rsidP="00701C57">
      <w:pPr>
        <w:pStyle w:val="ListParagraph"/>
        <w:numPr>
          <w:ilvl w:val="0"/>
          <w:numId w:val="31"/>
        </w:numPr>
        <w:tabs>
          <w:tab w:val="left" w:pos="1080"/>
          <w:tab w:val="left" w:pos="2700"/>
          <w:tab w:val="left" w:pos="3240"/>
          <w:tab w:val="left" w:pos="3780"/>
          <w:tab w:val="left" w:pos="4320"/>
        </w:tabs>
        <w:autoSpaceDE w:val="0"/>
        <w:autoSpaceDN w:val="0"/>
        <w:adjustRightInd w:val="0"/>
        <w:spacing w:after="240" w:line="280" w:lineRule="exact"/>
        <w:ind w:left="1080" w:hanging="180"/>
        <w:rPr>
          <w:rFonts w:ascii="Arial" w:hAnsi="Arial" w:cs="Arial"/>
          <w:b/>
          <w:sz w:val="22"/>
          <w:szCs w:val="22"/>
        </w:rPr>
      </w:pPr>
      <w:r w:rsidRPr="00DF08F0">
        <w:rPr>
          <w:rFonts w:ascii="Arial" w:hAnsi="Arial" w:cs="Arial"/>
          <w:sz w:val="22"/>
          <w:szCs w:val="22"/>
        </w:rPr>
        <w:t>The unanticipated departure of VA’s Clearance Officer</w:t>
      </w:r>
      <w:r w:rsidR="00B94B09">
        <w:rPr>
          <w:rFonts w:ascii="Arial" w:hAnsi="Arial" w:cs="Arial"/>
          <w:sz w:val="22"/>
          <w:szCs w:val="22"/>
        </w:rPr>
        <w:t xml:space="preserve"> and agency transition</w:t>
      </w:r>
      <w:r w:rsidR="004D75EE" w:rsidRPr="00DF08F0">
        <w:rPr>
          <w:rFonts w:ascii="Arial" w:hAnsi="Arial" w:cs="Arial"/>
          <w:sz w:val="22"/>
          <w:szCs w:val="22"/>
        </w:rPr>
        <w:t xml:space="preserve"> </w:t>
      </w:r>
      <w:r w:rsidR="00290D00">
        <w:rPr>
          <w:rFonts w:ascii="Arial" w:hAnsi="Arial" w:cs="Arial"/>
          <w:sz w:val="22"/>
          <w:szCs w:val="22"/>
        </w:rPr>
        <w:t xml:space="preserve">led to </w:t>
      </w:r>
      <w:r w:rsidR="00B94B09">
        <w:rPr>
          <w:rFonts w:ascii="Arial" w:hAnsi="Arial" w:cs="Arial"/>
          <w:sz w:val="22"/>
          <w:szCs w:val="22"/>
        </w:rPr>
        <w:t>a</w:t>
      </w:r>
      <w:r w:rsidR="009659A3">
        <w:rPr>
          <w:rFonts w:ascii="Arial" w:hAnsi="Arial" w:cs="Arial"/>
          <w:sz w:val="22"/>
          <w:szCs w:val="22"/>
        </w:rPr>
        <w:t>n</w:t>
      </w:r>
      <w:r w:rsidR="00B94B09">
        <w:rPr>
          <w:rFonts w:ascii="Arial" w:hAnsi="Arial" w:cs="Arial"/>
          <w:sz w:val="22"/>
          <w:szCs w:val="22"/>
        </w:rPr>
        <w:t xml:space="preserve"> </w:t>
      </w:r>
      <w:r w:rsidR="009659A3">
        <w:rPr>
          <w:rFonts w:ascii="Arial" w:hAnsi="Arial" w:cs="Arial"/>
          <w:sz w:val="22"/>
          <w:szCs w:val="22"/>
        </w:rPr>
        <w:t>oversight</w:t>
      </w:r>
      <w:r w:rsidR="00290D00">
        <w:rPr>
          <w:rFonts w:ascii="Arial" w:hAnsi="Arial" w:cs="Arial"/>
          <w:sz w:val="22"/>
          <w:szCs w:val="22"/>
        </w:rPr>
        <w:t xml:space="preserve"> </w:t>
      </w:r>
      <w:r>
        <w:rPr>
          <w:rFonts w:ascii="Arial" w:hAnsi="Arial" w:cs="Arial"/>
          <w:sz w:val="22"/>
          <w:szCs w:val="22"/>
        </w:rPr>
        <w:t>of the status of the data collection</w:t>
      </w:r>
      <w:r w:rsidR="00290D00">
        <w:rPr>
          <w:rFonts w:ascii="Arial" w:hAnsi="Arial" w:cs="Arial"/>
          <w:sz w:val="22"/>
          <w:szCs w:val="22"/>
        </w:rPr>
        <w:t>.</w:t>
      </w:r>
      <w:r w:rsidRPr="00DF08F0">
        <w:rPr>
          <w:rFonts w:ascii="Arial" w:hAnsi="Arial" w:cs="Arial"/>
          <w:sz w:val="22"/>
          <w:szCs w:val="22"/>
        </w:rPr>
        <w:t xml:space="preserve"> </w:t>
      </w:r>
      <w:r w:rsidR="00701C57" w:rsidRPr="00701C57">
        <w:rPr>
          <w:rFonts w:ascii="Arial" w:hAnsi="Arial" w:cs="Arial"/>
          <w:sz w:val="22"/>
          <w:szCs w:val="22"/>
        </w:rPr>
        <w:t xml:space="preserve">A Non-Substantive Change Request was approved in April 2016, but did not extend the </w:t>
      </w:r>
      <w:r w:rsidR="00701C57">
        <w:rPr>
          <w:rFonts w:ascii="Arial" w:hAnsi="Arial" w:cs="Arial"/>
          <w:sz w:val="22"/>
          <w:szCs w:val="22"/>
        </w:rPr>
        <w:t xml:space="preserve">expiration date.  The program office was alerted to initiate </w:t>
      </w:r>
      <w:r w:rsidR="009659A3">
        <w:rPr>
          <w:rFonts w:ascii="Arial" w:hAnsi="Arial" w:cs="Arial"/>
          <w:sz w:val="22"/>
          <w:szCs w:val="22"/>
        </w:rPr>
        <w:t>the</w:t>
      </w:r>
      <w:r w:rsidR="00701C57">
        <w:rPr>
          <w:rFonts w:ascii="Arial" w:hAnsi="Arial" w:cs="Arial"/>
          <w:sz w:val="22"/>
          <w:szCs w:val="22"/>
        </w:rPr>
        <w:t xml:space="preserve"> renewal </w:t>
      </w:r>
      <w:r w:rsidR="009659A3">
        <w:rPr>
          <w:rFonts w:ascii="Arial" w:hAnsi="Arial" w:cs="Arial"/>
          <w:sz w:val="22"/>
          <w:szCs w:val="22"/>
        </w:rPr>
        <w:t xml:space="preserve">process </w:t>
      </w:r>
      <w:r w:rsidR="00701C57">
        <w:rPr>
          <w:rFonts w:ascii="Arial" w:hAnsi="Arial" w:cs="Arial"/>
          <w:sz w:val="22"/>
          <w:szCs w:val="22"/>
        </w:rPr>
        <w:t>by the acting Clearance Officer.</w:t>
      </w:r>
      <w:r w:rsidR="00701C57" w:rsidRPr="00701C57">
        <w:rPr>
          <w:rFonts w:ascii="Arial" w:hAnsi="Arial" w:cs="Arial"/>
          <w:sz w:val="22"/>
          <w:szCs w:val="22"/>
        </w:rPr>
        <w:t xml:space="preserve"> </w:t>
      </w:r>
      <w:r w:rsidR="009659A3">
        <w:rPr>
          <w:rFonts w:ascii="Arial" w:hAnsi="Arial" w:cs="Arial"/>
          <w:sz w:val="22"/>
          <w:szCs w:val="22"/>
        </w:rPr>
        <w:t xml:space="preserve">However, the time frame was not conducive to complete the </w:t>
      </w:r>
      <w:r w:rsidR="00531A48">
        <w:rPr>
          <w:rFonts w:ascii="Arial" w:hAnsi="Arial" w:cs="Arial"/>
          <w:sz w:val="22"/>
          <w:szCs w:val="22"/>
        </w:rPr>
        <w:t xml:space="preserve">full </w:t>
      </w:r>
      <w:r w:rsidR="009659A3">
        <w:rPr>
          <w:rFonts w:ascii="Arial" w:hAnsi="Arial" w:cs="Arial"/>
          <w:sz w:val="22"/>
          <w:szCs w:val="22"/>
        </w:rPr>
        <w:t>60 and 30-day public comment cycle</w:t>
      </w:r>
      <w:r w:rsidR="00ED24EE">
        <w:rPr>
          <w:rFonts w:ascii="Arial" w:hAnsi="Arial" w:cs="Arial"/>
          <w:sz w:val="22"/>
          <w:szCs w:val="22"/>
        </w:rPr>
        <w:t xml:space="preserve"> and OMB review</w:t>
      </w:r>
      <w:r w:rsidR="009659A3">
        <w:rPr>
          <w:rFonts w:ascii="Arial" w:hAnsi="Arial" w:cs="Arial"/>
          <w:sz w:val="22"/>
          <w:szCs w:val="22"/>
        </w:rPr>
        <w:t xml:space="preserve">. </w:t>
      </w:r>
      <w:r w:rsidR="00701C57" w:rsidRPr="00701C57">
        <w:rPr>
          <w:rFonts w:ascii="Arial" w:hAnsi="Arial" w:cs="Arial"/>
          <w:sz w:val="22"/>
          <w:szCs w:val="22"/>
        </w:rPr>
        <w:t xml:space="preserve"> </w:t>
      </w:r>
      <w:r w:rsidR="009659A3">
        <w:rPr>
          <w:rFonts w:ascii="Arial" w:hAnsi="Arial" w:cs="Arial"/>
          <w:sz w:val="22"/>
          <w:szCs w:val="22"/>
        </w:rPr>
        <w:t xml:space="preserve">VA has withheld publication of the 60-day FRN to consult with the OMB Desk Officer in regard to extending the expiration date.  </w:t>
      </w:r>
      <w:r w:rsidR="00701C57" w:rsidRPr="00701C57">
        <w:rPr>
          <w:rFonts w:ascii="Arial" w:hAnsi="Arial" w:cs="Arial"/>
          <w:sz w:val="22"/>
          <w:szCs w:val="22"/>
        </w:rPr>
        <w:t xml:space="preserve">VA </w:t>
      </w:r>
      <w:r w:rsidR="00F477CB">
        <w:rPr>
          <w:rFonts w:ascii="Arial" w:hAnsi="Arial" w:cs="Arial"/>
          <w:sz w:val="22"/>
          <w:szCs w:val="22"/>
        </w:rPr>
        <w:br/>
      </w:r>
      <w:r w:rsidR="00701C57" w:rsidRPr="00701C57">
        <w:rPr>
          <w:rFonts w:ascii="Arial" w:hAnsi="Arial" w:cs="Arial"/>
          <w:sz w:val="22"/>
          <w:szCs w:val="22"/>
        </w:rPr>
        <w:t>is requesting an additional 90 days for an OMB control number extension until February 28, 2017</w:t>
      </w:r>
      <w:r w:rsidR="00742F48">
        <w:rPr>
          <w:rFonts w:ascii="Arial" w:hAnsi="Arial" w:cs="Arial"/>
          <w:sz w:val="22"/>
          <w:szCs w:val="22"/>
        </w:rPr>
        <w:t>,</w:t>
      </w:r>
      <w:r w:rsidR="00701C57" w:rsidRPr="00701C57">
        <w:rPr>
          <w:rFonts w:ascii="Arial" w:hAnsi="Arial" w:cs="Arial"/>
          <w:sz w:val="22"/>
          <w:szCs w:val="22"/>
        </w:rPr>
        <w:t xml:space="preserve"> to complete the </w:t>
      </w:r>
      <w:r w:rsidR="00531A48">
        <w:rPr>
          <w:rFonts w:ascii="Arial" w:hAnsi="Arial" w:cs="Arial"/>
          <w:sz w:val="22"/>
          <w:szCs w:val="22"/>
        </w:rPr>
        <w:t xml:space="preserve">FR 60 and </w:t>
      </w:r>
      <w:r w:rsidR="00701C57" w:rsidRPr="00701C57">
        <w:rPr>
          <w:rFonts w:ascii="Arial" w:hAnsi="Arial" w:cs="Arial"/>
          <w:sz w:val="22"/>
          <w:szCs w:val="22"/>
        </w:rPr>
        <w:t xml:space="preserve">30-day </w:t>
      </w:r>
      <w:r w:rsidR="00531A48">
        <w:rPr>
          <w:rFonts w:ascii="Arial" w:hAnsi="Arial" w:cs="Arial"/>
          <w:sz w:val="22"/>
          <w:szCs w:val="22"/>
        </w:rPr>
        <w:t xml:space="preserve">comment period </w:t>
      </w:r>
      <w:r w:rsidR="00701C57" w:rsidRPr="00701C57">
        <w:rPr>
          <w:rFonts w:ascii="Arial" w:hAnsi="Arial" w:cs="Arial"/>
          <w:sz w:val="22"/>
          <w:szCs w:val="22"/>
        </w:rPr>
        <w:t>and OMB review.</w:t>
      </w:r>
      <w:r w:rsidR="00701C57">
        <w:rPr>
          <w:rFonts w:ascii="Arial" w:hAnsi="Arial" w:cs="Arial"/>
          <w:sz w:val="22"/>
          <w:szCs w:val="22"/>
        </w:rPr>
        <w:t xml:space="preserve">  </w:t>
      </w:r>
    </w:p>
    <w:p w14:paraId="0DA93CFE" w14:textId="5BB8C98F" w:rsidR="001407B6" w:rsidRPr="00615EF6" w:rsidRDefault="004D75EE" w:rsidP="00615EF6">
      <w:pPr>
        <w:pStyle w:val="ListParagraph"/>
        <w:numPr>
          <w:ilvl w:val="0"/>
          <w:numId w:val="31"/>
        </w:numPr>
        <w:tabs>
          <w:tab w:val="left" w:pos="1080"/>
          <w:tab w:val="left" w:pos="2700"/>
          <w:tab w:val="left" w:pos="3240"/>
          <w:tab w:val="left" w:pos="3780"/>
          <w:tab w:val="left" w:pos="4320"/>
        </w:tabs>
        <w:autoSpaceDE w:val="0"/>
        <w:autoSpaceDN w:val="0"/>
        <w:adjustRightInd w:val="0"/>
        <w:spacing w:after="240" w:line="280" w:lineRule="exact"/>
        <w:ind w:left="1080" w:hanging="180"/>
        <w:rPr>
          <w:rFonts w:ascii="Arial" w:hAnsi="Arial" w:cs="Arial"/>
          <w:b/>
          <w:sz w:val="22"/>
          <w:szCs w:val="22"/>
        </w:rPr>
      </w:pPr>
      <w:r w:rsidRPr="002E29B6">
        <w:rPr>
          <w:rFonts w:ascii="Arial" w:hAnsi="Arial" w:cs="Arial"/>
          <w:sz w:val="22"/>
          <w:szCs w:val="22"/>
        </w:rPr>
        <w:t xml:space="preserve">The use of normal clearance procedures is reasonably likely to </w:t>
      </w:r>
      <w:r w:rsidR="00BF412D" w:rsidRPr="002E29B6">
        <w:rPr>
          <w:rFonts w:ascii="Arial" w:hAnsi="Arial" w:cs="Arial"/>
          <w:sz w:val="22"/>
          <w:szCs w:val="22"/>
        </w:rPr>
        <w:t xml:space="preserve">disrupt </w:t>
      </w:r>
      <w:r w:rsidRPr="002E29B6">
        <w:rPr>
          <w:rFonts w:ascii="Arial" w:hAnsi="Arial" w:cs="Arial"/>
          <w:sz w:val="22"/>
          <w:szCs w:val="22"/>
        </w:rPr>
        <w:t>the collection of information.</w:t>
      </w:r>
      <w:r w:rsidR="00EC57E0" w:rsidRPr="00EC57E0">
        <w:rPr>
          <w:rFonts w:ascii="Arial" w:hAnsi="Arial" w:cs="Arial"/>
          <w:sz w:val="22"/>
          <w:szCs w:val="22"/>
        </w:rPr>
        <w:t xml:space="preserve"> </w:t>
      </w:r>
      <w:r w:rsidR="005D518D">
        <w:rPr>
          <w:rFonts w:ascii="Arial" w:hAnsi="Arial"/>
          <w:sz w:val="22"/>
          <w:szCs w:val="22"/>
        </w:rPr>
        <w:t>The data collections OMB approved clearance would expire in less than 30 days.</w:t>
      </w:r>
      <w:r w:rsidRPr="002E29B6">
        <w:rPr>
          <w:rFonts w:ascii="Arial" w:hAnsi="Arial"/>
          <w:sz w:val="22"/>
          <w:szCs w:val="22"/>
        </w:rPr>
        <w:t xml:space="preserve"> Therefore, VA would not be responsive to the needs of its customers if information were collected less frequently or </w:t>
      </w:r>
      <w:r w:rsidR="005D518D">
        <w:rPr>
          <w:rFonts w:ascii="Arial" w:hAnsi="Arial"/>
          <w:sz w:val="22"/>
          <w:szCs w:val="22"/>
        </w:rPr>
        <w:t>not in</w:t>
      </w:r>
      <w:r w:rsidRPr="002E29B6">
        <w:rPr>
          <w:rFonts w:ascii="Arial" w:hAnsi="Arial"/>
          <w:sz w:val="22"/>
          <w:szCs w:val="22"/>
        </w:rPr>
        <w:t xml:space="preserve"> an effi</w:t>
      </w:r>
      <w:r w:rsidR="003D0907">
        <w:rPr>
          <w:rFonts w:ascii="Arial" w:hAnsi="Arial"/>
          <w:sz w:val="22"/>
          <w:szCs w:val="22"/>
        </w:rPr>
        <w:t>cient manner.</w:t>
      </w:r>
    </w:p>
    <w:p w14:paraId="309597B0" w14:textId="70F5CE71" w:rsidR="001407B6" w:rsidRPr="005E00A2" w:rsidRDefault="00FA44A8" w:rsidP="001407B6">
      <w:pPr>
        <w:tabs>
          <w:tab w:val="left" w:pos="540"/>
          <w:tab w:val="left" w:pos="1080"/>
          <w:tab w:val="left" w:pos="1620"/>
          <w:tab w:val="left" w:pos="2160"/>
          <w:tab w:val="left" w:pos="2700"/>
          <w:tab w:val="left" w:pos="3240"/>
          <w:tab w:val="left" w:pos="3780"/>
          <w:tab w:val="left" w:pos="4320"/>
        </w:tabs>
        <w:autoSpaceDE w:val="0"/>
        <w:autoSpaceDN w:val="0"/>
        <w:adjustRightInd w:val="0"/>
        <w:spacing w:line="280" w:lineRule="exact"/>
        <w:ind w:left="1080"/>
        <w:rPr>
          <w:rFonts w:ascii="Arial" w:hAnsi="Arial"/>
          <w:b/>
          <w:bCs/>
          <w:snapToGrid w:val="0"/>
          <w:sz w:val="22"/>
          <w:szCs w:val="22"/>
        </w:rPr>
      </w:pPr>
      <w:r>
        <w:rPr>
          <w:rFonts w:ascii="Arial" w:hAnsi="Arial"/>
          <w:b/>
          <w:bCs/>
          <w:snapToGrid w:val="0"/>
          <w:sz w:val="22"/>
          <w:szCs w:val="22"/>
        </w:rPr>
        <w:t>(a) Requested t</w:t>
      </w:r>
      <w:r w:rsidR="001407B6" w:rsidRPr="005E00A2">
        <w:rPr>
          <w:rFonts w:ascii="Arial" w:hAnsi="Arial"/>
          <w:b/>
          <w:bCs/>
          <w:snapToGrid w:val="0"/>
          <w:sz w:val="22"/>
          <w:szCs w:val="22"/>
        </w:rPr>
        <w:t>ime period within which OMB should approve or disapprove the collection of information.</w:t>
      </w:r>
    </w:p>
    <w:p w14:paraId="75E90EB9" w14:textId="77777777" w:rsidR="001407B6" w:rsidRPr="005E00A2" w:rsidRDefault="001407B6" w:rsidP="001407B6">
      <w:pPr>
        <w:tabs>
          <w:tab w:val="left" w:pos="540"/>
          <w:tab w:val="left" w:pos="1080"/>
          <w:tab w:val="left" w:pos="1620"/>
          <w:tab w:val="left" w:pos="2160"/>
          <w:tab w:val="left" w:pos="2700"/>
          <w:tab w:val="left" w:pos="3240"/>
          <w:tab w:val="left" w:pos="3780"/>
          <w:tab w:val="left" w:pos="4320"/>
        </w:tabs>
        <w:autoSpaceDE w:val="0"/>
        <w:autoSpaceDN w:val="0"/>
        <w:adjustRightInd w:val="0"/>
        <w:spacing w:line="280" w:lineRule="exact"/>
        <w:ind w:left="360"/>
        <w:rPr>
          <w:rFonts w:ascii="Arial" w:hAnsi="Arial"/>
          <w:bCs/>
          <w:snapToGrid w:val="0"/>
          <w:sz w:val="22"/>
          <w:szCs w:val="22"/>
        </w:rPr>
      </w:pPr>
    </w:p>
    <w:p w14:paraId="27A1ED85" w14:textId="0605735F" w:rsidR="00CE066A" w:rsidRPr="001D7037" w:rsidRDefault="001407B6" w:rsidP="001D7037">
      <w:pPr>
        <w:tabs>
          <w:tab w:val="left" w:pos="540"/>
          <w:tab w:val="left" w:pos="1080"/>
          <w:tab w:val="left" w:pos="1620"/>
          <w:tab w:val="left" w:pos="2160"/>
          <w:tab w:val="left" w:pos="2700"/>
          <w:tab w:val="left" w:pos="3240"/>
          <w:tab w:val="left" w:pos="3780"/>
          <w:tab w:val="left" w:pos="4320"/>
        </w:tabs>
        <w:autoSpaceDE w:val="0"/>
        <w:autoSpaceDN w:val="0"/>
        <w:adjustRightInd w:val="0"/>
        <w:spacing w:line="280" w:lineRule="exact"/>
        <w:ind w:left="1080"/>
        <w:rPr>
          <w:rFonts w:ascii="Arial" w:hAnsi="Arial"/>
          <w:sz w:val="22"/>
          <w:szCs w:val="22"/>
        </w:rPr>
      </w:pPr>
      <w:r w:rsidRPr="005E00A2">
        <w:rPr>
          <w:rFonts w:ascii="Arial" w:hAnsi="Arial"/>
          <w:bCs/>
          <w:snapToGrid w:val="0"/>
          <w:sz w:val="22"/>
          <w:szCs w:val="22"/>
        </w:rPr>
        <w:t xml:space="preserve">VA is requesting to extend the data collection </w:t>
      </w:r>
      <w:r w:rsidR="00ED24EE">
        <w:rPr>
          <w:rFonts w:ascii="Arial" w:hAnsi="Arial"/>
          <w:bCs/>
          <w:snapToGrid w:val="0"/>
          <w:sz w:val="22"/>
          <w:szCs w:val="22"/>
        </w:rPr>
        <w:t>expi</w:t>
      </w:r>
      <w:r w:rsidR="003D0907">
        <w:rPr>
          <w:rFonts w:ascii="Arial" w:hAnsi="Arial"/>
          <w:bCs/>
          <w:snapToGrid w:val="0"/>
          <w:sz w:val="22"/>
          <w:szCs w:val="22"/>
        </w:rPr>
        <w:t>ration date to February 28, 2017</w:t>
      </w:r>
      <w:r w:rsidRPr="005E00A2">
        <w:rPr>
          <w:rFonts w:ascii="Arial" w:hAnsi="Arial"/>
          <w:bCs/>
          <w:snapToGrid w:val="0"/>
          <w:sz w:val="22"/>
          <w:szCs w:val="22"/>
        </w:rPr>
        <w:t xml:space="preserve">.  </w:t>
      </w:r>
      <w:r w:rsidR="00615EF6">
        <w:rPr>
          <w:rFonts w:ascii="Arial" w:hAnsi="Arial"/>
          <w:bCs/>
          <w:snapToGrid w:val="0"/>
          <w:sz w:val="22"/>
          <w:szCs w:val="22"/>
        </w:rPr>
        <w:t>If granted an</w:t>
      </w:r>
      <w:r w:rsidRPr="005E00A2">
        <w:rPr>
          <w:rFonts w:ascii="Arial" w:hAnsi="Arial"/>
          <w:bCs/>
          <w:snapToGrid w:val="0"/>
          <w:sz w:val="22"/>
          <w:szCs w:val="22"/>
        </w:rPr>
        <w:t xml:space="preserve"> emergency </w:t>
      </w:r>
      <w:r w:rsidR="00615EF6">
        <w:rPr>
          <w:rFonts w:ascii="Arial" w:hAnsi="Arial"/>
          <w:bCs/>
          <w:snapToGrid w:val="0"/>
          <w:sz w:val="22"/>
          <w:szCs w:val="22"/>
        </w:rPr>
        <w:t>extension</w:t>
      </w:r>
      <w:r w:rsidRPr="005E00A2">
        <w:rPr>
          <w:rFonts w:ascii="Arial" w:hAnsi="Arial"/>
          <w:bCs/>
          <w:snapToGrid w:val="0"/>
          <w:sz w:val="22"/>
          <w:szCs w:val="22"/>
        </w:rPr>
        <w:t xml:space="preserve">, VA will immediately and appropriately submit </w:t>
      </w:r>
      <w:r w:rsidR="00615EF6">
        <w:rPr>
          <w:rFonts w:ascii="Arial" w:hAnsi="Arial"/>
          <w:bCs/>
          <w:snapToGrid w:val="0"/>
          <w:sz w:val="22"/>
          <w:szCs w:val="22"/>
        </w:rPr>
        <w:t>a</w:t>
      </w:r>
      <w:r w:rsidRPr="005E00A2">
        <w:rPr>
          <w:rFonts w:ascii="Arial" w:hAnsi="Arial"/>
          <w:bCs/>
          <w:snapToGrid w:val="0"/>
          <w:sz w:val="22"/>
          <w:szCs w:val="22"/>
        </w:rPr>
        <w:t xml:space="preserve"> </w:t>
      </w:r>
      <w:r w:rsidR="007E4EFB">
        <w:rPr>
          <w:rFonts w:ascii="Arial" w:hAnsi="Arial"/>
          <w:bCs/>
          <w:snapToGrid w:val="0"/>
          <w:sz w:val="22"/>
          <w:szCs w:val="22"/>
        </w:rPr>
        <w:t>6</w:t>
      </w:r>
      <w:r w:rsidRPr="005E00A2">
        <w:rPr>
          <w:rFonts w:ascii="Arial" w:hAnsi="Arial"/>
          <w:bCs/>
          <w:snapToGrid w:val="0"/>
          <w:sz w:val="22"/>
          <w:szCs w:val="22"/>
        </w:rPr>
        <w:t xml:space="preserve">0-day Federal Register </w:t>
      </w:r>
      <w:r w:rsidR="007E4EFB">
        <w:rPr>
          <w:rFonts w:ascii="Arial" w:hAnsi="Arial"/>
          <w:bCs/>
          <w:snapToGrid w:val="0"/>
          <w:sz w:val="22"/>
          <w:szCs w:val="22"/>
        </w:rPr>
        <w:t>Notice for p</w:t>
      </w:r>
      <w:r w:rsidRPr="005E00A2">
        <w:rPr>
          <w:rFonts w:ascii="Arial" w:hAnsi="Arial"/>
          <w:bCs/>
          <w:snapToGrid w:val="0"/>
          <w:sz w:val="22"/>
          <w:szCs w:val="22"/>
        </w:rPr>
        <w:t xml:space="preserve">ublic </w:t>
      </w:r>
      <w:r w:rsidR="007E4EFB">
        <w:rPr>
          <w:rFonts w:ascii="Arial" w:hAnsi="Arial"/>
          <w:bCs/>
          <w:snapToGrid w:val="0"/>
          <w:sz w:val="22"/>
          <w:szCs w:val="22"/>
        </w:rPr>
        <w:t>comment</w:t>
      </w:r>
      <w:r w:rsidRPr="005E00A2">
        <w:rPr>
          <w:rFonts w:ascii="Arial" w:hAnsi="Arial"/>
          <w:bCs/>
          <w:snapToGrid w:val="0"/>
          <w:sz w:val="22"/>
          <w:szCs w:val="22"/>
        </w:rPr>
        <w:t xml:space="preserve">. </w:t>
      </w:r>
    </w:p>
    <w:p w14:paraId="714CFD36" w14:textId="77777777" w:rsidR="00AD0BBD" w:rsidRDefault="00AD0BBD" w:rsidP="00AD0BBD">
      <w:pPr>
        <w:tabs>
          <w:tab w:val="left" w:pos="540"/>
        </w:tabs>
        <w:ind w:left="540"/>
        <w:rPr>
          <w:rFonts w:ascii="Arial" w:hAnsi="Arial" w:cs="Arial"/>
          <w:sz w:val="22"/>
          <w:szCs w:val="22"/>
        </w:rPr>
      </w:pPr>
    </w:p>
    <w:p w14:paraId="5CDE0110" w14:textId="50D54196" w:rsidR="00CE066A" w:rsidRPr="00027D34" w:rsidRDefault="00CE066A" w:rsidP="00AD0BBD">
      <w:pPr>
        <w:tabs>
          <w:tab w:val="left" w:pos="540"/>
        </w:tabs>
        <w:ind w:left="540"/>
        <w:rPr>
          <w:rFonts w:ascii="Arial" w:hAnsi="Arial" w:cs="Arial"/>
          <w:sz w:val="22"/>
          <w:szCs w:val="22"/>
        </w:rPr>
      </w:pPr>
      <w:r w:rsidRPr="00027D34">
        <w:rPr>
          <w:rFonts w:ascii="Arial" w:hAnsi="Arial" w:cs="Arial"/>
          <w:sz w:val="22"/>
          <w:szCs w:val="22"/>
        </w:rPr>
        <w:t xml:space="preserve">Please contact </w:t>
      </w:r>
      <w:r w:rsidR="007943FE">
        <w:rPr>
          <w:rFonts w:ascii="Arial" w:hAnsi="Arial" w:cs="Arial"/>
          <w:sz w:val="22"/>
          <w:szCs w:val="22"/>
        </w:rPr>
        <w:t xml:space="preserve">Acting VA Clearance Officer, </w:t>
      </w:r>
      <w:r w:rsidRPr="00027D34">
        <w:rPr>
          <w:rFonts w:ascii="Arial" w:hAnsi="Arial" w:cs="Arial"/>
          <w:sz w:val="22"/>
          <w:szCs w:val="22"/>
        </w:rPr>
        <w:t>Cynthia Harvey-Pryor</w:t>
      </w:r>
      <w:r w:rsidR="007943FE">
        <w:rPr>
          <w:rFonts w:ascii="Arial" w:hAnsi="Arial" w:cs="Arial"/>
          <w:sz w:val="22"/>
          <w:szCs w:val="22"/>
        </w:rPr>
        <w:t>,</w:t>
      </w:r>
      <w:r w:rsidRPr="00027D34">
        <w:rPr>
          <w:rFonts w:ascii="Arial" w:hAnsi="Arial" w:cs="Arial"/>
          <w:sz w:val="22"/>
          <w:szCs w:val="22"/>
        </w:rPr>
        <w:t xml:space="preserve"> with any questions at </w:t>
      </w:r>
      <w:r w:rsidR="007943FE">
        <w:rPr>
          <w:rFonts w:ascii="Arial" w:hAnsi="Arial" w:cs="Arial"/>
          <w:sz w:val="22"/>
          <w:szCs w:val="22"/>
        </w:rPr>
        <w:t xml:space="preserve">202-461-5870 or email at </w:t>
      </w:r>
      <w:hyperlink r:id="rId8" w:history="1">
        <w:r w:rsidR="001432E1" w:rsidRPr="00027D34">
          <w:rPr>
            <w:rStyle w:val="Hyperlink"/>
            <w:rFonts w:ascii="Arial" w:hAnsi="Arial" w:cs="Arial"/>
            <w:sz w:val="22"/>
            <w:szCs w:val="22"/>
          </w:rPr>
          <w:t>Cynthia.harvey-pryor@va.gov</w:t>
        </w:r>
      </w:hyperlink>
      <w:r w:rsidRPr="00027D34">
        <w:rPr>
          <w:rFonts w:ascii="Arial" w:hAnsi="Arial" w:cs="Arial"/>
          <w:sz w:val="22"/>
          <w:szCs w:val="22"/>
        </w:rPr>
        <w:t>.</w:t>
      </w:r>
    </w:p>
    <w:p w14:paraId="1FF8B674" w14:textId="77777777" w:rsidR="00CE066A" w:rsidRPr="00027D34" w:rsidRDefault="00CE066A" w:rsidP="00AD0BBD">
      <w:pPr>
        <w:tabs>
          <w:tab w:val="left" w:pos="540"/>
        </w:tabs>
        <w:ind w:left="540"/>
        <w:rPr>
          <w:rFonts w:ascii="Arial" w:hAnsi="Arial" w:cs="Arial"/>
          <w:sz w:val="22"/>
          <w:szCs w:val="22"/>
        </w:rPr>
      </w:pPr>
    </w:p>
    <w:p w14:paraId="2CBB6F4D" w14:textId="77777777" w:rsidR="001432E1" w:rsidRPr="00027D34" w:rsidRDefault="001432E1" w:rsidP="00AD0BBD">
      <w:pPr>
        <w:tabs>
          <w:tab w:val="left" w:pos="540"/>
        </w:tabs>
        <w:ind w:left="540"/>
        <w:rPr>
          <w:rFonts w:ascii="Arial" w:hAnsi="Arial" w:cs="Arial"/>
          <w:sz w:val="22"/>
          <w:szCs w:val="22"/>
        </w:rPr>
      </w:pPr>
    </w:p>
    <w:p w14:paraId="4BDBB06F" w14:textId="64200A21" w:rsidR="00CE066A" w:rsidRDefault="00CE066A" w:rsidP="00AD0BBD">
      <w:pPr>
        <w:tabs>
          <w:tab w:val="left" w:pos="540"/>
        </w:tabs>
        <w:ind w:left="540"/>
        <w:rPr>
          <w:rFonts w:ascii="Arial" w:hAnsi="Arial" w:cs="Arial"/>
          <w:sz w:val="22"/>
          <w:szCs w:val="22"/>
        </w:rPr>
      </w:pPr>
      <w:r w:rsidRPr="00027D34">
        <w:rPr>
          <w:rFonts w:ascii="Arial" w:hAnsi="Arial" w:cs="Arial"/>
          <w:sz w:val="22"/>
          <w:szCs w:val="22"/>
        </w:rPr>
        <w:t>Sincerely,</w:t>
      </w:r>
    </w:p>
    <w:p w14:paraId="6A27B592" w14:textId="77777777" w:rsidR="007E618A" w:rsidRPr="00027D34" w:rsidRDefault="007E618A" w:rsidP="00AD0BBD">
      <w:pPr>
        <w:tabs>
          <w:tab w:val="left" w:pos="540"/>
        </w:tabs>
        <w:ind w:left="540"/>
        <w:rPr>
          <w:rFonts w:ascii="Arial" w:hAnsi="Arial" w:cs="Arial"/>
          <w:sz w:val="22"/>
          <w:szCs w:val="22"/>
        </w:rPr>
      </w:pPr>
    </w:p>
    <w:p w14:paraId="50E47D74" w14:textId="77777777" w:rsidR="00CE066A" w:rsidRDefault="00CE066A" w:rsidP="00AD0BBD">
      <w:pPr>
        <w:tabs>
          <w:tab w:val="left" w:pos="540"/>
        </w:tabs>
        <w:ind w:left="540"/>
        <w:rPr>
          <w:rFonts w:ascii="Arial" w:hAnsi="Arial" w:cs="Arial"/>
          <w:sz w:val="22"/>
          <w:szCs w:val="22"/>
        </w:rPr>
      </w:pPr>
    </w:p>
    <w:p w14:paraId="7A914E2B" w14:textId="77777777" w:rsidR="003D0907" w:rsidRDefault="003D0907" w:rsidP="00AD0BBD">
      <w:pPr>
        <w:tabs>
          <w:tab w:val="left" w:pos="540"/>
        </w:tabs>
        <w:ind w:left="540"/>
        <w:rPr>
          <w:rFonts w:ascii="Arial" w:hAnsi="Arial" w:cs="Arial"/>
          <w:sz w:val="22"/>
          <w:szCs w:val="22"/>
        </w:rPr>
      </w:pPr>
    </w:p>
    <w:p w14:paraId="3370B35E" w14:textId="77777777" w:rsidR="003D0907" w:rsidRDefault="003D0907" w:rsidP="00AD0BBD">
      <w:pPr>
        <w:tabs>
          <w:tab w:val="left" w:pos="540"/>
        </w:tabs>
        <w:ind w:left="540"/>
        <w:rPr>
          <w:rFonts w:ascii="Arial" w:hAnsi="Arial" w:cs="Arial"/>
          <w:sz w:val="22"/>
          <w:szCs w:val="22"/>
        </w:rPr>
      </w:pPr>
    </w:p>
    <w:p w14:paraId="6B393C57" w14:textId="20FDA6C2" w:rsidR="007E618A" w:rsidRDefault="007E618A" w:rsidP="00615EF6">
      <w:pPr>
        <w:tabs>
          <w:tab w:val="left" w:pos="540"/>
        </w:tabs>
        <w:spacing w:after="60"/>
        <w:rPr>
          <w:rFonts w:ascii="Arial" w:hAnsi="Arial" w:cs="Arial"/>
          <w:sz w:val="22"/>
          <w:szCs w:val="22"/>
        </w:rPr>
      </w:pPr>
    </w:p>
    <w:p w14:paraId="790CA6F2" w14:textId="76AC071C" w:rsidR="007E618A" w:rsidRDefault="00742F48" w:rsidP="00AD0BBD">
      <w:pPr>
        <w:tabs>
          <w:tab w:val="left" w:pos="540"/>
        </w:tabs>
        <w:spacing w:after="60"/>
        <w:ind w:left="540"/>
        <w:rPr>
          <w:rFonts w:ascii="Arial" w:hAnsi="Arial" w:cs="Arial"/>
          <w:sz w:val="22"/>
          <w:szCs w:val="22"/>
        </w:rPr>
      </w:pPr>
      <w:r>
        <w:rPr>
          <w:rFonts w:ascii="Arial" w:hAnsi="Arial" w:cs="Arial"/>
          <w:sz w:val="22"/>
          <w:szCs w:val="22"/>
        </w:rPr>
        <w:t>Jeffrey F. London, Acting Director</w:t>
      </w:r>
    </w:p>
    <w:p w14:paraId="680B0391" w14:textId="61318997" w:rsidR="007E4EFB" w:rsidRDefault="00742F48" w:rsidP="00FA44A8">
      <w:pPr>
        <w:tabs>
          <w:tab w:val="left" w:pos="540"/>
        </w:tabs>
        <w:spacing w:after="60"/>
        <w:ind w:left="540"/>
        <w:rPr>
          <w:rFonts w:ascii="Arial" w:hAnsi="Arial" w:cs="Arial"/>
          <w:sz w:val="22"/>
          <w:szCs w:val="22"/>
        </w:rPr>
      </w:pPr>
      <w:r>
        <w:rPr>
          <w:rFonts w:ascii="Arial" w:hAnsi="Arial" w:cs="Arial"/>
          <w:sz w:val="22"/>
          <w:szCs w:val="22"/>
        </w:rPr>
        <w:t>Loan Guaranty Service (26)</w:t>
      </w:r>
    </w:p>
    <w:p w14:paraId="14E6EE3A" w14:textId="24C5DD6D" w:rsidR="00FA44A8" w:rsidRPr="00742F48" w:rsidRDefault="007E4EFB" w:rsidP="00FA44A8">
      <w:pPr>
        <w:tabs>
          <w:tab w:val="left" w:pos="540"/>
        </w:tabs>
        <w:spacing w:after="60"/>
        <w:ind w:left="540"/>
        <w:rPr>
          <w:rFonts w:ascii="Arial" w:hAnsi="Arial" w:cs="Arial"/>
          <w:color w:val="0D0D0D" w:themeColor="text1" w:themeTint="F2"/>
          <w:sz w:val="22"/>
          <w:szCs w:val="22"/>
        </w:rPr>
      </w:pPr>
      <w:r w:rsidRPr="00742F48">
        <w:rPr>
          <w:rFonts w:ascii="Arial" w:hAnsi="Arial" w:cs="Arial"/>
          <w:color w:val="0D0D0D" w:themeColor="text1" w:themeTint="F2"/>
          <w:sz w:val="22"/>
          <w:szCs w:val="22"/>
        </w:rPr>
        <w:t>Veterans Benefits Administration</w:t>
      </w:r>
      <w:r w:rsidR="00FA44A8" w:rsidRPr="00742F48">
        <w:rPr>
          <w:rFonts w:ascii="Arial" w:hAnsi="Arial" w:cs="Arial"/>
          <w:color w:val="0D0D0D" w:themeColor="text1" w:themeTint="F2"/>
          <w:sz w:val="22"/>
          <w:szCs w:val="22"/>
        </w:rPr>
        <w:t xml:space="preserve">, </w:t>
      </w:r>
    </w:p>
    <w:p w14:paraId="1AD0FB7D" w14:textId="02A33C77" w:rsidR="00FA44A8" w:rsidRPr="00742F48" w:rsidRDefault="00FA44A8" w:rsidP="00FA44A8">
      <w:pPr>
        <w:tabs>
          <w:tab w:val="left" w:pos="540"/>
        </w:tabs>
        <w:spacing w:after="60"/>
        <w:ind w:left="540"/>
        <w:rPr>
          <w:rFonts w:ascii="Arial" w:hAnsi="Arial" w:cs="Arial"/>
          <w:color w:val="0D0D0D" w:themeColor="text1" w:themeTint="F2"/>
          <w:sz w:val="22"/>
          <w:szCs w:val="22"/>
        </w:rPr>
      </w:pPr>
      <w:r w:rsidRPr="00742F48">
        <w:rPr>
          <w:rFonts w:ascii="Arial" w:hAnsi="Arial" w:cs="Arial"/>
          <w:color w:val="0D0D0D" w:themeColor="text1" w:themeTint="F2"/>
          <w:sz w:val="22"/>
          <w:szCs w:val="22"/>
        </w:rPr>
        <w:t>Department of Veterans Affairs</w:t>
      </w:r>
    </w:p>
    <w:p w14:paraId="5E4C993D" w14:textId="582CD36D" w:rsidR="00FA44A8" w:rsidRPr="00742F48" w:rsidRDefault="00742F48" w:rsidP="00AD0BBD">
      <w:pPr>
        <w:tabs>
          <w:tab w:val="left" w:pos="540"/>
        </w:tabs>
        <w:spacing w:after="60"/>
        <w:ind w:left="540"/>
        <w:rPr>
          <w:rFonts w:ascii="Arial" w:hAnsi="Arial" w:cs="Arial"/>
          <w:color w:val="0D0D0D" w:themeColor="text1" w:themeTint="F2"/>
          <w:sz w:val="22"/>
          <w:szCs w:val="22"/>
        </w:rPr>
      </w:pPr>
      <w:r w:rsidRPr="00742F48">
        <w:rPr>
          <w:rFonts w:ascii="Arial" w:hAnsi="Arial" w:cs="Arial"/>
          <w:color w:val="0D0D0D" w:themeColor="text1" w:themeTint="F2"/>
          <w:sz w:val="22"/>
          <w:szCs w:val="22"/>
        </w:rPr>
        <w:t>202-632-8787</w:t>
      </w:r>
    </w:p>
    <w:p w14:paraId="5526507C" w14:textId="6099AB5C" w:rsidR="007E618A" w:rsidRPr="00742F48" w:rsidRDefault="00742F48" w:rsidP="001D7037">
      <w:pPr>
        <w:tabs>
          <w:tab w:val="left" w:pos="540"/>
        </w:tabs>
        <w:spacing w:after="60"/>
        <w:ind w:left="540"/>
        <w:rPr>
          <w:rFonts w:ascii="Arial" w:hAnsi="Arial" w:cs="Arial"/>
          <w:color w:val="0D0D0D" w:themeColor="text1" w:themeTint="F2"/>
          <w:sz w:val="22"/>
          <w:szCs w:val="22"/>
        </w:rPr>
      </w:pPr>
      <w:r w:rsidRPr="00742F48">
        <w:rPr>
          <w:rFonts w:ascii="Arial" w:hAnsi="Arial" w:cs="Arial"/>
          <w:color w:val="0D0D0D" w:themeColor="text1" w:themeTint="F2"/>
          <w:sz w:val="22"/>
          <w:szCs w:val="22"/>
        </w:rPr>
        <w:t>jeffrey.london@va.gov</w:t>
      </w:r>
    </w:p>
    <w:sectPr w:rsidR="007E618A" w:rsidRPr="00742F48" w:rsidSect="00DF6D15">
      <w:footerReference w:type="default" r:id="rId9"/>
      <w:footerReference w:type="first" r:id="rId10"/>
      <w:type w:val="continuous"/>
      <w:pgSz w:w="12240" w:h="15840"/>
      <w:pgMar w:top="1008" w:right="1440" w:bottom="1440" w:left="1440" w:header="720" w:footer="720" w:gutter="0"/>
      <w:paperSrc w:first="7" w:other="7"/>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50472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A197C4" w14:textId="77777777" w:rsidR="00164003" w:rsidRDefault="00164003">
      <w:r>
        <w:separator/>
      </w:r>
    </w:p>
  </w:endnote>
  <w:endnote w:type="continuationSeparator" w:id="0">
    <w:p w14:paraId="72CB096E" w14:textId="77777777" w:rsidR="00164003" w:rsidRDefault="00164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3E52C" w14:textId="77777777" w:rsidR="00CE066A" w:rsidRDefault="00CE066A">
    <w:pPr>
      <w:pStyle w:val="Footer"/>
      <w:jc w:val="center"/>
    </w:pPr>
    <w:r>
      <w:fldChar w:fldCharType="begin"/>
    </w:r>
    <w:r>
      <w:instrText>PAGE</w:instrText>
    </w:r>
    <w:r>
      <w:fldChar w:fldCharType="separate"/>
    </w:r>
    <w:r w:rsidR="005545F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28AA5" w14:textId="77777777" w:rsidR="00CE066A" w:rsidRDefault="00CE066A">
    <w:pPr>
      <w:pStyle w:val="Footer"/>
    </w:pPr>
    <w:r>
      <w:rPr>
        <w:rFonts w:ascii="Arial" w:hAnsi="Arial"/>
        <w:b/>
        <w:color w:val="000080"/>
        <w:sz w:val="16"/>
      </w:rPr>
      <w:t>VA FORM 2105 Automated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978903" w14:textId="77777777" w:rsidR="00164003" w:rsidRDefault="00164003">
      <w:r>
        <w:separator/>
      </w:r>
    </w:p>
  </w:footnote>
  <w:footnote w:type="continuationSeparator" w:id="0">
    <w:p w14:paraId="5A37E679" w14:textId="77777777" w:rsidR="00164003" w:rsidRDefault="001640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3F6CE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B1C7410"/>
    <w:lvl w:ilvl="0">
      <w:start w:val="1"/>
      <w:numFmt w:val="decimal"/>
      <w:lvlText w:val="%1."/>
      <w:lvlJc w:val="left"/>
      <w:pPr>
        <w:tabs>
          <w:tab w:val="num" w:pos="1800"/>
        </w:tabs>
        <w:ind w:left="1800" w:hanging="360"/>
      </w:pPr>
    </w:lvl>
  </w:abstractNum>
  <w:abstractNum w:abstractNumId="2">
    <w:nsid w:val="FFFFFF7D"/>
    <w:multiLevelType w:val="singleLevel"/>
    <w:tmpl w:val="F674811A"/>
    <w:lvl w:ilvl="0">
      <w:start w:val="1"/>
      <w:numFmt w:val="decimal"/>
      <w:lvlText w:val="%1."/>
      <w:lvlJc w:val="left"/>
      <w:pPr>
        <w:tabs>
          <w:tab w:val="num" w:pos="1440"/>
        </w:tabs>
        <w:ind w:left="1440" w:hanging="360"/>
      </w:pPr>
    </w:lvl>
  </w:abstractNum>
  <w:abstractNum w:abstractNumId="3">
    <w:nsid w:val="FFFFFF7E"/>
    <w:multiLevelType w:val="singleLevel"/>
    <w:tmpl w:val="8C541850"/>
    <w:lvl w:ilvl="0">
      <w:start w:val="1"/>
      <w:numFmt w:val="decimal"/>
      <w:lvlText w:val="%1."/>
      <w:lvlJc w:val="left"/>
      <w:pPr>
        <w:tabs>
          <w:tab w:val="num" w:pos="1080"/>
        </w:tabs>
        <w:ind w:left="1080" w:hanging="360"/>
      </w:pPr>
    </w:lvl>
  </w:abstractNum>
  <w:abstractNum w:abstractNumId="4">
    <w:nsid w:val="FFFFFF7F"/>
    <w:multiLevelType w:val="singleLevel"/>
    <w:tmpl w:val="CD1E9D72"/>
    <w:lvl w:ilvl="0">
      <w:start w:val="1"/>
      <w:numFmt w:val="decimal"/>
      <w:lvlText w:val="%1."/>
      <w:lvlJc w:val="left"/>
      <w:pPr>
        <w:tabs>
          <w:tab w:val="num" w:pos="720"/>
        </w:tabs>
        <w:ind w:left="720" w:hanging="360"/>
      </w:pPr>
    </w:lvl>
  </w:abstractNum>
  <w:abstractNum w:abstractNumId="5">
    <w:nsid w:val="FFFFFF80"/>
    <w:multiLevelType w:val="singleLevel"/>
    <w:tmpl w:val="FA46093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F246E8E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B2FC042C"/>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E0EF48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80E686B8"/>
    <w:lvl w:ilvl="0">
      <w:start w:val="1"/>
      <w:numFmt w:val="decimal"/>
      <w:lvlText w:val="%1."/>
      <w:lvlJc w:val="left"/>
      <w:pPr>
        <w:tabs>
          <w:tab w:val="num" w:pos="360"/>
        </w:tabs>
        <w:ind w:left="360" w:hanging="360"/>
      </w:pPr>
    </w:lvl>
  </w:abstractNum>
  <w:abstractNum w:abstractNumId="10">
    <w:nsid w:val="FFFFFF89"/>
    <w:multiLevelType w:val="singleLevel"/>
    <w:tmpl w:val="057A74CE"/>
    <w:lvl w:ilvl="0">
      <w:start w:val="1"/>
      <w:numFmt w:val="bullet"/>
      <w:lvlText w:val=""/>
      <w:lvlJc w:val="left"/>
      <w:pPr>
        <w:tabs>
          <w:tab w:val="num" w:pos="360"/>
        </w:tabs>
        <w:ind w:left="360" w:hanging="360"/>
      </w:pPr>
      <w:rPr>
        <w:rFonts w:ascii="Symbol" w:hAnsi="Symbol" w:hint="default"/>
      </w:rPr>
    </w:lvl>
  </w:abstractNum>
  <w:abstractNum w:abstractNumId="11">
    <w:nsid w:val="06800DEE"/>
    <w:multiLevelType w:val="hybridMultilevel"/>
    <w:tmpl w:val="3E7C97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0E7A1C87"/>
    <w:multiLevelType w:val="hybridMultilevel"/>
    <w:tmpl w:val="2D104A1A"/>
    <w:lvl w:ilvl="0" w:tplc="0409001B">
      <w:start w:val="1"/>
      <w:numFmt w:val="lowerRoman"/>
      <w:lvlText w:val="%1."/>
      <w:lvlJc w:val="righ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3">
    <w:nsid w:val="12D77B1F"/>
    <w:multiLevelType w:val="hybridMultilevel"/>
    <w:tmpl w:val="34287032"/>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3F764C"/>
    <w:multiLevelType w:val="hybridMultilevel"/>
    <w:tmpl w:val="85023970"/>
    <w:lvl w:ilvl="0" w:tplc="399464C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B750641"/>
    <w:multiLevelType w:val="hybridMultilevel"/>
    <w:tmpl w:val="14BE3C7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B897A5A"/>
    <w:multiLevelType w:val="hybridMultilevel"/>
    <w:tmpl w:val="2696C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DDB1691"/>
    <w:multiLevelType w:val="hybridMultilevel"/>
    <w:tmpl w:val="C5EEC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0A33B98"/>
    <w:multiLevelType w:val="hybridMultilevel"/>
    <w:tmpl w:val="B23C3314"/>
    <w:lvl w:ilvl="0" w:tplc="D26C1AE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565CDF"/>
    <w:multiLevelType w:val="hybridMultilevel"/>
    <w:tmpl w:val="2864DB6E"/>
    <w:lvl w:ilvl="0" w:tplc="04090013">
      <w:start w:val="1"/>
      <w:numFmt w:val="upperRoman"/>
      <w:lvlText w:val="%1."/>
      <w:lvlJc w:val="right"/>
      <w:pPr>
        <w:ind w:left="3420" w:hanging="360"/>
      </w:p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0">
    <w:nsid w:val="33EF1FFE"/>
    <w:multiLevelType w:val="hybridMultilevel"/>
    <w:tmpl w:val="EF9CF04A"/>
    <w:lvl w:ilvl="0" w:tplc="0409000F">
      <w:start w:val="1"/>
      <w:numFmt w:val="decimal"/>
      <w:lvlText w:val="%1."/>
      <w:lvlJc w:val="left"/>
      <w:pPr>
        <w:ind w:left="720" w:hanging="360"/>
      </w:pPr>
      <w:rPr>
        <w:rFonts w:hint="default"/>
      </w:rPr>
    </w:lvl>
    <w:lvl w:ilvl="1" w:tplc="E53EFAE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6A0C88"/>
    <w:multiLevelType w:val="hybridMultilevel"/>
    <w:tmpl w:val="CB3A20A4"/>
    <w:lvl w:ilvl="0" w:tplc="74A2F3A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4B771B4"/>
    <w:multiLevelType w:val="hybridMultilevel"/>
    <w:tmpl w:val="D3564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070683"/>
    <w:multiLevelType w:val="hybridMultilevel"/>
    <w:tmpl w:val="F2566BFC"/>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B9F146A"/>
    <w:multiLevelType w:val="hybridMultilevel"/>
    <w:tmpl w:val="9F0629C0"/>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66555FC"/>
    <w:multiLevelType w:val="hybridMultilevel"/>
    <w:tmpl w:val="B142DE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83840C7"/>
    <w:multiLevelType w:val="hybridMultilevel"/>
    <w:tmpl w:val="12268E52"/>
    <w:lvl w:ilvl="0" w:tplc="04090013">
      <w:start w:val="1"/>
      <w:numFmt w:val="upperRoman"/>
      <w:lvlText w:val="%1."/>
      <w:lvlJc w:val="righ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nsid w:val="7BF65419"/>
    <w:multiLevelType w:val="hybridMultilevel"/>
    <w:tmpl w:val="12B29B7E"/>
    <w:lvl w:ilvl="0" w:tplc="74A2F3A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CA17A69"/>
    <w:multiLevelType w:val="hybridMultilevel"/>
    <w:tmpl w:val="7C487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8F07EB"/>
    <w:multiLevelType w:val="hybridMultilevel"/>
    <w:tmpl w:val="B69E5296"/>
    <w:lvl w:ilvl="0" w:tplc="24F2B86C">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B337A2"/>
    <w:multiLevelType w:val="hybridMultilevel"/>
    <w:tmpl w:val="00E83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3"/>
  </w:num>
  <w:num w:numId="3">
    <w:abstractNumId w:val="25"/>
  </w:num>
  <w:num w:numId="4">
    <w:abstractNumId w:val="27"/>
  </w:num>
  <w:num w:numId="5">
    <w:abstractNumId w:val="21"/>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2"/>
  </w:num>
  <w:num w:numId="18">
    <w:abstractNumId w:val="16"/>
  </w:num>
  <w:num w:numId="19">
    <w:abstractNumId w:val="17"/>
  </w:num>
  <w:num w:numId="20">
    <w:abstractNumId w:val="30"/>
  </w:num>
  <w:num w:numId="21">
    <w:abstractNumId w:val="28"/>
  </w:num>
  <w:num w:numId="22">
    <w:abstractNumId w:val="29"/>
  </w:num>
  <w:num w:numId="23">
    <w:abstractNumId w:val="18"/>
  </w:num>
  <w:num w:numId="24">
    <w:abstractNumId w:val="26"/>
  </w:num>
  <w:num w:numId="25">
    <w:abstractNumId w:val="11"/>
  </w:num>
  <w:num w:numId="26">
    <w:abstractNumId w:val="14"/>
  </w:num>
  <w:num w:numId="27">
    <w:abstractNumId w:val="20"/>
  </w:num>
  <w:num w:numId="28">
    <w:abstractNumId w:val="23"/>
  </w:num>
  <w:num w:numId="29">
    <w:abstractNumId w:val="12"/>
  </w:num>
  <w:num w:numId="30">
    <w:abstractNumId w:val="24"/>
  </w:num>
  <w:num w:numId="31">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tham, Steph">
    <w15:presenceInfo w15:providerId="AD" w15:userId="S-1-5-21-1454471165-117609710-725345543-4230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CDF"/>
    <w:rsid w:val="00002D9B"/>
    <w:rsid w:val="0001685D"/>
    <w:rsid w:val="00027D34"/>
    <w:rsid w:val="000414B4"/>
    <w:rsid w:val="0007259D"/>
    <w:rsid w:val="00083376"/>
    <w:rsid w:val="000A25DD"/>
    <w:rsid w:val="000A65E1"/>
    <w:rsid w:val="000C10E9"/>
    <w:rsid w:val="000D6D8E"/>
    <w:rsid w:val="000F63F6"/>
    <w:rsid w:val="00104B78"/>
    <w:rsid w:val="0011002B"/>
    <w:rsid w:val="00123018"/>
    <w:rsid w:val="00124EAB"/>
    <w:rsid w:val="001407B6"/>
    <w:rsid w:val="001432E1"/>
    <w:rsid w:val="00164003"/>
    <w:rsid w:val="0017635C"/>
    <w:rsid w:val="00191300"/>
    <w:rsid w:val="001B4AA0"/>
    <w:rsid w:val="001D7037"/>
    <w:rsid w:val="001E16DD"/>
    <w:rsid w:val="001F4E5B"/>
    <w:rsid w:val="00206143"/>
    <w:rsid w:val="00242FCD"/>
    <w:rsid w:val="002521B4"/>
    <w:rsid w:val="0028047B"/>
    <w:rsid w:val="00290D00"/>
    <w:rsid w:val="002A725E"/>
    <w:rsid w:val="002D2D31"/>
    <w:rsid w:val="002D2E86"/>
    <w:rsid w:val="002E29B6"/>
    <w:rsid w:val="002E6CD8"/>
    <w:rsid w:val="00304C25"/>
    <w:rsid w:val="003246AE"/>
    <w:rsid w:val="00324D65"/>
    <w:rsid w:val="003402AF"/>
    <w:rsid w:val="00345177"/>
    <w:rsid w:val="00363F2D"/>
    <w:rsid w:val="003809B1"/>
    <w:rsid w:val="00381FA7"/>
    <w:rsid w:val="003855CD"/>
    <w:rsid w:val="00393182"/>
    <w:rsid w:val="003C3A6B"/>
    <w:rsid w:val="003D0907"/>
    <w:rsid w:val="003F275E"/>
    <w:rsid w:val="00400E28"/>
    <w:rsid w:val="0044236C"/>
    <w:rsid w:val="00454A8D"/>
    <w:rsid w:val="00455FD2"/>
    <w:rsid w:val="00487161"/>
    <w:rsid w:val="004A4CDF"/>
    <w:rsid w:val="004A5755"/>
    <w:rsid w:val="004D75EE"/>
    <w:rsid w:val="00531A48"/>
    <w:rsid w:val="005545F2"/>
    <w:rsid w:val="005D518D"/>
    <w:rsid w:val="005E00A2"/>
    <w:rsid w:val="00604CDF"/>
    <w:rsid w:val="00615EF6"/>
    <w:rsid w:val="006162C7"/>
    <w:rsid w:val="00652DED"/>
    <w:rsid w:val="00672947"/>
    <w:rsid w:val="00674958"/>
    <w:rsid w:val="00697D10"/>
    <w:rsid w:val="006A0B82"/>
    <w:rsid w:val="006B54FA"/>
    <w:rsid w:val="006C530F"/>
    <w:rsid w:val="006F0714"/>
    <w:rsid w:val="00701C57"/>
    <w:rsid w:val="00720AD3"/>
    <w:rsid w:val="00742F48"/>
    <w:rsid w:val="00772D6B"/>
    <w:rsid w:val="007844DE"/>
    <w:rsid w:val="00784B92"/>
    <w:rsid w:val="007861E9"/>
    <w:rsid w:val="007943FE"/>
    <w:rsid w:val="007C5192"/>
    <w:rsid w:val="007D30D1"/>
    <w:rsid w:val="007E4EFB"/>
    <w:rsid w:val="007E618A"/>
    <w:rsid w:val="007F2A5A"/>
    <w:rsid w:val="00827304"/>
    <w:rsid w:val="00841570"/>
    <w:rsid w:val="00861995"/>
    <w:rsid w:val="00873FDD"/>
    <w:rsid w:val="00887855"/>
    <w:rsid w:val="008E4377"/>
    <w:rsid w:val="00927126"/>
    <w:rsid w:val="00936D3B"/>
    <w:rsid w:val="009377A6"/>
    <w:rsid w:val="009659A3"/>
    <w:rsid w:val="009932C4"/>
    <w:rsid w:val="009D1497"/>
    <w:rsid w:val="009F1581"/>
    <w:rsid w:val="00A07050"/>
    <w:rsid w:val="00A229B6"/>
    <w:rsid w:val="00A24372"/>
    <w:rsid w:val="00A30095"/>
    <w:rsid w:val="00A319AD"/>
    <w:rsid w:val="00AA3998"/>
    <w:rsid w:val="00AA6689"/>
    <w:rsid w:val="00AC15F9"/>
    <w:rsid w:val="00AD0BBD"/>
    <w:rsid w:val="00AE6839"/>
    <w:rsid w:val="00B533A1"/>
    <w:rsid w:val="00B87990"/>
    <w:rsid w:val="00B94B09"/>
    <w:rsid w:val="00BF412D"/>
    <w:rsid w:val="00C27B2F"/>
    <w:rsid w:val="00C61414"/>
    <w:rsid w:val="00C76C15"/>
    <w:rsid w:val="00C8011C"/>
    <w:rsid w:val="00C80B49"/>
    <w:rsid w:val="00C85F43"/>
    <w:rsid w:val="00CC51E3"/>
    <w:rsid w:val="00CC5281"/>
    <w:rsid w:val="00CE066A"/>
    <w:rsid w:val="00CE5B34"/>
    <w:rsid w:val="00CF37CD"/>
    <w:rsid w:val="00D0306B"/>
    <w:rsid w:val="00D03ECF"/>
    <w:rsid w:val="00D27AF7"/>
    <w:rsid w:val="00D85812"/>
    <w:rsid w:val="00D87CD6"/>
    <w:rsid w:val="00DA6080"/>
    <w:rsid w:val="00DB381E"/>
    <w:rsid w:val="00DB6327"/>
    <w:rsid w:val="00DC1D00"/>
    <w:rsid w:val="00DC43EC"/>
    <w:rsid w:val="00DF08F0"/>
    <w:rsid w:val="00DF2DE5"/>
    <w:rsid w:val="00DF6D15"/>
    <w:rsid w:val="00E246AA"/>
    <w:rsid w:val="00E45470"/>
    <w:rsid w:val="00E85F53"/>
    <w:rsid w:val="00EA4504"/>
    <w:rsid w:val="00EB1FD5"/>
    <w:rsid w:val="00EC4D6B"/>
    <w:rsid w:val="00EC57E0"/>
    <w:rsid w:val="00ED24EE"/>
    <w:rsid w:val="00EE2ABB"/>
    <w:rsid w:val="00EF0282"/>
    <w:rsid w:val="00F477CB"/>
    <w:rsid w:val="00F67267"/>
    <w:rsid w:val="00FA44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FF8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1F18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F1899"/>
    <w:pPr>
      <w:tabs>
        <w:tab w:val="center" w:pos="4320"/>
        <w:tab w:val="right" w:pos="8640"/>
      </w:tabs>
    </w:pPr>
  </w:style>
  <w:style w:type="paragraph" w:styleId="Header">
    <w:name w:val="header"/>
    <w:basedOn w:val="Normal"/>
    <w:rsid w:val="001F1899"/>
    <w:pPr>
      <w:tabs>
        <w:tab w:val="center" w:pos="4320"/>
        <w:tab w:val="right" w:pos="8640"/>
      </w:tabs>
    </w:pPr>
  </w:style>
  <w:style w:type="paragraph" w:styleId="BalloonText">
    <w:name w:val="Balloon Text"/>
    <w:basedOn w:val="Normal"/>
    <w:semiHidden/>
    <w:rsid w:val="001F1899"/>
    <w:rPr>
      <w:rFonts w:ascii="Tahoma" w:hAnsi="Tahoma" w:cs="Tahoma"/>
      <w:sz w:val="16"/>
      <w:szCs w:val="16"/>
    </w:rPr>
  </w:style>
  <w:style w:type="paragraph" w:styleId="ListParagraph">
    <w:name w:val="List Paragraph"/>
    <w:basedOn w:val="Normal"/>
    <w:uiPriority w:val="34"/>
    <w:qFormat/>
    <w:rsid w:val="0001041D"/>
    <w:pPr>
      <w:ind w:left="720"/>
    </w:pPr>
  </w:style>
  <w:style w:type="character" w:styleId="Hyperlink">
    <w:name w:val="Hyperlink"/>
    <w:basedOn w:val="DefaultParagraphFont"/>
    <w:rsid w:val="00DB381E"/>
    <w:rPr>
      <w:color w:val="0000FF" w:themeColor="hyperlink"/>
      <w:u w:val="single"/>
    </w:rPr>
  </w:style>
  <w:style w:type="character" w:styleId="CommentReference">
    <w:name w:val="annotation reference"/>
    <w:basedOn w:val="DefaultParagraphFont"/>
    <w:rsid w:val="00027D34"/>
    <w:rPr>
      <w:sz w:val="16"/>
      <w:szCs w:val="16"/>
    </w:rPr>
  </w:style>
  <w:style w:type="paragraph" w:styleId="CommentText">
    <w:name w:val="annotation text"/>
    <w:basedOn w:val="Normal"/>
    <w:link w:val="CommentTextChar"/>
    <w:rsid w:val="00027D34"/>
    <w:rPr>
      <w:sz w:val="20"/>
      <w:szCs w:val="20"/>
    </w:rPr>
  </w:style>
  <w:style w:type="character" w:customStyle="1" w:styleId="CommentTextChar">
    <w:name w:val="Comment Text Char"/>
    <w:basedOn w:val="DefaultParagraphFont"/>
    <w:link w:val="CommentText"/>
    <w:rsid w:val="00027D34"/>
    <w:rPr>
      <w:sz w:val="20"/>
      <w:szCs w:val="20"/>
    </w:rPr>
  </w:style>
  <w:style w:type="paragraph" w:styleId="CommentSubject">
    <w:name w:val="annotation subject"/>
    <w:basedOn w:val="CommentText"/>
    <w:next w:val="CommentText"/>
    <w:link w:val="CommentSubjectChar"/>
    <w:rsid w:val="00027D34"/>
    <w:rPr>
      <w:b/>
      <w:bCs/>
    </w:rPr>
  </w:style>
  <w:style w:type="character" w:customStyle="1" w:styleId="CommentSubjectChar">
    <w:name w:val="Comment Subject Char"/>
    <w:basedOn w:val="CommentTextChar"/>
    <w:link w:val="CommentSubject"/>
    <w:rsid w:val="00027D3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1F18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F1899"/>
    <w:pPr>
      <w:tabs>
        <w:tab w:val="center" w:pos="4320"/>
        <w:tab w:val="right" w:pos="8640"/>
      </w:tabs>
    </w:pPr>
  </w:style>
  <w:style w:type="paragraph" w:styleId="Header">
    <w:name w:val="header"/>
    <w:basedOn w:val="Normal"/>
    <w:rsid w:val="001F1899"/>
    <w:pPr>
      <w:tabs>
        <w:tab w:val="center" w:pos="4320"/>
        <w:tab w:val="right" w:pos="8640"/>
      </w:tabs>
    </w:pPr>
  </w:style>
  <w:style w:type="paragraph" w:styleId="BalloonText">
    <w:name w:val="Balloon Text"/>
    <w:basedOn w:val="Normal"/>
    <w:semiHidden/>
    <w:rsid w:val="001F1899"/>
    <w:rPr>
      <w:rFonts w:ascii="Tahoma" w:hAnsi="Tahoma" w:cs="Tahoma"/>
      <w:sz w:val="16"/>
      <w:szCs w:val="16"/>
    </w:rPr>
  </w:style>
  <w:style w:type="paragraph" w:styleId="ListParagraph">
    <w:name w:val="List Paragraph"/>
    <w:basedOn w:val="Normal"/>
    <w:uiPriority w:val="34"/>
    <w:qFormat/>
    <w:rsid w:val="0001041D"/>
    <w:pPr>
      <w:ind w:left="720"/>
    </w:pPr>
  </w:style>
  <w:style w:type="character" w:styleId="Hyperlink">
    <w:name w:val="Hyperlink"/>
    <w:basedOn w:val="DefaultParagraphFont"/>
    <w:rsid w:val="00DB381E"/>
    <w:rPr>
      <w:color w:val="0000FF" w:themeColor="hyperlink"/>
      <w:u w:val="single"/>
    </w:rPr>
  </w:style>
  <w:style w:type="character" w:styleId="CommentReference">
    <w:name w:val="annotation reference"/>
    <w:basedOn w:val="DefaultParagraphFont"/>
    <w:rsid w:val="00027D34"/>
    <w:rPr>
      <w:sz w:val="16"/>
      <w:szCs w:val="16"/>
    </w:rPr>
  </w:style>
  <w:style w:type="paragraph" w:styleId="CommentText">
    <w:name w:val="annotation text"/>
    <w:basedOn w:val="Normal"/>
    <w:link w:val="CommentTextChar"/>
    <w:rsid w:val="00027D34"/>
    <w:rPr>
      <w:sz w:val="20"/>
      <w:szCs w:val="20"/>
    </w:rPr>
  </w:style>
  <w:style w:type="character" w:customStyle="1" w:styleId="CommentTextChar">
    <w:name w:val="Comment Text Char"/>
    <w:basedOn w:val="DefaultParagraphFont"/>
    <w:link w:val="CommentText"/>
    <w:rsid w:val="00027D34"/>
    <w:rPr>
      <w:sz w:val="20"/>
      <w:szCs w:val="20"/>
    </w:rPr>
  </w:style>
  <w:style w:type="paragraph" w:styleId="CommentSubject">
    <w:name w:val="annotation subject"/>
    <w:basedOn w:val="CommentText"/>
    <w:next w:val="CommentText"/>
    <w:link w:val="CommentSubjectChar"/>
    <w:rsid w:val="00027D34"/>
    <w:rPr>
      <w:b/>
      <w:bCs/>
    </w:rPr>
  </w:style>
  <w:style w:type="character" w:customStyle="1" w:styleId="CommentSubjectChar">
    <w:name w:val="Comment Subject Char"/>
    <w:basedOn w:val="CommentTextChar"/>
    <w:link w:val="CommentSubject"/>
    <w:rsid w:val="00027D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63521">
      <w:bodyDiv w:val="1"/>
      <w:marLeft w:val="0"/>
      <w:marRight w:val="0"/>
      <w:marTop w:val="0"/>
      <w:marBottom w:val="0"/>
      <w:divBdr>
        <w:top w:val="none" w:sz="0" w:space="0" w:color="auto"/>
        <w:left w:val="none" w:sz="0" w:space="0" w:color="auto"/>
        <w:bottom w:val="none" w:sz="0" w:space="0" w:color="auto"/>
        <w:right w:val="none" w:sz="0" w:space="0" w:color="auto"/>
      </w:divBdr>
    </w:div>
    <w:div w:id="1067411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ynthia.harvey-pryor@v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Memorandum:  One Addressee  -  VA Form 2105 Automated  (Word for Windows)</vt:lpstr>
    </vt:vector>
  </TitlesOfParts>
  <Company>Department of Veterans Affairs</Company>
  <LinksUpToDate>false</LinksUpToDate>
  <CharactersWithSpaces>4027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One Addressee  -  VA Form 2105 Automated  (Word for Windows)</dc:title>
  <dc:creator>Robinson, Matthew</dc:creator>
  <cp:lastModifiedBy>Department of Veterans Affairs</cp:lastModifiedBy>
  <cp:revision>2</cp:revision>
  <cp:lastPrinted>2016-11-10T14:34:00Z</cp:lastPrinted>
  <dcterms:created xsi:type="dcterms:W3CDTF">2017-02-16T14:49:00Z</dcterms:created>
  <dcterms:modified xsi:type="dcterms:W3CDTF">2017-02-16T14:49:00Z</dcterms:modified>
</cp:coreProperties>
</file>