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D08" w:rsidRPr="00177EC3" w:rsidRDefault="00C75D08">
      <w:pPr>
        <w:pStyle w:val="Heading2"/>
      </w:pPr>
      <w:bookmarkStart w:id="0" w:name="_GoBack"/>
      <w:bookmarkEnd w:id="0"/>
    </w:p>
    <w:p w:rsidR="00C75D08" w:rsidRPr="00177EC3" w:rsidRDefault="00C75D08">
      <w:pPr>
        <w:pStyle w:val="Heading2"/>
      </w:pPr>
      <w:r w:rsidRPr="00177EC3">
        <w:t>A.</w:t>
      </w:r>
      <w:r w:rsidRPr="00177EC3">
        <w:tab/>
        <w:t xml:space="preserve">JUSTIFICATION </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1.</w:t>
      </w:r>
      <w:r w:rsidRPr="00177EC3">
        <w:rPr>
          <w:b/>
          <w:sz w:val="24"/>
        </w:rPr>
        <w:tab/>
        <w:t>Explain the circumstances that make the collection of information necessary.  Identify legal or administrative requirements that necessitate the collection of information.</w:t>
      </w:r>
    </w:p>
    <w:p w:rsidR="00C75D08" w:rsidRPr="00177EC3" w:rsidRDefault="00C75D08">
      <w:pPr>
        <w:tabs>
          <w:tab w:val="left" w:pos="540"/>
          <w:tab w:val="left" w:pos="1080"/>
          <w:tab w:val="left" w:pos="1620"/>
          <w:tab w:val="left" w:pos="2160"/>
        </w:tabs>
        <w:rPr>
          <w:sz w:val="24"/>
        </w:rPr>
      </w:pPr>
    </w:p>
    <w:p w:rsidR="006A2EF4" w:rsidRDefault="00C75D08" w:rsidP="006A2EF4">
      <w:pPr>
        <w:tabs>
          <w:tab w:val="left" w:pos="540"/>
          <w:tab w:val="left" w:pos="1080"/>
          <w:tab w:val="left" w:pos="1620"/>
          <w:tab w:val="left" w:pos="2160"/>
        </w:tabs>
        <w:rPr>
          <w:sz w:val="24"/>
        </w:rPr>
      </w:pPr>
      <w:r w:rsidRPr="00177EC3">
        <w:rPr>
          <w:sz w:val="24"/>
        </w:rPr>
        <w:tab/>
      </w:r>
      <w:bookmarkStart w:id="1" w:name="OLE_LINK3"/>
      <w:bookmarkStart w:id="2" w:name="OLE_LINK4"/>
      <w:r w:rsidRPr="00177EC3">
        <w:rPr>
          <w:sz w:val="24"/>
        </w:rPr>
        <w:t xml:space="preserve">Public Law 102-585, “Veterans Health Care Act of 1992, Section 703, </w:t>
      </w:r>
      <w:r w:rsidR="005421FB" w:rsidRPr="00177EC3">
        <w:rPr>
          <w:sz w:val="24"/>
        </w:rPr>
        <w:t xml:space="preserve">authorizes </w:t>
      </w:r>
      <w:r w:rsidRPr="00177EC3">
        <w:rPr>
          <w:sz w:val="24"/>
        </w:rPr>
        <w:t xml:space="preserve">the Secretary </w:t>
      </w:r>
      <w:r w:rsidR="005421FB" w:rsidRPr="00177EC3">
        <w:rPr>
          <w:sz w:val="24"/>
        </w:rPr>
        <w:t>to</w:t>
      </w:r>
      <w:r w:rsidRPr="00177EC3">
        <w:rPr>
          <w:sz w:val="24"/>
        </w:rPr>
        <w:t xml:space="preserve"> provide, upon request, </w:t>
      </w:r>
      <w:bookmarkEnd w:id="1"/>
      <w:bookmarkEnd w:id="2"/>
      <w:r w:rsidRPr="00177EC3">
        <w:rPr>
          <w:sz w:val="24"/>
        </w:rPr>
        <w:t>a health examination, con</w:t>
      </w:r>
      <w:r w:rsidR="003C64A4" w:rsidRPr="00177EC3">
        <w:rPr>
          <w:sz w:val="24"/>
        </w:rPr>
        <w:t>sultation, and counseling to a V</w:t>
      </w:r>
      <w:r w:rsidRPr="00177EC3">
        <w:rPr>
          <w:sz w:val="24"/>
        </w:rPr>
        <w:t>eteran who is eligible for listing or inclusion in any health-related registry administered by the Secretary that is similar to the Persian Gulf War Veterans Health Registry.  Accordingly, the VA provides registry e</w:t>
      </w:r>
      <w:r w:rsidR="003C64A4" w:rsidRPr="00177EC3">
        <w:rPr>
          <w:sz w:val="24"/>
        </w:rPr>
        <w:t>xaminations to V</w:t>
      </w:r>
      <w:r w:rsidRPr="00177EC3">
        <w:rPr>
          <w:sz w:val="24"/>
        </w:rPr>
        <w:t>eterans who served</w:t>
      </w:r>
      <w:r w:rsidR="006A2EF4">
        <w:rPr>
          <w:sz w:val="24"/>
        </w:rPr>
        <w:t>:</w:t>
      </w:r>
    </w:p>
    <w:p w:rsidR="00124F7D" w:rsidRPr="00124F7D" w:rsidRDefault="00124F7D" w:rsidP="00124F7D">
      <w:pPr>
        <w:pStyle w:val="ListParagraph"/>
        <w:tabs>
          <w:tab w:val="left" w:pos="540"/>
          <w:tab w:val="left" w:pos="1080"/>
          <w:tab w:val="left" w:pos="1620"/>
          <w:tab w:val="left" w:pos="2160"/>
        </w:tabs>
        <w:ind w:left="0"/>
        <w:rPr>
          <w:sz w:val="24"/>
        </w:rPr>
      </w:pPr>
      <w:r w:rsidRPr="00124F7D">
        <w:rPr>
          <w:sz w:val="24"/>
        </w:rPr>
        <w:t>•</w:t>
      </w:r>
      <w:r>
        <w:rPr>
          <w:sz w:val="24"/>
        </w:rPr>
        <w:t xml:space="preserve">  Vietnam: Military Service </w:t>
      </w:r>
      <w:r w:rsidRPr="00124F7D">
        <w:rPr>
          <w:sz w:val="24"/>
        </w:rPr>
        <w:t>in the Republic of Vietnam during the period from January 9, 1962, and ending May 7, 1975, is eligible for VA health care. For purposes of determining eligibility for VA health care, VA presumes herbicide exposure for any Veteran who served in the Republic of Vietnam during the specified period. NOTE: This includes Veterans who served on offshore naval vessels conducting operations on the inland “brown water” rivers and delta areas of Vietnam or who visited the Republic of Vietnam.</w:t>
      </w:r>
    </w:p>
    <w:p w:rsidR="00124F7D" w:rsidRPr="006A2EF4" w:rsidRDefault="006A2EF4" w:rsidP="006A2EF4">
      <w:pPr>
        <w:tabs>
          <w:tab w:val="left" w:pos="540"/>
          <w:tab w:val="left" w:pos="1080"/>
          <w:tab w:val="left" w:pos="1620"/>
          <w:tab w:val="left" w:pos="2160"/>
        </w:tabs>
        <w:rPr>
          <w:sz w:val="24"/>
        </w:rPr>
      </w:pPr>
      <w:r>
        <w:rPr>
          <w:sz w:val="24"/>
        </w:rPr>
        <w:t xml:space="preserve">•  </w:t>
      </w:r>
      <w:r w:rsidRPr="006A2EF4">
        <w:rPr>
          <w:sz w:val="24"/>
        </w:rPr>
        <w:t>Korea: Military Service at the Demilitarized Zone (DMZ) anytime between April 1, 1968</w:t>
      </w:r>
      <w:r w:rsidR="00124F7D">
        <w:rPr>
          <w:sz w:val="24"/>
        </w:rPr>
        <w:t xml:space="preserve"> and </w:t>
      </w:r>
      <w:r w:rsidRPr="006A2EF4">
        <w:rPr>
          <w:sz w:val="24"/>
        </w:rPr>
        <w:t>August 31, 1971</w:t>
      </w:r>
    </w:p>
    <w:p w:rsidR="006A2EF4" w:rsidRPr="006A2EF4" w:rsidRDefault="006A2EF4" w:rsidP="006A2EF4">
      <w:pPr>
        <w:tabs>
          <w:tab w:val="left" w:pos="540"/>
          <w:tab w:val="left" w:pos="1080"/>
          <w:tab w:val="left" w:pos="1620"/>
          <w:tab w:val="left" w:pos="2160"/>
        </w:tabs>
        <w:rPr>
          <w:sz w:val="24"/>
        </w:rPr>
      </w:pPr>
      <w:r>
        <w:rPr>
          <w:sz w:val="24"/>
        </w:rPr>
        <w:t xml:space="preserve">•  </w:t>
      </w:r>
      <w:r w:rsidRPr="006A2EF4">
        <w:rPr>
          <w:sz w:val="24"/>
        </w:rPr>
        <w:t>Thailand: Working with duty on or near perimeters of military bases in Thailand anytime between February 28, 1961</w:t>
      </w:r>
      <w:r w:rsidR="00124F7D">
        <w:rPr>
          <w:sz w:val="24"/>
        </w:rPr>
        <w:t xml:space="preserve"> and</w:t>
      </w:r>
      <w:r w:rsidRPr="006A2EF4">
        <w:rPr>
          <w:sz w:val="24"/>
        </w:rPr>
        <w:t xml:space="preserve"> May 7, 1975</w:t>
      </w:r>
    </w:p>
    <w:p w:rsidR="006A2EF4" w:rsidRPr="00124F7D" w:rsidRDefault="006A2EF4" w:rsidP="00124F7D">
      <w:pPr>
        <w:pStyle w:val="ListParagraph"/>
        <w:numPr>
          <w:ilvl w:val="0"/>
          <w:numId w:val="13"/>
        </w:numPr>
        <w:tabs>
          <w:tab w:val="left" w:pos="540"/>
          <w:tab w:val="left" w:pos="1080"/>
          <w:tab w:val="left" w:pos="1620"/>
          <w:tab w:val="left" w:pos="2160"/>
        </w:tabs>
        <w:rPr>
          <w:sz w:val="24"/>
        </w:rPr>
      </w:pPr>
      <w:r w:rsidRPr="00124F7D">
        <w:rPr>
          <w:sz w:val="24"/>
        </w:rPr>
        <w:t>Plane flying above runway at U-Tapao Air Base; U-Tapao Air Base, Thailand, 1975</w:t>
      </w:r>
    </w:p>
    <w:p w:rsidR="006A2EF4" w:rsidRPr="00124F7D" w:rsidRDefault="006A2EF4" w:rsidP="00124F7D">
      <w:pPr>
        <w:pStyle w:val="ListParagraph"/>
        <w:numPr>
          <w:ilvl w:val="0"/>
          <w:numId w:val="13"/>
        </w:numPr>
        <w:tabs>
          <w:tab w:val="left" w:pos="540"/>
          <w:tab w:val="left" w:pos="1080"/>
          <w:tab w:val="left" w:pos="1620"/>
          <w:tab w:val="left" w:pos="2160"/>
        </w:tabs>
        <w:rPr>
          <w:sz w:val="24"/>
        </w:rPr>
      </w:pPr>
      <w:r w:rsidRPr="00124F7D">
        <w:rPr>
          <w:sz w:val="24"/>
        </w:rPr>
        <w:t>US Air Force Veterans who served on Royal Thai Air Force (RTAF) bases at U-Tapao, Ubon, Nakhon Phanom, Udorn, Takhli, Korat, and Don Muang, near the air base perimeter anytime between February 28, 1961 and May 7, 1975.</w:t>
      </w:r>
    </w:p>
    <w:p w:rsidR="006A2EF4" w:rsidRPr="00124F7D" w:rsidRDefault="006A2EF4" w:rsidP="00124F7D">
      <w:pPr>
        <w:pStyle w:val="ListParagraph"/>
        <w:numPr>
          <w:ilvl w:val="0"/>
          <w:numId w:val="15"/>
        </w:numPr>
        <w:tabs>
          <w:tab w:val="left" w:pos="540"/>
          <w:tab w:val="left" w:pos="1080"/>
          <w:tab w:val="left" w:pos="1620"/>
          <w:tab w:val="left" w:pos="2160"/>
        </w:tabs>
        <w:rPr>
          <w:sz w:val="24"/>
        </w:rPr>
      </w:pPr>
      <w:r w:rsidRPr="00124F7D">
        <w:rPr>
          <w:sz w:val="24"/>
        </w:rPr>
        <w:t>US Army Veterans who provided perimeter security on RTAF bases in Thailand anytime between February 28, 1961 and May 7, 1975.</w:t>
      </w:r>
    </w:p>
    <w:p w:rsidR="006A2EF4" w:rsidRPr="00124F7D" w:rsidRDefault="006A2EF4" w:rsidP="00124F7D">
      <w:pPr>
        <w:pStyle w:val="ListParagraph"/>
        <w:numPr>
          <w:ilvl w:val="0"/>
          <w:numId w:val="15"/>
        </w:numPr>
        <w:tabs>
          <w:tab w:val="left" w:pos="540"/>
          <w:tab w:val="left" w:pos="1080"/>
          <w:tab w:val="left" w:pos="1620"/>
          <w:tab w:val="left" w:pos="2160"/>
        </w:tabs>
        <w:rPr>
          <w:sz w:val="24"/>
        </w:rPr>
      </w:pPr>
      <w:r w:rsidRPr="00124F7D">
        <w:rPr>
          <w:sz w:val="24"/>
        </w:rPr>
        <w:t>US Army Veterans who were stationed on some small Army installations in Thailand anytime between February 28, 1961 and May 7, 1975. However, the Army Veteran must have been a member of a military police (MP) unit or was assigned an MP military occupational specialty whose duty placed him/her at or near the base perimeter</w:t>
      </w:r>
    </w:p>
    <w:p w:rsidR="006A2EF4" w:rsidRPr="006A2EF4" w:rsidRDefault="006A2EF4" w:rsidP="006A2EF4">
      <w:pPr>
        <w:tabs>
          <w:tab w:val="left" w:pos="540"/>
          <w:tab w:val="left" w:pos="1080"/>
          <w:tab w:val="left" w:pos="1620"/>
          <w:tab w:val="left" w:pos="2160"/>
        </w:tabs>
        <w:rPr>
          <w:sz w:val="24"/>
        </w:rPr>
      </w:pPr>
      <w:r>
        <w:rPr>
          <w:sz w:val="24"/>
        </w:rPr>
        <w:t xml:space="preserve">•  </w:t>
      </w:r>
      <w:r w:rsidRPr="006A2EF4">
        <w:rPr>
          <w:sz w:val="24"/>
        </w:rPr>
        <w:t>Active duty personnel who served in a regular USAF unit location where a contaminated C-123 was assigned who had regular contact with the aircraft through flight, ground, or medical duties between 1969 and 1986, and who developed an Agent Orange related disability.</w:t>
      </w:r>
    </w:p>
    <w:p w:rsidR="006A2EF4" w:rsidRDefault="006A2EF4" w:rsidP="006A2EF4">
      <w:pPr>
        <w:tabs>
          <w:tab w:val="left" w:pos="540"/>
          <w:tab w:val="left" w:pos="1080"/>
          <w:tab w:val="left" w:pos="1620"/>
          <w:tab w:val="left" w:pos="2160"/>
        </w:tabs>
        <w:rPr>
          <w:sz w:val="24"/>
        </w:rPr>
      </w:pPr>
      <w:r>
        <w:rPr>
          <w:sz w:val="24"/>
        </w:rPr>
        <w:t xml:space="preserve">•  </w:t>
      </w:r>
      <w:r w:rsidRPr="006A2EF4">
        <w:rPr>
          <w:sz w:val="24"/>
        </w:rPr>
        <w:t xml:space="preserve">Reservists who were assigned to flight, ground or medical crew duties at the following locations between 1969 and 1986 and who developed an Agent Orange related disability.       </w:t>
      </w:r>
    </w:p>
    <w:p w:rsidR="006A2EF4" w:rsidRPr="006A2EF4" w:rsidRDefault="006A2EF4" w:rsidP="006A2EF4">
      <w:pPr>
        <w:pStyle w:val="ListParagraph"/>
        <w:numPr>
          <w:ilvl w:val="0"/>
          <w:numId w:val="11"/>
        </w:numPr>
        <w:tabs>
          <w:tab w:val="left" w:pos="540"/>
          <w:tab w:val="left" w:pos="1080"/>
          <w:tab w:val="left" w:pos="1620"/>
          <w:tab w:val="left" w:pos="2160"/>
        </w:tabs>
        <w:rPr>
          <w:sz w:val="24"/>
        </w:rPr>
      </w:pPr>
      <w:r w:rsidRPr="006A2EF4">
        <w:rPr>
          <w:sz w:val="24"/>
        </w:rPr>
        <w:t>Lockbourne/Rickenbacker Air Force Base in Ohio (906th and 907th Tactical Air Groups or 355</w:t>
      </w:r>
      <w:r w:rsidRPr="006A2EF4">
        <w:rPr>
          <w:sz w:val="24"/>
          <w:vertAlign w:val="superscript"/>
        </w:rPr>
        <w:t>th</w:t>
      </w:r>
      <w:r w:rsidRPr="006A2EF4">
        <w:rPr>
          <w:sz w:val="24"/>
        </w:rPr>
        <w:t xml:space="preserve"> </w:t>
      </w:r>
    </w:p>
    <w:p w:rsidR="006A2EF4" w:rsidRPr="006A2EF4" w:rsidRDefault="006A2EF4" w:rsidP="006A2EF4">
      <w:pPr>
        <w:pStyle w:val="ListParagraph"/>
        <w:tabs>
          <w:tab w:val="left" w:pos="540"/>
          <w:tab w:val="left" w:pos="1080"/>
          <w:tab w:val="left" w:pos="1620"/>
          <w:tab w:val="left" w:pos="2160"/>
        </w:tabs>
        <w:rPr>
          <w:sz w:val="24"/>
        </w:rPr>
      </w:pPr>
      <w:r w:rsidRPr="006A2EF4">
        <w:rPr>
          <w:sz w:val="24"/>
        </w:rPr>
        <w:t>and 356th Tactical Airlift Squadron)</w:t>
      </w:r>
    </w:p>
    <w:p w:rsidR="006A2EF4" w:rsidRPr="006A2EF4" w:rsidRDefault="006A2EF4" w:rsidP="006A2EF4">
      <w:pPr>
        <w:pStyle w:val="ListParagraph"/>
        <w:numPr>
          <w:ilvl w:val="0"/>
          <w:numId w:val="11"/>
        </w:numPr>
        <w:tabs>
          <w:tab w:val="left" w:pos="540"/>
          <w:tab w:val="left" w:pos="1080"/>
          <w:tab w:val="left" w:pos="1620"/>
          <w:tab w:val="left" w:pos="2160"/>
        </w:tabs>
        <w:rPr>
          <w:sz w:val="24"/>
        </w:rPr>
      </w:pPr>
      <w:r w:rsidRPr="006A2EF4">
        <w:rPr>
          <w:sz w:val="24"/>
        </w:rPr>
        <w:t xml:space="preserve">Westover Air Force Base in Massachusetts (731st Tactical Air Squadron and 74th Aeromedical Evacuation Squadron) </w:t>
      </w:r>
    </w:p>
    <w:p w:rsidR="006A2EF4" w:rsidRPr="006A2EF4" w:rsidRDefault="006A2EF4" w:rsidP="006A2EF4">
      <w:pPr>
        <w:pStyle w:val="ListParagraph"/>
        <w:numPr>
          <w:ilvl w:val="0"/>
          <w:numId w:val="11"/>
        </w:numPr>
        <w:tabs>
          <w:tab w:val="left" w:pos="540"/>
          <w:tab w:val="left" w:pos="1080"/>
          <w:tab w:val="left" w:pos="1620"/>
          <w:tab w:val="left" w:pos="2160"/>
        </w:tabs>
        <w:rPr>
          <w:sz w:val="24"/>
        </w:rPr>
      </w:pPr>
      <w:r w:rsidRPr="006A2EF4">
        <w:rPr>
          <w:sz w:val="24"/>
        </w:rPr>
        <w:t>Pittsburgh, Pennsylvania, International Airport (758th Airlift Squadron)</w:t>
      </w:r>
    </w:p>
    <w:p w:rsidR="006A2EF4" w:rsidRDefault="006A2EF4" w:rsidP="006A2EF4">
      <w:pPr>
        <w:tabs>
          <w:tab w:val="left" w:pos="540"/>
          <w:tab w:val="left" w:pos="1080"/>
          <w:tab w:val="left" w:pos="1620"/>
          <w:tab w:val="left" w:pos="2160"/>
        </w:tabs>
        <w:rPr>
          <w:sz w:val="24"/>
        </w:rPr>
      </w:pPr>
    </w:p>
    <w:p w:rsidR="006A2EF4" w:rsidRDefault="00124F7D" w:rsidP="006A2EF4">
      <w:pPr>
        <w:tabs>
          <w:tab w:val="left" w:pos="540"/>
          <w:tab w:val="left" w:pos="1080"/>
          <w:tab w:val="left" w:pos="1620"/>
          <w:tab w:val="left" w:pos="2160"/>
        </w:tabs>
        <w:rPr>
          <w:sz w:val="24"/>
        </w:rPr>
      </w:pPr>
      <w:r>
        <w:rPr>
          <w:sz w:val="24"/>
        </w:rPr>
        <w:t>and/or any U</w:t>
      </w:r>
      <w:r w:rsidR="003C64A4" w:rsidRPr="00177EC3">
        <w:rPr>
          <w:sz w:val="24"/>
        </w:rPr>
        <w:t>S V</w:t>
      </w:r>
      <w:r w:rsidR="00C75D08" w:rsidRPr="00177EC3">
        <w:rPr>
          <w:sz w:val="24"/>
        </w:rPr>
        <w:t>eteran who may have been exposed to dioxin, or other toxic substance in a herbicide or defoliant, during the conduct of, or as a result of, the testing, transporting, or spraying of herbicides and who requests an Agent Orange Registry examination.</w:t>
      </w:r>
      <w:r w:rsidR="006A2EF4" w:rsidRPr="006A2EF4">
        <w:rPr>
          <w:sz w:val="24"/>
        </w:rPr>
        <w:t xml:space="preserve"> </w:t>
      </w:r>
      <w:r w:rsidR="006A2EF4" w:rsidRPr="00177EC3">
        <w:rPr>
          <w:sz w:val="24"/>
        </w:rPr>
        <w:tab/>
      </w:r>
    </w:p>
    <w:p w:rsidR="006A2EF4" w:rsidRDefault="006A2EF4" w:rsidP="006A2EF4">
      <w:pPr>
        <w:tabs>
          <w:tab w:val="left" w:pos="540"/>
          <w:tab w:val="left" w:pos="1080"/>
          <w:tab w:val="left" w:pos="1620"/>
          <w:tab w:val="left" w:pos="2160"/>
        </w:tabs>
        <w:rPr>
          <w:sz w:val="24"/>
        </w:rPr>
      </w:pPr>
    </w:p>
    <w:p w:rsidR="006A2EF4" w:rsidRDefault="006A2EF4" w:rsidP="006A2EF4">
      <w:pPr>
        <w:tabs>
          <w:tab w:val="left" w:pos="540"/>
          <w:tab w:val="left" w:pos="1080"/>
          <w:tab w:val="left" w:pos="1620"/>
          <w:tab w:val="left" w:pos="2160"/>
        </w:tabs>
        <w:rPr>
          <w:sz w:val="24"/>
        </w:rPr>
      </w:pPr>
      <w:r w:rsidRPr="00177EC3">
        <w:rPr>
          <w:sz w:val="24"/>
        </w:rPr>
        <w:lastRenderedPageBreak/>
        <w:t>The Department of Veterans Affairs (VA), in an on-going effort to maintain an Agent Orange Registry (AOR) developed a reporting format to facilitate the collection of information obtained from the Veteran during the Agent Orange registry examination process.</w:t>
      </w:r>
    </w:p>
    <w:p w:rsidR="00222F55" w:rsidRDefault="00222F55" w:rsidP="006A2EF4">
      <w:pPr>
        <w:tabs>
          <w:tab w:val="left" w:pos="540"/>
          <w:tab w:val="left" w:pos="1080"/>
          <w:tab w:val="left" w:pos="1620"/>
          <w:tab w:val="left" w:pos="2160"/>
        </w:tabs>
        <w:rPr>
          <w:sz w:val="24"/>
        </w:rPr>
      </w:pPr>
    </w:p>
    <w:p w:rsidR="00222F55" w:rsidRPr="00177EC3" w:rsidRDefault="00222F55" w:rsidP="006A2EF4">
      <w:pPr>
        <w:tabs>
          <w:tab w:val="left" w:pos="540"/>
          <w:tab w:val="left" w:pos="1080"/>
          <w:tab w:val="left" w:pos="1620"/>
          <w:tab w:val="left" w:pos="2160"/>
        </w:tabs>
        <w:rPr>
          <w:sz w:val="24"/>
        </w:rPr>
      </w:pPr>
      <w:r>
        <w:rPr>
          <w:sz w:val="24"/>
        </w:rPr>
        <w:t xml:space="preserve">The Privacy Act Statement will be communicated to the Veteran with a laminated card (to save on paper and if a copy is requested it will be provided.  </w:t>
      </w:r>
      <w:r w:rsidR="003620CA" w:rsidRPr="003620CA">
        <w:rPr>
          <w:sz w:val="24"/>
        </w:rPr>
        <w:t>Additionally</w:t>
      </w:r>
      <w:r w:rsidR="003620CA">
        <w:rPr>
          <w:sz w:val="24"/>
        </w:rPr>
        <w:t>,</w:t>
      </w:r>
      <w:r w:rsidR="003620CA" w:rsidRPr="003620CA">
        <w:rPr>
          <w:sz w:val="24"/>
        </w:rPr>
        <w:t xml:space="preserve"> the Environmental Health Coordinator will verbally communicate the information to the Veteran</w:t>
      </w:r>
      <w:r>
        <w:rPr>
          <w:sz w:val="24"/>
        </w:rPr>
        <w:t>.</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b/>
          <w:sz w:val="24"/>
        </w:rPr>
        <w:t>2.</w:t>
      </w:r>
      <w:r w:rsidRPr="00177EC3">
        <w:rPr>
          <w:b/>
          <w:sz w:val="24"/>
        </w:rPr>
        <w:tab/>
        <w:t>Indicate how, by whom, and for what purposes the information is to be used; indicate actual use the agency has made of the information received from current collection.</w:t>
      </w:r>
    </w:p>
    <w:p w:rsidR="00C75D08" w:rsidRPr="00177EC3" w:rsidRDefault="00C75D08">
      <w:pPr>
        <w:tabs>
          <w:tab w:val="left" w:pos="540"/>
          <w:tab w:val="left" w:pos="1080"/>
          <w:tab w:val="left" w:pos="1620"/>
          <w:tab w:val="left" w:pos="2160"/>
        </w:tabs>
        <w:ind w:left="360"/>
        <w:rPr>
          <w:sz w:val="24"/>
        </w:rPr>
      </w:pPr>
    </w:p>
    <w:p w:rsidR="00C75D08" w:rsidRPr="00177EC3" w:rsidRDefault="00C75D08">
      <w:pPr>
        <w:tabs>
          <w:tab w:val="left" w:pos="540"/>
          <w:tab w:val="left" w:pos="1080"/>
          <w:tab w:val="left" w:pos="1620"/>
          <w:tab w:val="left" w:pos="2160"/>
        </w:tabs>
        <w:rPr>
          <w:sz w:val="24"/>
        </w:rPr>
      </w:pPr>
      <w:r w:rsidRPr="00177EC3">
        <w:rPr>
          <w:sz w:val="24"/>
        </w:rPr>
        <w:tab/>
        <w:t xml:space="preserve">VA </w:t>
      </w:r>
      <w:r w:rsidR="00124F7D">
        <w:rPr>
          <w:sz w:val="24"/>
        </w:rPr>
        <w:t>Environmental Health Coordinators</w:t>
      </w:r>
      <w:r w:rsidRPr="00177EC3">
        <w:rPr>
          <w:sz w:val="24"/>
        </w:rPr>
        <w:t xml:space="preserve"> obtain demographic data from existing records.  The examining physician, </w:t>
      </w:r>
      <w:r w:rsidR="003C64A4" w:rsidRPr="00177EC3">
        <w:rPr>
          <w:sz w:val="24"/>
        </w:rPr>
        <w:t xml:space="preserve">Environmental Health </w:t>
      </w:r>
      <w:r w:rsidR="004A25FB" w:rsidRPr="00177EC3">
        <w:rPr>
          <w:sz w:val="24"/>
        </w:rPr>
        <w:t xml:space="preserve">(EH) </w:t>
      </w:r>
      <w:r w:rsidR="003C64A4" w:rsidRPr="00177EC3">
        <w:rPr>
          <w:sz w:val="24"/>
        </w:rPr>
        <w:t xml:space="preserve">Coordinator (formerly identified as the </w:t>
      </w:r>
      <w:r w:rsidRPr="00177EC3">
        <w:rPr>
          <w:sz w:val="24"/>
        </w:rPr>
        <w:t>Agent Orange coordinator</w:t>
      </w:r>
      <w:r w:rsidR="003C64A4" w:rsidRPr="00177EC3">
        <w:rPr>
          <w:sz w:val="24"/>
        </w:rPr>
        <w:t>)</w:t>
      </w:r>
      <w:r w:rsidRPr="00177EC3">
        <w:rPr>
          <w:sz w:val="24"/>
        </w:rPr>
        <w:t xml:space="preserve">/or other designated personnel obtain the remainder of the information during the Agent Orange registry </w:t>
      </w:r>
      <w:r w:rsidR="00124F7D">
        <w:rPr>
          <w:sz w:val="24"/>
        </w:rPr>
        <w:t>medica</w:t>
      </w:r>
      <w:r w:rsidRPr="00177EC3">
        <w:rPr>
          <w:sz w:val="24"/>
        </w:rPr>
        <w:t xml:space="preserve">l examination process.  </w:t>
      </w:r>
      <w:r w:rsidR="00124F7D">
        <w:rPr>
          <w:sz w:val="24"/>
        </w:rPr>
        <w:t xml:space="preserve">This is a voluntary examination requested by the Veteran at a time convenient to them and performed at a medical facility or clinic. </w:t>
      </w:r>
      <w:r w:rsidRPr="00177EC3">
        <w:rPr>
          <w:sz w:val="24"/>
        </w:rPr>
        <w:t>The information obtai</w:t>
      </w:r>
      <w:r w:rsidR="003C64A4" w:rsidRPr="00177EC3">
        <w:rPr>
          <w:sz w:val="24"/>
        </w:rPr>
        <w:t>ned from the V</w:t>
      </w:r>
      <w:r w:rsidRPr="00177EC3">
        <w:rPr>
          <w:sz w:val="24"/>
        </w:rPr>
        <w:t xml:space="preserve">eteran is entered directly onto an electronic VA </w:t>
      </w:r>
      <w:r w:rsidR="003C64A4" w:rsidRPr="00177EC3">
        <w:rPr>
          <w:sz w:val="24"/>
        </w:rPr>
        <w:t xml:space="preserve">Agent Orange </w:t>
      </w:r>
      <w:r w:rsidRPr="00177EC3">
        <w:rPr>
          <w:sz w:val="24"/>
        </w:rPr>
        <w:t xml:space="preserve">Form 10-9009, </w:t>
      </w:r>
      <w:r w:rsidR="002F4F19" w:rsidRPr="00177EC3">
        <w:rPr>
          <w:sz w:val="24"/>
        </w:rPr>
        <w:t xml:space="preserve">Agent Orange Registry Worksheet (formerly identified as an </w:t>
      </w:r>
      <w:r w:rsidRPr="00177EC3">
        <w:rPr>
          <w:sz w:val="24"/>
        </w:rPr>
        <w:t>Agent Orange Registry Code Sheet</w:t>
      </w:r>
      <w:r w:rsidR="002F4F19" w:rsidRPr="00177EC3">
        <w:rPr>
          <w:sz w:val="24"/>
        </w:rPr>
        <w:t>)</w:t>
      </w:r>
      <w:r w:rsidRPr="00177EC3">
        <w:rPr>
          <w:sz w:val="24"/>
        </w:rPr>
        <w:t xml:space="preserve">, via a secured website </w:t>
      </w:r>
      <w:hyperlink r:id="rId8" w:history="1">
        <w:r w:rsidRPr="00177EC3">
          <w:rPr>
            <w:rStyle w:val="Hyperlink"/>
            <w:color w:val="auto"/>
            <w:sz w:val="24"/>
          </w:rPr>
          <w:t>http://vaww.registries.aac.va.gov</w:t>
        </w:r>
      </w:hyperlink>
      <w:r w:rsidRPr="00177EC3">
        <w:rPr>
          <w:sz w:val="24"/>
        </w:rPr>
        <w:t xml:space="preserve"> by VA personnel and transmitted directly to the </w:t>
      </w:r>
      <w:r w:rsidR="002F4F19" w:rsidRPr="00177EC3">
        <w:rPr>
          <w:sz w:val="24"/>
        </w:rPr>
        <w:t>Environmental Agents Service (EAS) Agent Orange Registry database located at the Austin Information Technology Center</w:t>
      </w:r>
      <w:r w:rsidR="008469FC" w:rsidRPr="00177EC3">
        <w:rPr>
          <w:sz w:val="24"/>
        </w:rPr>
        <w:t xml:space="preserve"> (AITC)</w:t>
      </w:r>
      <w:r w:rsidR="002F4F19" w:rsidRPr="00177EC3">
        <w:rPr>
          <w:sz w:val="24"/>
        </w:rPr>
        <w:t xml:space="preserve">, Austin, TX </w:t>
      </w:r>
      <w:r w:rsidRPr="00177EC3">
        <w:rPr>
          <w:sz w:val="24"/>
        </w:rPr>
        <w:t xml:space="preserve"> Edits are automatically accomplished at the time</w:t>
      </w:r>
      <w:r w:rsidR="008469FC" w:rsidRPr="00177EC3">
        <w:rPr>
          <w:sz w:val="24"/>
        </w:rPr>
        <w:t xml:space="preserve"> </w:t>
      </w:r>
      <w:r w:rsidRPr="00177EC3">
        <w:rPr>
          <w:sz w:val="24"/>
        </w:rPr>
        <w:t xml:space="preserve">of entry. </w:t>
      </w:r>
      <w:r w:rsidR="00B2669C" w:rsidRPr="00177EC3">
        <w:rPr>
          <w:sz w:val="24"/>
        </w:rPr>
        <w:t xml:space="preserve"> </w:t>
      </w:r>
    </w:p>
    <w:p w:rsidR="00194A24" w:rsidRPr="00177EC3" w:rsidRDefault="00194A24">
      <w:pPr>
        <w:tabs>
          <w:tab w:val="left" w:pos="540"/>
          <w:tab w:val="left" w:pos="1080"/>
          <w:tab w:val="left" w:pos="1620"/>
          <w:tab w:val="left" w:pos="2160"/>
        </w:tabs>
        <w:rPr>
          <w:sz w:val="24"/>
        </w:rPr>
      </w:pPr>
    </w:p>
    <w:p w:rsidR="00C75D08" w:rsidRPr="00177EC3" w:rsidRDefault="00C75D08">
      <w:pPr>
        <w:pStyle w:val="BodyText"/>
      </w:pPr>
      <w:r w:rsidRPr="00177EC3">
        <w:tab/>
        <w:t xml:space="preserve">The registry provides a mechanism to catalogue </w:t>
      </w:r>
      <w:r w:rsidR="00124F7D">
        <w:t xml:space="preserve">see trends and </w:t>
      </w:r>
      <w:r w:rsidRPr="00177EC3">
        <w:t>prominent symptoms</w:t>
      </w:r>
      <w:r w:rsidR="00124F7D">
        <w:t xml:space="preserve"> associated with possible Agent Orange exposure in the areas of general health,</w:t>
      </w:r>
      <w:r w:rsidRPr="00177EC3">
        <w:t xml:space="preserve"> reproductive health and </w:t>
      </w:r>
      <w:r w:rsidR="00124F7D">
        <w:t xml:space="preserve">presumptive </w:t>
      </w:r>
      <w:r w:rsidRPr="00177EC3">
        <w:t xml:space="preserve">diagnoses and to communicate with Agent Orange </w:t>
      </w:r>
      <w:r w:rsidR="00321865">
        <w:t>V</w:t>
      </w:r>
      <w:r w:rsidR="002F4F19" w:rsidRPr="00177EC3">
        <w:t>eterans.  VA keeps V</w:t>
      </w:r>
      <w:r w:rsidRPr="00177EC3">
        <w:t>eterans informed on research findings or new compensation policies through periodic newsletters.  The voluntary, self-selected nature of this registry makes it valuable for health surveillance; however, it is not designed or intended to be a research tool and therefore, the results cannot be generalized</w:t>
      </w:r>
      <w:r w:rsidR="002F4F19" w:rsidRPr="00177EC3">
        <w:t xml:space="preserve"> to represent all Agent Orange V</w:t>
      </w:r>
      <w:r w:rsidRPr="00177EC3">
        <w:t>eterans.</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b/>
          <w:sz w:val="24"/>
        </w:rPr>
        <w:t>3.</w:t>
      </w:r>
      <w:r w:rsidRPr="00177EC3">
        <w:rPr>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00DB7853">
        <w:rPr>
          <w:b/>
          <w:sz w:val="24"/>
        </w:rPr>
        <w:t xml:space="preserve">ting this means of collection. </w:t>
      </w:r>
      <w:r w:rsidRPr="00177EC3">
        <w:rPr>
          <w:b/>
          <w:sz w:val="24"/>
        </w:rPr>
        <w:t xml:space="preserve">Also </w:t>
      </w:r>
      <w:r w:rsidR="007971B8">
        <w:rPr>
          <w:b/>
          <w:sz w:val="24"/>
        </w:rPr>
        <w:t>describe</w:t>
      </w:r>
      <w:r w:rsidRPr="00177EC3">
        <w:rPr>
          <w:b/>
          <w:sz w:val="24"/>
        </w:rPr>
        <w:t xml:space="preserve"> any consideration of using information technology to reduce burden.</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s>
        <w:rPr>
          <w:sz w:val="24"/>
        </w:rPr>
      </w:pPr>
      <w:r w:rsidRPr="00177EC3">
        <w:rPr>
          <w:sz w:val="24"/>
        </w:rPr>
        <w:tab/>
        <w:t>In accordance with the Government Paperwork Elimination Act, VA implemented the electronic submission o</w:t>
      </w:r>
      <w:r w:rsidR="008469FC" w:rsidRPr="00177EC3">
        <w:rPr>
          <w:sz w:val="24"/>
        </w:rPr>
        <w:t>f these data contained on this worksheet</w:t>
      </w:r>
      <w:r w:rsidRPr="00177EC3">
        <w:rPr>
          <w:sz w:val="24"/>
        </w:rPr>
        <w:t xml:space="preserve">.  However, since data is gathered in association with a </w:t>
      </w:r>
      <w:r w:rsidR="00312719">
        <w:rPr>
          <w:sz w:val="24"/>
        </w:rPr>
        <w:t xml:space="preserve">medical </w:t>
      </w:r>
      <w:r w:rsidRPr="00177EC3">
        <w:rPr>
          <w:sz w:val="24"/>
        </w:rPr>
        <w:t xml:space="preserve">exam, it was determined that publication of the </w:t>
      </w:r>
      <w:r w:rsidR="008469FC" w:rsidRPr="00177EC3">
        <w:rPr>
          <w:sz w:val="24"/>
        </w:rPr>
        <w:t>worksheet</w:t>
      </w:r>
      <w:r w:rsidRPr="00177EC3">
        <w:rPr>
          <w:sz w:val="24"/>
        </w:rPr>
        <w:t xml:space="preserve"> on the Internet was inappropriate.  The</w:t>
      </w:r>
      <w:r w:rsidR="008469FC" w:rsidRPr="00177EC3">
        <w:rPr>
          <w:sz w:val="24"/>
        </w:rPr>
        <w:t xml:space="preserve"> information obtained from the V</w:t>
      </w:r>
      <w:r w:rsidRPr="00177EC3">
        <w:rPr>
          <w:sz w:val="24"/>
        </w:rPr>
        <w:t xml:space="preserve">eteran is entered directly by VA personnel onto an electronic </w:t>
      </w:r>
      <w:r w:rsidR="008469FC" w:rsidRPr="00177EC3">
        <w:rPr>
          <w:sz w:val="24"/>
        </w:rPr>
        <w:t>worksheet</w:t>
      </w:r>
      <w:r w:rsidRPr="00177EC3">
        <w:rPr>
          <w:sz w:val="24"/>
        </w:rPr>
        <w:t xml:space="preserve"> via a secured intranet website </w:t>
      </w:r>
      <w:hyperlink r:id="rId9" w:history="1">
        <w:r w:rsidRPr="00177EC3">
          <w:rPr>
            <w:rStyle w:val="Hyperlink"/>
            <w:color w:val="auto"/>
            <w:sz w:val="24"/>
          </w:rPr>
          <w:t>http://vaww.registries.aac.va.gov</w:t>
        </w:r>
      </w:hyperlink>
      <w:r w:rsidRPr="00177EC3">
        <w:rPr>
          <w:sz w:val="24"/>
        </w:rPr>
        <w:t xml:space="preserve"> and tra</w:t>
      </w:r>
      <w:r w:rsidR="008469FC" w:rsidRPr="00177EC3">
        <w:rPr>
          <w:sz w:val="24"/>
        </w:rPr>
        <w:t xml:space="preserve">nsmitted directly to the EAS automated Agent Orange Registry database located at the AITC, </w:t>
      </w:r>
      <w:smartTag w:uri="urn:schemas-microsoft-com:office:smarttags" w:element="place">
        <w:smartTag w:uri="urn:schemas-microsoft-com:office:smarttags" w:element="City">
          <w:r w:rsidR="008469FC" w:rsidRPr="00177EC3">
            <w:rPr>
              <w:sz w:val="24"/>
            </w:rPr>
            <w:t>Austin</w:t>
          </w:r>
        </w:smartTag>
        <w:r w:rsidR="008469FC" w:rsidRPr="00177EC3">
          <w:rPr>
            <w:sz w:val="24"/>
          </w:rPr>
          <w:t xml:space="preserve">, </w:t>
        </w:r>
        <w:smartTag w:uri="urn:schemas-microsoft-com:office:smarttags" w:element="State">
          <w:r w:rsidR="008469FC" w:rsidRPr="00177EC3">
            <w:rPr>
              <w:sz w:val="24"/>
            </w:rPr>
            <w:t>TX</w:t>
          </w:r>
        </w:smartTag>
      </w:smartTag>
      <w:r w:rsidR="008469FC" w:rsidRPr="00177EC3">
        <w:rPr>
          <w:sz w:val="24"/>
        </w:rPr>
        <w:t>.</w:t>
      </w:r>
      <w:r w:rsidRPr="00177EC3">
        <w:rPr>
          <w:sz w:val="24"/>
        </w:rPr>
        <w:t xml:space="preserve">  Edits are automatically accomplished at the time of entry.  To prevent duplication of data, the website is linked to the National Patient Care Database (NPCD) enabling the Environmental Health </w:t>
      </w:r>
      <w:r w:rsidR="00F23E9F" w:rsidRPr="00177EC3">
        <w:rPr>
          <w:sz w:val="24"/>
        </w:rPr>
        <w:t xml:space="preserve">(EH) </w:t>
      </w:r>
      <w:r w:rsidRPr="00177EC3">
        <w:rPr>
          <w:sz w:val="24"/>
        </w:rPr>
        <w:t xml:space="preserve">Coordinator to populate the </w:t>
      </w:r>
      <w:r w:rsidR="008469FC" w:rsidRPr="00177EC3">
        <w:rPr>
          <w:sz w:val="24"/>
        </w:rPr>
        <w:t>worksheet</w:t>
      </w:r>
      <w:r w:rsidRPr="00177EC3">
        <w:rPr>
          <w:sz w:val="24"/>
        </w:rPr>
        <w:t xml:space="preserve"> with the needed demographic and service date information.</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4.</w:t>
      </w:r>
      <w:r w:rsidRPr="00177EC3">
        <w:rPr>
          <w:b/>
          <w:sz w:val="24"/>
        </w:rPr>
        <w:tab/>
        <w:t>Describe efforts to identify duplication.  Show specifically why any similar information already available cannot be used or modified for use for the purposes described in Item 2 above.</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s>
        <w:rPr>
          <w:sz w:val="24"/>
        </w:rPr>
      </w:pPr>
      <w:r w:rsidRPr="00177EC3">
        <w:rPr>
          <w:sz w:val="24"/>
        </w:rPr>
        <w:tab/>
        <w:t>This interview is needed as the information being collected during the Agent Orange registry examination process is not available from another source.</w:t>
      </w:r>
      <w:r w:rsidR="00312719">
        <w:rPr>
          <w:sz w:val="24"/>
        </w:rPr>
        <w:t xml:space="preserve">  The information is obtained during a focused medical examination reviewing diagnoses or conditions possibly associated with Agent Orange Exposure.</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5.</w:t>
      </w:r>
      <w:r w:rsidRPr="00177EC3">
        <w:rPr>
          <w:b/>
          <w:sz w:val="24"/>
        </w:rPr>
        <w:tab/>
        <w:t>If the collection of information impacts small businesses or other small entities, describe any methods used to minimize burden.</w:t>
      </w:r>
    </w:p>
    <w:p w:rsidR="00C75D08" w:rsidRPr="00177EC3" w:rsidRDefault="00C75D08">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tabs>
          <w:tab w:val="left" w:pos="540"/>
          <w:tab w:val="left" w:pos="1080"/>
          <w:tab w:val="left" w:pos="1620"/>
          <w:tab w:val="left" w:pos="2160"/>
        </w:tabs>
        <w:rPr>
          <w:sz w:val="24"/>
        </w:rPr>
      </w:pPr>
      <w:r w:rsidRPr="00177EC3">
        <w:rPr>
          <w:sz w:val="24"/>
        </w:rPr>
        <w:tab/>
        <w:t>No small businesses or other small entities are impacted by this information collection.</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6.</w:t>
      </w:r>
      <w:r w:rsidRPr="00177EC3">
        <w:rPr>
          <w:b/>
          <w:sz w:val="24"/>
        </w:rPr>
        <w:tab/>
        <w:t>Describe the consequences to Federal program or policy activities if the collection is not conducted or is conducted less frequently as well as any technical or legal obstacles to reducing burden.</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s>
        <w:rPr>
          <w:sz w:val="24"/>
        </w:rPr>
      </w:pPr>
      <w:r w:rsidRPr="00177EC3">
        <w:rPr>
          <w:sz w:val="24"/>
        </w:rPr>
        <w:tab/>
        <w:t xml:space="preserve">Collection frequency is based on the self-request by </w:t>
      </w:r>
      <w:r w:rsidR="008469FC" w:rsidRPr="00177EC3">
        <w:rPr>
          <w:sz w:val="24"/>
        </w:rPr>
        <w:t>V</w:t>
      </w:r>
      <w:r w:rsidRPr="00177EC3">
        <w:rPr>
          <w:sz w:val="24"/>
        </w:rPr>
        <w:t xml:space="preserve">eterans who may have been exposed to the </w:t>
      </w:r>
      <w:r w:rsidR="00312719">
        <w:rPr>
          <w:sz w:val="24"/>
        </w:rPr>
        <w:t xml:space="preserve">Agent Orange </w:t>
      </w:r>
      <w:r w:rsidRPr="00177EC3">
        <w:rPr>
          <w:sz w:val="24"/>
        </w:rPr>
        <w:t xml:space="preserve">herbicide for the scheduling of physical examinations.  VA would </w:t>
      </w:r>
      <w:r w:rsidR="00312719">
        <w:rPr>
          <w:sz w:val="24"/>
        </w:rPr>
        <w:t xml:space="preserve">be unable </w:t>
      </w:r>
      <w:r w:rsidRPr="00177EC3">
        <w:rPr>
          <w:sz w:val="24"/>
        </w:rPr>
        <w:t xml:space="preserve">to keep </w:t>
      </w:r>
      <w:r w:rsidR="008469FC" w:rsidRPr="00177EC3">
        <w:rPr>
          <w:sz w:val="24"/>
        </w:rPr>
        <w:t>V</w:t>
      </w:r>
      <w:r w:rsidRPr="00177EC3">
        <w:rPr>
          <w:sz w:val="24"/>
        </w:rPr>
        <w:t>eterans who have been exposed to Agent Orange informed on research findings, new compensation policies and provide Congress and its constituents with updated s</w:t>
      </w:r>
      <w:r w:rsidR="00312719">
        <w:rPr>
          <w:sz w:val="24"/>
        </w:rPr>
        <w:t xml:space="preserve">ummary </w:t>
      </w:r>
      <w:r w:rsidRPr="00177EC3">
        <w:rPr>
          <w:sz w:val="24"/>
        </w:rPr>
        <w:t>findings if this information was</w:t>
      </w:r>
      <w:r w:rsidR="00312719">
        <w:rPr>
          <w:sz w:val="24"/>
        </w:rPr>
        <w:t xml:space="preserve"> omitted or</w:t>
      </w:r>
      <w:r w:rsidRPr="00177EC3">
        <w:rPr>
          <w:sz w:val="24"/>
        </w:rPr>
        <w:t xml:space="preserve"> collected less frequently.</w:t>
      </w:r>
      <w:r w:rsidR="00312719">
        <w:rPr>
          <w:sz w:val="24"/>
        </w:rPr>
        <w:t xml:space="preserve">  </w:t>
      </w:r>
    </w:p>
    <w:p w:rsidR="00C75D08" w:rsidRPr="00177EC3" w:rsidRDefault="00C75D08">
      <w:pPr>
        <w:tabs>
          <w:tab w:val="left" w:pos="540"/>
          <w:tab w:val="left" w:pos="1080"/>
          <w:tab w:val="left" w:pos="1620"/>
          <w:tab w:val="left" w:pos="2160"/>
        </w:tabs>
        <w:rPr>
          <w:sz w:val="24"/>
        </w:rPr>
      </w:pPr>
    </w:p>
    <w:p w:rsidR="00C75D08" w:rsidRPr="00177EC3" w:rsidRDefault="00C75D08">
      <w:pPr>
        <w:numPr>
          <w:ilvl w:val="0"/>
          <w:numId w:val="4"/>
        </w:numPr>
        <w:tabs>
          <w:tab w:val="clear" w:pos="720"/>
          <w:tab w:val="left" w:pos="540"/>
          <w:tab w:val="left" w:pos="1080"/>
          <w:tab w:val="left" w:pos="1620"/>
          <w:tab w:val="left" w:pos="2160"/>
        </w:tabs>
        <w:ind w:left="0" w:firstLine="0"/>
        <w:rPr>
          <w:b/>
          <w:sz w:val="24"/>
        </w:rPr>
      </w:pPr>
      <w:r w:rsidRPr="00177EC3">
        <w:rPr>
          <w:b/>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s>
        <w:rPr>
          <w:sz w:val="24"/>
        </w:rPr>
      </w:pPr>
      <w:r w:rsidRPr="00177EC3">
        <w:rPr>
          <w:sz w:val="24"/>
        </w:rPr>
        <w:tab/>
        <w:t>There are no such special circumstances.</w:t>
      </w:r>
      <w:r w:rsidR="00312719">
        <w:rPr>
          <w:sz w:val="24"/>
        </w:rPr>
        <w:t xml:space="preserve">  Collection frequency is based on the Veteran’s request for an Agent Orange registry exam.  The initial exam and any follow-up examinations are voluntary and performed upon request.</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s>
        <w:rPr>
          <w:b/>
          <w:sz w:val="24"/>
        </w:rPr>
      </w:pPr>
      <w:r w:rsidRPr="00177EC3">
        <w:rPr>
          <w:b/>
          <w:sz w:val="24"/>
        </w:rPr>
        <w:t>8.</w:t>
      </w:r>
      <w:r w:rsidRPr="00177EC3">
        <w:rPr>
          <w:b/>
          <w:sz w:val="24"/>
        </w:rPr>
        <w:tab/>
        <w:t>a.</w:t>
      </w:r>
      <w:r w:rsidRPr="00177EC3">
        <w:rPr>
          <w:b/>
          <w:sz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A65BC" w:rsidRDefault="003A65BC" w:rsidP="008A56F9">
      <w:pPr>
        <w:tabs>
          <w:tab w:val="left" w:pos="547"/>
          <w:tab w:val="left" w:pos="1080"/>
          <w:tab w:val="left" w:pos="1627"/>
          <w:tab w:val="left" w:pos="2160"/>
          <w:tab w:val="left" w:pos="2880"/>
        </w:tabs>
      </w:pPr>
    </w:p>
    <w:p w:rsidR="00ED12D3" w:rsidRPr="00177EC3" w:rsidRDefault="008A56F9" w:rsidP="00ED12D3">
      <w:pPr>
        <w:tabs>
          <w:tab w:val="left" w:pos="547"/>
          <w:tab w:val="left" w:pos="1080"/>
          <w:tab w:val="left" w:pos="1627"/>
          <w:tab w:val="left" w:pos="2160"/>
          <w:tab w:val="left" w:pos="2880"/>
        </w:tabs>
        <w:rPr>
          <w:sz w:val="24"/>
          <w:szCs w:val="24"/>
        </w:rPr>
      </w:pPr>
      <w:r w:rsidRPr="00177EC3">
        <w:tab/>
      </w:r>
      <w:r w:rsidR="00ED12D3" w:rsidRPr="00177EC3">
        <w:rPr>
          <w:sz w:val="24"/>
          <w:szCs w:val="24"/>
        </w:rPr>
        <w:t xml:space="preserve">The notice of Proposed Information Collection Activity was published in the Federal Register on </w:t>
      </w:r>
      <w:r w:rsidR="00E65E36" w:rsidRPr="00E65E36">
        <w:rPr>
          <w:sz w:val="24"/>
          <w:szCs w:val="24"/>
        </w:rPr>
        <w:t>Thursday, October 6, 2016</w:t>
      </w:r>
      <w:r w:rsidR="0046182E">
        <w:rPr>
          <w:sz w:val="24"/>
          <w:szCs w:val="24"/>
        </w:rPr>
        <w:t xml:space="preserve">, pages </w:t>
      </w:r>
      <w:r w:rsidR="00E65E36" w:rsidRPr="00E65E36">
        <w:rPr>
          <w:sz w:val="24"/>
          <w:szCs w:val="24"/>
        </w:rPr>
        <w:t>69571</w:t>
      </w:r>
      <w:r w:rsidR="00E65E36">
        <w:rPr>
          <w:sz w:val="24"/>
          <w:szCs w:val="24"/>
        </w:rPr>
        <w:t>-</w:t>
      </w:r>
      <w:r w:rsidR="00E65E36" w:rsidRPr="00E65E36">
        <w:t xml:space="preserve"> </w:t>
      </w:r>
      <w:r w:rsidR="00E65E36" w:rsidRPr="00E65E36">
        <w:rPr>
          <w:sz w:val="24"/>
          <w:szCs w:val="24"/>
        </w:rPr>
        <w:t>6957</w:t>
      </w:r>
      <w:r w:rsidR="00E65E36">
        <w:rPr>
          <w:sz w:val="24"/>
          <w:szCs w:val="24"/>
        </w:rPr>
        <w:t>2</w:t>
      </w:r>
      <w:r w:rsidR="0046182E">
        <w:rPr>
          <w:sz w:val="24"/>
          <w:szCs w:val="24"/>
        </w:rPr>
        <w:t xml:space="preserve">, Volume </w:t>
      </w:r>
      <w:r w:rsidR="00E65E36">
        <w:rPr>
          <w:sz w:val="24"/>
          <w:szCs w:val="24"/>
        </w:rPr>
        <w:t>81</w:t>
      </w:r>
      <w:r w:rsidR="0046182E">
        <w:rPr>
          <w:sz w:val="24"/>
          <w:szCs w:val="24"/>
        </w:rPr>
        <w:t xml:space="preserve">, No. </w:t>
      </w:r>
      <w:r w:rsidR="00E65E36">
        <w:rPr>
          <w:sz w:val="24"/>
          <w:szCs w:val="24"/>
        </w:rPr>
        <w:t>194</w:t>
      </w:r>
      <w:r w:rsidR="0046182E">
        <w:rPr>
          <w:sz w:val="24"/>
          <w:szCs w:val="24"/>
        </w:rPr>
        <w:t xml:space="preserve">. </w:t>
      </w:r>
    </w:p>
    <w:p w:rsidR="008A56F9" w:rsidRPr="00177EC3" w:rsidRDefault="008A56F9" w:rsidP="008A56F9">
      <w:pPr>
        <w:tabs>
          <w:tab w:val="left" w:pos="547"/>
          <w:tab w:val="left" w:pos="1080"/>
          <w:tab w:val="left" w:pos="1627"/>
          <w:tab w:val="left" w:pos="2160"/>
          <w:tab w:val="left" w:pos="2880"/>
        </w:tabs>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ab/>
        <w:t>b.</w:t>
      </w:r>
      <w:r w:rsidRPr="00177EC3">
        <w:rPr>
          <w:b/>
          <w:sz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C75D08" w:rsidRPr="00177EC3" w:rsidRDefault="00C75D08">
      <w:pPr>
        <w:tabs>
          <w:tab w:val="left" w:pos="540"/>
          <w:tab w:val="left" w:pos="1080"/>
          <w:tab w:val="left" w:pos="1620"/>
          <w:tab w:val="left" w:pos="2160"/>
        </w:tabs>
        <w:rPr>
          <w:b/>
          <w:sz w:val="24"/>
        </w:rPr>
      </w:pPr>
      <w:r w:rsidRPr="00177EC3">
        <w:rPr>
          <w:sz w:val="24"/>
        </w:rPr>
        <w:tab/>
        <w:t xml:space="preserve">Public comment will be provided through the 60 and 90-day comment period as announced in the </w:t>
      </w:r>
      <w:r w:rsidRPr="00177EC3">
        <w:rPr>
          <w:sz w:val="24"/>
          <w:u w:val="single"/>
        </w:rPr>
        <w:t>Federal Register</w:t>
      </w:r>
      <w:r w:rsidRPr="00177EC3">
        <w:rPr>
          <w:sz w:val="24"/>
        </w:rPr>
        <w:t>.</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b/>
          <w:sz w:val="24"/>
        </w:rPr>
        <w:t>9</w:t>
      </w:r>
      <w:r w:rsidRPr="00177EC3">
        <w:rPr>
          <w:sz w:val="24"/>
        </w:rPr>
        <w:t>.</w:t>
      </w:r>
      <w:r w:rsidRPr="00177EC3">
        <w:rPr>
          <w:sz w:val="24"/>
        </w:rPr>
        <w:tab/>
      </w:r>
      <w:r w:rsidRPr="00177EC3">
        <w:rPr>
          <w:b/>
          <w:sz w:val="24"/>
        </w:rPr>
        <w:t>Explain any decision to provide any payment or gift to respondents, other than remuneration of contractors or grantees.</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pStyle w:val="BodyText"/>
        <w:tabs>
          <w:tab w:val="left" w:pos="2880"/>
          <w:tab w:val="left" w:pos="3600"/>
          <w:tab w:val="left" w:pos="4320"/>
          <w:tab w:val="left" w:pos="5040"/>
          <w:tab w:val="left" w:pos="5760"/>
          <w:tab w:val="left" w:pos="6480"/>
          <w:tab w:val="left" w:pos="7200"/>
          <w:tab w:val="left" w:pos="7920"/>
          <w:tab w:val="left" w:pos="8640"/>
        </w:tabs>
      </w:pPr>
      <w:r w:rsidRPr="00177EC3">
        <w:tab/>
        <w:t>No payment or gift is provided to respondents.</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numPr>
          <w:ilvl w:val="0"/>
          <w:numId w:val="6"/>
        </w:numPr>
        <w:tabs>
          <w:tab w:val="clear" w:pos="51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0" w:firstLine="0"/>
        <w:rPr>
          <w:b/>
          <w:sz w:val="24"/>
        </w:rPr>
      </w:pPr>
      <w:r w:rsidRPr="00177EC3">
        <w:rPr>
          <w:b/>
          <w:sz w:val="24"/>
        </w:rPr>
        <w:t xml:space="preserve">Describe any assurance of </w:t>
      </w:r>
      <w:r w:rsidR="001F2E3C">
        <w:rPr>
          <w:b/>
          <w:sz w:val="24"/>
        </w:rPr>
        <w:t>privac</w:t>
      </w:r>
      <w:r w:rsidRPr="00177EC3">
        <w:rPr>
          <w:b/>
          <w:sz w:val="24"/>
        </w:rPr>
        <w:t>y</w:t>
      </w:r>
      <w:r w:rsidR="001F2E3C">
        <w:rPr>
          <w:b/>
          <w:sz w:val="24"/>
        </w:rPr>
        <w:t>, to the extent</w:t>
      </w:r>
      <w:r w:rsidRPr="00177EC3">
        <w:rPr>
          <w:b/>
          <w:sz w:val="24"/>
        </w:rPr>
        <w:t xml:space="preserve"> provided</w:t>
      </w:r>
      <w:r w:rsidR="001F2E3C">
        <w:rPr>
          <w:b/>
          <w:sz w:val="24"/>
        </w:rPr>
        <w:t xml:space="preserve"> by law,</w:t>
      </w:r>
      <w:r w:rsidRPr="00177EC3">
        <w:rPr>
          <w:b/>
          <w:sz w:val="24"/>
        </w:rPr>
        <w:t xml:space="preserve"> to respondents and the basis for the assurance in statue, regulation, or agency policy.</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8A56F9" w:rsidRDefault="00C75D08" w:rsidP="008A56F9">
      <w:pPr>
        <w:tabs>
          <w:tab w:val="left" w:pos="547"/>
          <w:tab w:val="left" w:pos="1080"/>
          <w:tab w:val="left" w:pos="1627"/>
          <w:tab w:val="left" w:pos="2160"/>
          <w:tab w:val="left" w:pos="2880"/>
        </w:tabs>
        <w:rPr>
          <w:i/>
          <w:sz w:val="24"/>
          <w:szCs w:val="24"/>
        </w:rPr>
      </w:pPr>
      <w:r w:rsidRPr="00177EC3">
        <w:rPr>
          <w:sz w:val="24"/>
          <w:szCs w:val="24"/>
        </w:rPr>
        <w:tab/>
        <w:t xml:space="preserve">Assurances of confidentiality are contained in 38 U.S.C. 5701 and 7332.  Respondents are informed that the information collected will become part of the Consolidated Health Record that complies with the Privacy Act of 1974.  These </w:t>
      </w:r>
      <w:r w:rsidR="008469FC" w:rsidRPr="00177EC3">
        <w:rPr>
          <w:sz w:val="24"/>
          <w:szCs w:val="24"/>
        </w:rPr>
        <w:t>worksheets</w:t>
      </w:r>
      <w:r w:rsidRPr="00177EC3">
        <w:rPr>
          <w:sz w:val="24"/>
          <w:szCs w:val="24"/>
        </w:rPr>
        <w:t xml:space="preserve"> are part of the system of records identified as identified as </w:t>
      </w:r>
      <w:r w:rsidR="00863321">
        <w:rPr>
          <w:sz w:val="24"/>
          <w:szCs w:val="24"/>
        </w:rPr>
        <w:t>24</w:t>
      </w:r>
      <w:r w:rsidRPr="00177EC3">
        <w:rPr>
          <w:sz w:val="24"/>
          <w:szCs w:val="24"/>
        </w:rPr>
        <w:t>VA</w:t>
      </w:r>
      <w:r w:rsidR="004E3EFA">
        <w:rPr>
          <w:sz w:val="24"/>
          <w:szCs w:val="24"/>
        </w:rPr>
        <w:t>10P2</w:t>
      </w:r>
      <w:r w:rsidRPr="00177EC3">
        <w:rPr>
          <w:sz w:val="24"/>
          <w:szCs w:val="24"/>
        </w:rPr>
        <w:t xml:space="preserve"> “Patient Medical Record – VA” as set forth in the Compilation of Privacy Act Issuances via online </w:t>
      </w:r>
      <w:r w:rsidR="002C6D3A">
        <w:rPr>
          <w:sz w:val="24"/>
          <w:szCs w:val="24"/>
        </w:rPr>
        <w:t xml:space="preserve">GPO </w:t>
      </w:r>
      <w:r w:rsidRPr="00177EC3">
        <w:rPr>
          <w:sz w:val="24"/>
          <w:szCs w:val="24"/>
        </w:rPr>
        <w:t>access at</w:t>
      </w:r>
      <w:r w:rsidR="00947E10">
        <w:rPr>
          <w:sz w:val="24"/>
          <w:szCs w:val="24"/>
        </w:rPr>
        <w:t>:</w:t>
      </w:r>
      <w:r w:rsidR="00947E10">
        <w:rPr>
          <w:rFonts w:ascii="Times New (W1)" w:hAnsi="Times New (W1)"/>
          <w:sz w:val="24"/>
          <w:szCs w:val="24"/>
        </w:rPr>
        <w:t xml:space="preserve"> </w:t>
      </w:r>
      <w:hyperlink r:id="rId10" w:history="1">
        <w:r w:rsidR="002C6D3A" w:rsidRPr="009827F8">
          <w:rPr>
            <w:rStyle w:val="Hyperlink"/>
            <w:i/>
            <w:sz w:val="24"/>
            <w:szCs w:val="24"/>
          </w:rPr>
          <w:t>https://www.gpo.gov/fdsys/pkg/FR-2012-10-31/pdf/2012-26801.pdf</w:t>
        </w:r>
      </w:hyperlink>
    </w:p>
    <w:p w:rsidR="008A56F9" w:rsidRPr="00177EC3" w:rsidRDefault="008A56F9" w:rsidP="008A56F9">
      <w:pPr>
        <w:tabs>
          <w:tab w:val="left" w:pos="547"/>
          <w:tab w:val="left" w:pos="1080"/>
          <w:tab w:val="left" w:pos="1627"/>
          <w:tab w:val="left" w:pos="2160"/>
          <w:tab w:val="left" w:pos="2880"/>
        </w:tabs>
        <w:rPr>
          <w:i/>
          <w:sz w:val="24"/>
          <w:szCs w:val="24"/>
        </w:rPr>
      </w:pPr>
    </w:p>
    <w:p w:rsidR="00312719" w:rsidRDefault="00312719" w:rsidP="00312719">
      <w:pPr>
        <w:pStyle w:val="BodyText3"/>
        <w:numPr>
          <w:ilvl w:val="0"/>
          <w:numId w:val="6"/>
        </w:numPr>
        <w:rPr>
          <w:sz w:val="24"/>
          <w:szCs w:val="24"/>
        </w:rPr>
      </w:pPr>
      <w:r w:rsidRPr="00312719">
        <w:rPr>
          <w:sz w:val="24"/>
          <w:szCs w:val="24"/>
        </w:rPr>
        <w:t xml:space="preserve">Provide additional justification for any questions of a sensitive nature, such as sexual </w:t>
      </w:r>
    </w:p>
    <w:p w:rsidR="00C75D08" w:rsidRPr="00312719" w:rsidRDefault="00312719" w:rsidP="00312719">
      <w:pPr>
        <w:pStyle w:val="BodyText3"/>
        <w:rPr>
          <w:sz w:val="24"/>
          <w:szCs w:val="24"/>
        </w:rPr>
      </w:pPr>
      <w:r w:rsidRPr="00312719">
        <w:rPr>
          <w:sz w:val="24"/>
          <w:szCs w:val="24"/>
        </w:rPr>
        <w:t>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12719" w:rsidRPr="00177EC3" w:rsidRDefault="00312719" w:rsidP="00312719">
      <w:pPr>
        <w:pStyle w:val="BodyText3"/>
        <w:rPr>
          <w:sz w:val="24"/>
          <w:szCs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sz w:val="24"/>
        </w:rPr>
        <w:tab/>
        <w:t>There are no questions of a sensitive nature.</w:t>
      </w:r>
      <w:r w:rsidR="00312719">
        <w:rPr>
          <w:sz w:val="24"/>
        </w:rPr>
        <w:t xml:space="preserve">  The medical examination is focused on conditions that may be related to Agent Orange exposure.  Use of that information is to offer medical advice and treatment as necessary.</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12.</w:t>
      </w:r>
      <w:r w:rsidRPr="00177EC3">
        <w:rPr>
          <w:b/>
          <w:sz w:val="24"/>
        </w:rPr>
        <w:tab/>
        <w:t>Estimate of the hour burden of the collection of information:</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ab/>
        <w:t>a.</w:t>
      </w:r>
      <w:r w:rsidRPr="00177EC3">
        <w:rPr>
          <w:b/>
          <w:sz w:val="24"/>
        </w:rPr>
        <w:tab/>
        <w:t>Annual burden estimate.</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pStyle w:val="BodyText"/>
        <w:tabs>
          <w:tab w:val="left" w:pos="2880"/>
          <w:tab w:val="left" w:pos="3600"/>
          <w:tab w:val="left" w:pos="4320"/>
          <w:tab w:val="left" w:pos="5040"/>
          <w:tab w:val="left" w:pos="5760"/>
          <w:tab w:val="left" w:pos="6480"/>
          <w:tab w:val="left" w:pos="7200"/>
          <w:tab w:val="left" w:pos="7920"/>
          <w:tab w:val="left" w:pos="8640"/>
        </w:tabs>
      </w:pPr>
      <w:r w:rsidRPr="00177EC3">
        <w:tab/>
      </w:r>
      <w:r w:rsidRPr="00177EC3">
        <w:tab/>
        <w:t xml:space="preserve">We estimate that </w:t>
      </w:r>
      <w:r w:rsidR="00AD2109" w:rsidRPr="00177EC3">
        <w:t>2</w:t>
      </w:r>
      <w:r w:rsidR="004A25FB" w:rsidRPr="00177EC3">
        <w:t>0</w:t>
      </w:r>
      <w:r w:rsidRPr="00177EC3">
        <w:t xml:space="preserve">,000 registry examinations will be conducted annually with </w:t>
      </w:r>
      <w:r w:rsidR="00312719">
        <w:t>30</w:t>
      </w:r>
      <w:r w:rsidRPr="00177EC3">
        <w:t xml:space="preserve"> minutes required per</w:t>
      </w:r>
      <w:r w:rsidR="004A25FB" w:rsidRPr="00177EC3">
        <w:t xml:space="preserve"> V</w:t>
      </w:r>
      <w:r w:rsidRPr="00177EC3">
        <w:t xml:space="preserve">eteran for a total of </w:t>
      </w:r>
      <w:r w:rsidR="00312719">
        <w:t>10,000</w:t>
      </w:r>
      <w:r w:rsidRPr="00177EC3">
        <w:t xml:space="preserve"> burden hours.</w:t>
      </w:r>
      <w:r w:rsidR="00312719">
        <w:t xml:space="preserve">  This will decrease over time with the </w:t>
      </w:r>
      <w:r w:rsidR="00B80103">
        <w:t xml:space="preserve">aging of our Vietnam Veteran population.  Currently the examinations have averaged 20,000 voluntary requests per year for almost 40 years.  </w:t>
      </w:r>
    </w:p>
    <w:p w:rsidR="00C75D08" w:rsidRPr="00177EC3" w:rsidRDefault="00C75D08">
      <w:pPr>
        <w:tabs>
          <w:tab w:val="left" w:pos="540"/>
          <w:tab w:val="left" w:pos="1080"/>
          <w:tab w:val="left" w:pos="1620"/>
          <w:tab w:val="left" w:pos="2160"/>
        </w:tabs>
        <w:rPr>
          <w:sz w:val="24"/>
        </w:rPr>
      </w:pPr>
    </w:p>
    <w:p w:rsidR="00C75D08" w:rsidRPr="00177EC3" w:rsidRDefault="00C75D08">
      <w:pPr>
        <w:pStyle w:val="BodyText2"/>
        <w:rPr>
          <w:color w:val="auto"/>
        </w:rPr>
      </w:pPr>
      <w:r w:rsidRPr="00177EC3">
        <w:rPr>
          <w:color w:val="auto"/>
        </w:rPr>
        <w:tab/>
        <w:t>b.</w:t>
      </w:r>
      <w:r w:rsidRPr="00177EC3">
        <w:rPr>
          <w:color w:val="auto"/>
        </w:rPr>
        <w:tab/>
        <w:t>If this request for approval covers more than one form, provide separate hour burden estimates for each form and aggregate the hour burdens in Item 13 of OMB 83-I.</w:t>
      </w:r>
    </w:p>
    <w:p w:rsidR="00C75D08" w:rsidRPr="00177EC3" w:rsidRDefault="00C75D08">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8469F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sz w:val="24"/>
        </w:rPr>
        <w:tab/>
      </w:r>
      <w:r w:rsidRPr="00177EC3">
        <w:rPr>
          <w:sz w:val="24"/>
        </w:rPr>
        <w:tab/>
        <w:t>This request covers only one worksheet</w:t>
      </w:r>
      <w:r w:rsidR="00C75D08" w:rsidRPr="00177EC3">
        <w:rPr>
          <w:sz w:val="24"/>
        </w:rPr>
        <w:t>.</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ab/>
        <w:t>c.</w:t>
      </w:r>
      <w:r w:rsidRPr="00177EC3">
        <w:rPr>
          <w:b/>
          <w:sz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7971B8" w:rsidRDefault="007971B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7971B8" w:rsidRDefault="007971B8" w:rsidP="007971B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Pr="007971B8">
        <w:rPr>
          <w:sz w:val="24"/>
        </w:rPr>
        <w:t>The responden</w:t>
      </w:r>
      <w:r>
        <w:rPr>
          <w:sz w:val="24"/>
        </w:rPr>
        <w:t xml:space="preserve">t population for VA Form 10-9009 is for a </w:t>
      </w:r>
      <w:r w:rsidRPr="007971B8">
        <w:t>registry</w:t>
      </w:r>
      <w:r w:rsidRPr="007971B8">
        <w:rPr>
          <w:sz w:val="24"/>
        </w:rPr>
        <w:t xml:space="preserve"> </w:t>
      </w:r>
      <w:r>
        <w:rPr>
          <w:sz w:val="24"/>
        </w:rPr>
        <w:t xml:space="preserve">that </w:t>
      </w:r>
      <w:r w:rsidRPr="007971B8">
        <w:rPr>
          <w:sz w:val="24"/>
        </w:rPr>
        <w:t xml:space="preserve">provides a mechanism to catalogue prominent symptoms, reproductive health, and diagnoses and to communicate with Agent Orange Veterans.  </w:t>
      </w:r>
      <w:r>
        <w:rPr>
          <w:sz w:val="24"/>
        </w:rPr>
        <w:t>VH</w:t>
      </w:r>
      <w:r w:rsidRPr="007971B8">
        <w:rPr>
          <w:sz w:val="24"/>
        </w:rPr>
        <w:t>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rsidR="007971B8" w:rsidRPr="007971B8" w:rsidRDefault="007971B8" w:rsidP="007971B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7971B8">
        <w:rPr>
          <w:sz w:val="24"/>
        </w:rPr>
        <w:t xml:space="preserve"> </w:t>
      </w:r>
    </w:p>
    <w:p w:rsidR="007971B8" w:rsidRPr="007971B8" w:rsidRDefault="0033688E" w:rsidP="007971B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7971B8" w:rsidRPr="007971B8">
        <w:rPr>
          <w:sz w:val="24"/>
        </w:rPr>
        <w:t xml:space="preserve">The Bureau of Labor Statistics (BLS) gathers information on full-time wage and salary workers.  According to the latest available BLS data, the median weekly earnings of full-time </w:t>
      </w:r>
      <w:r w:rsidR="00703EBA">
        <w:rPr>
          <w:sz w:val="24"/>
        </w:rPr>
        <w:t>wage and salary workers are $600</w:t>
      </w:r>
      <w:r w:rsidR="007971B8" w:rsidRPr="007971B8">
        <w:rPr>
          <w:sz w:val="24"/>
        </w:rPr>
        <w:t xml:space="preserve">.00.  Assuming a forty (40) hour work week, </w:t>
      </w:r>
      <w:r w:rsidR="00D85055">
        <w:rPr>
          <w:sz w:val="24"/>
        </w:rPr>
        <w:t>the median hourly wage is $</w:t>
      </w:r>
      <w:r w:rsidR="00D45086">
        <w:rPr>
          <w:sz w:val="24"/>
        </w:rPr>
        <w:t>14.19</w:t>
      </w:r>
      <w:r w:rsidR="007971B8" w:rsidRPr="007971B8">
        <w:rPr>
          <w:sz w:val="24"/>
        </w:rPr>
        <w:t>.</w:t>
      </w:r>
    </w:p>
    <w:p w:rsidR="007971B8" w:rsidRDefault="007971B8" w:rsidP="007971B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7971B8" w:rsidRDefault="007971B8" w:rsidP="007971B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Pr="007971B8">
        <w:rPr>
          <w:sz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w:t>
      </w:r>
      <w:r w:rsidR="00F00B31">
        <w:rPr>
          <w:sz w:val="24"/>
        </w:rPr>
        <w:t xml:space="preserve"> the information collection.  VH</w:t>
      </w:r>
      <w:r w:rsidRPr="007971B8">
        <w:rPr>
          <w:sz w:val="24"/>
        </w:rPr>
        <w:t>A estimates the total cost to</w:t>
      </w:r>
      <w:r w:rsidR="00D85055">
        <w:rPr>
          <w:sz w:val="24"/>
        </w:rPr>
        <w:t xml:space="preserve"> all respondents to be $</w:t>
      </w:r>
      <w:r w:rsidR="00B80103">
        <w:rPr>
          <w:sz w:val="24"/>
        </w:rPr>
        <w:t>141,900</w:t>
      </w:r>
      <w:r w:rsidR="00D85055">
        <w:rPr>
          <w:sz w:val="24"/>
        </w:rPr>
        <w:t xml:space="preserve"> (</w:t>
      </w:r>
      <w:r w:rsidR="00B80103">
        <w:rPr>
          <w:sz w:val="24"/>
        </w:rPr>
        <w:t>10,000</w:t>
      </w:r>
      <w:r w:rsidR="00D85055">
        <w:rPr>
          <w:sz w:val="24"/>
        </w:rPr>
        <w:t xml:space="preserve"> burden hours x $1</w:t>
      </w:r>
      <w:r w:rsidR="00D45086">
        <w:rPr>
          <w:sz w:val="24"/>
        </w:rPr>
        <w:t>4.19</w:t>
      </w:r>
      <w:r w:rsidRPr="007971B8">
        <w:rPr>
          <w:sz w:val="24"/>
        </w:rPr>
        <w:t xml:space="preserve"> per hour).</w:t>
      </w:r>
    </w:p>
    <w:p w:rsidR="00D85055" w:rsidRDefault="00D85055" w:rsidP="007971B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D85055" w:rsidRDefault="00D85055" w:rsidP="00D85055">
      <w:pPr>
        <w:rPr>
          <w:rFonts w:ascii="Arial" w:hAnsi="Arial" w:cs="Arial"/>
        </w:rPr>
      </w:pPr>
      <w:r>
        <w:rPr>
          <w:rFonts w:ascii="Arial" w:hAnsi="Arial" w:cs="Arial"/>
        </w:rPr>
        <w:t>May 2015 National Occupational Employment and Wage Estimates United States:</w:t>
      </w:r>
    </w:p>
    <w:p w:rsidR="00D85055" w:rsidRDefault="00596DBD" w:rsidP="00D85055">
      <w:pPr>
        <w:rPr>
          <w:rFonts w:ascii="Arial" w:hAnsi="Arial" w:cs="Arial"/>
        </w:rPr>
      </w:pPr>
      <w:hyperlink r:id="rId11" w:history="1">
        <w:r w:rsidR="00D85055">
          <w:rPr>
            <w:rStyle w:val="Hyperlink"/>
            <w:rFonts w:ascii="Arial" w:hAnsi="Arial" w:cs="Arial"/>
          </w:rPr>
          <w:t>http://www.bls.gov/oes/current/oes_nat.htm</w:t>
        </w:r>
      </w:hyperlink>
    </w:p>
    <w:p w:rsidR="00D85055" w:rsidRDefault="00D85055" w:rsidP="00D85055">
      <w:pPr>
        <w:rPr>
          <w:rFonts w:ascii="Arial" w:hAnsi="Arial" w:cs="Arial"/>
        </w:rPr>
      </w:pPr>
    </w:p>
    <w:tbl>
      <w:tblPr>
        <w:tblW w:w="5000" w:type="pct"/>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919"/>
        <w:gridCol w:w="3047"/>
        <w:gridCol w:w="662"/>
        <w:gridCol w:w="1047"/>
        <w:gridCol w:w="626"/>
        <w:gridCol w:w="761"/>
        <w:gridCol w:w="761"/>
        <w:gridCol w:w="761"/>
        <w:gridCol w:w="873"/>
        <w:gridCol w:w="659"/>
      </w:tblGrid>
      <w:tr w:rsidR="00D85055" w:rsidRPr="00D85055" w:rsidTr="00D85055">
        <w:trPr>
          <w:tblCellSpacing w:w="15" w:type="dxa"/>
        </w:trPr>
        <w:tc>
          <w:tcPr>
            <w:tcW w:w="0" w:type="auto"/>
            <w:shd w:val="clear" w:color="auto" w:fill="EEF4FF"/>
            <w:tcMar>
              <w:top w:w="45" w:type="dxa"/>
              <w:left w:w="45" w:type="dxa"/>
              <w:bottom w:w="45" w:type="dxa"/>
              <w:right w:w="45" w:type="dxa"/>
            </w:tcMar>
            <w:vAlign w:val="center"/>
            <w:hideMark/>
          </w:tcPr>
          <w:p w:rsidR="00D85055" w:rsidRPr="00D85055" w:rsidRDefault="00D85055" w:rsidP="00D85055">
            <w:pPr>
              <w:spacing w:after="120"/>
              <w:rPr>
                <w:rFonts w:ascii="Tahoma" w:hAnsi="Tahoma" w:cs="Tahoma"/>
                <w:sz w:val="17"/>
                <w:szCs w:val="17"/>
              </w:rPr>
            </w:pPr>
            <w:r w:rsidRPr="00D85055">
              <w:rPr>
                <w:rFonts w:ascii="Tahoma" w:hAnsi="Tahoma" w:cs="Tahoma"/>
                <w:sz w:val="17"/>
                <w:szCs w:val="17"/>
              </w:rPr>
              <w:t>31-0000</w:t>
            </w:r>
          </w:p>
        </w:tc>
        <w:tc>
          <w:tcPr>
            <w:tcW w:w="0" w:type="auto"/>
            <w:shd w:val="clear" w:color="auto" w:fill="EEF4FF"/>
            <w:tcMar>
              <w:top w:w="45" w:type="dxa"/>
              <w:left w:w="45" w:type="dxa"/>
              <w:bottom w:w="45" w:type="dxa"/>
              <w:right w:w="45" w:type="dxa"/>
            </w:tcMar>
            <w:vAlign w:val="center"/>
            <w:hideMark/>
          </w:tcPr>
          <w:p w:rsidR="00D85055" w:rsidRPr="00D85055" w:rsidRDefault="00596DBD" w:rsidP="00D85055">
            <w:pPr>
              <w:spacing w:after="120"/>
              <w:rPr>
                <w:rFonts w:ascii="Tahoma" w:hAnsi="Tahoma" w:cs="Tahoma"/>
                <w:sz w:val="17"/>
                <w:szCs w:val="17"/>
              </w:rPr>
            </w:pPr>
            <w:hyperlink r:id="rId12" w:history="1">
              <w:r w:rsidR="00D85055" w:rsidRPr="00D85055">
                <w:rPr>
                  <w:rFonts w:ascii="Tahoma" w:hAnsi="Tahoma" w:cs="Tahoma"/>
                  <w:color w:val="0000FF"/>
                  <w:sz w:val="17"/>
                  <w:szCs w:val="17"/>
                  <w:u w:val="single"/>
                </w:rPr>
                <w:t>Healthcare Support Occupations</w:t>
              </w:r>
            </w:hyperlink>
          </w:p>
        </w:tc>
        <w:tc>
          <w:tcPr>
            <w:tcW w:w="0" w:type="auto"/>
            <w:shd w:val="clear" w:color="auto" w:fill="EEF4FF"/>
            <w:tcMar>
              <w:top w:w="45" w:type="dxa"/>
              <w:left w:w="45" w:type="dxa"/>
              <w:bottom w:w="45" w:type="dxa"/>
              <w:right w:w="45" w:type="dxa"/>
            </w:tcMar>
            <w:vAlign w:val="center"/>
            <w:hideMark/>
          </w:tcPr>
          <w:p w:rsidR="00D85055" w:rsidRPr="00D85055" w:rsidRDefault="00D85055" w:rsidP="00D85055">
            <w:pPr>
              <w:spacing w:after="120"/>
              <w:jc w:val="center"/>
              <w:rPr>
                <w:rFonts w:ascii="Tahoma" w:hAnsi="Tahoma" w:cs="Tahoma"/>
                <w:sz w:val="17"/>
                <w:szCs w:val="17"/>
              </w:rPr>
            </w:pPr>
            <w:r w:rsidRPr="00D85055">
              <w:rPr>
                <w:rFonts w:ascii="Tahoma" w:hAnsi="Tahoma" w:cs="Tahoma"/>
                <w:sz w:val="17"/>
                <w:szCs w:val="17"/>
              </w:rPr>
              <w:t>major</w:t>
            </w:r>
          </w:p>
        </w:tc>
        <w:tc>
          <w:tcPr>
            <w:tcW w:w="0" w:type="auto"/>
            <w:shd w:val="clear" w:color="auto" w:fill="EEF4FF"/>
            <w:tcMar>
              <w:top w:w="45" w:type="dxa"/>
              <w:left w:w="45" w:type="dxa"/>
              <w:bottom w:w="45" w:type="dxa"/>
              <w:right w:w="45" w:type="dxa"/>
            </w:tcMar>
            <w:vAlign w:val="center"/>
            <w:hideMark/>
          </w:tcPr>
          <w:p w:rsidR="00D85055" w:rsidRPr="00D85055" w:rsidRDefault="00D85055" w:rsidP="00D85055">
            <w:pPr>
              <w:spacing w:after="120"/>
              <w:jc w:val="right"/>
              <w:rPr>
                <w:rFonts w:ascii="Tahoma" w:hAnsi="Tahoma" w:cs="Tahoma"/>
                <w:sz w:val="17"/>
                <w:szCs w:val="17"/>
              </w:rPr>
            </w:pPr>
            <w:r w:rsidRPr="00D85055">
              <w:rPr>
                <w:rFonts w:ascii="Tahoma" w:hAnsi="Tahoma" w:cs="Tahoma"/>
                <w:sz w:val="17"/>
                <w:szCs w:val="17"/>
              </w:rPr>
              <w:t>3,989,910</w:t>
            </w:r>
          </w:p>
        </w:tc>
        <w:tc>
          <w:tcPr>
            <w:tcW w:w="0" w:type="auto"/>
            <w:shd w:val="clear" w:color="auto" w:fill="EEF4FF"/>
            <w:tcMar>
              <w:top w:w="45" w:type="dxa"/>
              <w:left w:w="45" w:type="dxa"/>
              <w:bottom w:w="45" w:type="dxa"/>
              <w:right w:w="45" w:type="dxa"/>
            </w:tcMar>
            <w:vAlign w:val="center"/>
            <w:hideMark/>
          </w:tcPr>
          <w:p w:rsidR="00D85055" w:rsidRPr="00D85055" w:rsidRDefault="00D85055" w:rsidP="00D85055">
            <w:pPr>
              <w:spacing w:after="120"/>
              <w:jc w:val="right"/>
              <w:rPr>
                <w:rFonts w:ascii="Tahoma" w:hAnsi="Tahoma" w:cs="Tahoma"/>
                <w:sz w:val="17"/>
                <w:szCs w:val="17"/>
              </w:rPr>
            </w:pPr>
            <w:r w:rsidRPr="00D85055">
              <w:rPr>
                <w:rFonts w:ascii="Tahoma" w:hAnsi="Tahoma" w:cs="Tahoma"/>
                <w:sz w:val="17"/>
                <w:szCs w:val="17"/>
              </w:rPr>
              <w:t>0.4%</w:t>
            </w:r>
          </w:p>
        </w:tc>
        <w:tc>
          <w:tcPr>
            <w:tcW w:w="0" w:type="auto"/>
            <w:shd w:val="clear" w:color="auto" w:fill="EEF4FF"/>
            <w:tcMar>
              <w:top w:w="45" w:type="dxa"/>
              <w:left w:w="45" w:type="dxa"/>
              <w:bottom w:w="45" w:type="dxa"/>
              <w:right w:w="45" w:type="dxa"/>
            </w:tcMar>
            <w:vAlign w:val="center"/>
            <w:hideMark/>
          </w:tcPr>
          <w:p w:rsidR="00D85055" w:rsidRPr="00D85055" w:rsidRDefault="00D85055" w:rsidP="00D85055">
            <w:pPr>
              <w:spacing w:after="120"/>
              <w:jc w:val="right"/>
              <w:rPr>
                <w:rFonts w:ascii="Tahoma" w:hAnsi="Tahoma" w:cs="Tahoma"/>
                <w:sz w:val="17"/>
                <w:szCs w:val="17"/>
              </w:rPr>
            </w:pPr>
            <w:r w:rsidRPr="00D85055">
              <w:rPr>
                <w:rFonts w:ascii="Tahoma" w:hAnsi="Tahoma" w:cs="Tahoma"/>
                <w:sz w:val="17"/>
                <w:szCs w:val="17"/>
              </w:rPr>
              <w:t>28.934</w:t>
            </w:r>
          </w:p>
        </w:tc>
        <w:tc>
          <w:tcPr>
            <w:tcW w:w="0" w:type="auto"/>
            <w:shd w:val="clear" w:color="auto" w:fill="EEF4FF"/>
            <w:tcMar>
              <w:top w:w="45" w:type="dxa"/>
              <w:left w:w="45" w:type="dxa"/>
              <w:bottom w:w="45" w:type="dxa"/>
              <w:right w:w="45" w:type="dxa"/>
            </w:tcMar>
            <w:vAlign w:val="center"/>
            <w:hideMark/>
          </w:tcPr>
          <w:p w:rsidR="00D85055" w:rsidRPr="00D85055" w:rsidRDefault="00D85055" w:rsidP="00D85055">
            <w:pPr>
              <w:spacing w:after="120"/>
              <w:jc w:val="right"/>
              <w:rPr>
                <w:rFonts w:ascii="Tahoma" w:hAnsi="Tahoma" w:cs="Tahoma"/>
                <w:sz w:val="17"/>
                <w:szCs w:val="17"/>
              </w:rPr>
            </w:pPr>
            <w:r w:rsidRPr="00D85055">
              <w:rPr>
                <w:rFonts w:ascii="Tahoma" w:hAnsi="Tahoma" w:cs="Tahoma"/>
                <w:sz w:val="17"/>
                <w:szCs w:val="17"/>
              </w:rPr>
              <w:t>$13.00</w:t>
            </w:r>
          </w:p>
        </w:tc>
        <w:tc>
          <w:tcPr>
            <w:tcW w:w="0" w:type="auto"/>
            <w:shd w:val="clear" w:color="auto" w:fill="EEF4FF"/>
            <w:tcMar>
              <w:top w:w="45" w:type="dxa"/>
              <w:left w:w="45" w:type="dxa"/>
              <w:bottom w:w="45" w:type="dxa"/>
              <w:right w:w="45" w:type="dxa"/>
            </w:tcMar>
            <w:vAlign w:val="center"/>
            <w:hideMark/>
          </w:tcPr>
          <w:p w:rsidR="00D85055" w:rsidRPr="00D85055" w:rsidRDefault="00D85055" w:rsidP="00D85055">
            <w:pPr>
              <w:spacing w:after="120"/>
              <w:jc w:val="right"/>
              <w:rPr>
                <w:rFonts w:ascii="Tahoma" w:hAnsi="Tahoma" w:cs="Tahoma"/>
                <w:sz w:val="17"/>
                <w:szCs w:val="17"/>
              </w:rPr>
            </w:pPr>
            <w:r w:rsidRPr="00D85055">
              <w:rPr>
                <w:rFonts w:ascii="Tahoma" w:hAnsi="Tahoma" w:cs="Tahoma"/>
                <w:sz w:val="17"/>
                <w:szCs w:val="17"/>
              </w:rPr>
              <w:t>$14.19</w:t>
            </w:r>
          </w:p>
        </w:tc>
        <w:tc>
          <w:tcPr>
            <w:tcW w:w="0" w:type="auto"/>
            <w:shd w:val="clear" w:color="auto" w:fill="EEF4FF"/>
            <w:tcMar>
              <w:top w:w="45" w:type="dxa"/>
              <w:left w:w="45" w:type="dxa"/>
              <w:bottom w:w="45" w:type="dxa"/>
              <w:right w:w="45" w:type="dxa"/>
            </w:tcMar>
            <w:vAlign w:val="center"/>
            <w:hideMark/>
          </w:tcPr>
          <w:p w:rsidR="00D85055" w:rsidRPr="00D85055" w:rsidRDefault="00D85055" w:rsidP="00D85055">
            <w:pPr>
              <w:spacing w:after="120"/>
              <w:jc w:val="right"/>
              <w:rPr>
                <w:rFonts w:ascii="Tahoma" w:hAnsi="Tahoma" w:cs="Tahoma"/>
                <w:sz w:val="17"/>
                <w:szCs w:val="17"/>
              </w:rPr>
            </w:pPr>
            <w:r w:rsidRPr="00D85055">
              <w:rPr>
                <w:rFonts w:ascii="Tahoma" w:hAnsi="Tahoma" w:cs="Tahoma"/>
                <w:sz w:val="17"/>
                <w:szCs w:val="17"/>
              </w:rPr>
              <w:t>$29,520</w:t>
            </w:r>
          </w:p>
        </w:tc>
        <w:tc>
          <w:tcPr>
            <w:tcW w:w="0" w:type="auto"/>
            <w:shd w:val="clear" w:color="auto" w:fill="EEF4FF"/>
            <w:tcMar>
              <w:top w:w="45" w:type="dxa"/>
              <w:left w:w="45" w:type="dxa"/>
              <w:bottom w:w="45" w:type="dxa"/>
              <w:right w:w="45" w:type="dxa"/>
            </w:tcMar>
            <w:vAlign w:val="center"/>
            <w:hideMark/>
          </w:tcPr>
          <w:p w:rsidR="00D85055" w:rsidRPr="00D85055" w:rsidRDefault="00D85055" w:rsidP="00D85055">
            <w:pPr>
              <w:spacing w:after="120"/>
              <w:jc w:val="right"/>
              <w:rPr>
                <w:rFonts w:ascii="Tahoma" w:hAnsi="Tahoma" w:cs="Tahoma"/>
                <w:sz w:val="17"/>
                <w:szCs w:val="17"/>
              </w:rPr>
            </w:pPr>
            <w:r w:rsidRPr="00D85055">
              <w:rPr>
                <w:rFonts w:ascii="Tahoma" w:hAnsi="Tahoma" w:cs="Tahoma"/>
                <w:sz w:val="17"/>
                <w:szCs w:val="17"/>
              </w:rPr>
              <w:t>0.2%</w:t>
            </w:r>
          </w:p>
        </w:tc>
      </w:tr>
    </w:tbl>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C75D08" w:rsidRPr="00177EC3" w:rsidRDefault="00C75D08">
      <w:pPr>
        <w:pStyle w:val="BodyText3"/>
        <w:rPr>
          <w:sz w:val="24"/>
        </w:rPr>
      </w:pPr>
      <w:r w:rsidRPr="00177EC3">
        <w:rPr>
          <w:sz w:val="24"/>
        </w:rPr>
        <w:t>13.</w:t>
      </w:r>
      <w:r w:rsidRPr="00177EC3">
        <w:rPr>
          <w:sz w:val="24"/>
        </w:rPr>
        <w:tab/>
        <w:t>Provide an estimate of the total annual cost burden to respondents or record keepers resulting from the collection of information.  (Do not include the cost of any hour burden shown in Items 12 and 14).</w:t>
      </w:r>
    </w:p>
    <w:p w:rsidR="00C75D08" w:rsidRPr="00177EC3" w:rsidRDefault="00C75D08" w:rsidP="0032186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right" w:pos="9630"/>
        </w:tabs>
        <w:rPr>
          <w:sz w:val="24"/>
        </w:rPr>
      </w:pPr>
    </w:p>
    <w:p w:rsidR="00C75D08" w:rsidRPr="00177EC3" w:rsidRDefault="00C75D08">
      <w:pPr>
        <w:pStyle w:val="BodyText3"/>
        <w:rPr>
          <w:b w:val="0"/>
          <w:sz w:val="24"/>
        </w:rPr>
      </w:pPr>
      <w:r w:rsidRPr="00177EC3">
        <w:rPr>
          <w:b w:val="0"/>
          <w:sz w:val="24"/>
        </w:rPr>
        <w:tab/>
        <w:t>a.</w:t>
      </w:r>
      <w:r w:rsidRPr="00177EC3">
        <w:rPr>
          <w:b w:val="0"/>
          <w:sz w:val="24"/>
        </w:rPr>
        <w:tab/>
        <w:t xml:space="preserve">There </w:t>
      </w:r>
      <w:r w:rsidR="00024305" w:rsidRPr="00177EC3">
        <w:rPr>
          <w:b w:val="0"/>
          <w:sz w:val="24"/>
        </w:rPr>
        <w:t>is no capital</w:t>
      </w:r>
      <w:r w:rsidRPr="00177EC3">
        <w:rPr>
          <w:b w:val="0"/>
          <w:sz w:val="24"/>
        </w:rPr>
        <w:t>, start-up, operation or maintenance costs.</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pStyle w:val="BodyText3"/>
        <w:rPr>
          <w:b w:val="0"/>
          <w:sz w:val="24"/>
        </w:rPr>
      </w:pPr>
      <w:r w:rsidRPr="00177EC3">
        <w:rPr>
          <w:b w:val="0"/>
          <w:sz w:val="24"/>
        </w:rPr>
        <w:tab/>
        <w:t>b.</w:t>
      </w:r>
      <w:r w:rsidRPr="00177EC3">
        <w:rPr>
          <w:b w:val="0"/>
          <w:sz w:val="24"/>
        </w:rPr>
        <w:tab/>
        <w:t>Cost estimates are not expected to vary widely.  The only cost is that for the time of the respondent.</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pStyle w:val="BodyText3"/>
        <w:rPr>
          <w:b w:val="0"/>
          <w:sz w:val="24"/>
        </w:rPr>
      </w:pPr>
      <w:r w:rsidRPr="00177EC3">
        <w:rPr>
          <w:b w:val="0"/>
          <w:sz w:val="24"/>
        </w:rPr>
        <w:tab/>
        <w:t>c.</w:t>
      </w:r>
      <w:r w:rsidRPr="00177EC3">
        <w:rPr>
          <w:b w:val="0"/>
          <w:sz w:val="24"/>
        </w:rPr>
        <w:tab/>
        <w:t xml:space="preserve">There </w:t>
      </w:r>
      <w:r w:rsidR="00024305" w:rsidRPr="00177EC3">
        <w:rPr>
          <w:b w:val="0"/>
          <w:sz w:val="24"/>
        </w:rPr>
        <w:t>is no record</w:t>
      </w:r>
      <w:r w:rsidRPr="00177EC3">
        <w:rPr>
          <w:b w:val="0"/>
          <w:sz w:val="24"/>
        </w:rPr>
        <w:t xml:space="preserve"> keeping costs.</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pStyle w:val="BodyText3"/>
        <w:rPr>
          <w:sz w:val="24"/>
        </w:rPr>
      </w:pPr>
      <w:r w:rsidRPr="00177EC3">
        <w:rPr>
          <w:sz w:val="24"/>
        </w:rPr>
        <w:t>14.</w:t>
      </w:r>
      <w:r w:rsidRPr="00177EC3">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tabs>
          <w:tab w:val="left" w:pos="540"/>
          <w:tab w:val="left" w:pos="1080"/>
          <w:tab w:val="left" w:pos="1620"/>
          <w:tab w:val="left" w:pos="2160"/>
        </w:tabs>
        <w:rPr>
          <w:sz w:val="24"/>
        </w:rPr>
      </w:pPr>
      <w:r w:rsidRPr="00177EC3">
        <w:rPr>
          <w:sz w:val="24"/>
        </w:rPr>
        <w:tab/>
        <w:t xml:space="preserve">The estimated annual cost to the Federal Government is </w:t>
      </w:r>
      <w:r w:rsidRPr="00177EC3">
        <w:rPr>
          <w:rFonts w:ascii="Times New (W1)" w:hAnsi="Times New (W1)"/>
          <w:sz w:val="24"/>
        </w:rPr>
        <w:t>$</w:t>
      </w:r>
      <w:r w:rsidR="003A65BC">
        <w:rPr>
          <w:rFonts w:ascii="Times New (W1)" w:hAnsi="Times New (W1)"/>
          <w:sz w:val="24"/>
        </w:rPr>
        <w:t>1,</w:t>
      </w:r>
      <w:r w:rsidR="00703EBA">
        <w:rPr>
          <w:rFonts w:ascii="Times New (W1)" w:hAnsi="Times New (W1)"/>
          <w:sz w:val="24"/>
        </w:rPr>
        <w:t>677,220</w:t>
      </w:r>
      <w:r w:rsidRPr="00177EC3">
        <w:rPr>
          <w:sz w:val="24"/>
        </w:rPr>
        <w:t>.</w:t>
      </w:r>
    </w:p>
    <w:p w:rsidR="00C75D08" w:rsidRDefault="00703EBA">
      <w:pPr>
        <w:tabs>
          <w:tab w:val="left" w:pos="540"/>
          <w:tab w:val="left" w:pos="1080"/>
          <w:tab w:val="left" w:pos="1620"/>
          <w:tab w:val="left" w:pos="2160"/>
        </w:tabs>
        <w:rPr>
          <w:sz w:val="22"/>
          <w:szCs w:val="22"/>
        </w:rPr>
      </w:pPr>
      <w:r>
        <w:rPr>
          <w:sz w:val="22"/>
          <w:szCs w:val="22"/>
        </w:rPr>
        <w:tab/>
      </w:r>
    </w:p>
    <w:p w:rsidR="00703EBA" w:rsidRDefault="00703EBA">
      <w:pPr>
        <w:tabs>
          <w:tab w:val="left" w:pos="540"/>
          <w:tab w:val="left" w:pos="1080"/>
          <w:tab w:val="left" w:pos="1620"/>
          <w:tab w:val="left" w:pos="2160"/>
        </w:tabs>
        <w:rPr>
          <w:sz w:val="22"/>
          <w:szCs w:val="22"/>
        </w:rPr>
      </w:pPr>
      <w:r>
        <w:rPr>
          <w:sz w:val="22"/>
          <w:szCs w:val="22"/>
        </w:rPr>
        <w:tab/>
        <w:t>EH Coordinator (GS-6/5) at $20.04/hour x 20,000 worksheets x 7 minutes/60 = $46,760</w:t>
      </w:r>
    </w:p>
    <w:p w:rsidR="00703EBA" w:rsidRDefault="00703EBA">
      <w:pPr>
        <w:tabs>
          <w:tab w:val="left" w:pos="540"/>
          <w:tab w:val="left" w:pos="1080"/>
          <w:tab w:val="left" w:pos="1620"/>
          <w:tab w:val="left" w:pos="2160"/>
        </w:tabs>
        <w:rPr>
          <w:sz w:val="22"/>
          <w:szCs w:val="22"/>
        </w:rPr>
      </w:pPr>
      <w:r>
        <w:rPr>
          <w:sz w:val="22"/>
          <w:szCs w:val="22"/>
        </w:rPr>
        <w:tab/>
        <w:t>Overhead at 100% of salary = $46,760</w:t>
      </w:r>
    </w:p>
    <w:p w:rsidR="00703EBA" w:rsidRDefault="00703EBA">
      <w:pPr>
        <w:tabs>
          <w:tab w:val="left" w:pos="540"/>
          <w:tab w:val="left" w:pos="1080"/>
          <w:tab w:val="left" w:pos="1620"/>
          <w:tab w:val="left" w:pos="2160"/>
        </w:tabs>
        <w:rPr>
          <w:sz w:val="22"/>
          <w:szCs w:val="22"/>
        </w:rPr>
      </w:pPr>
    </w:p>
    <w:p w:rsidR="00703EBA" w:rsidRDefault="00703EBA">
      <w:pPr>
        <w:tabs>
          <w:tab w:val="left" w:pos="540"/>
          <w:tab w:val="left" w:pos="1080"/>
          <w:tab w:val="left" w:pos="1620"/>
          <w:tab w:val="left" w:pos="2160"/>
        </w:tabs>
        <w:rPr>
          <w:sz w:val="22"/>
          <w:szCs w:val="22"/>
        </w:rPr>
      </w:pPr>
      <w:r>
        <w:rPr>
          <w:sz w:val="22"/>
          <w:szCs w:val="22"/>
        </w:rPr>
        <w:tab/>
        <w:t>EH Clinician Average of $55/hour x 20,000 exams x 30 minutes/60 = $550,000</w:t>
      </w:r>
    </w:p>
    <w:p w:rsidR="00703EBA" w:rsidRDefault="00703EBA">
      <w:pPr>
        <w:tabs>
          <w:tab w:val="left" w:pos="540"/>
          <w:tab w:val="left" w:pos="1080"/>
          <w:tab w:val="left" w:pos="1620"/>
          <w:tab w:val="left" w:pos="2160"/>
        </w:tabs>
        <w:rPr>
          <w:sz w:val="22"/>
          <w:szCs w:val="22"/>
        </w:rPr>
      </w:pPr>
      <w:r>
        <w:rPr>
          <w:sz w:val="22"/>
          <w:szCs w:val="22"/>
        </w:rPr>
        <w:tab/>
      </w:r>
      <w:r w:rsidRPr="00703EBA">
        <w:rPr>
          <w:sz w:val="22"/>
          <w:szCs w:val="22"/>
        </w:rPr>
        <w:t>Over</w:t>
      </w:r>
      <w:r>
        <w:rPr>
          <w:sz w:val="22"/>
          <w:szCs w:val="22"/>
        </w:rPr>
        <w:t>head at 100% of salary = $550,000</w:t>
      </w:r>
    </w:p>
    <w:p w:rsidR="00703EBA" w:rsidRDefault="00703EBA">
      <w:pPr>
        <w:tabs>
          <w:tab w:val="left" w:pos="540"/>
          <w:tab w:val="left" w:pos="1080"/>
          <w:tab w:val="left" w:pos="1620"/>
          <w:tab w:val="left" w:pos="2160"/>
        </w:tabs>
        <w:rPr>
          <w:sz w:val="22"/>
          <w:szCs w:val="22"/>
        </w:rPr>
      </w:pPr>
    </w:p>
    <w:p w:rsidR="00703EBA" w:rsidRDefault="00703EBA">
      <w:pPr>
        <w:tabs>
          <w:tab w:val="left" w:pos="540"/>
          <w:tab w:val="left" w:pos="1080"/>
          <w:tab w:val="left" w:pos="1620"/>
          <w:tab w:val="left" w:pos="2160"/>
        </w:tabs>
        <w:rPr>
          <w:sz w:val="22"/>
          <w:szCs w:val="22"/>
        </w:rPr>
      </w:pPr>
      <w:r>
        <w:rPr>
          <w:sz w:val="22"/>
          <w:szCs w:val="22"/>
        </w:rPr>
        <w:tab/>
        <w:t>Coder (GS-5/5) at $17.97/hour x 20,000 exams x 10 minutes/60 = $59,600</w:t>
      </w:r>
    </w:p>
    <w:p w:rsidR="00703EBA" w:rsidRDefault="00703EBA">
      <w:pPr>
        <w:tabs>
          <w:tab w:val="left" w:pos="540"/>
          <w:tab w:val="left" w:pos="1080"/>
          <w:tab w:val="left" w:pos="1620"/>
          <w:tab w:val="left" w:pos="2160"/>
        </w:tabs>
        <w:rPr>
          <w:sz w:val="22"/>
          <w:szCs w:val="22"/>
        </w:rPr>
      </w:pPr>
      <w:r>
        <w:rPr>
          <w:sz w:val="22"/>
          <w:szCs w:val="22"/>
        </w:rPr>
        <w:tab/>
      </w:r>
      <w:r w:rsidRPr="00703EBA">
        <w:rPr>
          <w:sz w:val="22"/>
          <w:szCs w:val="22"/>
        </w:rPr>
        <w:t>Overhead at 100% of salary = $550,000</w:t>
      </w:r>
    </w:p>
    <w:p w:rsidR="00703EBA" w:rsidRDefault="00703EBA">
      <w:pPr>
        <w:tabs>
          <w:tab w:val="left" w:pos="540"/>
          <w:tab w:val="left" w:pos="1080"/>
          <w:tab w:val="left" w:pos="1620"/>
          <w:tab w:val="left" w:pos="2160"/>
        </w:tabs>
        <w:rPr>
          <w:sz w:val="22"/>
          <w:szCs w:val="22"/>
        </w:rPr>
      </w:pPr>
    </w:p>
    <w:p w:rsidR="0033688E" w:rsidRDefault="0033688E" w:rsidP="00703EBA">
      <w:pPr>
        <w:tabs>
          <w:tab w:val="left" w:pos="540"/>
          <w:tab w:val="left" w:pos="1080"/>
          <w:tab w:val="left" w:pos="1620"/>
          <w:tab w:val="left" w:pos="2160"/>
        </w:tabs>
        <w:ind w:left="540"/>
        <w:rPr>
          <w:sz w:val="22"/>
          <w:szCs w:val="22"/>
        </w:rPr>
      </w:pPr>
      <w:r>
        <w:rPr>
          <w:sz w:val="22"/>
          <w:szCs w:val="22"/>
        </w:rPr>
        <w:t>Recurring costs at Austin = $364,500</w:t>
      </w:r>
    </w:p>
    <w:p w:rsidR="0033688E" w:rsidRDefault="0033688E" w:rsidP="00703EBA">
      <w:pPr>
        <w:tabs>
          <w:tab w:val="left" w:pos="540"/>
          <w:tab w:val="left" w:pos="1080"/>
          <w:tab w:val="left" w:pos="1620"/>
          <w:tab w:val="left" w:pos="2160"/>
        </w:tabs>
        <w:ind w:left="540"/>
        <w:rPr>
          <w:sz w:val="22"/>
          <w:szCs w:val="22"/>
        </w:rPr>
      </w:pPr>
    </w:p>
    <w:p w:rsidR="00703EBA" w:rsidRPr="00F45E6E" w:rsidRDefault="00703EBA" w:rsidP="00703EBA">
      <w:pPr>
        <w:tabs>
          <w:tab w:val="left" w:pos="540"/>
          <w:tab w:val="left" w:pos="1080"/>
          <w:tab w:val="left" w:pos="1620"/>
          <w:tab w:val="left" w:pos="2160"/>
        </w:tabs>
        <w:ind w:left="540"/>
        <w:rPr>
          <w:sz w:val="22"/>
          <w:szCs w:val="22"/>
        </w:rPr>
      </w:pPr>
      <w:r>
        <w:rPr>
          <w:sz w:val="22"/>
          <w:szCs w:val="22"/>
        </w:rPr>
        <w:t>Overhead costs are 100% of salary and are the same as the wage listed above and the amounts are included in the total.</w:t>
      </w:r>
    </w:p>
    <w:p w:rsidR="00C75D08" w:rsidRPr="00177EC3" w:rsidRDefault="00C75D08">
      <w:pPr>
        <w:tabs>
          <w:tab w:val="left" w:pos="540"/>
          <w:tab w:val="left" w:pos="1080"/>
          <w:tab w:val="left" w:pos="1620"/>
          <w:tab w:val="left" w:pos="216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77EC3">
        <w:rPr>
          <w:b/>
          <w:sz w:val="24"/>
        </w:rPr>
        <w:t>15.</w:t>
      </w:r>
      <w:r w:rsidRPr="00177EC3">
        <w:rPr>
          <w:b/>
          <w:sz w:val="24"/>
        </w:rPr>
        <w:tab/>
        <w:t>Explain the reason for any program changes or adjustments reported in Items 13 or 14 of OMB 83-I</w:t>
      </w:r>
      <w:r w:rsidR="00BE2D4A" w:rsidRPr="00177EC3">
        <w:rPr>
          <w:b/>
          <w:sz w:val="24"/>
        </w:rPr>
        <w:t xml:space="preserve"> (which would include forms</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autoSpaceDE w:val="0"/>
        <w:autoSpaceDN w:val="0"/>
        <w:adjustRightInd w:val="0"/>
        <w:spacing w:line="240" w:lineRule="atLeast"/>
        <w:ind w:right="720"/>
        <w:rPr>
          <w:sz w:val="24"/>
        </w:rPr>
      </w:pPr>
      <w:r w:rsidRPr="00177EC3">
        <w:rPr>
          <w:sz w:val="24"/>
        </w:rPr>
        <w:tab/>
      </w:r>
      <w:r w:rsidR="00C31B96">
        <w:rPr>
          <w:sz w:val="24"/>
        </w:rPr>
        <w:t>The</w:t>
      </w:r>
      <w:r w:rsidR="003A65BC">
        <w:rPr>
          <w:sz w:val="24"/>
        </w:rPr>
        <w:t xml:space="preserve"> adjustments</w:t>
      </w:r>
      <w:r w:rsidR="00C31B96">
        <w:rPr>
          <w:sz w:val="24"/>
        </w:rPr>
        <w:t xml:space="preserve"> reported in item 14 are a result of hourly pay increases for</w:t>
      </w:r>
      <w:r w:rsidR="005C188B">
        <w:rPr>
          <w:sz w:val="24"/>
        </w:rPr>
        <w:t xml:space="preserve"> the</w:t>
      </w:r>
      <w:r w:rsidR="00C31B96">
        <w:rPr>
          <w:sz w:val="24"/>
        </w:rPr>
        <w:t xml:space="preserve"> </w:t>
      </w:r>
      <w:r w:rsidR="003D610A">
        <w:rPr>
          <w:sz w:val="24"/>
        </w:rPr>
        <w:t xml:space="preserve"> </w:t>
      </w:r>
      <w:r w:rsidR="005C188B">
        <w:rPr>
          <w:sz w:val="24"/>
        </w:rPr>
        <w:t xml:space="preserve"> E</w:t>
      </w:r>
      <w:r w:rsidR="003D610A">
        <w:rPr>
          <w:sz w:val="24"/>
        </w:rPr>
        <w:t>nvironmental</w:t>
      </w:r>
      <w:r w:rsidR="00997E97">
        <w:rPr>
          <w:sz w:val="24"/>
        </w:rPr>
        <w:t xml:space="preserve"> </w:t>
      </w:r>
      <w:r w:rsidR="005C188B">
        <w:rPr>
          <w:sz w:val="24"/>
        </w:rPr>
        <w:t>H</w:t>
      </w:r>
      <w:r w:rsidR="00997E97">
        <w:rPr>
          <w:sz w:val="24"/>
        </w:rPr>
        <w:t xml:space="preserve">ealth Clinician, and </w:t>
      </w:r>
      <w:r w:rsidR="005C188B">
        <w:rPr>
          <w:sz w:val="24"/>
        </w:rPr>
        <w:t xml:space="preserve">VA’s </w:t>
      </w:r>
      <w:r w:rsidR="00997E97">
        <w:rPr>
          <w:sz w:val="24"/>
        </w:rPr>
        <w:t>GS</w:t>
      </w:r>
      <w:r w:rsidR="005C188B">
        <w:rPr>
          <w:sz w:val="24"/>
        </w:rPr>
        <w:t xml:space="preserve"> staff Coordinator and Coder</w:t>
      </w:r>
      <w:r w:rsidR="003A65BC">
        <w:rPr>
          <w:sz w:val="24"/>
        </w:rPr>
        <w:t>.</w:t>
      </w:r>
      <w:r w:rsidR="00C31B96">
        <w:rPr>
          <w:sz w:val="24"/>
        </w:rPr>
        <w:t xml:space="preserve">  The adjusted rates are based </w:t>
      </w:r>
      <w:r w:rsidR="00B92ECF" w:rsidRPr="00B92ECF">
        <w:rPr>
          <w:sz w:val="24"/>
        </w:rPr>
        <w:t>on the last scale for federal pay rates within the past 3 years.</w:t>
      </w:r>
    </w:p>
    <w:p w:rsidR="00C75D08" w:rsidRPr="00177EC3" w:rsidRDefault="00C75D08">
      <w:pPr>
        <w:autoSpaceDE w:val="0"/>
        <w:autoSpaceDN w:val="0"/>
        <w:adjustRightInd w:val="0"/>
        <w:rPr>
          <w:sz w:val="24"/>
        </w:rPr>
      </w:pPr>
    </w:p>
    <w:p w:rsidR="00C75D08" w:rsidRPr="00177EC3" w:rsidRDefault="00C75D08">
      <w:pPr>
        <w:pStyle w:val="BodyText3"/>
        <w:rPr>
          <w:sz w:val="24"/>
        </w:rPr>
      </w:pPr>
      <w:r w:rsidRPr="00177EC3">
        <w:rPr>
          <w:sz w:val="24"/>
        </w:rPr>
        <w:t>16.</w:t>
      </w:r>
      <w:r w:rsidRPr="00177EC3">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sz w:val="24"/>
        </w:rPr>
        <w:tab/>
        <w:t xml:space="preserve">There are no plans to </w:t>
      </w:r>
      <w:r w:rsidR="00B80103">
        <w:rPr>
          <w:sz w:val="24"/>
        </w:rPr>
        <w:t xml:space="preserve">formally </w:t>
      </w:r>
      <w:r w:rsidRPr="00177EC3">
        <w:rPr>
          <w:sz w:val="24"/>
        </w:rPr>
        <w:t>publish the results of the information collected</w:t>
      </w:r>
      <w:r w:rsidR="00B80103">
        <w:rPr>
          <w:sz w:val="24"/>
        </w:rPr>
        <w:t xml:space="preserve"> in a regular or recurring format or report</w:t>
      </w:r>
      <w:r w:rsidRPr="00177EC3">
        <w:rPr>
          <w:sz w:val="24"/>
        </w:rPr>
        <w:t>.</w:t>
      </w:r>
      <w:r w:rsidR="00B80103">
        <w:rPr>
          <w:sz w:val="24"/>
        </w:rPr>
        <w:t xml:space="preserve">  Simple descriptive summaries of the registry may be provided through updates on websites or in newsletters produced by the VA program office.</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pStyle w:val="BodyText3"/>
        <w:rPr>
          <w:sz w:val="24"/>
        </w:rPr>
      </w:pPr>
      <w:r w:rsidRPr="00177EC3">
        <w:rPr>
          <w:sz w:val="24"/>
        </w:rPr>
        <w:t>17.</w:t>
      </w:r>
      <w:r w:rsidRPr="00177EC3">
        <w:rPr>
          <w:sz w:val="24"/>
        </w:rPr>
        <w:tab/>
        <w:t xml:space="preserve">If seeking approval to omit the expiration date for OMB approval of the information collection, explain the reasons that display would be inappropriate. </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B40B41" w:rsidRPr="00177EC3" w:rsidRDefault="00C75D08" w:rsidP="00B40B41">
      <w:pPr>
        <w:tabs>
          <w:tab w:val="left" w:pos="540"/>
          <w:tab w:val="left" w:pos="1080"/>
          <w:tab w:val="left" w:pos="1620"/>
          <w:tab w:val="left" w:pos="2160"/>
          <w:tab w:val="left" w:pos="2700"/>
          <w:tab w:val="left" w:pos="3240"/>
        </w:tabs>
        <w:rPr>
          <w:sz w:val="24"/>
          <w:szCs w:val="24"/>
        </w:rPr>
      </w:pPr>
      <w:r w:rsidRPr="00177EC3">
        <w:rPr>
          <w:sz w:val="24"/>
          <w:szCs w:val="24"/>
        </w:rPr>
        <w:tab/>
      </w:r>
      <w:r w:rsidR="00B40B41" w:rsidRPr="00177EC3">
        <w:rPr>
          <w:sz w:val="24"/>
          <w:szCs w:val="24"/>
        </w:rPr>
        <w:t xml:space="preserve">VA seeks to minimize the cost to itself of collecting, processing and using the information by not displaying or announcing the expiration date.  The survey is conducted during a physical examination and inclusion of the expiration date would place an unnecessary burden on the respondent.  The information is available upon request. </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pStyle w:val="BodyText3"/>
        <w:rPr>
          <w:sz w:val="24"/>
        </w:rPr>
      </w:pPr>
      <w:r w:rsidRPr="00177EC3">
        <w:rPr>
          <w:sz w:val="24"/>
        </w:rPr>
        <w:t>18.</w:t>
      </w:r>
      <w:r w:rsidRPr="00177EC3">
        <w:rPr>
          <w:sz w:val="24"/>
        </w:rPr>
        <w:tab/>
        <w:t>Explain each exception to the certification statement identified in Item 19, “Certification for Paperwork Reduction Act Submissions,” of OMB 83-I.</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sz w:val="24"/>
        </w:rPr>
        <w:tab/>
        <w:t>There are no exceptions.</w:t>
      </w: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rsidR="00C75D08" w:rsidRPr="00177EC3" w:rsidRDefault="00C75D08">
      <w:pPr>
        <w:pStyle w:val="Heading2"/>
        <w:rPr>
          <w:sz w:val="12"/>
        </w:rPr>
      </w:pPr>
      <w:r w:rsidRPr="00177EC3">
        <w:t>B.</w:t>
      </w:r>
      <w:r w:rsidRPr="00177EC3">
        <w:tab/>
        <w:t>COLLECTIONS OF INFORMATION EMPLOYING STATISTICAL METHODS</w:t>
      </w:r>
    </w:p>
    <w:p w:rsidR="00C75D08" w:rsidRPr="00177EC3" w:rsidRDefault="00C75D08">
      <w:pPr>
        <w:rPr>
          <w:sz w:val="24"/>
        </w:rPr>
      </w:pPr>
    </w:p>
    <w:p w:rsidR="00C75D08" w:rsidRPr="00177EC3" w:rsidRDefault="00C75D0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r w:rsidRPr="00177EC3">
        <w:rPr>
          <w:sz w:val="24"/>
        </w:rPr>
        <w:tab/>
        <w:t>No statistical methods are used in this data collection.</w:t>
      </w:r>
    </w:p>
    <w:sectPr w:rsidR="00C75D08" w:rsidRPr="00177EC3" w:rsidSect="00322959">
      <w:headerReference w:type="default" r:id="rId13"/>
      <w:footerReference w:type="even" r:id="rId14"/>
      <w:footerReference w:type="default" r:id="rId15"/>
      <w:headerReference w:type="first" r:id="rId16"/>
      <w:footerReference w:type="first" r:id="rId17"/>
      <w:pgSz w:w="12240" w:h="15840" w:code="1"/>
      <w:pgMar w:top="1152" w:right="1152" w:bottom="864" w:left="1152" w:header="720"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492" w:rsidRDefault="003B5492">
      <w:r>
        <w:separator/>
      </w:r>
    </w:p>
  </w:endnote>
  <w:endnote w:type="continuationSeparator" w:id="0">
    <w:p w:rsidR="003B5492" w:rsidRDefault="003B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5" w:rsidRDefault="00322959">
    <w:pPr>
      <w:pStyle w:val="Footer"/>
      <w:framePr w:wrap="around" w:vAnchor="text" w:hAnchor="margin" w:xAlign="right" w:y="1"/>
      <w:rPr>
        <w:rStyle w:val="PageNumber"/>
      </w:rPr>
    </w:pPr>
    <w:r>
      <w:rPr>
        <w:rStyle w:val="PageNumber"/>
      </w:rPr>
      <w:fldChar w:fldCharType="begin"/>
    </w:r>
    <w:r w:rsidR="00321865">
      <w:rPr>
        <w:rStyle w:val="PageNumber"/>
      </w:rPr>
      <w:instrText xml:space="preserve">PAGE  </w:instrText>
    </w:r>
    <w:r>
      <w:rPr>
        <w:rStyle w:val="PageNumber"/>
      </w:rPr>
      <w:fldChar w:fldCharType="separate"/>
    </w:r>
    <w:r w:rsidR="00321865">
      <w:rPr>
        <w:rStyle w:val="PageNumber"/>
        <w:noProof/>
      </w:rPr>
      <w:t>1</w:t>
    </w:r>
    <w:r>
      <w:rPr>
        <w:rStyle w:val="PageNumber"/>
      </w:rPr>
      <w:fldChar w:fldCharType="end"/>
    </w:r>
  </w:p>
  <w:p w:rsidR="00321865" w:rsidRDefault="003218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5" w:rsidRDefault="00321865">
    <w:pPr>
      <w:pStyle w:val="Footer"/>
      <w:tabs>
        <w:tab w:val="clear" w:pos="4320"/>
        <w:tab w:val="clear" w:pos="8640"/>
        <w:tab w:val="right" w:pos="9792"/>
      </w:tabs>
      <w:ind w:right="360"/>
      <w:rPr>
        <w:sz w:val="24"/>
      </w:rPr>
    </w:pPr>
    <w:r>
      <w:tab/>
    </w:r>
    <w:r>
      <w:rPr>
        <w:sz w:val="24"/>
      </w:rPr>
      <w:t xml:space="preserve">Page </w:t>
    </w:r>
    <w:r w:rsidR="00322959">
      <w:rPr>
        <w:rStyle w:val="PageNumber"/>
        <w:sz w:val="24"/>
      </w:rPr>
      <w:fldChar w:fldCharType="begin"/>
    </w:r>
    <w:r>
      <w:rPr>
        <w:rStyle w:val="PageNumber"/>
        <w:sz w:val="24"/>
      </w:rPr>
      <w:instrText xml:space="preserve"> PAGE </w:instrText>
    </w:r>
    <w:r w:rsidR="00322959">
      <w:rPr>
        <w:rStyle w:val="PageNumber"/>
        <w:sz w:val="24"/>
      </w:rPr>
      <w:fldChar w:fldCharType="separate"/>
    </w:r>
    <w:r w:rsidR="00596DBD">
      <w:rPr>
        <w:rStyle w:val="PageNumber"/>
        <w:noProof/>
        <w:sz w:val="24"/>
      </w:rPr>
      <w:t>2</w:t>
    </w:r>
    <w:r w:rsidR="00322959">
      <w:rPr>
        <w:rStyle w:val="PageNumbe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5" w:rsidRDefault="00321865">
    <w:pPr>
      <w:pStyle w:val="Footer"/>
      <w:tabs>
        <w:tab w:val="clear" w:pos="4320"/>
        <w:tab w:val="clear" w:pos="8640"/>
        <w:tab w:val="right" w:pos="9792"/>
      </w:tabs>
      <w:ind w:right="360"/>
      <w:rPr>
        <w:sz w:val="24"/>
      </w:rPr>
    </w:pPr>
    <w:r>
      <w:rPr>
        <w:sz w:val="24"/>
      </w:rPr>
      <w:tab/>
      <w:t xml:space="preserve">Page </w:t>
    </w:r>
    <w:r w:rsidR="00322959">
      <w:rPr>
        <w:rStyle w:val="PageNumber"/>
        <w:sz w:val="24"/>
      </w:rPr>
      <w:fldChar w:fldCharType="begin"/>
    </w:r>
    <w:r>
      <w:rPr>
        <w:rStyle w:val="PageNumber"/>
        <w:sz w:val="24"/>
      </w:rPr>
      <w:instrText xml:space="preserve"> PAGE </w:instrText>
    </w:r>
    <w:r w:rsidR="00322959">
      <w:rPr>
        <w:rStyle w:val="PageNumber"/>
        <w:sz w:val="24"/>
      </w:rPr>
      <w:fldChar w:fldCharType="separate"/>
    </w:r>
    <w:r w:rsidR="00596DBD">
      <w:rPr>
        <w:rStyle w:val="PageNumber"/>
        <w:noProof/>
        <w:sz w:val="24"/>
      </w:rPr>
      <w:t>1</w:t>
    </w:r>
    <w:r w:rsidR="00322959">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492" w:rsidRDefault="003B5492">
      <w:r>
        <w:separator/>
      </w:r>
    </w:p>
  </w:footnote>
  <w:footnote w:type="continuationSeparator" w:id="0">
    <w:p w:rsidR="003B5492" w:rsidRDefault="003B5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5" w:rsidRDefault="00321865">
    <w:pPr>
      <w:pStyle w:val="Title"/>
      <w:rPr>
        <w:b/>
      </w:rPr>
    </w:pPr>
    <w:r>
      <w:rPr>
        <w:b/>
      </w:rPr>
      <w:t>SUPPORTING STATEMENT FOR 2900-0376, continued</w:t>
    </w:r>
  </w:p>
  <w:p w:rsidR="00321865" w:rsidRDefault="003218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65" w:rsidRDefault="00321865">
    <w:pPr>
      <w:pStyle w:val="Title"/>
      <w:rPr>
        <w:b/>
      </w:rPr>
    </w:pPr>
    <w:r>
      <w:rPr>
        <w:b/>
      </w:rPr>
      <w:t xml:space="preserve">SUPPORTING STATEMENT FOR </w:t>
    </w:r>
  </w:p>
  <w:p w:rsidR="00321865" w:rsidRPr="00177EC3" w:rsidRDefault="00321865">
    <w:pPr>
      <w:pStyle w:val="Title"/>
      <w:rPr>
        <w:b/>
        <w:sz w:val="28"/>
        <w:szCs w:val="28"/>
      </w:rPr>
    </w:pPr>
    <w:r>
      <w:rPr>
        <w:b/>
        <w:sz w:val="28"/>
        <w:szCs w:val="28"/>
      </w:rPr>
      <w:t xml:space="preserve">OMB </w:t>
    </w:r>
    <w:r w:rsidRPr="00177EC3">
      <w:rPr>
        <w:b/>
        <w:sz w:val="28"/>
        <w:szCs w:val="28"/>
      </w:rPr>
      <w:t>2900-0376</w:t>
    </w:r>
  </w:p>
  <w:p w:rsidR="00321865" w:rsidRDefault="00321865" w:rsidP="00177EC3">
    <w:pPr>
      <w:pStyle w:val="Title"/>
      <w:spacing w:after="120"/>
      <w:rPr>
        <w:b/>
      </w:rPr>
    </w:pPr>
    <w:r>
      <w:rPr>
        <w:b/>
      </w:rPr>
      <w:t>Agent Orange Registry Work Sheet, VA FORM 10-9009</w:t>
    </w:r>
  </w:p>
  <w:p w:rsidR="00321865" w:rsidRDefault="00321865">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1748"/>
    <w:multiLevelType w:val="hybridMultilevel"/>
    <w:tmpl w:val="18724B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66C63"/>
    <w:multiLevelType w:val="hybridMultilevel"/>
    <w:tmpl w:val="855EDF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A5DF7"/>
    <w:multiLevelType w:val="hybridMultilevel"/>
    <w:tmpl w:val="40B4C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42042B"/>
    <w:multiLevelType w:val="singleLevel"/>
    <w:tmpl w:val="2814D952"/>
    <w:lvl w:ilvl="0">
      <w:start w:val="5"/>
      <w:numFmt w:val="decimal"/>
      <w:lvlText w:val="%1."/>
      <w:lvlJc w:val="left"/>
      <w:pPr>
        <w:tabs>
          <w:tab w:val="num" w:pos="720"/>
        </w:tabs>
        <w:ind w:left="720" w:hanging="360"/>
      </w:pPr>
      <w:rPr>
        <w:rFonts w:hint="default"/>
      </w:r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29B4F34"/>
    <w:multiLevelType w:val="singleLevel"/>
    <w:tmpl w:val="76CC0136"/>
    <w:lvl w:ilvl="0">
      <w:start w:val="10"/>
      <w:numFmt w:val="decimal"/>
      <w:lvlText w:val="%1."/>
      <w:lvlJc w:val="left"/>
      <w:pPr>
        <w:tabs>
          <w:tab w:val="num" w:pos="510"/>
        </w:tabs>
        <w:ind w:left="510" w:hanging="510"/>
      </w:pPr>
      <w:rPr>
        <w:rFonts w:hint="default"/>
      </w:rPr>
    </w:lvl>
  </w:abstractNum>
  <w:abstractNum w:abstractNumId="6">
    <w:nsid w:val="2CA75135"/>
    <w:multiLevelType w:val="hybridMultilevel"/>
    <w:tmpl w:val="237C98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EB6FEA"/>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8">
    <w:nsid w:val="341F52AF"/>
    <w:multiLevelType w:val="hybridMultilevel"/>
    <w:tmpl w:val="4B546A38"/>
    <w:lvl w:ilvl="0" w:tplc="D570D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B5A3050"/>
    <w:multiLevelType w:val="singleLevel"/>
    <w:tmpl w:val="70863E52"/>
    <w:lvl w:ilvl="0">
      <w:start w:val="1"/>
      <w:numFmt w:val="decimal"/>
      <w:lvlText w:val="%1."/>
      <w:lvlJc w:val="left"/>
      <w:pPr>
        <w:tabs>
          <w:tab w:val="num" w:pos="720"/>
        </w:tabs>
        <w:ind w:left="720" w:hanging="360"/>
      </w:pPr>
      <w:rPr>
        <w:rFonts w:hint="default"/>
      </w:rPr>
    </w:lvl>
  </w:abstractNum>
  <w:abstractNum w:abstractNumId="11">
    <w:nsid w:val="428366E6"/>
    <w:multiLevelType w:val="hybridMultilevel"/>
    <w:tmpl w:val="D4FEC44C"/>
    <w:lvl w:ilvl="0" w:tplc="98627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3B18D9"/>
    <w:multiLevelType w:val="singleLevel"/>
    <w:tmpl w:val="011838A4"/>
    <w:lvl w:ilvl="0">
      <w:start w:val="2"/>
      <w:numFmt w:val="lowerLetter"/>
      <w:lvlText w:val="%1."/>
      <w:lvlJc w:val="left"/>
      <w:pPr>
        <w:tabs>
          <w:tab w:val="num" w:pos="1005"/>
        </w:tabs>
        <w:ind w:left="1005" w:hanging="495"/>
      </w:pPr>
      <w:rPr>
        <w:rFonts w:hint="default"/>
      </w:rPr>
    </w:lvl>
  </w:abstractNum>
  <w:abstractNum w:abstractNumId="13">
    <w:nsid w:val="552958F2"/>
    <w:multiLevelType w:val="singleLevel"/>
    <w:tmpl w:val="ED0C8AA0"/>
    <w:lvl w:ilvl="0">
      <w:start w:val="7"/>
      <w:numFmt w:val="decimal"/>
      <w:lvlText w:val="%1."/>
      <w:lvlJc w:val="left"/>
      <w:pPr>
        <w:tabs>
          <w:tab w:val="num" w:pos="720"/>
        </w:tabs>
        <w:ind w:left="720" w:hanging="720"/>
      </w:pPr>
      <w:rPr>
        <w:rFonts w:hint="default"/>
      </w:rPr>
    </w:lvl>
  </w:abstractNum>
  <w:abstractNum w:abstractNumId="14">
    <w:nsid w:val="76DE0428"/>
    <w:multiLevelType w:val="singleLevel"/>
    <w:tmpl w:val="233ACA34"/>
    <w:lvl w:ilvl="0">
      <w:start w:val="1"/>
      <w:numFmt w:val="lowerLetter"/>
      <w:lvlText w:val="%1."/>
      <w:lvlJc w:val="left"/>
      <w:pPr>
        <w:tabs>
          <w:tab w:val="num" w:pos="1005"/>
        </w:tabs>
        <w:ind w:left="1005" w:hanging="495"/>
      </w:pPr>
      <w:rPr>
        <w:rFonts w:hint="default"/>
      </w:rPr>
    </w:lvl>
  </w:abstractNum>
  <w:abstractNum w:abstractNumId="15">
    <w:nsid w:val="77234B06"/>
    <w:multiLevelType w:val="hybridMultilevel"/>
    <w:tmpl w:val="D0606B6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0"/>
  </w:num>
  <w:num w:numId="3">
    <w:abstractNumId w:val="3"/>
  </w:num>
  <w:num w:numId="4">
    <w:abstractNumId w:val="13"/>
  </w:num>
  <w:num w:numId="5">
    <w:abstractNumId w:val="12"/>
  </w:num>
  <w:num w:numId="6">
    <w:abstractNumId w:val="5"/>
  </w:num>
  <w:num w:numId="7">
    <w:abstractNumId w:val="14"/>
  </w:num>
  <w:num w:numId="8">
    <w:abstractNumId w:val="4"/>
  </w:num>
  <w:num w:numId="9">
    <w:abstractNumId w:val="9"/>
  </w:num>
  <w:num w:numId="10">
    <w:abstractNumId w:val="2"/>
  </w:num>
  <w:num w:numId="11">
    <w:abstractNumId w:val="6"/>
  </w:num>
  <w:num w:numId="12">
    <w:abstractNumId w:val="15"/>
  </w:num>
  <w:num w:numId="13">
    <w:abstractNumId w:val="0"/>
  </w:num>
  <w:num w:numId="14">
    <w:abstractNumId w:val="11"/>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FD"/>
    <w:rsid w:val="00021A3F"/>
    <w:rsid w:val="00024305"/>
    <w:rsid w:val="000911AB"/>
    <w:rsid w:val="000E506E"/>
    <w:rsid w:val="00107ED5"/>
    <w:rsid w:val="00117BC3"/>
    <w:rsid w:val="00124F7D"/>
    <w:rsid w:val="00127077"/>
    <w:rsid w:val="00154470"/>
    <w:rsid w:val="0015500F"/>
    <w:rsid w:val="00177EC3"/>
    <w:rsid w:val="00182F9F"/>
    <w:rsid w:val="00191177"/>
    <w:rsid w:val="00194A24"/>
    <w:rsid w:val="001D26FD"/>
    <w:rsid w:val="001E134F"/>
    <w:rsid w:val="001F2E3C"/>
    <w:rsid w:val="00222F55"/>
    <w:rsid w:val="00232D94"/>
    <w:rsid w:val="002340BB"/>
    <w:rsid w:val="0027103C"/>
    <w:rsid w:val="002C3229"/>
    <w:rsid w:val="002C6D3A"/>
    <w:rsid w:val="002E33D3"/>
    <w:rsid w:val="002F4F19"/>
    <w:rsid w:val="00312719"/>
    <w:rsid w:val="0031726B"/>
    <w:rsid w:val="00321865"/>
    <w:rsid w:val="00322959"/>
    <w:rsid w:val="0032305F"/>
    <w:rsid w:val="00332776"/>
    <w:rsid w:val="0033688E"/>
    <w:rsid w:val="003620CA"/>
    <w:rsid w:val="003A65BC"/>
    <w:rsid w:val="003B5492"/>
    <w:rsid w:val="003C64A4"/>
    <w:rsid w:val="003D610A"/>
    <w:rsid w:val="00430C87"/>
    <w:rsid w:val="0046182E"/>
    <w:rsid w:val="0048612E"/>
    <w:rsid w:val="004A25FB"/>
    <w:rsid w:val="004A7BC5"/>
    <w:rsid w:val="004E3EFA"/>
    <w:rsid w:val="004F3C59"/>
    <w:rsid w:val="00530425"/>
    <w:rsid w:val="005421FB"/>
    <w:rsid w:val="0058799A"/>
    <w:rsid w:val="00596DBD"/>
    <w:rsid w:val="005C188B"/>
    <w:rsid w:val="00606F91"/>
    <w:rsid w:val="006147EF"/>
    <w:rsid w:val="006627D1"/>
    <w:rsid w:val="006A2EF4"/>
    <w:rsid w:val="006B0E32"/>
    <w:rsid w:val="006F3357"/>
    <w:rsid w:val="00703EBA"/>
    <w:rsid w:val="00751A35"/>
    <w:rsid w:val="007917FC"/>
    <w:rsid w:val="007971B8"/>
    <w:rsid w:val="007A401B"/>
    <w:rsid w:val="00812858"/>
    <w:rsid w:val="008469FC"/>
    <w:rsid w:val="00846C62"/>
    <w:rsid w:val="00863321"/>
    <w:rsid w:val="008A56F9"/>
    <w:rsid w:val="00907D37"/>
    <w:rsid w:val="00947E10"/>
    <w:rsid w:val="00974D88"/>
    <w:rsid w:val="00997E97"/>
    <w:rsid w:val="00A87668"/>
    <w:rsid w:val="00AD2109"/>
    <w:rsid w:val="00B11350"/>
    <w:rsid w:val="00B2669C"/>
    <w:rsid w:val="00B40B41"/>
    <w:rsid w:val="00B7156C"/>
    <w:rsid w:val="00B80103"/>
    <w:rsid w:val="00B90F85"/>
    <w:rsid w:val="00B92ECF"/>
    <w:rsid w:val="00BE2D4A"/>
    <w:rsid w:val="00C31B96"/>
    <w:rsid w:val="00C37F6F"/>
    <w:rsid w:val="00C75D08"/>
    <w:rsid w:val="00CA5613"/>
    <w:rsid w:val="00CB66A2"/>
    <w:rsid w:val="00D375EF"/>
    <w:rsid w:val="00D45086"/>
    <w:rsid w:val="00D46492"/>
    <w:rsid w:val="00D85055"/>
    <w:rsid w:val="00D86575"/>
    <w:rsid w:val="00D86876"/>
    <w:rsid w:val="00DB7853"/>
    <w:rsid w:val="00E65E36"/>
    <w:rsid w:val="00E8527E"/>
    <w:rsid w:val="00E9572B"/>
    <w:rsid w:val="00ED12D3"/>
    <w:rsid w:val="00ED3E22"/>
    <w:rsid w:val="00EE5DFD"/>
    <w:rsid w:val="00F00B31"/>
    <w:rsid w:val="00F23E9F"/>
    <w:rsid w:val="00F45E6E"/>
    <w:rsid w:val="00F57A16"/>
    <w:rsid w:val="00F60226"/>
    <w:rsid w:val="00F60673"/>
    <w:rsid w:val="00F7667A"/>
    <w:rsid w:val="00F83E0A"/>
    <w:rsid w:val="00FE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959"/>
  </w:style>
  <w:style w:type="paragraph" w:styleId="Heading2">
    <w:name w:val="heading 2"/>
    <w:basedOn w:val="Normal"/>
    <w:next w:val="Normal"/>
    <w:qFormat/>
    <w:rsid w:val="0032295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4">
    <w:name w:val="heading 4"/>
    <w:basedOn w:val="Normal"/>
    <w:next w:val="Normal"/>
    <w:qFormat/>
    <w:rsid w:val="0032295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32295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2959"/>
    <w:pPr>
      <w:jc w:val="center"/>
    </w:pPr>
    <w:rPr>
      <w:sz w:val="24"/>
    </w:rPr>
  </w:style>
  <w:style w:type="paragraph" w:styleId="Header">
    <w:name w:val="header"/>
    <w:basedOn w:val="Normal"/>
    <w:rsid w:val="00322959"/>
    <w:pPr>
      <w:tabs>
        <w:tab w:val="center" w:pos="4320"/>
        <w:tab w:val="right" w:pos="8640"/>
      </w:tabs>
    </w:pPr>
  </w:style>
  <w:style w:type="paragraph" w:styleId="BodyText3">
    <w:name w:val="Body Text 3"/>
    <w:basedOn w:val="Normal"/>
    <w:rsid w:val="0032295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Footer">
    <w:name w:val="footer"/>
    <w:basedOn w:val="Normal"/>
    <w:rsid w:val="00322959"/>
    <w:pPr>
      <w:tabs>
        <w:tab w:val="center" w:pos="4320"/>
        <w:tab w:val="right" w:pos="8640"/>
      </w:tabs>
    </w:pPr>
  </w:style>
  <w:style w:type="character" w:styleId="PageNumber">
    <w:name w:val="page number"/>
    <w:basedOn w:val="DefaultParagraphFont"/>
    <w:rsid w:val="00322959"/>
  </w:style>
  <w:style w:type="paragraph" w:styleId="HTMLPreformatted">
    <w:name w:val="HTML Preformatted"/>
    <w:basedOn w:val="Normal"/>
    <w:rsid w:val="00322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Strong">
    <w:name w:val="Strong"/>
    <w:basedOn w:val="DefaultParagraphFont"/>
    <w:qFormat/>
    <w:rsid w:val="00322959"/>
    <w:rPr>
      <w:b/>
      <w:bCs/>
    </w:rPr>
  </w:style>
  <w:style w:type="paragraph" w:styleId="BodyText">
    <w:name w:val="Body Text"/>
    <w:basedOn w:val="Normal"/>
    <w:rsid w:val="00322959"/>
    <w:pPr>
      <w:tabs>
        <w:tab w:val="left" w:pos="540"/>
        <w:tab w:val="left" w:pos="1080"/>
        <w:tab w:val="left" w:pos="1620"/>
        <w:tab w:val="left" w:pos="2160"/>
      </w:tabs>
    </w:pPr>
    <w:rPr>
      <w:sz w:val="24"/>
    </w:rPr>
  </w:style>
  <w:style w:type="character" w:styleId="Hyperlink">
    <w:name w:val="Hyperlink"/>
    <w:basedOn w:val="DefaultParagraphFont"/>
    <w:rsid w:val="00322959"/>
    <w:rPr>
      <w:color w:val="0000FF"/>
      <w:u w:val="single"/>
    </w:rPr>
  </w:style>
  <w:style w:type="paragraph" w:styleId="BodyText2">
    <w:name w:val="Body Text 2"/>
    <w:basedOn w:val="Normal"/>
    <w:rsid w:val="00322959"/>
    <w:pPr>
      <w:tabs>
        <w:tab w:val="left" w:pos="540"/>
        <w:tab w:val="left" w:pos="1080"/>
        <w:tab w:val="left" w:pos="1620"/>
        <w:tab w:val="left" w:pos="2160"/>
      </w:tabs>
    </w:pPr>
    <w:rPr>
      <w:b/>
      <w:bCs/>
      <w:color w:val="FF0000"/>
      <w:sz w:val="24"/>
    </w:rPr>
  </w:style>
  <w:style w:type="character" w:styleId="FollowedHyperlink">
    <w:name w:val="FollowedHyperlink"/>
    <w:basedOn w:val="DefaultParagraphFont"/>
    <w:rsid w:val="00322959"/>
    <w:rPr>
      <w:color w:val="800080"/>
      <w:u w:val="single"/>
    </w:rPr>
  </w:style>
  <w:style w:type="paragraph" w:styleId="ListParagraph">
    <w:name w:val="List Paragraph"/>
    <w:basedOn w:val="Normal"/>
    <w:uiPriority w:val="34"/>
    <w:qFormat/>
    <w:rsid w:val="006A2E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2959"/>
  </w:style>
  <w:style w:type="paragraph" w:styleId="Heading2">
    <w:name w:val="heading 2"/>
    <w:basedOn w:val="Normal"/>
    <w:next w:val="Normal"/>
    <w:qFormat/>
    <w:rsid w:val="0032295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4">
    <w:name w:val="heading 4"/>
    <w:basedOn w:val="Normal"/>
    <w:next w:val="Normal"/>
    <w:qFormat/>
    <w:rsid w:val="0032295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32295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2959"/>
    <w:pPr>
      <w:jc w:val="center"/>
    </w:pPr>
    <w:rPr>
      <w:sz w:val="24"/>
    </w:rPr>
  </w:style>
  <w:style w:type="paragraph" w:styleId="Header">
    <w:name w:val="header"/>
    <w:basedOn w:val="Normal"/>
    <w:rsid w:val="00322959"/>
    <w:pPr>
      <w:tabs>
        <w:tab w:val="center" w:pos="4320"/>
        <w:tab w:val="right" w:pos="8640"/>
      </w:tabs>
    </w:pPr>
  </w:style>
  <w:style w:type="paragraph" w:styleId="BodyText3">
    <w:name w:val="Body Text 3"/>
    <w:basedOn w:val="Normal"/>
    <w:rsid w:val="0032295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Footer">
    <w:name w:val="footer"/>
    <w:basedOn w:val="Normal"/>
    <w:rsid w:val="00322959"/>
    <w:pPr>
      <w:tabs>
        <w:tab w:val="center" w:pos="4320"/>
        <w:tab w:val="right" w:pos="8640"/>
      </w:tabs>
    </w:pPr>
  </w:style>
  <w:style w:type="character" w:styleId="PageNumber">
    <w:name w:val="page number"/>
    <w:basedOn w:val="DefaultParagraphFont"/>
    <w:rsid w:val="00322959"/>
  </w:style>
  <w:style w:type="paragraph" w:styleId="HTMLPreformatted">
    <w:name w:val="HTML Preformatted"/>
    <w:basedOn w:val="Normal"/>
    <w:rsid w:val="00322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Strong">
    <w:name w:val="Strong"/>
    <w:basedOn w:val="DefaultParagraphFont"/>
    <w:qFormat/>
    <w:rsid w:val="00322959"/>
    <w:rPr>
      <w:b/>
      <w:bCs/>
    </w:rPr>
  </w:style>
  <w:style w:type="paragraph" w:styleId="BodyText">
    <w:name w:val="Body Text"/>
    <w:basedOn w:val="Normal"/>
    <w:rsid w:val="00322959"/>
    <w:pPr>
      <w:tabs>
        <w:tab w:val="left" w:pos="540"/>
        <w:tab w:val="left" w:pos="1080"/>
        <w:tab w:val="left" w:pos="1620"/>
        <w:tab w:val="left" w:pos="2160"/>
      </w:tabs>
    </w:pPr>
    <w:rPr>
      <w:sz w:val="24"/>
    </w:rPr>
  </w:style>
  <w:style w:type="character" w:styleId="Hyperlink">
    <w:name w:val="Hyperlink"/>
    <w:basedOn w:val="DefaultParagraphFont"/>
    <w:rsid w:val="00322959"/>
    <w:rPr>
      <w:color w:val="0000FF"/>
      <w:u w:val="single"/>
    </w:rPr>
  </w:style>
  <w:style w:type="paragraph" w:styleId="BodyText2">
    <w:name w:val="Body Text 2"/>
    <w:basedOn w:val="Normal"/>
    <w:rsid w:val="00322959"/>
    <w:pPr>
      <w:tabs>
        <w:tab w:val="left" w:pos="540"/>
        <w:tab w:val="left" w:pos="1080"/>
        <w:tab w:val="left" w:pos="1620"/>
        <w:tab w:val="left" w:pos="2160"/>
      </w:tabs>
    </w:pPr>
    <w:rPr>
      <w:b/>
      <w:bCs/>
      <w:color w:val="FF0000"/>
      <w:sz w:val="24"/>
    </w:rPr>
  </w:style>
  <w:style w:type="character" w:styleId="FollowedHyperlink">
    <w:name w:val="FollowedHyperlink"/>
    <w:basedOn w:val="DefaultParagraphFont"/>
    <w:rsid w:val="00322959"/>
    <w:rPr>
      <w:color w:val="800080"/>
      <w:u w:val="single"/>
    </w:rPr>
  </w:style>
  <w:style w:type="paragraph" w:styleId="ListParagraph">
    <w:name w:val="List Paragraph"/>
    <w:basedOn w:val="Normal"/>
    <w:uiPriority w:val="34"/>
    <w:qFormat/>
    <w:rsid w:val="006A2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28879">
      <w:bodyDiv w:val="1"/>
      <w:marLeft w:val="0"/>
      <w:marRight w:val="0"/>
      <w:marTop w:val="0"/>
      <w:marBottom w:val="0"/>
      <w:divBdr>
        <w:top w:val="none" w:sz="0" w:space="0" w:color="auto"/>
        <w:left w:val="none" w:sz="0" w:space="0" w:color="auto"/>
        <w:bottom w:val="none" w:sz="0" w:space="0" w:color="auto"/>
        <w:right w:val="none" w:sz="0" w:space="0" w:color="auto"/>
      </w:divBdr>
      <w:divsChild>
        <w:div w:id="1050611203">
          <w:marLeft w:val="0"/>
          <w:marRight w:val="0"/>
          <w:marTop w:val="0"/>
          <w:marBottom w:val="0"/>
          <w:divBdr>
            <w:top w:val="none" w:sz="0" w:space="0" w:color="auto"/>
            <w:left w:val="none" w:sz="0" w:space="0" w:color="auto"/>
            <w:bottom w:val="none" w:sz="0" w:space="0" w:color="auto"/>
            <w:right w:val="none" w:sz="0" w:space="0" w:color="auto"/>
          </w:divBdr>
          <w:divsChild>
            <w:div w:id="1183319148">
              <w:marLeft w:val="0"/>
              <w:marRight w:val="0"/>
              <w:marTop w:val="0"/>
              <w:marBottom w:val="0"/>
              <w:divBdr>
                <w:top w:val="none" w:sz="0" w:space="0" w:color="auto"/>
                <w:left w:val="single" w:sz="6" w:space="0" w:color="E2E2E2"/>
                <w:bottom w:val="none" w:sz="0" w:space="0" w:color="auto"/>
                <w:right w:val="single" w:sz="6" w:space="0" w:color="E2E2E2"/>
              </w:divBdr>
              <w:divsChild>
                <w:div w:id="752776922">
                  <w:marLeft w:val="0"/>
                  <w:marRight w:val="0"/>
                  <w:marTop w:val="0"/>
                  <w:marBottom w:val="0"/>
                  <w:divBdr>
                    <w:top w:val="none" w:sz="0" w:space="0" w:color="auto"/>
                    <w:left w:val="none" w:sz="0" w:space="0" w:color="auto"/>
                    <w:bottom w:val="none" w:sz="0" w:space="0" w:color="auto"/>
                    <w:right w:val="none" w:sz="0" w:space="0" w:color="auto"/>
                  </w:divBdr>
                  <w:divsChild>
                    <w:div w:id="1238056274">
                      <w:marLeft w:val="0"/>
                      <w:marRight w:val="0"/>
                      <w:marTop w:val="0"/>
                      <w:marBottom w:val="0"/>
                      <w:divBdr>
                        <w:top w:val="none" w:sz="0" w:space="0" w:color="auto"/>
                        <w:left w:val="none" w:sz="0" w:space="0" w:color="auto"/>
                        <w:bottom w:val="none" w:sz="0" w:space="0" w:color="auto"/>
                        <w:right w:val="none" w:sz="0" w:space="0" w:color="auto"/>
                      </w:divBdr>
                      <w:divsChild>
                        <w:div w:id="21056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00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ww.registries.aac.va.gov" TargetMode="External"/><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oes/current/oes310000.ht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po.gov/fdsys/pkg/FR-2012-10-31/pdf/2012-2680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aww.registries.aac.v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2610</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FOR VA FORM 10-9009 #3</vt:lpstr>
    </vt:vector>
  </TitlesOfParts>
  <Company>VHA</Company>
  <LinksUpToDate>false</LinksUpToDate>
  <CharactersWithSpaces>17453</CharactersWithSpaces>
  <SharedDoc>false</SharedDoc>
  <HLinks>
    <vt:vector size="18" baseType="variant">
      <vt:variant>
        <vt:i4>3604541</vt:i4>
      </vt:variant>
      <vt:variant>
        <vt:i4>6</vt:i4>
      </vt:variant>
      <vt:variant>
        <vt:i4>0</vt:i4>
      </vt:variant>
      <vt:variant>
        <vt:i4>5</vt:i4>
      </vt:variant>
      <vt:variant>
        <vt:lpwstr>http://www.gpoaccess.gov/privacyact/index.html</vt:lpwstr>
      </vt:variant>
      <vt:variant>
        <vt:lpwstr/>
      </vt:variant>
      <vt:variant>
        <vt:i4>8126591</vt:i4>
      </vt:variant>
      <vt:variant>
        <vt:i4>3</vt:i4>
      </vt:variant>
      <vt:variant>
        <vt:i4>0</vt:i4>
      </vt:variant>
      <vt:variant>
        <vt:i4>5</vt:i4>
      </vt:variant>
      <vt:variant>
        <vt:lpwstr>http://vaww.registries.aac.va.gov/</vt:lpwstr>
      </vt:variant>
      <vt:variant>
        <vt:lpwstr/>
      </vt:variant>
      <vt:variant>
        <vt:i4>8126591</vt:i4>
      </vt:variant>
      <vt:variant>
        <vt:i4>0</vt:i4>
      </vt:variant>
      <vt:variant>
        <vt:i4>0</vt:i4>
      </vt:variant>
      <vt:variant>
        <vt:i4>5</vt:i4>
      </vt:variant>
      <vt:variant>
        <vt:lpwstr>http://vaww.registries.aac.va.gov/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10-9009 #3</dc:title>
  <dc:creator>VA</dc:creator>
  <cp:lastModifiedBy>SYSTEM</cp:lastModifiedBy>
  <cp:revision>2</cp:revision>
  <cp:lastPrinted>2009-09-23T18:46:00Z</cp:lastPrinted>
  <dcterms:created xsi:type="dcterms:W3CDTF">2017-08-18T22:22:00Z</dcterms:created>
  <dcterms:modified xsi:type="dcterms:W3CDTF">2017-08-18T22:22:00Z</dcterms:modified>
</cp:coreProperties>
</file>