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BDA16" w14:textId="77777777" w:rsidR="00D55667" w:rsidRDefault="00D55667" w:rsidP="00D55667">
      <w:pPr>
        <w:pStyle w:val="CoverTextRed16pt"/>
        <w:ind w:left="0"/>
        <w:jc w:val="center"/>
        <w:rPr>
          <w:rFonts w:ascii="Times New Roman" w:hAnsi="Times New Roman"/>
          <w:color w:val="auto"/>
          <w:sz w:val="40"/>
          <w:szCs w:val="40"/>
        </w:rPr>
      </w:pPr>
    </w:p>
    <w:p w14:paraId="426A8397" w14:textId="77777777" w:rsidR="00D55667" w:rsidRDefault="00D55667" w:rsidP="00D55667">
      <w:pPr>
        <w:pStyle w:val="CoverTextRed16pt"/>
        <w:ind w:left="0"/>
        <w:jc w:val="center"/>
        <w:rPr>
          <w:rFonts w:ascii="Times New Roman" w:hAnsi="Times New Roman"/>
          <w:color w:val="auto"/>
          <w:sz w:val="40"/>
          <w:szCs w:val="40"/>
        </w:rPr>
      </w:pPr>
    </w:p>
    <w:p w14:paraId="0B470C9A" w14:textId="77777777" w:rsidR="00D55667" w:rsidRDefault="00D55667" w:rsidP="00D55667">
      <w:pPr>
        <w:pStyle w:val="CoverTextRed16pt"/>
        <w:ind w:left="0"/>
        <w:jc w:val="center"/>
        <w:rPr>
          <w:rFonts w:ascii="Times New Roman" w:hAnsi="Times New Roman"/>
          <w:color w:val="auto"/>
          <w:sz w:val="40"/>
          <w:szCs w:val="40"/>
        </w:rPr>
      </w:pPr>
    </w:p>
    <w:p w14:paraId="3FBB3421" w14:textId="77777777" w:rsidR="00D55667" w:rsidRDefault="00D55667" w:rsidP="00D55667">
      <w:pPr>
        <w:pStyle w:val="CoverTextRed16pt"/>
        <w:ind w:left="0"/>
        <w:jc w:val="center"/>
        <w:rPr>
          <w:rFonts w:ascii="Times New Roman" w:hAnsi="Times New Roman"/>
          <w:color w:val="auto"/>
          <w:sz w:val="40"/>
          <w:szCs w:val="40"/>
        </w:rPr>
      </w:pPr>
    </w:p>
    <w:p w14:paraId="0BCBBB12" w14:textId="77777777" w:rsidR="00D55667" w:rsidRDefault="00D55667" w:rsidP="00D55667">
      <w:pPr>
        <w:pStyle w:val="CoverTextRed16pt"/>
        <w:ind w:left="0"/>
        <w:jc w:val="center"/>
        <w:rPr>
          <w:rFonts w:ascii="Times New Roman" w:hAnsi="Times New Roman"/>
          <w:color w:val="auto"/>
          <w:sz w:val="40"/>
          <w:szCs w:val="40"/>
        </w:rPr>
      </w:pPr>
    </w:p>
    <w:p w14:paraId="21D4564A" w14:textId="77777777" w:rsidR="00D55667" w:rsidRDefault="00D55667" w:rsidP="00D55667">
      <w:pPr>
        <w:pStyle w:val="CoverTextRed16pt"/>
        <w:ind w:left="0"/>
        <w:jc w:val="center"/>
        <w:rPr>
          <w:rFonts w:ascii="Times New Roman" w:hAnsi="Times New Roman"/>
          <w:color w:val="auto"/>
          <w:sz w:val="40"/>
          <w:szCs w:val="40"/>
        </w:rPr>
      </w:pPr>
    </w:p>
    <w:p w14:paraId="69FF29ED" w14:textId="77777777" w:rsidR="00D55667" w:rsidRPr="00201EAD" w:rsidRDefault="00D55667" w:rsidP="00D55667">
      <w:pPr>
        <w:pStyle w:val="CoverTextRed16pt"/>
        <w:ind w:left="0"/>
        <w:jc w:val="center"/>
        <w:rPr>
          <w:rFonts w:ascii="Times New Roman" w:hAnsi="Times New Roman"/>
          <w:color w:val="auto"/>
          <w:sz w:val="40"/>
          <w:szCs w:val="40"/>
        </w:rPr>
      </w:pPr>
      <w:r w:rsidRPr="00201EAD">
        <w:rPr>
          <w:rFonts w:ascii="Times New Roman" w:hAnsi="Times New Roman"/>
          <w:color w:val="auto"/>
          <w:sz w:val="40"/>
          <w:szCs w:val="40"/>
        </w:rPr>
        <w:t>Family Options Study</w:t>
      </w:r>
      <w:r>
        <w:rPr>
          <w:rFonts w:ascii="Times New Roman" w:hAnsi="Times New Roman"/>
          <w:color w:val="auto"/>
          <w:sz w:val="40"/>
          <w:szCs w:val="40"/>
        </w:rPr>
        <w:t>:</w:t>
      </w:r>
      <w:r w:rsidRPr="00201EAD">
        <w:rPr>
          <w:rFonts w:ascii="Times New Roman" w:hAnsi="Times New Roman"/>
          <w:color w:val="auto"/>
          <w:sz w:val="40"/>
          <w:szCs w:val="40"/>
        </w:rPr>
        <w:t xml:space="preserve"> Long Term Tracking </w:t>
      </w:r>
    </w:p>
    <w:p w14:paraId="7CF84927" w14:textId="77777777" w:rsidR="00D55667" w:rsidRPr="00201EAD" w:rsidRDefault="00D55667" w:rsidP="00D55667">
      <w:pPr>
        <w:autoSpaceDE w:val="0"/>
        <w:autoSpaceDN w:val="0"/>
        <w:adjustRightInd w:val="0"/>
        <w:ind w:right="-990"/>
        <w:jc w:val="center"/>
        <w:rPr>
          <w:b/>
          <w:sz w:val="40"/>
          <w:szCs w:val="40"/>
        </w:rPr>
      </w:pPr>
    </w:p>
    <w:p w14:paraId="5C1B5820" w14:textId="77777777" w:rsidR="00D55667" w:rsidRPr="00201EAD" w:rsidRDefault="00D55667" w:rsidP="00D55667">
      <w:pPr>
        <w:autoSpaceDE w:val="0"/>
        <w:autoSpaceDN w:val="0"/>
        <w:adjustRightInd w:val="0"/>
        <w:ind w:right="-990"/>
        <w:jc w:val="center"/>
        <w:rPr>
          <w:b/>
          <w:sz w:val="40"/>
          <w:szCs w:val="40"/>
        </w:rPr>
      </w:pPr>
    </w:p>
    <w:p w14:paraId="2010A050" w14:textId="77777777" w:rsidR="00D55667" w:rsidRPr="00201EAD" w:rsidRDefault="00D55667" w:rsidP="00D55667">
      <w:pPr>
        <w:pStyle w:val="CoverTextRed16pt"/>
        <w:ind w:left="0"/>
        <w:jc w:val="center"/>
        <w:rPr>
          <w:rFonts w:ascii="Times New Roman" w:hAnsi="Times New Roman"/>
          <w:color w:val="auto"/>
          <w:sz w:val="40"/>
          <w:szCs w:val="40"/>
        </w:rPr>
      </w:pPr>
      <w:r w:rsidRPr="00201EAD">
        <w:rPr>
          <w:rFonts w:ascii="Times New Roman" w:hAnsi="Times New Roman"/>
          <w:color w:val="auto"/>
          <w:sz w:val="40"/>
          <w:szCs w:val="40"/>
        </w:rPr>
        <w:t xml:space="preserve">Supporting Statement for </w:t>
      </w:r>
    </w:p>
    <w:p w14:paraId="38E2EAFD" w14:textId="77777777" w:rsidR="00D55667" w:rsidRPr="00201EAD" w:rsidRDefault="00D55667" w:rsidP="00D55667">
      <w:pPr>
        <w:pStyle w:val="CoverTextRed16pt"/>
        <w:ind w:left="0"/>
        <w:jc w:val="center"/>
        <w:rPr>
          <w:rFonts w:ascii="Times New Roman" w:hAnsi="Times New Roman"/>
          <w:color w:val="auto"/>
          <w:sz w:val="40"/>
          <w:szCs w:val="40"/>
        </w:rPr>
      </w:pPr>
      <w:r w:rsidRPr="00201EAD">
        <w:rPr>
          <w:rFonts w:ascii="Times New Roman" w:hAnsi="Times New Roman"/>
          <w:color w:val="auto"/>
          <w:sz w:val="40"/>
          <w:szCs w:val="40"/>
        </w:rPr>
        <w:t xml:space="preserve">Paperwork Reduction Act Submission </w:t>
      </w:r>
    </w:p>
    <w:p w14:paraId="745DC226" w14:textId="77777777" w:rsidR="00D55667" w:rsidRPr="00201EAD" w:rsidRDefault="00D55667" w:rsidP="00D55667">
      <w:pPr>
        <w:pStyle w:val="CoverTextRed16pt"/>
        <w:ind w:left="0"/>
        <w:jc w:val="center"/>
        <w:rPr>
          <w:rFonts w:ascii="Times New Roman" w:hAnsi="Times New Roman"/>
          <w:color w:val="auto"/>
          <w:sz w:val="40"/>
          <w:szCs w:val="40"/>
        </w:rPr>
      </w:pPr>
      <w:r w:rsidRPr="00201EAD">
        <w:rPr>
          <w:rFonts w:ascii="Times New Roman" w:hAnsi="Times New Roman"/>
          <w:color w:val="auto"/>
          <w:sz w:val="40"/>
          <w:szCs w:val="40"/>
        </w:rPr>
        <w:t xml:space="preserve">Part </w:t>
      </w:r>
      <w:r>
        <w:rPr>
          <w:rFonts w:ascii="Times New Roman" w:hAnsi="Times New Roman"/>
          <w:color w:val="auto"/>
          <w:sz w:val="40"/>
          <w:szCs w:val="40"/>
        </w:rPr>
        <w:t>B</w:t>
      </w:r>
    </w:p>
    <w:p w14:paraId="4BEE2EA1" w14:textId="77777777" w:rsidR="00D55667" w:rsidRPr="00201EAD" w:rsidRDefault="00D55667" w:rsidP="00D55667">
      <w:pPr>
        <w:pStyle w:val="CoverText16pt"/>
        <w:ind w:left="0" w:right="-990"/>
        <w:jc w:val="center"/>
        <w:rPr>
          <w:b/>
          <w:sz w:val="40"/>
          <w:szCs w:val="40"/>
        </w:rPr>
      </w:pPr>
    </w:p>
    <w:p w14:paraId="0B7FB606" w14:textId="77777777" w:rsidR="00D55667" w:rsidRPr="00201EAD" w:rsidRDefault="00D55667" w:rsidP="00D55667">
      <w:pPr>
        <w:pStyle w:val="CoverText16pt"/>
        <w:tabs>
          <w:tab w:val="left" w:pos="7866"/>
        </w:tabs>
        <w:ind w:left="0" w:right="-1080"/>
        <w:jc w:val="center"/>
        <w:rPr>
          <w:b/>
          <w:sz w:val="40"/>
          <w:szCs w:val="40"/>
        </w:rPr>
      </w:pPr>
    </w:p>
    <w:p w14:paraId="3D76CE5C" w14:textId="77777777" w:rsidR="00D55667" w:rsidRPr="00201EAD" w:rsidRDefault="00D55667" w:rsidP="00D55667">
      <w:pPr>
        <w:pStyle w:val="CoverText16pt"/>
        <w:ind w:left="0" w:right="-1080"/>
        <w:jc w:val="center"/>
        <w:rPr>
          <w:b/>
          <w:i/>
          <w:sz w:val="40"/>
          <w:szCs w:val="40"/>
        </w:rPr>
      </w:pPr>
    </w:p>
    <w:p w14:paraId="11D77285" w14:textId="77777777" w:rsidR="00D55667" w:rsidRPr="00201EAD" w:rsidRDefault="00D55667" w:rsidP="00D55667">
      <w:pPr>
        <w:tabs>
          <w:tab w:val="left" w:pos="720"/>
          <w:tab w:val="left" w:pos="1080"/>
          <w:tab w:val="left" w:pos="1440"/>
          <w:tab w:val="left" w:pos="1800"/>
        </w:tabs>
        <w:ind w:right="-990"/>
        <w:jc w:val="center"/>
        <w:rPr>
          <w:b/>
          <w:sz w:val="40"/>
          <w:szCs w:val="40"/>
        </w:rPr>
      </w:pPr>
    </w:p>
    <w:p w14:paraId="11511CA7" w14:textId="77777777" w:rsidR="00D55667" w:rsidRPr="00201EAD" w:rsidRDefault="00D55667" w:rsidP="00D55667">
      <w:pPr>
        <w:pStyle w:val="CoverText-Address"/>
        <w:ind w:left="0" w:right="-990"/>
        <w:jc w:val="center"/>
        <w:rPr>
          <w:b/>
          <w:sz w:val="40"/>
          <w:szCs w:val="40"/>
        </w:rPr>
      </w:pPr>
    </w:p>
    <w:p w14:paraId="6FC4FF51" w14:textId="77777777" w:rsidR="009113C4" w:rsidRDefault="009113C4" w:rsidP="00D55667">
      <w:pPr>
        <w:pStyle w:val="CoverText-Address"/>
        <w:ind w:left="0" w:right="-990"/>
        <w:jc w:val="center"/>
        <w:rPr>
          <w:b/>
          <w:sz w:val="40"/>
          <w:szCs w:val="40"/>
        </w:rPr>
      </w:pPr>
    </w:p>
    <w:p w14:paraId="7383BFA8" w14:textId="56709244" w:rsidR="00D55667" w:rsidRDefault="009113C4" w:rsidP="00D55667">
      <w:pPr>
        <w:pStyle w:val="CoverText-Address"/>
        <w:ind w:left="0" w:right="-990"/>
        <w:jc w:val="center"/>
        <w:rPr>
          <w:b/>
          <w:sz w:val="40"/>
          <w:szCs w:val="40"/>
        </w:rPr>
      </w:pPr>
      <w:r>
        <w:rPr>
          <w:b/>
          <w:sz w:val="40"/>
          <w:szCs w:val="40"/>
        </w:rPr>
        <w:t xml:space="preserve">May </w:t>
      </w:r>
      <w:r w:rsidR="006A0B87">
        <w:rPr>
          <w:b/>
          <w:sz w:val="40"/>
          <w:szCs w:val="40"/>
        </w:rPr>
        <w:t>25</w:t>
      </w:r>
      <w:bookmarkStart w:id="0" w:name="_GoBack"/>
      <w:bookmarkEnd w:id="0"/>
      <w:r>
        <w:rPr>
          <w:b/>
          <w:sz w:val="40"/>
          <w:szCs w:val="40"/>
        </w:rPr>
        <w:t>, 2017</w:t>
      </w:r>
    </w:p>
    <w:p w14:paraId="205C8C57" w14:textId="77777777" w:rsidR="00D55667" w:rsidRDefault="00D55667" w:rsidP="00D55667">
      <w:pPr>
        <w:pStyle w:val="CoverText-Address"/>
        <w:ind w:left="0" w:right="-990"/>
        <w:jc w:val="center"/>
        <w:rPr>
          <w:b/>
          <w:sz w:val="40"/>
          <w:szCs w:val="40"/>
        </w:rPr>
      </w:pPr>
    </w:p>
    <w:p w14:paraId="1980A645" w14:textId="77777777" w:rsidR="00D55667" w:rsidRDefault="00D55667" w:rsidP="00D55667">
      <w:pPr>
        <w:pStyle w:val="CoverText-Address"/>
        <w:ind w:left="0" w:right="-990"/>
        <w:jc w:val="center"/>
        <w:rPr>
          <w:b/>
          <w:sz w:val="40"/>
          <w:szCs w:val="40"/>
        </w:rPr>
      </w:pPr>
    </w:p>
    <w:p w14:paraId="77777589" w14:textId="77777777" w:rsidR="00D55667" w:rsidRDefault="00D55667" w:rsidP="00D55667">
      <w:pPr>
        <w:pStyle w:val="CoverText-Address"/>
        <w:ind w:left="0" w:right="-990"/>
        <w:jc w:val="center"/>
        <w:rPr>
          <w:b/>
          <w:sz w:val="40"/>
          <w:szCs w:val="40"/>
        </w:rPr>
      </w:pPr>
    </w:p>
    <w:p w14:paraId="3CE50C1F" w14:textId="77777777" w:rsidR="00D55667" w:rsidRDefault="00D55667" w:rsidP="00D55667">
      <w:pPr>
        <w:pStyle w:val="CoverText-Address"/>
        <w:ind w:left="0" w:right="-990"/>
        <w:jc w:val="center"/>
        <w:rPr>
          <w:b/>
          <w:sz w:val="40"/>
          <w:szCs w:val="40"/>
        </w:rPr>
      </w:pPr>
    </w:p>
    <w:p w14:paraId="3A0EC4C6" w14:textId="77777777" w:rsidR="00D55667" w:rsidRDefault="00D55667" w:rsidP="00D55667">
      <w:pPr>
        <w:pStyle w:val="CoverText-Address"/>
        <w:ind w:left="0" w:right="-990"/>
        <w:jc w:val="center"/>
        <w:rPr>
          <w:b/>
          <w:sz w:val="40"/>
          <w:szCs w:val="40"/>
        </w:rPr>
      </w:pPr>
    </w:p>
    <w:p w14:paraId="639FACA8" w14:textId="77777777" w:rsidR="00D55667" w:rsidRDefault="00D55667" w:rsidP="00D55667">
      <w:pPr>
        <w:pStyle w:val="CoverText-Address"/>
        <w:ind w:left="0" w:right="-990"/>
        <w:jc w:val="center"/>
        <w:rPr>
          <w:b/>
          <w:sz w:val="40"/>
          <w:szCs w:val="40"/>
        </w:rPr>
      </w:pPr>
    </w:p>
    <w:p w14:paraId="7FAF82DE" w14:textId="77777777" w:rsidR="00D55667" w:rsidRPr="00201EAD" w:rsidRDefault="00D55667" w:rsidP="00D55667">
      <w:pPr>
        <w:pStyle w:val="CoverText-Address"/>
        <w:ind w:left="0" w:right="-990"/>
        <w:jc w:val="center"/>
        <w:rPr>
          <w:b/>
          <w:sz w:val="40"/>
          <w:szCs w:val="40"/>
        </w:rPr>
      </w:pPr>
    </w:p>
    <w:p w14:paraId="0B3C76B0" w14:textId="77777777" w:rsidR="006A12FA" w:rsidRDefault="006A12FA" w:rsidP="006A12FA">
      <w:pPr>
        <w:pStyle w:val="CoverText-Address"/>
        <w:ind w:right="-1080"/>
      </w:pPr>
    </w:p>
    <w:p w14:paraId="29A1F11D" w14:textId="77777777" w:rsidR="007B1904" w:rsidRPr="00157E04" w:rsidRDefault="00671CCA" w:rsidP="006A12FA">
      <w:pPr>
        <w:pStyle w:val="VolumeHeader"/>
        <w:rPr>
          <w:rFonts w:cs="Arial"/>
        </w:rPr>
      </w:pPr>
      <w:r>
        <w:t xml:space="preserve">Family Options Study 36-Month </w:t>
      </w:r>
      <w:r w:rsidR="00EB5181" w:rsidRPr="00EB5181">
        <w:t>Follow-Up Data Collection – Draft</w:t>
      </w:r>
    </w:p>
    <w:p w14:paraId="44ABC1B2" w14:textId="77777777" w:rsidR="00EB5181" w:rsidRPr="009F2649" w:rsidRDefault="00EB5181" w:rsidP="006A12FA"/>
    <w:p w14:paraId="0C32B38B" w14:textId="77777777" w:rsidR="00752119" w:rsidRPr="00A178FC" w:rsidRDefault="00752119" w:rsidP="00421DA0">
      <w:pPr>
        <w:pStyle w:val="TOCHeader"/>
        <w:tabs>
          <w:tab w:val="left" w:pos="7920"/>
        </w:tabs>
      </w:pPr>
      <w:r w:rsidRPr="00A178FC">
        <w:t>Table of Contents</w:t>
      </w:r>
    </w:p>
    <w:p w14:paraId="101E81DD" w14:textId="5145B5E2" w:rsidR="00690E2E" w:rsidRDefault="00D87A0C">
      <w:pPr>
        <w:pStyle w:val="TOC1"/>
        <w:rPr>
          <w:rFonts w:asciiTheme="minorHAnsi" w:eastAsiaTheme="minorEastAsia" w:hAnsiTheme="minorHAnsi" w:cstheme="minorBidi"/>
          <w:b w:val="0"/>
          <w:szCs w:val="22"/>
        </w:rPr>
      </w:pPr>
      <w:r>
        <w:fldChar w:fldCharType="begin"/>
      </w:r>
      <w:r w:rsidR="001178CA">
        <w:instrText xml:space="preserve"> TOC \o "1-3" \h \z \u </w:instrText>
      </w:r>
      <w:r>
        <w:fldChar w:fldCharType="separate"/>
      </w:r>
      <w:hyperlink w:anchor="_Toc465091689" w:history="1">
        <w:r w:rsidR="00690E2E" w:rsidRPr="00FE62FF">
          <w:rPr>
            <w:rStyle w:val="Hyperlink"/>
          </w:rPr>
          <w:t>Part B:</w:t>
        </w:r>
        <w:r w:rsidR="00690E2E">
          <w:rPr>
            <w:rFonts w:asciiTheme="minorHAnsi" w:eastAsiaTheme="minorEastAsia" w:hAnsiTheme="minorHAnsi" w:cstheme="minorBidi"/>
            <w:b w:val="0"/>
            <w:szCs w:val="22"/>
          </w:rPr>
          <w:tab/>
        </w:r>
        <w:r w:rsidR="00690E2E" w:rsidRPr="00FE62FF">
          <w:rPr>
            <w:rStyle w:val="Hyperlink"/>
          </w:rPr>
          <w:t>Collection of Information Employing Statistical Methods</w:t>
        </w:r>
        <w:r w:rsidR="00690E2E">
          <w:rPr>
            <w:webHidden/>
          </w:rPr>
          <w:tab/>
        </w:r>
        <w:r w:rsidR="00690E2E">
          <w:rPr>
            <w:webHidden/>
          </w:rPr>
          <w:fldChar w:fldCharType="begin"/>
        </w:r>
        <w:r w:rsidR="00690E2E">
          <w:rPr>
            <w:webHidden/>
          </w:rPr>
          <w:instrText xml:space="preserve"> PAGEREF _Toc465091689 \h </w:instrText>
        </w:r>
        <w:r w:rsidR="00690E2E">
          <w:rPr>
            <w:webHidden/>
          </w:rPr>
        </w:r>
        <w:r w:rsidR="00690E2E">
          <w:rPr>
            <w:webHidden/>
          </w:rPr>
          <w:fldChar w:fldCharType="separate"/>
        </w:r>
        <w:r w:rsidR="006A0B87">
          <w:rPr>
            <w:webHidden/>
          </w:rPr>
          <w:t>1</w:t>
        </w:r>
        <w:r w:rsidR="00690E2E">
          <w:rPr>
            <w:webHidden/>
          </w:rPr>
          <w:fldChar w:fldCharType="end"/>
        </w:r>
      </w:hyperlink>
    </w:p>
    <w:p w14:paraId="7D68AEC2" w14:textId="18214C07" w:rsidR="00690E2E" w:rsidRDefault="006A0B87">
      <w:pPr>
        <w:pStyle w:val="TOC2"/>
        <w:rPr>
          <w:rFonts w:asciiTheme="minorHAnsi" w:eastAsiaTheme="minorEastAsia" w:hAnsiTheme="minorHAnsi" w:cstheme="minorBidi"/>
          <w:szCs w:val="22"/>
        </w:rPr>
      </w:pPr>
      <w:hyperlink w:anchor="_Toc465091690" w:history="1">
        <w:r w:rsidR="00690E2E" w:rsidRPr="00FE62FF">
          <w:rPr>
            <w:rStyle w:val="Hyperlink"/>
          </w:rPr>
          <w:t>B.1</w:t>
        </w:r>
        <w:r w:rsidR="00690E2E">
          <w:rPr>
            <w:rFonts w:asciiTheme="minorHAnsi" w:eastAsiaTheme="minorEastAsia" w:hAnsiTheme="minorHAnsi" w:cstheme="minorBidi"/>
            <w:szCs w:val="22"/>
          </w:rPr>
          <w:tab/>
        </w:r>
        <w:r w:rsidR="00690E2E" w:rsidRPr="00FE62FF">
          <w:rPr>
            <w:rStyle w:val="Hyperlink"/>
          </w:rPr>
          <w:t>Identification of Appropriate Respondents</w:t>
        </w:r>
        <w:r w:rsidR="00690E2E">
          <w:rPr>
            <w:webHidden/>
          </w:rPr>
          <w:tab/>
        </w:r>
        <w:r w:rsidR="00690E2E">
          <w:rPr>
            <w:webHidden/>
          </w:rPr>
          <w:fldChar w:fldCharType="begin"/>
        </w:r>
        <w:r w:rsidR="00690E2E">
          <w:rPr>
            <w:webHidden/>
          </w:rPr>
          <w:instrText xml:space="preserve"> PAGEREF _Toc465091690 \h </w:instrText>
        </w:r>
        <w:r w:rsidR="00690E2E">
          <w:rPr>
            <w:webHidden/>
          </w:rPr>
        </w:r>
        <w:r w:rsidR="00690E2E">
          <w:rPr>
            <w:webHidden/>
          </w:rPr>
          <w:fldChar w:fldCharType="separate"/>
        </w:r>
        <w:r>
          <w:rPr>
            <w:webHidden/>
          </w:rPr>
          <w:t>1</w:t>
        </w:r>
        <w:r w:rsidR="00690E2E">
          <w:rPr>
            <w:webHidden/>
          </w:rPr>
          <w:fldChar w:fldCharType="end"/>
        </w:r>
      </w:hyperlink>
    </w:p>
    <w:p w14:paraId="34054083" w14:textId="386455A0" w:rsidR="00690E2E" w:rsidRDefault="006A0B87">
      <w:pPr>
        <w:pStyle w:val="TOC3"/>
        <w:rPr>
          <w:rFonts w:asciiTheme="minorHAnsi" w:eastAsiaTheme="minorEastAsia" w:hAnsiTheme="minorHAnsi" w:cstheme="minorBidi"/>
          <w:szCs w:val="22"/>
        </w:rPr>
      </w:pPr>
      <w:hyperlink w:anchor="_Toc465091691" w:history="1">
        <w:r w:rsidR="00690E2E" w:rsidRPr="00FE62FF">
          <w:rPr>
            <w:rStyle w:val="Hyperlink"/>
          </w:rPr>
          <w:t>B.1.1</w:t>
        </w:r>
        <w:r w:rsidR="00690E2E">
          <w:rPr>
            <w:rFonts w:asciiTheme="minorHAnsi" w:eastAsiaTheme="minorEastAsia" w:hAnsiTheme="minorHAnsi" w:cstheme="minorBidi"/>
            <w:szCs w:val="22"/>
          </w:rPr>
          <w:tab/>
        </w:r>
        <w:r w:rsidR="00690E2E" w:rsidRPr="00FE62FF">
          <w:rPr>
            <w:rStyle w:val="Hyperlink"/>
          </w:rPr>
          <w:t>Sample Recruitment and Random Assignment</w:t>
        </w:r>
        <w:r w:rsidR="00690E2E">
          <w:rPr>
            <w:webHidden/>
          </w:rPr>
          <w:tab/>
        </w:r>
        <w:r w:rsidR="00690E2E">
          <w:rPr>
            <w:webHidden/>
          </w:rPr>
          <w:fldChar w:fldCharType="begin"/>
        </w:r>
        <w:r w:rsidR="00690E2E">
          <w:rPr>
            <w:webHidden/>
          </w:rPr>
          <w:instrText xml:space="preserve"> PAGEREF _Toc465091691 \h </w:instrText>
        </w:r>
        <w:r w:rsidR="00690E2E">
          <w:rPr>
            <w:webHidden/>
          </w:rPr>
        </w:r>
        <w:r w:rsidR="00690E2E">
          <w:rPr>
            <w:webHidden/>
          </w:rPr>
          <w:fldChar w:fldCharType="separate"/>
        </w:r>
        <w:r>
          <w:rPr>
            <w:webHidden/>
          </w:rPr>
          <w:t>1</w:t>
        </w:r>
        <w:r w:rsidR="00690E2E">
          <w:rPr>
            <w:webHidden/>
          </w:rPr>
          <w:fldChar w:fldCharType="end"/>
        </w:r>
      </w:hyperlink>
    </w:p>
    <w:p w14:paraId="4888BB21" w14:textId="3371F925" w:rsidR="00690E2E" w:rsidRDefault="006A0B87">
      <w:pPr>
        <w:pStyle w:val="TOC3"/>
        <w:rPr>
          <w:rFonts w:asciiTheme="minorHAnsi" w:eastAsiaTheme="minorEastAsia" w:hAnsiTheme="minorHAnsi" w:cstheme="minorBidi"/>
          <w:szCs w:val="22"/>
        </w:rPr>
      </w:pPr>
      <w:hyperlink w:anchor="_Toc465091692" w:history="1">
        <w:r w:rsidR="00690E2E" w:rsidRPr="00FE62FF">
          <w:rPr>
            <w:rStyle w:val="Hyperlink"/>
          </w:rPr>
          <w:t>B.1.2</w:t>
        </w:r>
        <w:r w:rsidR="00690E2E">
          <w:rPr>
            <w:rFonts w:asciiTheme="minorHAnsi" w:eastAsiaTheme="minorEastAsia" w:hAnsiTheme="minorHAnsi" w:cstheme="minorBidi"/>
            <w:szCs w:val="22"/>
          </w:rPr>
          <w:tab/>
        </w:r>
        <w:r w:rsidR="00690E2E" w:rsidRPr="00FE62FF">
          <w:rPr>
            <w:rStyle w:val="Hyperlink"/>
          </w:rPr>
          <w:t>Universe of Households and Survey Samples</w:t>
        </w:r>
        <w:r w:rsidR="00690E2E">
          <w:rPr>
            <w:webHidden/>
          </w:rPr>
          <w:tab/>
        </w:r>
        <w:r w:rsidR="00690E2E">
          <w:rPr>
            <w:webHidden/>
          </w:rPr>
          <w:fldChar w:fldCharType="begin"/>
        </w:r>
        <w:r w:rsidR="00690E2E">
          <w:rPr>
            <w:webHidden/>
          </w:rPr>
          <w:instrText xml:space="preserve"> PAGEREF _Toc465091692 \h </w:instrText>
        </w:r>
        <w:r w:rsidR="00690E2E">
          <w:rPr>
            <w:webHidden/>
          </w:rPr>
        </w:r>
        <w:r w:rsidR="00690E2E">
          <w:rPr>
            <w:webHidden/>
          </w:rPr>
          <w:fldChar w:fldCharType="separate"/>
        </w:r>
        <w:r>
          <w:rPr>
            <w:webHidden/>
          </w:rPr>
          <w:t>3</w:t>
        </w:r>
        <w:r w:rsidR="00690E2E">
          <w:rPr>
            <w:webHidden/>
          </w:rPr>
          <w:fldChar w:fldCharType="end"/>
        </w:r>
      </w:hyperlink>
    </w:p>
    <w:p w14:paraId="407FBD26" w14:textId="7AC85CD4" w:rsidR="00690E2E" w:rsidRDefault="006A0B87">
      <w:pPr>
        <w:pStyle w:val="TOC2"/>
        <w:rPr>
          <w:rFonts w:asciiTheme="minorHAnsi" w:eastAsiaTheme="minorEastAsia" w:hAnsiTheme="minorHAnsi" w:cstheme="minorBidi"/>
          <w:szCs w:val="22"/>
        </w:rPr>
      </w:pPr>
      <w:hyperlink w:anchor="_Toc465091693" w:history="1">
        <w:r w:rsidR="00690E2E" w:rsidRPr="00FE62FF">
          <w:rPr>
            <w:rStyle w:val="Hyperlink"/>
          </w:rPr>
          <w:t>B.2</w:t>
        </w:r>
        <w:r w:rsidR="00690E2E">
          <w:rPr>
            <w:rFonts w:asciiTheme="minorHAnsi" w:eastAsiaTheme="minorEastAsia" w:hAnsiTheme="minorHAnsi" w:cstheme="minorBidi"/>
            <w:szCs w:val="22"/>
          </w:rPr>
          <w:tab/>
        </w:r>
        <w:r w:rsidR="00690E2E" w:rsidRPr="00FE62FF">
          <w:rPr>
            <w:rStyle w:val="Hyperlink"/>
          </w:rPr>
          <w:t>Administration of the Survey</w:t>
        </w:r>
        <w:r w:rsidR="00690E2E">
          <w:rPr>
            <w:webHidden/>
          </w:rPr>
          <w:tab/>
        </w:r>
        <w:r w:rsidR="00690E2E">
          <w:rPr>
            <w:webHidden/>
          </w:rPr>
          <w:fldChar w:fldCharType="begin"/>
        </w:r>
        <w:r w:rsidR="00690E2E">
          <w:rPr>
            <w:webHidden/>
          </w:rPr>
          <w:instrText xml:space="preserve"> PAGEREF _Toc465091693 \h </w:instrText>
        </w:r>
        <w:r w:rsidR="00690E2E">
          <w:rPr>
            <w:webHidden/>
          </w:rPr>
        </w:r>
        <w:r w:rsidR="00690E2E">
          <w:rPr>
            <w:webHidden/>
          </w:rPr>
          <w:fldChar w:fldCharType="separate"/>
        </w:r>
        <w:r>
          <w:rPr>
            <w:webHidden/>
          </w:rPr>
          <w:t>4</w:t>
        </w:r>
        <w:r w:rsidR="00690E2E">
          <w:rPr>
            <w:webHidden/>
          </w:rPr>
          <w:fldChar w:fldCharType="end"/>
        </w:r>
      </w:hyperlink>
    </w:p>
    <w:p w14:paraId="7F8844AD" w14:textId="13A86790" w:rsidR="00690E2E" w:rsidRDefault="006A0B87">
      <w:pPr>
        <w:pStyle w:val="TOC3"/>
        <w:rPr>
          <w:rFonts w:asciiTheme="minorHAnsi" w:eastAsiaTheme="minorEastAsia" w:hAnsiTheme="minorHAnsi" w:cstheme="minorBidi"/>
          <w:szCs w:val="22"/>
        </w:rPr>
      </w:pPr>
      <w:hyperlink w:anchor="_Toc465091694" w:history="1">
        <w:r w:rsidR="00690E2E" w:rsidRPr="00FE62FF">
          <w:rPr>
            <w:rStyle w:val="Hyperlink"/>
          </w:rPr>
          <w:t>B.2.1</w:t>
        </w:r>
        <w:r w:rsidR="00690E2E">
          <w:rPr>
            <w:rFonts w:asciiTheme="minorHAnsi" w:eastAsiaTheme="minorEastAsia" w:hAnsiTheme="minorHAnsi" w:cstheme="minorBidi"/>
            <w:szCs w:val="22"/>
          </w:rPr>
          <w:tab/>
        </w:r>
        <w:r w:rsidR="00690E2E" w:rsidRPr="00FE62FF">
          <w:rPr>
            <w:rStyle w:val="Hyperlink"/>
          </w:rPr>
          <w:t>Statistical Methodology for Stratification and Sample Selection</w:t>
        </w:r>
        <w:r w:rsidR="00690E2E">
          <w:rPr>
            <w:webHidden/>
          </w:rPr>
          <w:tab/>
        </w:r>
        <w:r w:rsidR="00690E2E">
          <w:rPr>
            <w:webHidden/>
          </w:rPr>
          <w:fldChar w:fldCharType="begin"/>
        </w:r>
        <w:r w:rsidR="00690E2E">
          <w:rPr>
            <w:webHidden/>
          </w:rPr>
          <w:instrText xml:space="preserve"> PAGEREF _Toc465091694 \h </w:instrText>
        </w:r>
        <w:r w:rsidR="00690E2E">
          <w:rPr>
            <w:webHidden/>
          </w:rPr>
        </w:r>
        <w:r w:rsidR="00690E2E">
          <w:rPr>
            <w:webHidden/>
          </w:rPr>
          <w:fldChar w:fldCharType="separate"/>
        </w:r>
        <w:r>
          <w:rPr>
            <w:webHidden/>
          </w:rPr>
          <w:t>4</w:t>
        </w:r>
        <w:r w:rsidR="00690E2E">
          <w:rPr>
            <w:webHidden/>
          </w:rPr>
          <w:fldChar w:fldCharType="end"/>
        </w:r>
      </w:hyperlink>
    </w:p>
    <w:p w14:paraId="29BF93F0" w14:textId="2C18E247" w:rsidR="00690E2E" w:rsidRDefault="006A0B87">
      <w:pPr>
        <w:pStyle w:val="TOC3"/>
        <w:rPr>
          <w:rFonts w:asciiTheme="minorHAnsi" w:eastAsiaTheme="minorEastAsia" w:hAnsiTheme="minorHAnsi" w:cstheme="minorBidi"/>
          <w:szCs w:val="22"/>
        </w:rPr>
      </w:pPr>
      <w:hyperlink w:anchor="_Toc465091695" w:history="1">
        <w:r w:rsidR="00690E2E" w:rsidRPr="00FE62FF">
          <w:rPr>
            <w:rStyle w:val="Hyperlink"/>
          </w:rPr>
          <w:t>B.2.2</w:t>
        </w:r>
        <w:r w:rsidR="00690E2E">
          <w:rPr>
            <w:rFonts w:asciiTheme="minorHAnsi" w:eastAsiaTheme="minorEastAsia" w:hAnsiTheme="minorHAnsi" w:cstheme="minorBidi"/>
            <w:szCs w:val="22"/>
          </w:rPr>
          <w:tab/>
        </w:r>
        <w:r w:rsidR="00690E2E" w:rsidRPr="00FE62FF">
          <w:rPr>
            <w:rStyle w:val="Hyperlink"/>
          </w:rPr>
          <w:t>Estimation Procedures</w:t>
        </w:r>
        <w:r w:rsidR="00690E2E">
          <w:rPr>
            <w:webHidden/>
          </w:rPr>
          <w:tab/>
        </w:r>
        <w:r w:rsidR="00690E2E">
          <w:rPr>
            <w:webHidden/>
          </w:rPr>
          <w:fldChar w:fldCharType="begin"/>
        </w:r>
        <w:r w:rsidR="00690E2E">
          <w:rPr>
            <w:webHidden/>
          </w:rPr>
          <w:instrText xml:space="preserve"> PAGEREF _Toc465091695 \h </w:instrText>
        </w:r>
        <w:r w:rsidR="00690E2E">
          <w:rPr>
            <w:webHidden/>
          </w:rPr>
        </w:r>
        <w:r w:rsidR="00690E2E">
          <w:rPr>
            <w:webHidden/>
          </w:rPr>
          <w:fldChar w:fldCharType="separate"/>
        </w:r>
        <w:r>
          <w:rPr>
            <w:webHidden/>
          </w:rPr>
          <w:t>4</w:t>
        </w:r>
        <w:r w:rsidR="00690E2E">
          <w:rPr>
            <w:webHidden/>
          </w:rPr>
          <w:fldChar w:fldCharType="end"/>
        </w:r>
      </w:hyperlink>
    </w:p>
    <w:p w14:paraId="359B3807" w14:textId="084C19CF" w:rsidR="00690E2E" w:rsidRDefault="006A0B87">
      <w:pPr>
        <w:pStyle w:val="TOC3"/>
        <w:rPr>
          <w:rFonts w:asciiTheme="minorHAnsi" w:eastAsiaTheme="minorEastAsia" w:hAnsiTheme="minorHAnsi" w:cstheme="minorBidi"/>
          <w:szCs w:val="22"/>
        </w:rPr>
      </w:pPr>
      <w:hyperlink w:anchor="_Toc465091696" w:history="1">
        <w:r w:rsidR="00690E2E" w:rsidRPr="00FE62FF">
          <w:rPr>
            <w:rStyle w:val="Hyperlink"/>
          </w:rPr>
          <w:t>B.2.3</w:t>
        </w:r>
        <w:r w:rsidR="00690E2E">
          <w:rPr>
            <w:rFonts w:asciiTheme="minorHAnsi" w:eastAsiaTheme="minorEastAsia" w:hAnsiTheme="minorHAnsi" w:cstheme="minorBidi"/>
            <w:szCs w:val="22"/>
          </w:rPr>
          <w:tab/>
        </w:r>
        <w:r w:rsidR="00690E2E" w:rsidRPr="00FE62FF">
          <w:rPr>
            <w:rStyle w:val="Hyperlink"/>
          </w:rPr>
          <w:t>Degree of Accuracy Required</w:t>
        </w:r>
        <w:r w:rsidR="00690E2E">
          <w:rPr>
            <w:webHidden/>
          </w:rPr>
          <w:tab/>
        </w:r>
        <w:r w:rsidR="00690E2E">
          <w:rPr>
            <w:webHidden/>
          </w:rPr>
          <w:fldChar w:fldCharType="begin"/>
        </w:r>
        <w:r w:rsidR="00690E2E">
          <w:rPr>
            <w:webHidden/>
          </w:rPr>
          <w:instrText xml:space="preserve"> PAGEREF _Toc465091696 \h </w:instrText>
        </w:r>
        <w:r w:rsidR="00690E2E">
          <w:rPr>
            <w:webHidden/>
          </w:rPr>
        </w:r>
        <w:r w:rsidR="00690E2E">
          <w:rPr>
            <w:webHidden/>
          </w:rPr>
          <w:fldChar w:fldCharType="separate"/>
        </w:r>
        <w:r>
          <w:rPr>
            <w:webHidden/>
          </w:rPr>
          <w:t>4</w:t>
        </w:r>
        <w:r w:rsidR="00690E2E">
          <w:rPr>
            <w:webHidden/>
          </w:rPr>
          <w:fldChar w:fldCharType="end"/>
        </w:r>
      </w:hyperlink>
    </w:p>
    <w:p w14:paraId="1EC13638" w14:textId="4F5105BF" w:rsidR="00690E2E" w:rsidRDefault="006A0B87">
      <w:pPr>
        <w:pStyle w:val="TOC3"/>
        <w:rPr>
          <w:rFonts w:asciiTheme="minorHAnsi" w:eastAsiaTheme="minorEastAsia" w:hAnsiTheme="minorHAnsi" w:cstheme="minorBidi"/>
          <w:szCs w:val="22"/>
        </w:rPr>
      </w:pPr>
      <w:hyperlink w:anchor="_Toc465091697" w:history="1">
        <w:r w:rsidR="00690E2E" w:rsidRPr="00FE62FF">
          <w:rPr>
            <w:rStyle w:val="Hyperlink"/>
          </w:rPr>
          <w:t>B.2.4</w:t>
        </w:r>
        <w:r w:rsidR="00690E2E">
          <w:rPr>
            <w:rFonts w:asciiTheme="minorHAnsi" w:eastAsiaTheme="minorEastAsia" w:hAnsiTheme="minorHAnsi" w:cstheme="minorBidi"/>
            <w:szCs w:val="22"/>
          </w:rPr>
          <w:tab/>
        </w:r>
        <w:r w:rsidR="00690E2E" w:rsidRPr="00FE62FF">
          <w:rPr>
            <w:rStyle w:val="Hyperlink"/>
          </w:rPr>
          <w:t>Unusual Problems Requiring Specialized Sampling Procedures</w:t>
        </w:r>
        <w:r w:rsidR="00690E2E">
          <w:rPr>
            <w:webHidden/>
          </w:rPr>
          <w:tab/>
        </w:r>
        <w:r w:rsidR="00690E2E">
          <w:rPr>
            <w:webHidden/>
          </w:rPr>
          <w:fldChar w:fldCharType="begin"/>
        </w:r>
        <w:r w:rsidR="00690E2E">
          <w:rPr>
            <w:webHidden/>
          </w:rPr>
          <w:instrText xml:space="preserve"> PAGEREF _Toc465091697 \h </w:instrText>
        </w:r>
        <w:r w:rsidR="00690E2E">
          <w:rPr>
            <w:webHidden/>
          </w:rPr>
        </w:r>
        <w:r w:rsidR="00690E2E">
          <w:rPr>
            <w:webHidden/>
          </w:rPr>
          <w:fldChar w:fldCharType="separate"/>
        </w:r>
        <w:r>
          <w:rPr>
            <w:webHidden/>
          </w:rPr>
          <w:t>5</w:t>
        </w:r>
        <w:r w:rsidR="00690E2E">
          <w:rPr>
            <w:webHidden/>
          </w:rPr>
          <w:fldChar w:fldCharType="end"/>
        </w:r>
      </w:hyperlink>
    </w:p>
    <w:p w14:paraId="7549B55E" w14:textId="724AF1AC" w:rsidR="00690E2E" w:rsidRDefault="006A0B87">
      <w:pPr>
        <w:pStyle w:val="TOC3"/>
        <w:rPr>
          <w:rFonts w:asciiTheme="minorHAnsi" w:eastAsiaTheme="minorEastAsia" w:hAnsiTheme="minorHAnsi" w:cstheme="minorBidi"/>
          <w:szCs w:val="22"/>
        </w:rPr>
      </w:pPr>
      <w:hyperlink w:anchor="_Toc465091698" w:history="1">
        <w:r w:rsidR="00690E2E" w:rsidRPr="00FE62FF">
          <w:rPr>
            <w:rStyle w:val="Hyperlink"/>
          </w:rPr>
          <w:t>B.2.5</w:t>
        </w:r>
        <w:r w:rsidR="00690E2E">
          <w:rPr>
            <w:rFonts w:asciiTheme="minorHAnsi" w:eastAsiaTheme="minorEastAsia" w:hAnsiTheme="minorHAnsi" w:cstheme="minorBidi"/>
            <w:szCs w:val="22"/>
          </w:rPr>
          <w:tab/>
        </w:r>
        <w:r w:rsidR="00690E2E" w:rsidRPr="00FE62FF">
          <w:rPr>
            <w:rStyle w:val="Hyperlink"/>
          </w:rPr>
          <w:t>Any Use of Periodic Data Collection Cycles to Reduce Burden</w:t>
        </w:r>
        <w:r w:rsidR="00690E2E">
          <w:rPr>
            <w:webHidden/>
          </w:rPr>
          <w:tab/>
        </w:r>
        <w:r w:rsidR="00690E2E">
          <w:rPr>
            <w:webHidden/>
          </w:rPr>
          <w:fldChar w:fldCharType="begin"/>
        </w:r>
        <w:r w:rsidR="00690E2E">
          <w:rPr>
            <w:webHidden/>
          </w:rPr>
          <w:instrText xml:space="preserve"> PAGEREF _Toc465091698 \h </w:instrText>
        </w:r>
        <w:r w:rsidR="00690E2E">
          <w:rPr>
            <w:webHidden/>
          </w:rPr>
        </w:r>
        <w:r w:rsidR="00690E2E">
          <w:rPr>
            <w:webHidden/>
          </w:rPr>
          <w:fldChar w:fldCharType="separate"/>
        </w:r>
        <w:r>
          <w:rPr>
            <w:webHidden/>
          </w:rPr>
          <w:t>5</w:t>
        </w:r>
        <w:r w:rsidR="00690E2E">
          <w:rPr>
            <w:webHidden/>
          </w:rPr>
          <w:fldChar w:fldCharType="end"/>
        </w:r>
      </w:hyperlink>
    </w:p>
    <w:p w14:paraId="27BFCBBD" w14:textId="17DE6A46" w:rsidR="00690E2E" w:rsidRDefault="006A0B87">
      <w:pPr>
        <w:pStyle w:val="TOC2"/>
        <w:rPr>
          <w:rFonts w:asciiTheme="minorHAnsi" w:eastAsiaTheme="minorEastAsia" w:hAnsiTheme="minorHAnsi" w:cstheme="minorBidi"/>
          <w:szCs w:val="22"/>
        </w:rPr>
      </w:pPr>
      <w:hyperlink w:anchor="_Toc465091699" w:history="1">
        <w:r w:rsidR="00690E2E" w:rsidRPr="00FE62FF">
          <w:rPr>
            <w:rStyle w:val="Hyperlink"/>
          </w:rPr>
          <w:t>B.3</w:t>
        </w:r>
        <w:r w:rsidR="00690E2E">
          <w:rPr>
            <w:rFonts w:asciiTheme="minorHAnsi" w:eastAsiaTheme="minorEastAsia" w:hAnsiTheme="minorHAnsi" w:cstheme="minorBidi"/>
            <w:szCs w:val="22"/>
          </w:rPr>
          <w:tab/>
        </w:r>
        <w:r w:rsidR="00690E2E" w:rsidRPr="00FE62FF">
          <w:rPr>
            <w:rStyle w:val="Hyperlink"/>
          </w:rPr>
          <w:t>Maximizing the Response Rate and Minimizing Non-Response Risk</w:t>
        </w:r>
        <w:r w:rsidR="00690E2E">
          <w:rPr>
            <w:webHidden/>
          </w:rPr>
          <w:tab/>
        </w:r>
        <w:r w:rsidR="00690E2E">
          <w:rPr>
            <w:webHidden/>
          </w:rPr>
          <w:fldChar w:fldCharType="begin"/>
        </w:r>
        <w:r w:rsidR="00690E2E">
          <w:rPr>
            <w:webHidden/>
          </w:rPr>
          <w:instrText xml:space="preserve"> PAGEREF _Toc465091699 \h </w:instrText>
        </w:r>
        <w:r w:rsidR="00690E2E">
          <w:rPr>
            <w:webHidden/>
          </w:rPr>
        </w:r>
        <w:r w:rsidR="00690E2E">
          <w:rPr>
            <w:webHidden/>
          </w:rPr>
          <w:fldChar w:fldCharType="separate"/>
        </w:r>
        <w:r>
          <w:rPr>
            <w:webHidden/>
          </w:rPr>
          <w:t>5</w:t>
        </w:r>
        <w:r w:rsidR="00690E2E">
          <w:rPr>
            <w:webHidden/>
          </w:rPr>
          <w:fldChar w:fldCharType="end"/>
        </w:r>
      </w:hyperlink>
    </w:p>
    <w:p w14:paraId="03F7DD6B" w14:textId="701A2C59" w:rsidR="00690E2E" w:rsidRDefault="006A0B87">
      <w:pPr>
        <w:pStyle w:val="TOC2"/>
        <w:rPr>
          <w:rFonts w:asciiTheme="minorHAnsi" w:eastAsiaTheme="minorEastAsia" w:hAnsiTheme="minorHAnsi" w:cstheme="minorBidi"/>
          <w:szCs w:val="22"/>
        </w:rPr>
      </w:pPr>
      <w:hyperlink w:anchor="_Toc465091700" w:history="1">
        <w:r w:rsidR="00690E2E" w:rsidRPr="00FE62FF">
          <w:rPr>
            <w:rStyle w:val="Hyperlink"/>
          </w:rPr>
          <w:t>B.4</w:t>
        </w:r>
        <w:r w:rsidR="00690E2E">
          <w:rPr>
            <w:rFonts w:asciiTheme="minorHAnsi" w:eastAsiaTheme="minorEastAsia" w:hAnsiTheme="minorHAnsi" w:cstheme="minorBidi"/>
            <w:szCs w:val="22"/>
          </w:rPr>
          <w:tab/>
        </w:r>
        <w:r w:rsidR="00690E2E" w:rsidRPr="00FE62FF">
          <w:rPr>
            <w:rStyle w:val="Hyperlink"/>
          </w:rPr>
          <w:t>Test of Procedures</w:t>
        </w:r>
        <w:r w:rsidR="00690E2E">
          <w:rPr>
            <w:webHidden/>
          </w:rPr>
          <w:tab/>
        </w:r>
        <w:r w:rsidR="00690E2E">
          <w:rPr>
            <w:webHidden/>
          </w:rPr>
          <w:fldChar w:fldCharType="begin"/>
        </w:r>
        <w:r w:rsidR="00690E2E">
          <w:rPr>
            <w:webHidden/>
          </w:rPr>
          <w:instrText xml:space="preserve"> PAGEREF _Toc465091700 \h </w:instrText>
        </w:r>
        <w:r w:rsidR="00690E2E">
          <w:rPr>
            <w:webHidden/>
          </w:rPr>
        </w:r>
        <w:r w:rsidR="00690E2E">
          <w:rPr>
            <w:webHidden/>
          </w:rPr>
          <w:fldChar w:fldCharType="separate"/>
        </w:r>
        <w:r>
          <w:rPr>
            <w:webHidden/>
          </w:rPr>
          <w:t>7</w:t>
        </w:r>
        <w:r w:rsidR="00690E2E">
          <w:rPr>
            <w:webHidden/>
          </w:rPr>
          <w:fldChar w:fldCharType="end"/>
        </w:r>
      </w:hyperlink>
    </w:p>
    <w:p w14:paraId="56F5F77C" w14:textId="0839FB0A" w:rsidR="00690E2E" w:rsidRDefault="006A0B87">
      <w:pPr>
        <w:pStyle w:val="TOC2"/>
        <w:rPr>
          <w:rFonts w:asciiTheme="minorHAnsi" w:eastAsiaTheme="minorEastAsia" w:hAnsiTheme="minorHAnsi" w:cstheme="minorBidi"/>
          <w:szCs w:val="22"/>
        </w:rPr>
      </w:pPr>
      <w:hyperlink w:anchor="_Toc465091701" w:history="1">
        <w:r w:rsidR="00690E2E" w:rsidRPr="00FE62FF">
          <w:rPr>
            <w:rStyle w:val="Hyperlink"/>
          </w:rPr>
          <w:t>B.5</w:t>
        </w:r>
        <w:r w:rsidR="00690E2E">
          <w:rPr>
            <w:rFonts w:asciiTheme="minorHAnsi" w:eastAsiaTheme="minorEastAsia" w:hAnsiTheme="minorHAnsi" w:cstheme="minorBidi"/>
            <w:szCs w:val="22"/>
          </w:rPr>
          <w:tab/>
        </w:r>
        <w:r w:rsidR="00690E2E" w:rsidRPr="00FE62FF">
          <w:rPr>
            <w:rStyle w:val="Hyperlink"/>
          </w:rPr>
          <w:t>Individuals Consulted on Statistical Aspects of the Design</w:t>
        </w:r>
        <w:r w:rsidR="00690E2E">
          <w:rPr>
            <w:webHidden/>
          </w:rPr>
          <w:tab/>
        </w:r>
        <w:r w:rsidR="00690E2E">
          <w:rPr>
            <w:webHidden/>
          </w:rPr>
          <w:fldChar w:fldCharType="begin"/>
        </w:r>
        <w:r w:rsidR="00690E2E">
          <w:rPr>
            <w:webHidden/>
          </w:rPr>
          <w:instrText xml:space="preserve"> PAGEREF _Toc465091701 \h </w:instrText>
        </w:r>
        <w:r w:rsidR="00690E2E">
          <w:rPr>
            <w:webHidden/>
          </w:rPr>
        </w:r>
        <w:r w:rsidR="00690E2E">
          <w:rPr>
            <w:webHidden/>
          </w:rPr>
          <w:fldChar w:fldCharType="separate"/>
        </w:r>
        <w:r>
          <w:rPr>
            <w:webHidden/>
          </w:rPr>
          <w:t>8</w:t>
        </w:r>
        <w:r w:rsidR="00690E2E">
          <w:rPr>
            <w:webHidden/>
          </w:rPr>
          <w:fldChar w:fldCharType="end"/>
        </w:r>
      </w:hyperlink>
    </w:p>
    <w:p w14:paraId="352430EE" w14:textId="13A93D75" w:rsidR="00690E2E" w:rsidRDefault="006A0B87">
      <w:pPr>
        <w:pStyle w:val="TOC1"/>
        <w:rPr>
          <w:rFonts w:asciiTheme="minorHAnsi" w:eastAsiaTheme="minorEastAsia" w:hAnsiTheme="minorHAnsi" w:cstheme="minorBidi"/>
          <w:b w:val="0"/>
          <w:szCs w:val="22"/>
        </w:rPr>
      </w:pPr>
      <w:hyperlink w:anchor="_Toc465091702" w:history="1">
        <w:r w:rsidR="00690E2E" w:rsidRPr="00FE62FF">
          <w:rPr>
            <w:rStyle w:val="Hyperlink"/>
          </w:rPr>
          <w:t>References</w:t>
        </w:r>
        <w:r w:rsidR="00690E2E">
          <w:rPr>
            <w:webHidden/>
          </w:rPr>
          <w:tab/>
        </w:r>
        <w:r w:rsidR="00690E2E">
          <w:rPr>
            <w:webHidden/>
          </w:rPr>
          <w:tab/>
        </w:r>
        <w:r w:rsidR="00690E2E">
          <w:rPr>
            <w:webHidden/>
          </w:rPr>
          <w:fldChar w:fldCharType="begin"/>
        </w:r>
        <w:r w:rsidR="00690E2E">
          <w:rPr>
            <w:webHidden/>
          </w:rPr>
          <w:instrText xml:space="preserve"> PAGEREF _Toc465091702 \h </w:instrText>
        </w:r>
        <w:r w:rsidR="00690E2E">
          <w:rPr>
            <w:webHidden/>
          </w:rPr>
        </w:r>
        <w:r w:rsidR="00690E2E">
          <w:rPr>
            <w:webHidden/>
          </w:rPr>
          <w:fldChar w:fldCharType="separate"/>
        </w:r>
        <w:r>
          <w:rPr>
            <w:webHidden/>
          </w:rPr>
          <w:t>9</w:t>
        </w:r>
        <w:r w:rsidR="00690E2E">
          <w:rPr>
            <w:webHidden/>
          </w:rPr>
          <w:fldChar w:fldCharType="end"/>
        </w:r>
      </w:hyperlink>
    </w:p>
    <w:p w14:paraId="4875EEFB" w14:textId="77777777" w:rsidR="00EB5181" w:rsidRPr="006A12FA" w:rsidRDefault="00D87A0C" w:rsidP="006A12FA">
      <w:r>
        <w:fldChar w:fldCharType="end"/>
      </w:r>
    </w:p>
    <w:p w14:paraId="6F5DE8D3" w14:textId="77777777" w:rsidR="00EB5181" w:rsidRPr="006A12FA" w:rsidRDefault="00EB5181" w:rsidP="006A12FA"/>
    <w:p w14:paraId="00B9D819" w14:textId="77777777" w:rsidR="00A324EA" w:rsidRPr="006A12FA" w:rsidRDefault="00A324EA" w:rsidP="006A12FA"/>
    <w:p w14:paraId="74A3EADB" w14:textId="77777777" w:rsidR="00A324EA" w:rsidRDefault="00A324EA" w:rsidP="006A12FA">
      <w:pPr>
        <w:pStyle w:val="BodyText"/>
        <w:sectPr w:rsidR="00A324EA" w:rsidSect="006A12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docGrid w:linePitch="299"/>
        </w:sectPr>
      </w:pPr>
    </w:p>
    <w:p w14:paraId="4F75C11B" w14:textId="77777777" w:rsidR="00EB5181" w:rsidRDefault="00EB5181" w:rsidP="006A12FA">
      <w:pPr>
        <w:pStyle w:val="Heading1"/>
      </w:pPr>
      <w:bookmarkStart w:id="1" w:name="_Toc241651528"/>
      <w:bookmarkStart w:id="2" w:name="_Toc465091689"/>
      <w:r>
        <w:lastRenderedPageBreak/>
        <w:t>Part B:</w:t>
      </w:r>
      <w:r>
        <w:tab/>
        <w:t>Collection of Information Employing Statistical Methods</w:t>
      </w:r>
      <w:bookmarkEnd w:id="1"/>
      <w:bookmarkEnd w:id="2"/>
    </w:p>
    <w:p w14:paraId="737DFD40" w14:textId="77777777" w:rsidR="00EB5181" w:rsidRDefault="00EB5181" w:rsidP="006A12FA">
      <w:pPr>
        <w:pStyle w:val="Heading2"/>
      </w:pPr>
      <w:bookmarkStart w:id="3" w:name="_Toc241651529"/>
      <w:bookmarkStart w:id="4" w:name="_Toc465091690"/>
      <w:r>
        <w:t>B.1</w:t>
      </w:r>
      <w:r>
        <w:tab/>
        <w:t>Identification of Appropriate Respondents</w:t>
      </w:r>
      <w:bookmarkEnd w:id="3"/>
      <w:bookmarkEnd w:id="4"/>
    </w:p>
    <w:p w14:paraId="4369754A" w14:textId="77777777" w:rsidR="00EB5181" w:rsidRDefault="00EB5181" w:rsidP="006A12FA">
      <w:pPr>
        <w:pStyle w:val="Heading3"/>
      </w:pPr>
      <w:bookmarkStart w:id="5" w:name="_Toc241651530"/>
      <w:bookmarkStart w:id="6" w:name="_Toc465091691"/>
      <w:r>
        <w:t>B.1.1</w:t>
      </w:r>
      <w:r>
        <w:tab/>
        <w:t>Sample Recruitment and Random Assignment</w:t>
      </w:r>
      <w:bookmarkEnd w:id="5"/>
      <w:bookmarkEnd w:id="6"/>
    </w:p>
    <w:p w14:paraId="3FC5673B" w14:textId="77777777" w:rsidR="00E34F4B" w:rsidRDefault="00E34F4B" w:rsidP="006A12FA">
      <w:r w:rsidRPr="007473B2">
        <w:t xml:space="preserve">The Family Options Study </w:t>
      </w:r>
      <w:r w:rsidR="00D55667">
        <w:t>wa</w:t>
      </w:r>
      <w:r w:rsidRPr="007473B2">
        <w:t>s conducted as a randomized experiment.</w:t>
      </w:r>
      <w:r>
        <w:t xml:space="preserve"> </w:t>
      </w:r>
      <w:r w:rsidRPr="007473B2">
        <w:t xml:space="preserve">From September 2010 through January 2012, the research team </w:t>
      </w:r>
      <w:r>
        <w:t>enrolled</w:t>
      </w:r>
      <w:r w:rsidRPr="007473B2">
        <w:t xml:space="preserve"> 2,</w:t>
      </w:r>
      <w:r w:rsidR="00930558">
        <w:t>282</w:t>
      </w:r>
      <w:r w:rsidRPr="007473B2">
        <w:t xml:space="preserve"> homeless families </w:t>
      </w:r>
      <w:r>
        <w:t>into the study in</w:t>
      </w:r>
      <w:r w:rsidRPr="007473B2">
        <w:t xml:space="preserve"> 12 sites.</w:t>
      </w:r>
      <w:r w:rsidR="0041663D">
        <w:rPr>
          <w:rStyle w:val="FootnoteReference"/>
        </w:rPr>
        <w:footnoteReference w:id="1"/>
      </w:r>
      <w:r>
        <w:t xml:space="preserve"> Each family was randomly assign</w:t>
      </w:r>
      <w:r w:rsidR="006F568F">
        <w:t>ed to one of four interventions:</w:t>
      </w:r>
    </w:p>
    <w:p w14:paraId="131629FD" w14:textId="77777777" w:rsidR="00466CA6" w:rsidRPr="00C3144E" w:rsidRDefault="00466CA6" w:rsidP="00466CA6">
      <w:pPr>
        <w:rPr>
          <w:szCs w:val="22"/>
        </w:rPr>
      </w:pPr>
    </w:p>
    <w:p w14:paraId="5455836F" w14:textId="77777777" w:rsidR="00466CA6" w:rsidRPr="00CE71F0" w:rsidRDefault="00466CA6" w:rsidP="007459F0">
      <w:pPr>
        <w:pStyle w:val="ListParagraph"/>
        <w:numPr>
          <w:ilvl w:val="0"/>
          <w:numId w:val="24"/>
        </w:numPr>
        <w:tabs>
          <w:tab w:val="left" w:pos="720"/>
          <w:tab w:val="left" w:pos="1080"/>
          <w:tab w:val="left" w:pos="1440"/>
          <w:tab w:val="left" w:pos="1800"/>
        </w:tabs>
        <w:spacing w:after="120" w:line="264" w:lineRule="auto"/>
        <w:contextualSpacing w:val="0"/>
        <w:rPr>
          <w:rFonts w:ascii="Times New Roman" w:hAnsi="Times New Roman"/>
          <w:bCs/>
        </w:rPr>
      </w:pPr>
      <w:r w:rsidRPr="00CE71F0">
        <w:rPr>
          <w:rFonts w:ascii="Times New Roman" w:hAnsi="Times New Roman"/>
          <w:bCs/>
        </w:rPr>
        <w:t>Permanent Housing Subsidy (SUB)</w:t>
      </w:r>
    </w:p>
    <w:p w14:paraId="6FA01FD3" w14:textId="77777777" w:rsidR="00466CA6" w:rsidRPr="00CE71F0" w:rsidRDefault="00466CA6" w:rsidP="007459F0">
      <w:pPr>
        <w:pStyle w:val="ListParagraph"/>
        <w:numPr>
          <w:ilvl w:val="0"/>
          <w:numId w:val="24"/>
        </w:numPr>
        <w:tabs>
          <w:tab w:val="left" w:pos="720"/>
          <w:tab w:val="left" w:pos="1080"/>
          <w:tab w:val="left" w:pos="1440"/>
          <w:tab w:val="left" w:pos="1800"/>
        </w:tabs>
        <w:spacing w:after="120" w:line="264" w:lineRule="auto"/>
        <w:contextualSpacing w:val="0"/>
        <w:rPr>
          <w:rFonts w:ascii="Times New Roman" w:hAnsi="Times New Roman"/>
          <w:bCs/>
        </w:rPr>
      </w:pPr>
      <w:r w:rsidRPr="00CE71F0">
        <w:rPr>
          <w:rFonts w:ascii="Times New Roman" w:hAnsi="Times New Roman"/>
          <w:bCs/>
        </w:rPr>
        <w:t>Project-Based Transitional Housing (PBTH)</w:t>
      </w:r>
      <w:r w:rsidR="007459F0">
        <w:rPr>
          <w:rFonts w:ascii="Times New Roman" w:hAnsi="Times New Roman"/>
          <w:bCs/>
        </w:rPr>
        <w:t xml:space="preserve"> </w:t>
      </w:r>
    </w:p>
    <w:p w14:paraId="6CF1CE12" w14:textId="77777777" w:rsidR="00466CA6" w:rsidRPr="00CE71F0" w:rsidRDefault="00466CA6" w:rsidP="007459F0">
      <w:pPr>
        <w:pStyle w:val="ListParagraph"/>
        <w:numPr>
          <w:ilvl w:val="0"/>
          <w:numId w:val="24"/>
        </w:numPr>
        <w:tabs>
          <w:tab w:val="left" w:pos="720"/>
          <w:tab w:val="left" w:pos="1080"/>
          <w:tab w:val="left" w:pos="1440"/>
          <w:tab w:val="left" w:pos="1800"/>
        </w:tabs>
        <w:spacing w:after="120" w:line="264" w:lineRule="auto"/>
        <w:contextualSpacing w:val="0"/>
        <w:rPr>
          <w:rFonts w:ascii="Times New Roman" w:hAnsi="Times New Roman"/>
          <w:bCs/>
        </w:rPr>
      </w:pPr>
      <w:r w:rsidRPr="00CE71F0">
        <w:rPr>
          <w:rFonts w:ascii="Times New Roman" w:hAnsi="Times New Roman"/>
          <w:bCs/>
        </w:rPr>
        <w:t>Community-Based Rapid Re-housing (CBRR</w:t>
      </w:r>
      <w:r w:rsidR="006F568F">
        <w:rPr>
          <w:rFonts w:ascii="Times New Roman" w:hAnsi="Times New Roman"/>
          <w:bCs/>
        </w:rPr>
        <w:t>)</w:t>
      </w:r>
      <w:r w:rsidRPr="00CE71F0">
        <w:rPr>
          <w:rFonts w:ascii="Times New Roman" w:hAnsi="Times New Roman"/>
          <w:bCs/>
        </w:rPr>
        <w:t xml:space="preserve"> </w:t>
      </w:r>
    </w:p>
    <w:p w14:paraId="137B8273" w14:textId="77777777" w:rsidR="00466CA6" w:rsidRPr="00CE71F0" w:rsidRDefault="00466CA6" w:rsidP="007459F0">
      <w:pPr>
        <w:pStyle w:val="ListParagraph"/>
        <w:numPr>
          <w:ilvl w:val="0"/>
          <w:numId w:val="24"/>
        </w:numPr>
        <w:tabs>
          <w:tab w:val="left" w:pos="720"/>
          <w:tab w:val="left" w:pos="1080"/>
          <w:tab w:val="left" w:pos="1440"/>
          <w:tab w:val="left" w:pos="1800"/>
        </w:tabs>
        <w:spacing w:after="0" w:line="264" w:lineRule="auto"/>
        <w:contextualSpacing w:val="0"/>
      </w:pPr>
      <w:r w:rsidRPr="00CE71F0">
        <w:rPr>
          <w:rFonts w:ascii="Times New Roman" w:hAnsi="Times New Roman"/>
          <w:bCs/>
        </w:rPr>
        <w:t>Usual Care (UC)</w:t>
      </w:r>
      <w:r w:rsidR="007459F0">
        <w:rPr>
          <w:rFonts w:ascii="Times New Roman" w:hAnsi="Times New Roman"/>
          <w:bCs/>
        </w:rPr>
        <w:t xml:space="preserve"> </w:t>
      </w:r>
    </w:p>
    <w:p w14:paraId="04483DA3" w14:textId="77777777" w:rsidR="006A12FA" w:rsidRPr="007473B2" w:rsidRDefault="006A12FA" w:rsidP="006A12FA"/>
    <w:p w14:paraId="6271511B" w14:textId="77777777" w:rsidR="00E34F4B" w:rsidRDefault="00E34F4B" w:rsidP="006A12FA">
      <w:pPr>
        <w:pStyle w:val="BodyText"/>
      </w:pPr>
      <w:r w:rsidRPr="007473B2">
        <w:t>In an effort to maximize the likelihood that families randomly assigned to the study interventions could actually receive the assigned intervention, the research team established conditions that had to be met for random assignment to proceed</w:t>
      </w:r>
      <w:r>
        <w:t>:</w:t>
      </w:r>
    </w:p>
    <w:p w14:paraId="3041702C" w14:textId="77777777" w:rsidR="006A12FA" w:rsidRPr="007473B2" w:rsidRDefault="006A12FA" w:rsidP="006A12FA">
      <w:pPr>
        <w:pStyle w:val="BodyText"/>
      </w:pPr>
    </w:p>
    <w:p w14:paraId="59790905" w14:textId="77777777" w:rsidR="00E34F4B" w:rsidRPr="002F28F2" w:rsidRDefault="00E34F4B" w:rsidP="006A12FA">
      <w:pPr>
        <w:pStyle w:val="Numbers"/>
        <w:numPr>
          <w:ilvl w:val="0"/>
          <w:numId w:val="21"/>
        </w:numPr>
        <w:tabs>
          <w:tab w:val="clear" w:pos="1080"/>
          <w:tab w:val="left" w:pos="720"/>
        </w:tabs>
        <w:spacing w:after="120"/>
        <w:ind w:left="720"/>
      </w:pPr>
      <w:r>
        <w:t xml:space="preserve">Families had to meet the </w:t>
      </w:r>
      <w:r w:rsidR="00741AE7">
        <w:t>general</w:t>
      </w:r>
      <w:r>
        <w:t xml:space="preserve"> eligibility requirements</w:t>
      </w:r>
      <w:r w:rsidR="00AD20D2">
        <w:t>—reside in shelter at least 7 days prior to enrollment and have at least one child age 15 or under with them—for</w:t>
      </w:r>
      <w:r w:rsidR="009534E5">
        <w:t xml:space="preserve"> </w:t>
      </w:r>
      <w:r>
        <w:t>participation in the study and had to consent to enroll in the study.</w:t>
      </w:r>
    </w:p>
    <w:p w14:paraId="135BF822" w14:textId="77777777" w:rsidR="00E34F4B" w:rsidRPr="002F28F2" w:rsidRDefault="00E34F4B" w:rsidP="006A12FA">
      <w:pPr>
        <w:pStyle w:val="Numbers"/>
        <w:numPr>
          <w:ilvl w:val="0"/>
          <w:numId w:val="21"/>
        </w:numPr>
        <w:tabs>
          <w:tab w:val="clear" w:pos="1080"/>
          <w:tab w:val="left" w:pos="720"/>
        </w:tabs>
        <w:spacing w:after="120"/>
        <w:ind w:left="720"/>
      </w:pPr>
      <w:r w:rsidRPr="002F28F2">
        <w:t>Intervention slots</w:t>
      </w:r>
      <w:r>
        <w:rPr>
          <w:rStyle w:val="FootnoteReference"/>
          <w:rFonts w:asciiTheme="minorHAnsi" w:hAnsiTheme="minorHAnsi" w:cstheme="minorHAnsi"/>
          <w:szCs w:val="22"/>
        </w:rPr>
        <w:footnoteReference w:id="2"/>
      </w:r>
      <w:r w:rsidRPr="002F28F2">
        <w:t xml:space="preserve"> had to be available at the time of random assignme</w:t>
      </w:r>
      <w:r>
        <w:t>nt or anticipated within 30 </w:t>
      </w:r>
      <w:r w:rsidRPr="002F28F2">
        <w:t>days.</w:t>
      </w:r>
    </w:p>
    <w:p w14:paraId="4A4AF8BB" w14:textId="77777777" w:rsidR="00E34F4B" w:rsidRDefault="00E34F4B" w:rsidP="006A12FA">
      <w:pPr>
        <w:pStyle w:val="Numbers"/>
        <w:numPr>
          <w:ilvl w:val="0"/>
          <w:numId w:val="21"/>
        </w:numPr>
        <w:tabs>
          <w:tab w:val="clear" w:pos="1080"/>
          <w:tab w:val="left" w:pos="720"/>
        </w:tabs>
        <w:ind w:left="720"/>
      </w:pPr>
      <w:r w:rsidRPr="002F28F2">
        <w:t xml:space="preserve">Families had to meet </w:t>
      </w:r>
      <w:r w:rsidR="00741AE7">
        <w:t xml:space="preserve">more particular intervention-specific </w:t>
      </w:r>
      <w:r w:rsidRPr="002F28F2">
        <w:t>program eligibility criteria for at least t</w:t>
      </w:r>
      <w:r>
        <w:t xml:space="preserve">wo </w:t>
      </w:r>
      <w:r w:rsidRPr="002F28F2">
        <w:t>interventions</w:t>
      </w:r>
      <w:r w:rsidR="00741AE7">
        <w:t xml:space="preserve"> for which slots are available</w:t>
      </w:r>
      <w:r w:rsidRPr="002F28F2">
        <w:t>.</w:t>
      </w:r>
      <w:r w:rsidRPr="002F28F2">
        <w:rPr>
          <w:rStyle w:val="FootnoteReference"/>
          <w:rFonts w:asciiTheme="minorHAnsi" w:hAnsiTheme="minorHAnsi" w:cstheme="minorHAnsi"/>
          <w:szCs w:val="22"/>
        </w:rPr>
        <w:footnoteReference w:id="3"/>
      </w:r>
      <w:r w:rsidR="00741AE7">
        <w:t xml:space="preserve"> These more particular requirements include</w:t>
      </w:r>
      <w:r w:rsidR="00DC6FD3">
        <w:t>d</w:t>
      </w:r>
      <w:r w:rsidR="00741AE7">
        <w:t xml:space="preserve"> </w:t>
      </w:r>
      <w:r w:rsidR="00741AE7">
        <w:lastRenderedPageBreak/>
        <w:t xml:space="preserve">such things as </w:t>
      </w:r>
      <w:r w:rsidR="00AD20D2">
        <w:t>having no criminal background, being clean and sober, having some form of income, not owing back rent to a housing authority</w:t>
      </w:r>
      <w:r w:rsidR="00BE57EE">
        <w:t>,</w:t>
      </w:r>
      <w:r w:rsidR="00AD20D2">
        <w:t xml:space="preserve"> etc.</w:t>
      </w:r>
    </w:p>
    <w:p w14:paraId="3935099B" w14:textId="77777777" w:rsidR="006A12FA" w:rsidRDefault="006A12FA" w:rsidP="006A12FA">
      <w:pPr>
        <w:pStyle w:val="BodyText"/>
      </w:pPr>
    </w:p>
    <w:p w14:paraId="42BE59D2" w14:textId="77777777" w:rsidR="00E34F4B" w:rsidRDefault="00E34F4B" w:rsidP="006A12FA">
      <w:pPr>
        <w:pStyle w:val="BodyText"/>
      </w:pPr>
      <w:r w:rsidRPr="007473B2">
        <w:t>Enrollment in the study and conducting random assignment was a multi-st</w:t>
      </w:r>
      <w:r>
        <w:t>ep process, as shown in Exhibit B</w:t>
      </w:r>
      <w:r w:rsidRPr="007473B2">
        <w:t>-1.</w:t>
      </w:r>
      <w:r w:rsidR="00AC15BC">
        <w:t xml:space="preserve"> The right side of the exhibit summarizes the conditions under which some families would be ineligible or decline to participate</w:t>
      </w:r>
      <w:r w:rsidR="00E24788">
        <w:t xml:space="preserve">. </w:t>
      </w:r>
    </w:p>
    <w:p w14:paraId="1B88B751" w14:textId="77777777" w:rsidR="00040BF1" w:rsidRDefault="00040BF1" w:rsidP="006A12FA">
      <w:pPr>
        <w:pStyle w:val="BodyText"/>
      </w:pPr>
    </w:p>
    <w:p w14:paraId="66ED52B9" w14:textId="77777777" w:rsidR="005F3780" w:rsidRDefault="005F3780" w:rsidP="005F3780">
      <w:pPr>
        <w:pStyle w:val="ExhibitTitle"/>
      </w:pPr>
      <w:r>
        <w:t>Exhibit B-1.</w:t>
      </w:r>
      <w:r>
        <w:tab/>
        <w:t>Random Assignment Process</w:t>
      </w:r>
    </w:p>
    <w:p w14:paraId="398B7B2B" w14:textId="77777777" w:rsidR="005F3780" w:rsidRPr="001F7BE4" w:rsidRDefault="00D46803" w:rsidP="00D46803">
      <w:pPr>
        <w:pStyle w:val="Exhibit"/>
      </w:pPr>
      <w:r>
        <w:rPr>
          <w:noProof/>
        </w:rPr>
        <mc:AlternateContent>
          <mc:Choice Requires="wps">
            <w:drawing>
              <wp:anchor distT="0" distB="0" distL="114300" distR="114300" simplePos="0" relativeHeight="251670016" behindDoc="0" locked="0" layoutInCell="1" allowOverlap="1" wp14:anchorId="0993AB06" wp14:editId="0114BCA1">
                <wp:simplePos x="0" y="0"/>
                <wp:positionH relativeFrom="column">
                  <wp:posOffset>3407164</wp:posOffset>
                </wp:positionH>
                <wp:positionV relativeFrom="paragraph">
                  <wp:posOffset>3050274</wp:posOffset>
                </wp:positionV>
                <wp:extent cx="2374265" cy="1132764"/>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132764"/>
                        </a:xfrm>
                        <a:prstGeom prst="rect">
                          <a:avLst/>
                        </a:prstGeom>
                        <a:solidFill>
                          <a:srgbClr val="FFFFFF"/>
                        </a:solidFill>
                        <a:ln w="9525">
                          <a:solidFill>
                            <a:srgbClr val="000000"/>
                          </a:solidFill>
                          <a:miter lim="800000"/>
                          <a:headEnd/>
                          <a:tailEnd/>
                        </a:ln>
                      </wps:spPr>
                      <wps:txbx>
                        <w:txbxContent>
                          <w:p w14:paraId="3181B7BA" w14:textId="77777777" w:rsidR="007F2FA4" w:rsidRPr="00E95285" w:rsidRDefault="007F2FA4" w:rsidP="00D46803">
                            <w:pPr>
                              <w:pStyle w:val="ExhibitSource"/>
                            </w:pPr>
                            <w:r w:rsidRPr="00E95285">
                              <w:t>Note</w:t>
                            </w:r>
                            <w:r>
                              <w:t>s</w:t>
                            </w:r>
                            <w:r w:rsidRPr="00E95285">
                              <w:t xml:space="preserve">: 2,307 families completed the baseline survey and were randomly assigned. </w:t>
                            </w:r>
                            <w:r w:rsidR="008E4AF1">
                              <w:t xml:space="preserve">The research team </w:t>
                            </w:r>
                            <w:r w:rsidR="008E4AF1" w:rsidRPr="00E95285">
                              <w:t>subsequently</w:t>
                            </w:r>
                            <w:r>
                              <w:t xml:space="preserve"> </w:t>
                            </w:r>
                            <w:r w:rsidRPr="00E95285">
                              <w:t xml:space="preserve">determined that 25 of these families should not have been enrolled in the study, as they did not have at least one child age 15 or younger at enrollment. These 25 families were removed from the impact analysis sample. </w:t>
                            </w:r>
                          </w:p>
                          <w:p w14:paraId="58722CEA" w14:textId="77777777" w:rsidR="007F2FA4" w:rsidRDefault="007F2FA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0001230" id="_x0000_t202" coordsize="21600,21600" o:spt="202" path="m,l,21600r21600,l21600,xe">
                <v:stroke joinstyle="miter"/>
                <v:path gradientshapeok="t" o:connecttype="rect"/>
              </v:shapetype>
              <v:shape id="Text Box 2" o:spid="_x0000_s1026" type="#_x0000_t202" style="position:absolute;margin-left:268.3pt;margin-top:240.2pt;width:186.95pt;height:89.2pt;z-index:2516700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">
                <v:textbox>
                  <w:txbxContent>
                    <w:p w:rsidR="007F2FA4" w:rsidRPr="00E95285" w:rsidRDefault="007F2FA4" w:rsidP="00D46803">
                      <w:pPr>
                        <w:pStyle w:val="ExhibitSource"/>
                      </w:pPr>
                      <w:r w:rsidRPr="00E95285">
                        <w:t>Note</w:t>
                      </w:r>
                      <w:r>
                        <w:t>s</w:t>
                      </w:r>
                      <w:r w:rsidRPr="00E95285">
                        <w:t xml:space="preserve">: 2,307 families completed the baseline survey and were randomly assigned. </w:t>
                      </w:r>
                      <w:r w:rsidR="008E4AF1">
                        <w:t xml:space="preserve">The research team </w:t>
                      </w:r>
                      <w:r w:rsidR="008E4AF1" w:rsidRPr="00E95285">
                        <w:t>subsequently</w:t>
                      </w:r>
                      <w:r>
                        <w:t xml:space="preserve"> </w:t>
                      </w:r>
                      <w:r w:rsidRPr="00E95285">
                        <w:t xml:space="preserve">determined that 25 of these families should not have been enrolled in the study, as they did not have at least one child age 15 or younger at enrollment. These 25 families were removed from the impact analysis sample. </w:t>
                      </w:r>
                    </w:p>
                    <w:p w:rsidR="007F2FA4" w:rsidRDefault="007F2FA4"/>
                  </w:txbxContent>
                </v:textbox>
              </v:shape>
            </w:pict>
          </mc:Fallback>
        </mc:AlternateContent>
      </w:r>
      <w:r>
        <w:rPr>
          <w:noProof/>
        </w:rPr>
        <w:drawing>
          <wp:inline distT="0" distB="0" distL="0" distR="0" wp14:anchorId="13952FDA" wp14:editId="5D597CFC">
            <wp:extent cx="5800725" cy="501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4151" cy="5021214"/>
                    </a:xfrm>
                    <a:prstGeom prst="rect">
                      <a:avLst/>
                    </a:prstGeom>
                    <a:noFill/>
                  </pic:spPr>
                </pic:pic>
              </a:graphicData>
            </a:graphic>
          </wp:inline>
        </w:drawing>
      </w:r>
    </w:p>
    <w:p w14:paraId="3700F30B" w14:textId="77777777" w:rsidR="005F3780" w:rsidRDefault="005F3780" w:rsidP="006A12FA">
      <w:pPr>
        <w:pStyle w:val="BodyText"/>
      </w:pPr>
    </w:p>
    <w:p w14:paraId="3A78BF58" w14:textId="77777777" w:rsidR="00040BF1" w:rsidRDefault="00040BF1" w:rsidP="00040BF1">
      <w:r w:rsidRPr="00081365">
        <w:t xml:space="preserve">The study </w:t>
      </w:r>
      <w:r>
        <w:t>wa</w:t>
      </w:r>
      <w:r w:rsidRPr="00081365">
        <w:t>s not designed to capture the experiences of families who s</w:t>
      </w:r>
      <w:r w:rsidR="00DC6FD3">
        <w:t>ought</w:t>
      </w:r>
      <w:r w:rsidRPr="00081365">
        <w:t xml:space="preserve"> assistance directly from transitional housing programs without first entering emergency shelters</w:t>
      </w:r>
      <w:r>
        <w:t xml:space="preserve">. </w:t>
      </w:r>
      <w:r w:rsidRPr="00081365">
        <w:t>The design relie</w:t>
      </w:r>
      <w:r>
        <w:t>d</w:t>
      </w:r>
      <w:r w:rsidRPr="00081365">
        <w:t xml:space="preserve"> on emergency shelters as the point of intake for families in the study.</w:t>
      </w:r>
      <w:r>
        <w:t xml:space="preserve"> </w:t>
      </w:r>
    </w:p>
    <w:p w14:paraId="45515E59" w14:textId="77777777" w:rsidR="00AC15BC" w:rsidRDefault="00AC15BC" w:rsidP="006A12FA"/>
    <w:p w14:paraId="5D9D4BD4" w14:textId="77777777" w:rsidR="00EB5181" w:rsidRDefault="00040BF1" w:rsidP="006A12FA">
      <w:r>
        <w:lastRenderedPageBreak/>
        <w:t>The design</w:t>
      </w:r>
      <w:r w:rsidR="00EB5181">
        <w:t xml:space="preserve"> exclud</w:t>
      </w:r>
      <w:r w:rsidR="00E21388">
        <w:t>ed</w:t>
      </w:r>
      <w:r w:rsidR="00EB5181">
        <w:t xml:space="preserve"> families who </w:t>
      </w:r>
      <w:r w:rsidR="00BC4EE7">
        <w:t xml:space="preserve">left </w:t>
      </w:r>
      <w:r w:rsidR="00EB5181">
        <w:t xml:space="preserve">shelter in less than 7 days because the more intensive interventions considered in this study </w:t>
      </w:r>
      <w:r w:rsidR="00DC6FD3">
        <w:t>we</w:t>
      </w:r>
      <w:r w:rsidR="00EB5181">
        <w:t>re not considered appropriate for families with such transitory needs</w:t>
      </w:r>
      <w:r w:rsidR="00E24788">
        <w:t xml:space="preserve">. </w:t>
      </w:r>
      <w:r w:rsidR="008E4AF1">
        <w:t>The research team expected</w:t>
      </w:r>
      <w:r w:rsidR="00EB5181">
        <w:t xml:space="preserve"> shelters to continue to provide all services and referrals they ordinarily provide</w:t>
      </w:r>
      <w:r w:rsidR="00E34F4B">
        <w:t>d</w:t>
      </w:r>
      <w:r w:rsidR="00EB5181">
        <w:t xml:space="preserve"> to help families leave shelter up until the point of random assignment</w:t>
      </w:r>
      <w:r w:rsidR="00E24788">
        <w:t xml:space="preserve">. </w:t>
      </w:r>
      <w:r>
        <w:t xml:space="preserve">As shown at the top of the exhibit, the population of interest </w:t>
      </w:r>
      <w:r w:rsidRPr="00081365">
        <w:t>for this study</w:t>
      </w:r>
      <w:r>
        <w:t xml:space="preserve"> </w:t>
      </w:r>
      <w:r w:rsidR="00DC6FD3">
        <w:t>wa</w:t>
      </w:r>
      <w:r>
        <w:t xml:space="preserve">s all families who had been in an emergency shelter for at least 7 days and who had at least one child 15 or younger at baseline. This restriction was included because child outcomes are important to the study, and </w:t>
      </w:r>
      <w:r w:rsidR="002B1BC9">
        <w:t xml:space="preserve">the study </w:t>
      </w:r>
      <w:r>
        <w:t>w</w:t>
      </w:r>
      <w:r w:rsidR="00DC6FD3">
        <w:t>ould</w:t>
      </w:r>
      <w:r w:rsidR="00011AB6">
        <w:t xml:space="preserve"> </w:t>
      </w:r>
      <w:r>
        <w:t>not have a large enough sample to consider outcomes for youth who become young adults in the course of the follow-up period</w:t>
      </w:r>
      <w:r w:rsidR="007459F0">
        <w:t xml:space="preserve">. </w:t>
      </w:r>
      <w:r w:rsidR="00D55667">
        <w:t>Following enrollment and baseline data collection, f</w:t>
      </w:r>
      <w:r w:rsidR="00EB5181">
        <w:t xml:space="preserve">amilies </w:t>
      </w:r>
      <w:r w:rsidR="00B22650">
        <w:t>we</w:t>
      </w:r>
      <w:r w:rsidR="00DB4DB1">
        <w:t xml:space="preserve">re </w:t>
      </w:r>
      <w:r w:rsidR="00D55667">
        <w:t xml:space="preserve">randomly </w:t>
      </w:r>
      <w:r w:rsidR="00EB5181">
        <w:t xml:space="preserve">assigned, as close to the 7-day mark as </w:t>
      </w:r>
      <w:r w:rsidR="00B22650">
        <w:t xml:space="preserve">was </w:t>
      </w:r>
      <w:r w:rsidR="00EB5181">
        <w:t xml:space="preserve">feasible, to </w:t>
      </w:r>
      <w:r w:rsidR="00D55667">
        <w:t xml:space="preserve">one of the four </w:t>
      </w:r>
      <w:r w:rsidR="00EB5181">
        <w:t>interventions</w:t>
      </w:r>
      <w:r w:rsidR="00E24788">
        <w:t xml:space="preserve">. </w:t>
      </w:r>
    </w:p>
    <w:p w14:paraId="7672F980" w14:textId="77777777" w:rsidR="006A12FA" w:rsidRDefault="006A12FA" w:rsidP="006A12FA"/>
    <w:p w14:paraId="33DA9C83" w14:textId="77777777" w:rsidR="00EB5181" w:rsidRDefault="009B2DFE" w:rsidP="00E24788">
      <w:r>
        <w:t>The study</w:t>
      </w:r>
      <w:r w:rsidR="00EB5181">
        <w:t xml:space="preserve"> design also </w:t>
      </w:r>
      <w:r w:rsidR="00B22650">
        <w:t xml:space="preserve">recognized </w:t>
      </w:r>
      <w:r w:rsidR="00EB5181">
        <w:t xml:space="preserve">that not all families </w:t>
      </w:r>
      <w:r w:rsidR="00B22650">
        <w:t xml:space="preserve">were </w:t>
      </w:r>
      <w:r w:rsidR="00EB5181">
        <w:t>eligible for all interventions</w:t>
      </w:r>
      <w:r w:rsidR="00E24788">
        <w:t xml:space="preserve">. </w:t>
      </w:r>
      <w:r w:rsidR="00EB5181">
        <w:t xml:space="preserve">Consistent with this consideration, families </w:t>
      </w:r>
      <w:r w:rsidR="00B22650">
        <w:t xml:space="preserve">were </w:t>
      </w:r>
      <w:r w:rsidR="00EB5181">
        <w:t>screened as to their eligibility for each specific service provider in their site</w:t>
      </w:r>
      <w:r w:rsidR="00DB4DB1">
        <w:t>, prior to random assignment</w:t>
      </w:r>
      <w:r w:rsidR="00E24788">
        <w:t xml:space="preserve">. </w:t>
      </w:r>
      <w:r w:rsidR="00DB4DB1">
        <w:t xml:space="preserve">Families </w:t>
      </w:r>
      <w:r w:rsidR="00B22650">
        <w:t xml:space="preserve">were </w:t>
      </w:r>
      <w:r w:rsidR="00EB5181">
        <w:t xml:space="preserve">randomly assigned </w:t>
      </w:r>
      <w:r w:rsidR="00040BF1">
        <w:t xml:space="preserve">among </w:t>
      </w:r>
      <w:r w:rsidR="00EB5181">
        <w:t>only interventions for which they a</w:t>
      </w:r>
      <w:r w:rsidR="00DB4DB1">
        <w:t>ppear</w:t>
      </w:r>
      <w:r w:rsidR="00B22650">
        <w:t>ed</w:t>
      </w:r>
      <w:r w:rsidR="00DB4DB1">
        <w:t xml:space="preserve"> </w:t>
      </w:r>
      <w:r w:rsidR="00EB5181">
        <w:t>eligible</w:t>
      </w:r>
      <w:r w:rsidR="00DB4DB1">
        <w:t xml:space="preserve">, based on their responses to </w:t>
      </w:r>
      <w:r w:rsidR="00040BF1">
        <w:t xml:space="preserve">a set of intake </w:t>
      </w:r>
      <w:r w:rsidR="00DB4DB1">
        <w:t>screening questions</w:t>
      </w:r>
      <w:r w:rsidR="00E24788">
        <w:t xml:space="preserve">. </w:t>
      </w:r>
      <w:r w:rsidR="00EB5181">
        <w:t xml:space="preserve">As long as one provider within each intervention at a given site </w:t>
      </w:r>
      <w:r w:rsidR="00B22650">
        <w:t xml:space="preserve">would </w:t>
      </w:r>
      <w:r w:rsidR="00EB5181">
        <w:t xml:space="preserve">accept a family with a particular profile, that family </w:t>
      </w:r>
      <w:r w:rsidR="00B22650">
        <w:t xml:space="preserve">was </w:t>
      </w:r>
      <w:r w:rsidR="00DB4DB1">
        <w:t xml:space="preserve">considered </w:t>
      </w:r>
      <w:r w:rsidR="00EB5181">
        <w:t>eligible for that intervention</w:t>
      </w:r>
      <w:r w:rsidR="00E24788">
        <w:t xml:space="preserve">. </w:t>
      </w:r>
    </w:p>
    <w:p w14:paraId="64B30E8D" w14:textId="77777777" w:rsidR="00EB5181" w:rsidRDefault="00EB5181" w:rsidP="006A12FA"/>
    <w:p w14:paraId="44422392" w14:textId="77777777" w:rsidR="00EB5181" w:rsidRPr="00314DC9" w:rsidRDefault="00EB5181" w:rsidP="00E24788">
      <w:r w:rsidRPr="00314DC9">
        <w:t xml:space="preserve">As </w:t>
      </w:r>
      <w:r w:rsidR="002F79C1">
        <w:t>described</w:t>
      </w:r>
      <w:r w:rsidRPr="00314DC9">
        <w:t xml:space="preserve"> below, this design assure</w:t>
      </w:r>
      <w:r w:rsidR="00DC6FD3">
        <w:t>d</w:t>
      </w:r>
      <w:r w:rsidRPr="00314DC9">
        <w:t xml:space="preserve"> that comparisons of interventions involve</w:t>
      </w:r>
      <w:r w:rsidR="00DC6FD3">
        <w:t>d</w:t>
      </w:r>
      <w:r w:rsidRPr="00314DC9">
        <w:t xml:space="preserve"> well-matched groups in each intervention</w:t>
      </w:r>
      <w:r w:rsidR="004D75E0">
        <w:t>.</w:t>
      </w:r>
      <w:r w:rsidR="00FE2AD0">
        <w:t xml:space="preserve"> To achieve this</w:t>
      </w:r>
      <w:r w:rsidR="004D75E0">
        <w:t xml:space="preserve">, a family </w:t>
      </w:r>
      <w:r w:rsidR="00DC6FD3">
        <w:t>was</w:t>
      </w:r>
      <w:r w:rsidR="004D75E0">
        <w:t xml:space="preserve"> included in the pairwise</w:t>
      </w:r>
      <w:r w:rsidR="00FE2AD0">
        <w:t xml:space="preserve"> impact</w:t>
      </w:r>
      <w:r w:rsidR="004D75E0">
        <w:t xml:space="preserve"> comparisons </w:t>
      </w:r>
      <w:r w:rsidR="00FE2AD0">
        <w:t xml:space="preserve">only for pairs of interventions to which it </w:t>
      </w:r>
      <w:r w:rsidR="00FE2AD0">
        <w:rPr>
          <w:i/>
        </w:rPr>
        <w:t>could have been assigned</w:t>
      </w:r>
      <w:r w:rsidR="00FE2AD0">
        <w:t xml:space="preserve"> (i.e., </w:t>
      </w:r>
      <w:r w:rsidR="004D75E0">
        <w:t xml:space="preserve">interventions that were available </w:t>
      </w:r>
      <w:r w:rsidR="00FE2AD0">
        <w:t xml:space="preserve">at the time of that family’s randomization </w:t>
      </w:r>
      <w:r w:rsidR="004610BF">
        <w:t>a</w:t>
      </w:r>
      <w:r w:rsidR="00FE2AD0">
        <w:t xml:space="preserve">nd </w:t>
      </w:r>
      <w:r w:rsidR="004D75E0">
        <w:t>for which the family was eligible</w:t>
      </w:r>
      <w:r w:rsidR="00FE2AD0">
        <w:t>)</w:t>
      </w:r>
      <w:r w:rsidR="009A73FB">
        <w:t>.</w:t>
      </w:r>
      <w:r w:rsidR="004D75E0">
        <w:t xml:space="preserve"> </w:t>
      </w:r>
      <w:r w:rsidRPr="00314DC9">
        <w:t>The design thus assure</w:t>
      </w:r>
      <w:r w:rsidR="00DC6FD3">
        <w:t>d</w:t>
      </w:r>
      <w:r w:rsidRPr="00314DC9">
        <w:t xml:space="preserve"> that any observed differences in outcomes are caused by the differential treatment families receive</w:t>
      </w:r>
      <w:r w:rsidR="00FE2AD0">
        <w:t xml:space="preserve"> following random assignment</w:t>
      </w:r>
      <w:r w:rsidRPr="00314DC9">
        <w:t>, and not by any pre-existing differences among the families.</w:t>
      </w:r>
    </w:p>
    <w:p w14:paraId="385B648B" w14:textId="77777777" w:rsidR="00EB5181" w:rsidRDefault="00EB5181" w:rsidP="006A12FA"/>
    <w:p w14:paraId="252CED6F" w14:textId="77777777" w:rsidR="00EB5181" w:rsidRPr="00314DC9" w:rsidRDefault="00EB5181" w:rsidP="00E24788">
      <w:r w:rsidRPr="00314DC9">
        <w:t>Although assignment to interventions w</w:t>
      </w:r>
      <w:r w:rsidR="00E21388">
        <w:t xml:space="preserve">as conducted </w:t>
      </w:r>
      <w:r w:rsidRPr="00314DC9">
        <w:t xml:space="preserve">at random, within interventions families </w:t>
      </w:r>
      <w:r w:rsidR="00FE2AD0">
        <w:t xml:space="preserve">were </w:t>
      </w:r>
      <w:r w:rsidRPr="00314DC9">
        <w:t xml:space="preserve">not assigned at random to </w:t>
      </w:r>
      <w:r w:rsidR="004D75E0">
        <w:t xml:space="preserve">specific </w:t>
      </w:r>
      <w:r w:rsidRPr="00314DC9">
        <w:t xml:space="preserve">service providers that </w:t>
      </w:r>
      <w:r w:rsidR="00FE2AD0">
        <w:t>provided</w:t>
      </w:r>
      <w:r w:rsidRPr="00314DC9">
        <w:t xml:space="preserve"> the intervention</w:t>
      </w:r>
      <w:r w:rsidR="00E24788">
        <w:t xml:space="preserve">. </w:t>
      </w:r>
      <w:r w:rsidR="00FE2AD0">
        <w:t>Allocation among providers</w:t>
      </w:r>
      <w:r w:rsidR="00FE2AD0" w:rsidRPr="00314DC9">
        <w:t xml:space="preserve"> </w:t>
      </w:r>
      <w:r w:rsidR="00E21388">
        <w:t>was</w:t>
      </w:r>
      <w:r w:rsidRPr="00314DC9">
        <w:t xml:space="preserve"> made </w:t>
      </w:r>
      <w:r w:rsidR="00E21388">
        <w:t xml:space="preserve">instead </w:t>
      </w:r>
      <w:r w:rsidRPr="00314DC9">
        <w:t xml:space="preserve">on the basis of family characteristics, as is </w:t>
      </w:r>
      <w:r w:rsidR="00193F50">
        <w:t>customary practice in the housing assistance system</w:t>
      </w:r>
      <w:r w:rsidR="00E24788">
        <w:t xml:space="preserve">. </w:t>
      </w:r>
      <w:r w:rsidRPr="00314DC9">
        <w:t>Thus, for example, if one or more of the transitional housing programs in a site specialize</w:t>
      </w:r>
      <w:r w:rsidR="00E21388">
        <w:t>d</w:t>
      </w:r>
      <w:r w:rsidRPr="00314DC9">
        <w:t xml:space="preserve"> in families with a particular profile (only families with domestic violence issues, or only families where the mother has been clean and sober for some period), then among families randomly assigned to </w:t>
      </w:r>
      <w:r w:rsidR="00193F50">
        <w:t>PBTH</w:t>
      </w:r>
      <w:r w:rsidRPr="00314DC9">
        <w:t xml:space="preserve">, only those that fit that program </w:t>
      </w:r>
      <w:r w:rsidR="00607775" w:rsidRPr="00314DC9">
        <w:t>w</w:t>
      </w:r>
      <w:r w:rsidR="00607775">
        <w:t>ere</w:t>
      </w:r>
      <w:r w:rsidRPr="00314DC9">
        <w:t xml:space="preserve"> assigned to that service provider</w:t>
      </w:r>
      <w:r w:rsidR="00E24788">
        <w:t xml:space="preserve">. </w:t>
      </w:r>
      <w:r w:rsidRPr="00314DC9">
        <w:t xml:space="preserve">This preserves and studies programs as they </w:t>
      </w:r>
      <w:r w:rsidR="003C1BC1">
        <w:t>operated</w:t>
      </w:r>
      <w:r w:rsidR="00E24788">
        <w:t xml:space="preserve">. </w:t>
      </w:r>
      <w:r w:rsidR="002F79C1">
        <w:t xml:space="preserve"> For more information on the short-term impacts from the 20-month </w:t>
      </w:r>
      <w:r w:rsidR="006425D8">
        <w:t>follow-up</w:t>
      </w:r>
      <w:r w:rsidR="002F79C1">
        <w:t xml:space="preserve"> study, please refer to </w:t>
      </w:r>
      <w:r w:rsidR="002F79C1" w:rsidRPr="00593135">
        <w:t>Gubits, et al. (2015)</w:t>
      </w:r>
      <w:r w:rsidR="002F79C1">
        <w:t xml:space="preserve">.  Information on the three-year impacts of housing and services interventions </w:t>
      </w:r>
      <w:r w:rsidR="00F41A18">
        <w:t>were published in</w:t>
      </w:r>
      <w:r w:rsidR="002F79C1">
        <w:t xml:space="preserve"> </w:t>
      </w:r>
      <w:r w:rsidR="0084761F">
        <w:t xml:space="preserve">October 2016 </w:t>
      </w:r>
      <w:r w:rsidR="00AD7529">
        <w:t>(</w:t>
      </w:r>
      <w:r w:rsidR="0084761F" w:rsidRPr="00593135">
        <w:t>Gubits et al.</w:t>
      </w:r>
      <w:r w:rsidR="00AD7529">
        <w:t>, 2016)</w:t>
      </w:r>
      <w:r w:rsidR="002F79C1">
        <w:t xml:space="preserve">. </w:t>
      </w:r>
    </w:p>
    <w:p w14:paraId="479D72FF" w14:textId="77777777" w:rsidR="00EB5181" w:rsidRPr="00E24788" w:rsidRDefault="00EB5181" w:rsidP="00E24788"/>
    <w:p w14:paraId="7E5178E6" w14:textId="77777777" w:rsidR="00EB5181" w:rsidRDefault="00EB5181" w:rsidP="006A12FA">
      <w:pPr>
        <w:pStyle w:val="Heading3"/>
      </w:pPr>
      <w:bookmarkStart w:id="7" w:name="_Toc241651531"/>
      <w:bookmarkStart w:id="8" w:name="_Toc465091692"/>
      <w:r>
        <w:t>B.1.2</w:t>
      </w:r>
      <w:r>
        <w:tab/>
        <w:t>Universe of Households and Survey Samples</w:t>
      </w:r>
      <w:bookmarkEnd w:id="7"/>
      <w:bookmarkEnd w:id="8"/>
    </w:p>
    <w:p w14:paraId="16980EB6" w14:textId="77777777" w:rsidR="00203259" w:rsidRDefault="00203259" w:rsidP="00E24788">
      <w:r>
        <w:t xml:space="preserve">This supporting statement seeks clearance for a data collection effort to collect </w:t>
      </w:r>
      <w:r w:rsidR="0088141B">
        <w:t>two</w:t>
      </w:r>
      <w:r>
        <w:t xml:space="preserve"> types of data:</w:t>
      </w:r>
    </w:p>
    <w:p w14:paraId="62791908" w14:textId="77777777" w:rsidR="00E24788" w:rsidRDefault="00E24788" w:rsidP="00E24788"/>
    <w:p w14:paraId="5AC23B98" w14:textId="77777777" w:rsidR="00203259" w:rsidRDefault="0088141B" w:rsidP="00E24788">
      <w:pPr>
        <w:pStyle w:val="BodyText"/>
        <w:numPr>
          <w:ilvl w:val="0"/>
          <w:numId w:val="20"/>
        </w:numPr>
      </w:pPr>
      <w:r>
        <w:t>Participant contact information</w:t>
      </w:r>
      <w:r w:rsidR="00623FFB">
        <w:t xml:space="preserve"> updates</w:t>
      </w:r>
    </w:p>
    <w:p w14:paraId="68752170" w14:textId="77777777" w:rsidR="00E87BEE" w:rsidRDefault="00E87BEE" w:rsidP="00E87BEE">
      <w:pPr>
        <w:pStyle w:val="BodyText"/>
        <w:numPr>
          <w:ilvl w:val="0"/>
          <w:numId w:val="20"/>
        </w:numPr>
        <w:spacing w:after="120"/>
      </w:pPr>
      <w:r>
        <w:t>A tracking interview</w:t>
      </w:r>
    </w:p>
    <w:p w14:paraId="7090C31D" w14:textId="77777777" w:rsidR="00E87BEE" w:rsidRPr="00DC07A0" w:rsidRDefault="00E87BEE" w:rsidP="00187AFF">
      <w:pPr>
        <w:pStyle w:val="BodyText"/>
        <w:ind w:left="720"/>
      </w:pPr>
    </w:p>
    <w:p w14:paraId="7C9A3248" w14:textId="77777777" w:rsidR="00203259" w:rsidRPr="00E24788" w:rsidRDefault="00203259" w:rsidP="00E24788"/>
    <w:p w14:paraId="4287F303" w14:textId="77777777" w:rsidR="00422AC2" w:rsidRPr="00AC15BC" w:rsidRDefault="004C3A69" w:rsidP="00E24788">
      <w:pPr>
        <w:pStyle w:val="Heading4"/>
      </w:pPr>
      <w:r>
        <w:lastRenderedPageBreak/>
        <w:t xml:space="preserve">72-Month </w:t>
      </w:r>
      <w:r w:rsidR="0088141B">
        <w:t>Tracking Interview and Participant Contact Information Form</w:t>
      </w:r>
    </w:p>
    <w:p w14:paraId="7482817E" w14:textId="77777777" w:rsidR="00EB5181" w:rsidRPr="00E24788" w:rsidRDefault="002C6D76" w:rsidP="00E24788">
      <w:r>
        <w:t xml:space="preserve">The universe for the </w:t>
      </w:r>
      <w:r w:rsidR="004C3A69">
        <w:t xml:space="preserve">72-month </w:t>
      </w:r>
      <w:r w:rsidR="0088141B">
        <w:t>tracking interview</w:t>
      </w:r>
      <w:r w:rsidR="00422AC2">
        <w:t xml:space="preserve"> </w:t>
      </w:r>
      <w:r w:rsidR="0088141B">
        <w:t xml:space="preserve">and the participant contact information </w:t>
      </w:r>
      <w:r w:rsidR="008C5A76">
        <w:t xml:space="preserve">updates </w:t>
      </w:r>
      <w:r>
        <w:t xml:space="preserve">is the </w:t>
      </w:r>
      <w:r w:rsidR="0088141B">
        <w:t xml:space="preserve">adult respondent from </w:t>
      </w:r>
      <w:r w:rsidR="00011AB6">
        <w:t xml:space="preserve">all </w:t>
      </w:r>
      <w:r>
        <w:t xml:space="preserve">families who </w:t>
      </w:r>
      <w:r w:rsidR="00D534EF">
        <w:t xml:space="preserve">were </w:t>
      </w:r>
      <w:r>
        <w:t>enrolled in the study (2,2</w:t>
      </w:r>
      <w:r w:rsidR="00E87BEE">
        <w:t xml:space="preserve">71 families, 2,282 enrolled less 11 families known to be deceased at the time of the 37-month </w:t>
      </w:r>
      <w:r w:rsidR="006425D8">
        <w:t>follow-up</w:t>
      </w:r>
      <w:r w:rsidR="00E87BEE">
        <w:t xml:space="preserve"> survey</w:t>
      </w:r>
      <w:r>
        <w:t>).</w:t>
      </w:r>
      <w:r w:rsidR="00422AC2">
        <w:t xml:space="preserve"> To be eligible for the study, the families</w:t>
      </w:r>
      <w:r w:rsidR="00193F50">
        <w:t>—</w:t>
      </w:r>
      <w:r w:rsidR="00EB5181">
        <w:t>defined as at least one adult and one child</w:t>
      </w:r>
      <w:r w:rsidR="00193F50">
        <w:t xml:space="preserve">—had to </w:t>
      </w:r>
      <w:r w:rsidR="008C5A76">
        <w:t xml:space="preserve">have </w:t>
      </w:r>
      <w:r w:rsidR="00EB5181">
        <w:t>experience</w:t>
      </w:r>
      <w:r w:rsidR="008C5A76">
        <w:t>d</w:t>
      </w:r>
      <w:r w:rsidR="00EB5181">
        <w:t xml:space="preserve"> homelessness, receive</w:t>
      </w:r>
      <w:r w:rsidR="008C5A76">
        <w:t>d</w:t>
      </w:r>
      <w:r w:rsidR="00EB5181">
        <w:t xml:space="preserve"> assistance at an emergency shelter, and remain</w:t>
      </w:r>
      <w:r w:rsidR="008C5A76">
        <w:t>ed</w:t>
      </w:r>
      <w:r w:rsidR="00EB5181">
        <w:t xml:space="preserve"> in the shelter for at least seven days</w:t>
      </w:r>
      <w:r w:rsidR="008C5A76">
        <w:t xml:space="preserve"> prior to enrollment</w:t>
      </w:r>
      <w:r w:rsidR="00E24788">
        <w:t xml:space="preserve">. </w:t>
      </w:r>
      <w:r w:rsidR="003C1BC1">
        <w:t xml:space="preserve">There are no sample selection requirements as all enrolled families are eligible to participate in the </w:t>
      </w:r>
      <w:r w:rsidR="004C3A69">
        <w:t>72-month</w:t>
      </w:r>
      <w:r w:rsidR="003C1BC1">
        <w:t xml:space="preserve"> tracking interview and the participant contact updates.</w:t>
      </w:r>
      <w:r w:rsidR="002F79C1">
        <w:t xml:space="preserve"> </w:t>
      </w:r>
    </w:p>
    <w:p w14:paraId="4DAEC2F2" w14:textId="77777777" w:rsidR="00EB5181" w:rsidRDefault="00EB5181" w:rsidP="006A12FA">
      <w:pPr>
        <w:pStyle w:val="Heading2"/>
      </w:pPr>
      <w:bookmarkStart w:id="9" w:name="_Toc241651532"/>
      <w:bookmarkStart w:id="10" w:name="_Toc465091693"/>
      <w:r>
        <w:t>B.2</w:t>
      </w:r>
      <w:r>
        <w:tab/>
        <w:t>Administration of the Survey</w:t>
      </w:r>
      <w:bookmarkEnd w:id="9"/>
      <w:bookmarkEnd w:id="10"/>
    </w:p>
    <w:p w14:paraId="4479A7A3" w14:textId="77777777" w:rsidR="00D64F9C" w:rsidRDefault="00D64F9C" w:rsidP="00D64F9C">
      <w:pPr>
        <w:pStyle w:val="BodyText"/>
        <w:rPr>
          <w:szCs w:val="22"/>
        </w:rPr>
      </w:pPr>
      <w:bookmarkStart w:id="11" w:name="_Toc241651533"/>
      <w:r w:rsidRPr="00593135">
        <w:t>The full sample of 2,2</w:t>
      </w:r>
      <w:r w:rsidR="00E87BEE">
        <w:t>71</w:t>
      </w:r>
      <w:r w:rsidRPr="00593135">
        <w:t xml:space="preserve"> families will be released for </w:t>
      </w:r>
      <w:r w:rsidR="00E87BEE">
        <w:t>tracking and locating activities and the</w:t>
      </w:r>
      <w:r w:rsidR="004C3A69">
        <w:t xml:space="preserve"> 72-month</w:t>
      </w:r>
      <w:r w:rsidR="00E87BEE">
        <w:t xml:space="preserve"> </w:t>
      </w:r>
      <w:r w:rsidRPr="00593135">
        <w:t>tracking interviews</w:t>
      </w:r>
      <w:r w:rsidR="00E87BEE">
        <w:t xml:space="preserve">. Interviewers will attempt to locate respondents and complete tracking interviews during a </w:t>
      </w:r>
      <w:r w:rsidRPr="00593135">
        <w:t xml:space="preserve">six-month period from April 2017-October 2017. </w:t>
      </w:r>
      <w:r>
        <w:t xml:space="preserve">Local </w:t>
      </w:r>
      <w:r w:rsidRPr="00593135">
        <w:t xml:space="preserve">Abt SRBI </w:t>
      </w:r>
      <w:r>
        <w:t xml:space="preserve">field </w:t>
      </w:r>
      <w:r w:rsidRPr="00593135">
        <w:t xml:space="preserve">interviewers will </w:t>
      </w:r>
      <w:r w:rsidR="00E87BEE">
        <w:t xml:space="preserve">conduct the tracking and interviewing activities. Interviewers will </w:t>
      </w:r>
      <w:r w:rsidRPr="00593135">
        <w:t>first cal</w:t>
      </w:r>
      <w:r w:rsidR="00E87BEE">
        <w:t>l</w:t>
      </w:r>
      <w:r w:rsidRPr="00593135">
        <w:t xml:space="preserve"> respondent contact phone numbers. </w:t>
      </w:r>
      <w:r>
        <w:t xml:space="preserve">If </w:t>
      </w:r>
      <w:r w:rsidRPr="00593135">
        <w:t xml:space="preserve">they reach the participant, they will complete the interview. If they do not reach the respondent, </w:t>
      </w:r>
      <w:r>
        <w:t>interviewers</w:t>
      </w:r>
      <w:r w:rsidRPr="00593135">
        <w:t xml:space="preserve"> will </w:t>
      </w:r>
      <w:r>
        <w:t xml:space="preserve">continue to </w:t>
      </w:r>
      <w:r w:rsidR="006611B8">
        <w:t xml:space="preserve">attempt to contact families </w:t>
      </w:r>
      <w:r>
        <w:t xml:space="preserve">by phone, using secondary contacts, as well as attempting to reach out to participants via email and mail. </w:t>
      </w:r>
      <w:r w:rsidRPr="00593135">
        <w:t xml:space="preserve"> After all </w:t>
      </w:r>
      <w:r>
        <w:t xml:space="preserve">of those </w:t>
      </w:r>
      <w:r w:rsidRPr="00593135">
        <w:t xml:space="preserve">efforts have been exhausted </w:t>
      </w:r>
      <w:r w:rsidRPr="00593135">
        <w:rPr>
          <w:szCs w:val="22"/>
        </w:rPr>
        <w:t xml:space="preserve">local interviewers will begin in-person efforts for any non-completed cases. Wherever possible, once an interviewer locates the participant—an immediate attempt will be made to complete the </w:t>
      </w:r>
      <w:r w:rsidR="00E87BEE">
        <w:rPr>
          <w:szCs w:val="22"/>
        </w:rPr>
        <w:t xml:space="preserve">15-minute tracking </w:t>
      </w:r>
      <w:r w:rsidRPr="00593135">
        <w:rPr>
          <w:szCs w:val="22"/>
        </w:rPr>
        <w:t xml:space="preserve">interview. </w:t>
      </w:r>
    </w:p>
    <w:p w14:paraId="0A20FD5F" w14:textId="77777777" w:rsidR="00F11F65" w:rsidRPr="00593135" w:rsidRDefault="00F11F65" w:rsidP="00D64F9C">
      <w:pPr>
        <w:pStyle w:val="BodyText"/>
      </w:pPr>
    </w:p>
    <w:p w14:paraId="2EA4E13B" w14:textId="77777777" w:rsidR="00EB5181" w:rsidRPr="002E48E4" w:rsidRDefault="00EB5181" w:rsidP="006A12FA">
      <w:pPr>
        <w:pStyle w:val="Heading3"/>
      </w:pPr>
      <w:bookmarkStart w:id="12" w:name="_Toc465091694"/>
      <w:r w:rsidRPr="002E48E4">
        <w:t>B.2.1</w:t>
      </w:r>
      <w:r w:rsidRPr="002E48E4">
        <w:tab/>
        <w:t>S</w:t>
      </w:r>
      <w:r w:rsidR="002F79C1">
        <w:t>tatistical Methodology for Stratification and S</w:t>
      </w:r>
      <w:r w:rsidRPr="002E48E4">
        <w:t xml:space="preserve">ample </w:t>
      </w:r>
      <w:bookmarkEnd w:id="11"/>
      <w:r w:rsidR="002F79C1">
        <w:t>Selection</w:t>
      </w:r>
      <w:bookmarkEnd w:id="12"/>
    </w:p>
    <w:p w14:paraId="0661655C" w14:textId="77777777" w:rsidR="00000BFC" w:rsidRDefault="00EB5181" w:rsidP="00E24788">
      <w:r w:rsidRPr="006426C9">
        <w:t xml:space="preserve">The </w:t>
      </w:r>
      <w:r w:rsidR="00F56E78">
        <w:t xml:space="preserve">study sample for the </w:t>
      </w:r>
      <w:r w:rsidR="0088141B">
        <w:t>long term tracking</w:t>
      </w:r>
      <w:r w:rsidR="00F56E78">
        <w:t xml:space="preserve"> data collection </w:t>
      </w:r>
      <w:r w:rsidRPr="006426C9">
        <w:t xml:space="preserve">is </w:t>
      </w:r>
      <w:r w:rsidR="00E42A36">
        <w:t xml:space="preserve">all </w:t>
      </w:r>
      <w:r w:rsidR="00F56E78">
        <w:t>2,2</w:t>
      </w:r>
      <w:r w:rsidR="00501B45">
        <w:t>71</w:t>
      </w:r>
      <w:r w:rsidRPr="006426C9">
        <w:t xml:space="preserve"> families</w:t>
      </w:r>
      <w:r w:rsidR="00E42A36">
        <w:t xml:space="preserve"> enrolled in the study</w:t>
      </w:r>
      <w:r w:rsidR="00501B45">
        <w:t xml:space="preserve"> (families known to have been deceased at the time of the 37-month survey are excluded). </w:t>
      </w:r>
      <w:r w:rsidR="00000BFC">
        <w:t>Therefore, no sampling</w:t>
      </w:r>
      <w:r w:rsidR="00E42A36">
        <w:t xml:space="preserve"> or stratification</w:t>
      </w:r>
      <w:r w:rsidR="00000BFC">
        <w:t xml:space="preserve"> is required for </w:t>
      </w:r>
      <w:r w:rsidR="004365B7">
        <w:t xml:space="preserve">the </w:t>
      </w:r>
      <w:r w:rsidR="00E42A36">
        <w:t xml:space="preserve">long term tracking interviews and participant contact updates. </w:t>
      </w:r>
      <w:r w:rsidR="00000BFC">
        <w:t xml:space="preserve"> </w:t>
      </w:r>
    </w:p>
    <w:p w14:paraId="617A347D" w14:textId="77777777" w:rsidR="00EB5181" w:rsidRPr="00E24788" w:rsidRDefault="00EB5181" w:rsidP="00E24788"/>
    <w:p w14:paraId="283C96D9" w14:textId="77777777" w:rsidR="00EB5181" w:rsidRDefault="00EB5181" w:rsidP="006A12FA">
      <w:pPr>
        <w:pStyle w:val="Heading3"/>
      </w:pPr>
      <w:bookmarkStart w:id="13" w:name="_Toc241651534"/>
      <w:bookmarkStart w:id="14" w:name="_Toc465091695"/>
      <w:r>
        <w:t>B.2.2</w:t>
      </w:r>
      <w:r>
        <w:tab/>
        <w:t>Estimation Procedures</w:t>
      </w:r>
      <w:bookmarkEnd w:id="13"/>
      <w:bookmarkEnd w:id="14"/>
    </w:p>
    <w:p w14:paraId="3773CAD7" w14:textId="77777777" w:rsidR="001944C7" w:rsidRDefault="00501B45" w:rsidP="00E24788">
      <w:r>
        <w:t xml:space="preserve">The objective of the long-term tracking project is to attempt to locate the study sample, update contact information, and collect a small number of items collected previously during earlier data collection.  No impact analysis is planned. The data collected will be used to assess the feasibility of renewing contact with the study sample and for conducting </w:t>
      </w:r>
      <w:r w:rsidR="004C3A69">
        <w:t>future follow-up</w:t>
      </w:r>
      <w:r>
        <w:t xml:space="preserve"> data collection. The data items to be collected in the tracking interview will be appended to the longitudinal database established for the Family Options Study to augment the research platform. </w:t>
      </w:r>
    </w:p>
    <w:p w14:paraId="703962EF" w14:textId="77777777" w:rsidR="00501B45" w:rsidRPr="00E24788" w:rsidRDefault="00501B45" w:rsidP="00E24788"/>
    <w:p w14:paraId="649559F1" w14:textId="77777777" w:rsidR="00EB5181" w:rsidRDefault="00EB5181" w:rsidP="006A12FA">
      <w:pPr>
        <w:pStyle w:val="Heading3"/>
      </w:pPr>
      <w:bookmarkStart w:id="15" w:name="_Toc241651535"/>
      <w:bookmarkStart w:id="16" w:name="_Toc465091696"/>
      <w:r>
        <w:t>B.2.3</w:t>
      </w:r>
      <w:r>
        <w:tab/>
        <w:t>Degree of Accuracy Required</w:t>
      </w:r>
      <w:bookmarkEnd w:id="15"/>
      <w:bookmarkEnd w:id="16"/>
    </w:p>
    <w:p w14:paraId="50A85AC6" w14:textId="77777777" w:rsidR="00501B45" w:rsidRDefault="00501B45" w:rsidP="00501B45">
      <w:r>
        <w:t xml:space="preserve">The objective of the long-term tracking project is to attempt to locate the study sample, update contact information, and collect a small number of items collected previously during earlier data collection.  No impact analysis is planned. The data collected will be used to assess the feasibility of renewing contact with the study sample and for conducting </w:t>
      </w:r>
      <w:r w:rsidR="004C3A69">
        <w:t>future follow-up</w:t>
      </w:r>
      <w:r>
        <w:t xml:space="preserve"> data collection. The data items to be collected in the tracking interview will be appended to the longitudinal database established for the Family Options Study to augment the research platform. </w:t>
      </w:r>
    </w:p>
    <w:p w14:paraId="65AF512B" w14:textId="77777777" w:rsidR="00501B45" w:rsidRPr="00E24788" w:rsidRDefault="00501B45" w:rsidP="00501B45"/>
    <w:p w14:paraId="11C9C666" w14:textId="77777777" w:rsidR="005F21BD" w:rsidRPr="004C59C1" w:rsidRDefault="005F21BD" w:rsidP="004C59C1"/>
    <w:p w14:paraId="04CD007D" w14:textId="77777777" w:rsidR="00EB5181" w:rsidRDefault="00EB5181" w:rsidP="006A12FA">
      <w:pPr>
        <w:pStyle w:val="Heading3"/>
      </w:pPr>
      <w:bookmarkStart w:id="17" w:name="_Toc465091697"/>
      <w:bookmarkStart w:id="18" w:name="_Toc241651538"/>
      <w:r>
        <w:lastRenderedPageBreak/>
        <w:t>B.2.4</w:t>
      </w:r>
      <w:r>
        <w:tab/>
      </w:r>
      <w:r w:rsidR="00E42A36">
        <w:t>Unusual Problems Requiring Specialized Sampling Procedures</w:t>
      </w:r>
      <w:bookmarkEnd w:id="17"/>
      <w:r w:rsidR="00E42A36">
        <w:t xml:space="preserve"> </w:t>
      </w:r>
      <w:bookmarkEnd w:id="18"/>
    </w:p>
    <w:p w14:paraId="47986F2F" w14:textId="77777777" w:rsidR="00EB5181" w:rsidRDefault="00EB5181" w:rsidP="004C59C1">
      <w:r>
        <w:t>In this study</w:t>
      </w:r>
      <w:r w:rsidR="00AD7529">
        <w:t>,</w:t>
      </w:r>
      <w:r>
        <w:t xml:space="preserve"> </w:t>
      </w:r>
      <w:r w:rsidR="008E4AF1">
        <w:t>the research team may</w:t>
      </w:r>
      <w:r>
        <w:t xml:space="preserve"> encounter interview respondents whose first language is Spanish</w:t>
      </w:r>
      <w:r w:rsidR="00E24788">
        <w:t xml:space="preserve">. </w:t>
      </w:r>
      <w:r>
        <w:t xml:space="preserve">As </w:t>
      </w:r>
      <w:r w:rsidR="00187AFF">
        <w:t xml:space="preserve">done in </w:t>
      </w:r>
      <w:r w:rsidR="00F40E25">
        <w:t xml:space="preserve">prior data collection efforts, </w:t>
      </w:r>
      <w:r w:rsidR="008E4AF1">
        <w:t>the research team will</w:t>
      </w:r>
      <w:r>
        <w:t xml:space="preserve"> translate </w:t>
      </w:r>
      <w:r w:rsidR="00205ACF">
        <w:t xml:space="preserve">the </w:t>
      </w:r>
      <w:r w:rsidR="004C3A69">
        <w:t>72-month</w:t>
      </w:r>
      <w:r w:rsidR="00E42A36">
        <w:t xml:space="preserve"> </w:t>
      </w:r>
      <w:r w:rsidR="00E21618">
        <w:t>tracking</w:t>
      </w:r>
      <w:r>
        <w:t xml:space="preserve"> survey instrument </w:t>
      </w:r>
      <w:r w:rsidR="00E21618">
        <w:t xml:space="preserve">and participant contact update form </w:t>
      </w:r>
      <w:r>
        <w:t xml:space="preserve">into Spanish, for </w:t>
      </w:r>
      <w:r w:rsidR="00501B45">
        <w:t xml:space="preserve">respondents who prefer to complete the data collection in Spanish. </w:t>
      </w:r>
      <w:r>
        <w:t xml:space="preserve">The </w:t>
      </w:r>
      <w:r w:rsidR="00205ACF">
        <w:t>consent forms</w:t>
      </w:r>
      <w:r>
        <w:t xml:space="preserve"> also will be </w:t>
      </w:r>
      <w:r w:rsidR="00501B45">
        <w:t xml:space="preserve">translated into </w:t>
      </w:r>
      <w:r>
        <w:t>Spanish</w:t>
      </w:r>
      <w:r w:rsidR="00E24788">
        <w:t xml:space="preserve">. </w:t>
      </w:r>
      <w:r w:rsidR="00DB4DB1">
        <w:t>A</w:t>
      </w:r>
      <w:r w:rsidR="00E21388">
        <w:t xml:space="preserve">ll </w:t>
      </w:r>
      <w:r w:rsidR="00E21618">
        <w:t xml:space="preserve">prior </w:t>
      </w:r>
      <w:r w:rsidR="00DB4DB1">
        <w:t xml:space="preserve">interviews </w:t>
      </w:r>
      <w:r w:rsidR="00E21388">
        <w:t>were</w:t>
      </w:r>
      <w:r w:rsidR="00DB4DB1">
        <w:t xml:space="preserve"> conducted in either English or Spanish, with no need for other languages</w:t>
      </w:r>
      <w:r w:rsidR="00F40E25">
        <w:t xml:space="preserve">, thus </w:t>
      </w:r>
      <w:r w:rsidR="008E4AF1">
        <w:t>the research team does</w:t>
      </w:r>
      <w:r w:rsidR="00546D90">
        <w:t xml:space="preserve"> </w:t>
      </w:r>
      <w:r w:rsidR="00F40E25">
        <w:t xml:space="preserve">not anticipate other language needs for the </w:t>
      </w:r>
      <w:r w:rsidR="004C3A69">
        <w:t>72-month</w:t>
      </w:r>
      <w:r w:rsidR="00E21618">
        <w:t xml:space="preserve"> tracking data collection</w:t>
      </w:r>
      <w:r w:rsidR="00DB4DB1">
        <w:t xml:space="preserve">. </w:t>
      </w:r>
    </w:p>
    <w:p w14:paraId="3DEE4B9F" w14:textId="77777777" w:rsidR="00BC4EE7" w:rsidRDefault="00BC4EE7" w:rsidP="006A12FA"/>
    <w:p w14:paraId="79D7DBAA" w14:textId="77777777" w:rsidR="00936824" w:rsidRDefault="00936824" w:rsidP="00187AFF"/>
    <w:p w14:paraId="6912FED8" w14:textId="77777777" w:rsidR="00936824" w:rsidRDefault="00936824" w:rsidP="00936824">
      <w:pPr>
        <w:pStyle w:val="Heading3"/>
      </w:pPr>
      <w:bookmarkStart w:id="19" w:name="_Toc465091698"/>
      <w:r>
        <w:t>B.2.5</w:t>
      </w:r>
      <w:r>
        <w:tab/>
        <w:t>Any Use of Periodic Data Collection Cycles to Reduce Burden</w:t>
      </w:r>
      <w:bookmarkEnd w:id="19"/>
    </w:p>
    <w:p w14:paraId="18C78880" w14:textId="3DEB155B" w:rsidR="00690E2E" w:rsidRDefault="008E4AF1" w:rsidP="004C59C1">
      <w:r>
        <w:t>The research team will</w:t>
      </w:r>
      <w:r w:rsidR="00936824">
        <w:t xml:space="preserve"> </w:t>
      </w:r>
      <w:r w:rsidR="00187AFF">
        <w:t xml:space="preserve">use </w:t>
      </w:r>
      <w:r w:rsidR="00936824">
        <w:t xml:space="preserve">two types of administrative data to </w:t>
      </w:r>
      <w:r w:rsidR="00501B45">
        <w:t xml:space="preserve">provide additional contact information for tracking and locating the study sample. These data do not impose </w:t>
      </w:r>
      <w:r w:rsidR="00936824">
        <w:t xml:space="preserve">any respondent burden.  </w:t>
      </w:r>
      <w:r>
        <w:t>The research team will</w:t>
      </w:r>
      <w:r w:rsidR="00936824">
        <w:t xml:space="preserve"> obtain data from HUDs </w:t>
      </w:r>
      <w:r w:rsidR="00797526">
        <w:t xml:space="preserve">Homeless Management Information </w:t>
      </w:r>
      <w:r w:rsidR="00AD7529" w:rsidRPr="00AD7529">
        <w:rPr>
          <w:color w:val="000000"/>
          <w:szCs w:val="22"/>
          <w:shd w:val="clear" w:color="auto" w:fill="FFFFFF"/>
        </w:rPr>
        <w:t>System (</w:t>
      </w:r>
      <w:r w:rsidR="00797526">
        <w:rPr>
          <w:color w:val="000000"/>
          <w:szCs w:val="22"/>
          <w:shd w:val="clear" w:color="auto" w:fill="FFFFFF"/>
        </w:rPr>
        <w:t>H</w:t>
      </w:r>
      <w:r w:rsidR="00AD7529" w:rsidRPr="00AD7529">
        <w:rPr>
          <w:color w:val="000000"/>
          <w:szCs w:val="22"/>
          <w:shd w:val="clear" w:color="auto" w:fill="FFFFFF"/>
        </w:rPr>
        <w:t>M</w:t>
      </w:r>
      <w:r w:rsidR="00797526">
        <w:rPr>
          <w:color w:val="000000"/>
          <w:szCs w:val="22"/>
          <w:shd w:val="clear" w:color="auto" w:fill="FFFFFF"/>
        </w:rPr>
        <w:t>I</w:t>
      </w:r>
      <w:r w:rsidR="00AD7529" w:rsidRPr="00AD7529">
        <w:rPr>
          <w:color w:val="000000"/>
          <w:szCs w:val="22"/>
          <w:shd w:val="clear" w:color="auto" w:fill="FFFFFF"/>
        </w:rPr>
        <w:t>S)/ PIH Information Center (PIC)</w:t>
      </w:r>
      <w:r w:rsidR="00936824">
        <w:t>and Tenant Rental Assistance Characteristics (TRACS)</w:t>
      </w:r>
      <w:r w:rsidR="008965BE">
        <w:t xml:space="preserve"> data systems to obtain historical data on the receipt of housing assistance.  PIC and TRACS data will be collected twice over the three</w:t>
      </w:r>
      <w:r w:rsidR="00AD7529">
        <w:t>-</w:t>
      </w:r>
      <w:r w:rsidR="008965BE">
        <w:t xml:space="preserve">year </w:t>
      </w:r>
      <w:r w:rsidR="00501B45">
        <w:t>contract period.   PIC and TRACs will provide address information for families who receive housing assistance that is reported in these systems.</w:t>
      </w:r>
    </w:p>
    <w:p w14:paraId="39CC5CC9" w14:textId="77777777" w:rsidR="008965BE" w:rsidRDefault="008965BE" w:rsidP="004C59C1">
      <w:r>
        <w:t xml:space="preserve">  </w:t>
      </w:r>
    </w:p>
    <w:p w14:paraId="70104D07" w14:textId="77777777" w:rsidR="00EB5181" w:rsidRDefault="00EB5181" w:rsidP="006A12FA">
      <w:pPr>
        <w:pStyle w:val="Heading2"/>
      </w:pPr>
      <w:bookmarkStart w:id="20" w:name="_Toc241651539"/>
      <w:bookmarkStart w:id="21" w:name="_Toc465091699"/>
      <w:r>
        <w:t>B.3</w:t>
      </w:r>
      <w:r>
        <w:tab/>
        <w:t>Maximizing the Response Rate</w:t>
      </w:r>
      <w:bookmarkEnd w:id="20"/>
      <w:r w:rsidR="00C41D24">
        <w:t xml:space="preserve"> and Minimizing Non-Response Risk</w:t>
      </w:r>
      <w:bookmarkEnd w:id="21"/>
    </w:p>
    <w:p w14:paraId="3C6806B8" w14:textId="77777777" w:rsidR="005A5FBC" w:rsidRDefault="008E4AF1" w:rsidP="005A5FBC">
      <w:r>
        <w:rPr>
          <w:szCs w:val="22"/>
        </w:rPr>
        <w:t>The research team conducted</w:t>
      </w:r>
      <w:r w:rsidR="005A5FBC">
        <w:rPr>
          <w:szCs w:val="22"/>
        </w:rPr>
        <w:t xml:space="preserve"> intensive tracking with study families from enrollment through</w:t>
      </w:r>
      <w:r w:rsidR="00E42A36">
        <w:rPr>
          <w:szCs w:val="22"/>
        </w:rPr>
        <w:t>out</w:t>
      </w:r>
      <w:r w:rsidR="005A5FBC">
        <w:rPr>
          <w:szCs w:val="22"/>
        </w:rPr>
        <w:t xml:space="preserve"> the </w:t>
      </w:r>
      <w:r w:rsidR="004C3A69">
        <w:rPr>
          <w:szCs w:val="22"/>
        </w:rPr>
        <w:t xml:space="preserve">initial </w:t>
      </w:r>
      <w:r w:rsidR="005A5FBC">
        <w:rPr>
          <w:szCs w:val="22"/>
        </w:rPr>
        <w:t>three-year follow-up period</w:t>
      </w:r>
      <w:r w:rsidR="0084761F">
        <w:rPr>
          <w:szCs w:val="22"/>
        </w:rPr>
        <w:t xml:space="preserve"> (data collection ended in </w:t>
      </w:r>
      <w:r w:rsidR="00501B45">
        <w:rPr>
          <w:szCs w:val="22"/>
        </w:rPr>
        <w:t xml:space="preserve">December </w:t>
      </w:r>
      <w:r w:rsidR="0084761F">
        <w:rPr>
          <w:szCs w:val="22"/>
        </w:rPr>
        <w:t>201</w:t>
      </w:r>
      <w:r w:rsidR="00501B45">
        <w:rPr>
          <w:szCs w:val="22"/>
        </w:rPr>
        <w:t>4</w:t>
      </w:r>
      <w:r w:rsidR="0084761F">
        <w:rPr>
          <w:szCs w:val="22"/>
        </w:rPr>
        <w:t>)</w:t>
      </w:r>
      <w:r w:rsidR="005A5FBC">
        <w:rPr>
          <w:szCs w:val="22"/>
        </w:rPr>
        <w:t xml:space="preserve">.  The </w:t>
      </w:r>
      <w:r w:rsidR="005A5FBC" w:rsidRPr="00627B03">
        <w:rPr>
          <w:szCs w:val="22"/>
        </w:rPr>
        <w:t xml:space="preserve">tracking approach </w:t>
      </w:r>
      <w:r w:rsidR="005A5FBC">
        <w:rPr>
          <w:szCs w:val="22"/>
        </w:rPr>
        <w:t>wa</w:t>
      </w:r>
      <w:r w:rsidR="005A5FBC" w:rsidRPr="00627B03">
        <w:rPr>
          <w:szCs w:val="22"/>
        </w:rPr>
        <w:t>s designed to maintain contact with the study sample</w:t>
      </w:r>
      <w:r w:rsidR="005A5FBC">
        <w:rPr>
          <w:szCs w:val="22"/>
        </w:rPr>
        <w:t xml:space="preserve"> every three months</w:t>
      </w:r>
      <w:r w:rsidR="005A5FBC" w:rsidRPr="00627B03">
        <w:rPr>
          <w:szCs w:val="22"/>
        </w:rPr>
        <w:t xml:space="preserve"> </w:t>
      </w:r>
      <w:r w:rsidR="00E42A36">
        <w:rPr>
          <w:szCs w:val="22"/>
        </w:rPr>
        <w:t>during that time,</w:t>
      </w:r>
      <w:r w:rsidR="005A5FBC" w:rsidRPr="00627B03">
        <w:t xml:space="preserve"> which </w:t>
      </w:r>
      <w:r w:rsidR="005A5FBC">
        <w:t>wa</w:t>
      </w:r>
      <w:r w:rsidR="005A5FBC" w:rsidRPr="00627B03">
        <w:t>s essential to achieving the highest possible response rate</w:t>
      </w:r>
      <w:r w:rsidR="00E42A36">
        <w:t>s</w:t>
      </w:r>
      <w:r w:rsidR="005A5FBC" w:rsidRPr="00627B03">
        <w:t xml:space="preserve"> for the </w:t>
      </w:r>
      <w:r w:rsidR="00E42A36">
        <w:t>20- and 37</w:t>
      </w:r>
      <w:r w:rsidR="005A5FBC">
        <w:t>-</w:t>
      </w:r>
      <w:r w:rsidR="005A5FBC" w:rsidRPr="00627B03">
        <w:rPr>
          <w:szCs w:val="22"/>
        </w:rPr>
        <w:t>month follow-up survey</w:t>
      </w:r>
      <w:r w:rsidR="00E42A36">
        <w:rPr>
          <w:szCs w:val="22"/>
        </w:rPr>
        <w:t>s</w:t>
      </w:r>
      <w:r w:rsidR="005A5FBC">
        <w:rPr>
          <w:szCs w:val="22"/>
        </w:rPr>
        <w:t>. The success of this approach was r</w:t>
      </w:r>
      <w:r w:rsidR="005A5FBC" w:rsidRPr="00627B03">
        <w:rPr>
          <w:szCs w:val="22"/>
        </w:rPr>
        <w:t>eflect</w:t>
      </w:r>
      <w:r w:rsidR="005A5FBC">
        <w:rPr>
          <w:szCs w:val="22"/>
        </w:rPr>
        <w:t xml:space="preserve">ed in </w:t>
      </w:r>
      <w:r w:rsidR="005A5FBC" w:rsidRPr="00627B03">
        <w:rPr>
          <w:szCs w:val="22"/>
        </w:rPr>
        <w:t>th</w:t>
      </w:r>
      <w:r w:rsidR="005A5FBC">
        <w:rPr>
          <w:szCs w:val="22"/>
        </w:rPr>
        <w:t xml:space="preserve">e </w:t>
      </w:r>
      <w:r w:rsidR="005A5FBC" w:rsidRPr="00627B03">
        <w:rPr>
          <w:szCs w:val="22"/>
        </w:rPr>
        <w:t xml:space="preserve">high response rates </w:t>
      </w:r>
      <w:r w:rsidR="005A5FBC">
        <w:rPr>
          <w:szCs w:val="22"/>
        </w:rPr>
        <w:t>achieved</w:t>
      </w:r>
      <w:r w:rsidR="00E42A36">
        <w:rPr>
          <w:szCs w:val="22"/>
        </w:rPr>
        <w:t xml:space="preserve">. </w:t>
      </w:r>
      <w:r w:rsidR="005A5FBC">
        <w:t xml:space="preserve"> In both follow-up efforts, </w:t>
      </w:r>
      <w:r>
        <w:t>the research team exceeded</w:t>
      </w:r>
      <w:r w:rsidR="005A5FBC" w:rsidRPr="00AB34BE">
        <w:t xml:space="preserve"> the target 75 percent </w:t>
      </w:r>
      <w:r w:rsidR="005A5FBC" w:rsidRPr="00413A0F">
        <w:t>response rate for the head of household survey</w:t>
      </w:r>
      <w:r w:rsidR="005A5FBC">
        <w:t xml:space="preserve"> </w:t>
      </w:r>
      <w:r w:rsidR="00E42A36">
        <w:t xml:space="preserve">with </w:t>
      </w:r>
      <w:r w:rsidR="005A5FBC">
        <w:t xml:space="preserve">overall completion rates of 81 percent and 78 percent respectively.  </w:t>
      </w:r>
    </w:p>
    <w:p w14:paraId="7DD6A060" w14:textId="77777777" w:rsidR="005A5FBC" w:rsidRDefault="005A5FBC" w:rsidP="005A5FBC">
      <w:pPr>
        <w:rPr>
          <w:szCs w:val="28"/>
        </w:rPr>
      </w:pPr>
    </w:p>
    <w:p w14:paraId="2DD3736B" w14:textId="77777777" w:rsidR="005A5FBC" w:rsidRDefault="002A5770" w:rsidP="005A5FBC">
      <w:pPr>
        <w:tabs>
          <w:tab w:val="left" w:pos="0"/>
          <w:tab w:val="left" w:pos="720"/>
          <w:tab w:val="left" w:pos="1094"/>
          <w:tab w:val="left" w:pos="1440"/>
          <w:tab w:val="left" w:pos="1800"/>
          <w:tab w:val="left" w:pos="8985"/>
        </w:tabs>
        <w:rPr>
          <w:szCs w:val="22"/>
        </w:rPr>
      </w:pPr>
      <w:r w:rsidRPr="00593135">
        <w:t xml:space="preserve">The last contact with the study families occurred during the 37-month follow-up survey data collection. The earliest families to complete that interview did so in March 2014, and the last family completed it in late </w:t>
      </w:r>
      <w:r>
        <w:t>December 2014</w:t>
      </w:r>
      <w:r w:rsidRPr="00593135">
        <w:t xml:space="preserve">. </w:t>
      </w:r>
      <w:r w:rsidR="0093204B">
        <w:t xml:space="preserve">At the time that the </w:t>
      </w:r>
      <w:r w:rsidR="004C3A69">
        <w:t xml:space="preserve">72-month </w:t>
      </w:r>
      <w:r w:rsidR="0093204B">
        <w:t xml:space="preserve">tracking </w:t>
      </w:r>
      <w:r w:rsidR="004C3A69">
        <w:t xml:space="preserve">data collection </w:t>
      </w:r>
      <w:r w:rsidR="0093204B">
        <w:t xml:space="preserve">is scheduled to start (April 2017), about 27 to 36 months will have elapsed since </w:t>
      </w:r>
      <w:r w:rsidR="00501B45">
        <w:t xml:space="preserve">the </w:t>
      </w:r>
      <w:r w:rsidR="0093204B">
        <w:t xml:space="preserve">last contact with study families </w:t>
      </w:r>
      <w:r w:rsidRPr="00593135">
        <w:t>(and an even longer period for families who were not interviewed</w:t>
      </w:r>
      <w:r w:rsidR="004C3A69">
        <w:t xml:space="preserve"> at 37 months</w:t>
      </w:r>
      <w:r w:rsidRPr="00593135">
        <w:t>). This is a substantial gap in communication for any longitudinal study of families, but even more so for those who have experienced homelessness</w:t>
      </w:r>
      <w:r>
        <w:t xml:space="preserve"> and thus may have unstable housing</w:t>
      </w:r>
      <w:r w:rsidRPr="00593135">
        <w:t>.</w:t>
      </w:r>
      <w:r>
        <w:t xml:space="preserve"> </w:t>
      </w:r>
      <w:r>
        <w:rPr>
          <w:szCs w:val="22"/>
        </w:rPr>
        <w:t xml:space="preserve">The </w:t>
      </w:r>
      <w:r w:rsidR="004C3A69">
        <w:rPr>
          <w:szCs w:val="22"/>
        </w:rPr>
        <w:t>72-month</w:t>
      </w:r>
      <w:r>
        <w:rPr>
          <w:szCs w:val="22"/>
        </w:rPr>
        <w:t xml:space="preserve"> tracking data collection is intended to help assess the feasibility of a </w:t>
      </w:r>
      <w:r w:rsidR="004C3A69">
        <w:rPr>
          <w:szCs w:val="22"/>
        </w:rPr>
        <w:t xml:space="preserve">future </w:t>
      </w:r>
      <w:r>
        <w:rPr>
          <w:szCs w:val="22"/>
        </w:rPr>
        <w:t>long</w:t>
      </w:r>
      <w:r w:rsidR="004C3A69">
        <w:rPr>
          <w:szCs w:val="22"/>
        </w:rPr>
        <w:t>-</w:t>
      </w:r>
      <w:r>
        <w:rPr>
          <w:szCs w:val="22"/>
        </w:rPr>
        <w:t xml:space="preserve">term follow-up study.  </w:t>
      </w:r>
      <w:r w:rsidR="008E4AF1">
        <w:rPr>
          <w:szCs w:val="22"/>
        </w:rPr>
        <w:t xml:space="preserve">The research team </w:t>
      </w:r>
      <w:r w:rsidR="005A5FBC">
        <w:rPr>
          <w:szCs w:val="22"/>
        </w:rPr>
        <w:t xml:space="preserve">will </w:t>
      </w:r>
      <w:r>
        <w:rPr>
          <w:szCs w:val="22"/>
        </w:rPr>
        <w:t xml:space="preserve">implement an aggressive tracking protocol, building upon the activities that have proven successful with this population over time, to </w:t>
      </w:r>
      <w:r w:rsidR="005A5FBC">
        <w:rPr>
          <w:szCs w:val="22"/>
        </w:rPr>
        <w:t xml:space="preserve">help </w:t>
      </w:r>
      <w:r>
        <w:rPr>
          <w:szCs w:val="22"/>
        </w:rPr>
        <w:t xml:space="preserve">the Department </w:t>
      </w:r>
      <w:r w:rsidR="005A5FBC">
        <w:rPr>
          <w:szCs w:val="22"/>
        </w:rPr>
        <w:t xml:space="preserve">assess the likelihood of re-engaging a large enough portion of the study sample to support a </w:t>
      </w:r>
      <w:r w:rsidR="004C3A69">
        <w:rPr>
          <w:szCs w:val="22"/>
        </w:rPr>
        <w:t xml:space="preserve">future </w:t>
      </w:r>
      <w:r w:rsidR="005A5FBC">
        <w:rPr>
          <w:szCs w:val="22"/>
        </w:rPr>
        <w:t>long-term follow-up effort.</w:t>
      </w:r>
    </w:p>
    <w:p w14:paraId="23FFA31E" w14:textId="77777777" w:rsidR="002A5770" w:rsidRPr="00627B03" w:rsidRDefault="002A5770" w:rsidP="005A5FBC">
      <w:pPr>
        <w:tabs>
          <w:tab w:val="left" w:pos="0"/>
          <w:tab w:val="left" w:pos="720"/>
          <w:tab w:val="left" w:pos="1094"/>
          <w:tab w:val="left" w:pos="1440"/>
          <w:tab w:val="left" w:pos="1800"/>
          <w:tab w:val="left" w:pos="8985"/>
        </w:tabs>
        <w:rPr>
          <w:szCs w:val="22"/>
        </w:rPr>
      </w:pPr>
    </w:p>
    <w:p w14:paraId="2121882C" w14:textId="77777777" w:rsidR="0084761F" w:rsidRDefault="0084761F" w:rsidP="0084761F">
      <w:pPr>
        <w:pStyle w:val="BodyText"/>
        <w:rPr>
          <w:szCs w:val="24"/>
        </w:rPr>
      </w:pPr>
      <w:r w:rsidRPr="00593135">
        <w:rPr>
          <w:szCs w:val="24"/>
        </w:rPr>
        <w:t xml:space="preserve">In order to estimate the target response rate for this </w:t>
      </w:r>
      <w:r w:rsidR="0093204B">
        <w:rPr>
          <w:szCs w:val="24"/>
        </w:rPr>
        <w:t xml:space="preserve">tracking </w:t>
      </w:r>
      <w:r w:rsidRPr="00593135">
        <w:rPr>
          <w:szCs w:val="24"/>
        </w:rPr>
        <w:t xml:space="preserve">effort, </w:t>
      </w:r>
      <w:r w:rsidR="008E4AF1">
        <w:rPr>
          <w:szCs w:val="24"/>
        </w:rPr>
        <w:t>the research team reviewed</w:t>
      </w:r>
      <w:r>
        <w:rPr>
          <w:szCs w:val="24"/>
        </w:rPr>
        <w:t xml:space="preserve"> the completion rate for the prior tracking interviews as well as the time elapsed since the last contact with study families. </w:t>
      </w:r>
      <w:r w:rsidRPr="00593135">
        <w:rPr>
          <w:szCs w:val="24"/>
        </w:rPr>
        <w:t xml:space="preserve">Exhibit </w:t>
      </w:r>
      <w:r>
        <w:rPr>
          <w:szCs w:val="24"/>
        </w:rPr>
        <w:t>B3</w:t>
      </w:r>
      <w:r w:rsidRPr="00593135">
        <w:rPr>
          <w:szCs w:val="24"/>
        </w:rPr>
        <w:t xml:space="preserve"> shows the response rates to the tracking interviews under the prior contracts.</w:t>
      </w:r>
    </w:p>
    <w:p w14:paraId="1E71C465" w14:textId="77777777" w:rsidR="0084761F" w:rsidRDefault="0084761F" w:rsidP="0084761F">
      <w:pPr>
        <w:pStyle w:val="BodyText"/>
        <w:rPr>
          <w:szCs w:val="24"/>
        </w:rPr>
      </w:pPr>
    </w:p>
    <w:p w14:paraId="0D882A51" w14:textId="77777777" w:rsidR="00690E2E" w:rsidRPr="00593135" w:rsidRDefault="00690E2E" w:rsidP="0084761F">
      <w:pPr>
        <w:pStyle w:val="BodyText"/>
        <w:rPr>
          <w:szCs w:val="24"/>
        </w:rPr>
      </w:pPr>
    </w:p>
    <w:p w14:paraId="3BCC0DD0" w14:textId="77777777" w:rsidR="0084761F" w:rsidRPr="00593135" w:rsidRDefault="0084761F" w:rsidP="0084761F">
      <w:pPr>
        <w:pStyle w:val="Caption"/>
      </w:pPr>
      <w:r w:rsidRPr="00593135">
        <w:lastRenderedPageBreak/>
        <w:t xml:space="preserve">Exhibit </w:t>
      </w:r>
      <w:r>
        <w:t>B3</w:t>
      </w:r>
      <w:r w:rsidRPr="00593135">
        <w:t>: Completion Rates to Prior Tracking Interviews</w:t>
      </w:r>
    </w:p>
    <w:tbl>
      <w:tblPr>
        <w:tblStyle w:val="TableGrid1"/>
        <w:tblW w:w="9360" w:type="dxa"/>
        <w:tblInd w:w="115" w:type="dxa"/>
        <w:tblBorders>
          <w:top w:val="single" w:sz="4" w:space="0" w:color="4B697A" w:themeColor="accent6" w:themeShade="80"/>
          <w:left w:val="single" w:sz="4" w:space="0" w:color="4B697A" w:themeColor="accent6" w:themeShade="80"/>
          <w:bottom w:val="single" w:sz="4" w:space="0" w:color="4B697A" w:themeColor="accent6" w:themeShade="80"/>
          <w:right w:val="single" w:sz="4" w:space="0" w:color="4B697A" w:themeColor="accent6" w:themeShade="80"/>
          <w:insideH w:val="single" w:sz="4" w:space="0" w:color="4B697A" w:themeColor="accent6" w:themeShade="80"/>
          <w:insideV w:val="single" w:sz="4" w:space="0" w:color="4B697A" w:themeColor="accent6" w:themeShade="80"/>
        </w:tblBorders>
        <w:tblLayout w:type="fixed"/>
        <w:tblCellMar>
          <w:left w:w="115" w:type="dxa"/>
          <w:right w:w="115" w:type="dxa"/>
        </w:tblCellMar>
        <w:tblLook w:val="04A0" w:firstRow="1" w:lastRow="0" w:firstColumn="1" w:lastColumn="0" w:noHBand="0" w:noVBand="1"/>
      </w:tblPr>
      <w:tblGrid>
        <w:gridCol w:w="3431"/>
        <w:gridCol w:w="1825"/>
        <w:gridCol w:w="1758"/>
        <w:gridCol w:w="2346"/>
      </w:tblGrid>
      <w:tr w:rsidR="0084761F" w:rsidRPr="00B858CE" w14:paraId="547BF8B5" w14:textId="77777777" w:rsidTr="00D30A92">
        <w:trPr>
          <w:cantSplit/>
        </w:trPr>
        <w:tc>
          <w:tcPr>
            <w:tcW w:w="1833" w:type="pct"/>
            <w:shd w:val="clear" w:color="auto" w:fill="B7C9D3" w:themeFill="accent6"/>
            <w:vAlign w:val="bottom"/>
          </w:tcPr>
          <w:p w14:paraId="1E3ABABC" w14:textId="77777777" w:rsidR="0084761F" w:rsidRPr="00B858CE" w:rsidRDefault="0084761F" w:rsidP="00D30A92">
            <w:pPr>
              <w:pStyle w:val="ExhibitColumnHeader"/>
            </w:pPr>
          </w:p>
        </w:tc>
        <w:tc>
          <w:tcPr>
            <w:tcW w:w="975" w:type="pct"/>
            <w:shd w:val="clear" w:color="auto" w:fill="B7C9D3" w:themeFill="accent6"/>
            <w:vAlign w:val="bottom"/>
          </w:tcPr>
          <w:p w14:paraId="4E1A6D6D" w14:textId="77777777" w:rsidR="0084761F" w:rsidRPr="00B858CE" w:rsidRDefault="0084761F" w:rsidP="00D30A92">
            <w:pPr>
              <w:pStyle w:val="ExhibitColumnHeader"/>
            </w:pPr>
            <w:r w:rsidRPr="00B858CE">
              <w:t>Sample (N)</w:t>
            </w:r>
          </w:p>
        </w:tc>
        <w:tc>
          <w:tcPr>
            <w:tcW w:w="939" w:type="pct"/>
            <w:shd w:val="clear" w:color="auto" w:fill="B7C9D3" w:themeFill="accent6"/>
            <w:vAlign w:val="bottom"/>
          </w:tcPr>
          <w:p w14:paraId="66E4D21A" w14:textId="77777777" w:rsidR="0084761F" w:rsidRPr="00B858CE" w:rsidRDefault="0084761F" w:rsidP="00D30A92">
            <w:pPr>
              <w:pStyle w:val="ExhibitColumnHeader"/>
            </w:pPr>
            <w:r w:rsidRPr="00B858CE">
              <w:t>Cases Completed (N)</w:t>
            </w:r>
          </w:p>
        </w:tc>
        <w:tc>
          <w:tcPr>
            <w:tcW w:w="1253" w:type="pct"/>
            <w:shd w:val="clear" w:color="auto" w:fill="B7C9D3" w:themeFill="accent6"/>
            <w:vAlign w:val="bottom"/>
          </w:tcPr>
          <w:p w14:paraId="735D11AC" w14:textId="77777777" w:rsidR="0084761F" w:rsidRPr="00B858CE" w:rsidRDefault="0084761F" w:rsidP="00D30A92">
            <w:pPr>
              <w:pStyle w:val="ExhibitColumnHeader"/>
            </w:pPr>
            <w:r w:rsidRPr="00B858CE">
              <w:t>Completion Rate (%)</w:t>
            </w:r>
          </w:p>
        </w:tc>
      </w:tr>
      <w:tr w:rsidR="0084761F" w:rsidRPr="00593135" w14:paraId="6CB70069" w14:textId="77777777" w:rsidTr="00D30A92">
        <w:trPr>
          <w:cantSplit/>
        </w:trPr>
        <w:tc>
          <w:tcPr>
            <w:tcW w:w="1833" w:type="pct"/>
          </w:tcPr>
          <w:p w14:paraId="33011018" w14:textId="77777777" w:rsidR="0084761F" w:rsidRPr="00593135" w:rsidRDefault="0084761F" w:rsidP="00D30A92">
            <w:pPr>
              <w:pStyle w:val="ExhibitText"/>
            </w:pPr>
            <w:r w:rsidRPr="00593135">
              <w:t>6-month tracking</w:t>
            </w:r>
          </w:p>
        </w:tc>
        <w:tc>
          <w:tcPr>
            <w:tcW w:w="975" w:type="pct"/>
          </w:tcPr>
          <w:p w14:paraId="4AD3487A" w14:textId="77777777" w:rsidR="0084761F" w:rsidRPr="00593135" w:rsidRDefault="0084761F" w:rsidP="00D30A92">
            <w:pPr>
              <w:pStyle w:val="ExhibitText"/>
              <w:jc w:val="center"/>
            </w:pPr>
            <w:r w:rsidRPr="00593135">
              <w:t>2,282</w:t>
            </w:r>
          </w:p>
        </w:tc>
        <w:tc>
          <w:tcPr>
            <w:tcW w:w="939" w:type="pct"/>
          </w:tcPr>
          <w:p w14:paraId="26904F68" w14:textId="77777777" w:rsidR="0084761F" w:rsidRPr="00593135" w:rsidRDefault="0084761F" w:rsidP="00D30A92">
            <w:pPr>
              <w:pStyle w:val="ExhibitText"/>
              <w:jc w:val="center"/>
            </w:pPr>
            <w:r w:rsidRPr="00593135">
              <w:t>1,671</w:t>
            </w:r>
          </w:p>
        </w:tc>
        <w:tc>
          <w:tcPr>
            <w:tcW w:w="1253" w:type="pct"/>
          </w:tcPr>
          <w:p w14:paraId="09430F84" w14:textId="77777777" w:rsidR="0084761F" w:rsidRPr="00593135" w:rsidRDefault="0084761F" w:rsidP="00D30A92">
            <w:pPr>
              <w:pStyle w:val="ExhibitText"/>
              <w:jc w:val="center"/>
            </w:pPr>
            <w:r w:rsidRPr="00593135">
              <w:t>73.2</w:t>
            </w:r>
          </w:p>
        </w:tc>
      </w:tr>
      <w:tr w:rsidR="0084761F" w:rsidRPr="00593135" w14:paraId="3D0AD2CB" w14:textId="77777777" w:rsidTr="00D30A92">
        <w:trPr>
          <w:cantSplit/>
        </w:trPr>
        <w:tc>
          <w:tcPr>
            <w:tcW w:w="1833" w:type="pct"/>
          </w:tcPr>
          <w:p w14:paraId="4397A498" w14:textId="77777777" w:rsidR="0084761F" w:rsidRPr="00593135" w:rsidRDefault="0084761F" w:rsidP="00D30A92">
            <w:pPr>
              <w:pStyle w:val="ExhibitText"/>
            </w:pPr>
            <w:r w:rsidRPr="00593135">
              <w:t>12-month tracking</w:t>
            </w:r>
          </w:p>
        </w:tc>
        <w:tc>
          <w:tcPr>
            <w:tcW w:w="975" w:type="pct"/>
          </w:tcPr>
          <w:p w14:paraId="2B923D27" w14:textId="77777777" w:rsidR="0084761F" w:rsidRPr="00593135" w:rsidRDefault="0084761F" w:rsidP="00D30A92">
            <w:pPr>
              <w:pStyle w:val="ExhibitText"/>
              <w:jc w:val="center"/>
            </w:pPr>
            <w:r w:rsidRPr="00593135">
              <w:t>2,282</w:t>
            </w:r>
          </w:p>
        </w:tc>
        <w:tc>
          <w:tcPr>
            <w:tcW w:w="939" w:type="pct"/>
          </w:tcPr>
          <w:p w14:paraId="2440C428" w14:textId="77777777" w:rsidR="0084761F" w:rsidRPr="00593135" w:rsidRDefault="0084761F" w:rsidP="00D30A92">
            <w:pPr>
              <w:pStyle w:val="ExhibitText"/>
              <w:jc w:val="center"/>
            </w:pPr>
            <w:r w:rsidRPr="00593135">
              <w:t>1,632</w:t>
            </w:r>
          </w:p>
        </w:tc>
        <w:tc>
          <w:tcPr>
            <w:tcW w:w="1253" w:type="pct"/>
          </w:tcPr>
          <w:p w14:paraId="63B1F4D7" w14:textId="77777777" w:rsidR="0084761F" w:rsidRPr="00593135" w:rsidRDefault="0084761F" w:rsidP="00D30A92">
            <w:pPr>
              <w:pStyle w:val="ExhibitText"/>
              <w:jc w:val="center"/>
            </w:pPr>
            <w:r w:rsidRPr="00593135">
              <w:t>71.5</w:t>
            </w:r>
          </w:p>
        </w:tc>
      </w:tr>
      <w:tr w:rsidR="0084761F" w:rsidRPr="00593135" w14:paraId="3C2D9CE5" w14:textId="77777777" w:rsidTr="00D30A92">
        <w:trPr>
          <w:cantSplit/>
        </w:trPr>
        <w:tc>
          <w:tcPr>
            <w:tcW w:w="1833" w:type="pct"/>
          </w:tcPr>
          <w:p w14:paraId="634584CB" w14:textId="77777777" w:rsidR="0084761F" w:rsidRPr="00593135" w:rsidRDefault="0084761F" w:rsidP="00D30A92">
            <w:pPr>
              <w:pStyle w:val="ExhibitText"/>
            </w:pPr>
            <w:r w:rsidRPr="00593135">
              <w:t>2</w:t>
            </w:r>
            <w:r>
              <w:t>7</w:t>
            </w:r>
            <w:r w:rsidRPr="00593135">
              <w:t>-month tracking</w:t>
            </w:r>
          </w:p>
        </w:tc>
        <w:tc>
          <w:tcPr>
            <w:tcW w:w="975" w:type="pct"/>
          </w:tcPr>
          <w:p w14:paraId="7D0451C9" w14:textId="77777777" w:rsidR="0084761F" w:rsidRPr="00593135" w:rsidRDefault="0084761F" w:rsidP="00D30A92">
            <w:pPr>
              <w:pStyle w:val="ExhibitText"/>
              <w:jc w:val="center"/>
            </w:pPr>
            <w:r w:rsidRPr="00593135">
              <w:t>2,282</w:t>
            </w:r>
          </w:p>
        </w:tc>
        <w:tc>
          <w:tcPr>
            <w:tcW w:w="939" w:type="pct"/>
          </w:tcPr>
          <w:p w14:paraId="29C27765" w14:textId="77777777" w:rsidR="0084761F" w:rsidRPr="00593135" w:rsidRDefault="0084761F" w:rsidP="00D30A92">
            <w:pPr>
              <w:pStyle w:val="ExhibitText"/>
              <w:jc w:val="center"/>
            </w:pPr>
            <w:r w:rsidRPr="00593135">
              <w:t>1,149</w:t>
            </w:r>
          </w:p>
        </w:tc>
        <w:tc>
          <w:tcPr>
            <w:tcW w:w="1253" w:type="pct"/>
          </w:tcPr>
          <w:p w14:paraId="246B1C69" w14:textId="77777777" w:rsidR="0084761F" w:rsidRPr="00593135" w:rsidRDefault="0084761F" w:rsidP="00D30A92">
            <w:pPr>
              <w:pStyle w:val="ExhibitText"/>
              <w:jc w:val="center"/>
            </w:pPr>
            <w:r w:rsidRPr="00593135">
              <w:t>50.4</w:t>
            </w:r>
            <w:r w:rsidR="00476DAB">
              <w:t xml:space="preserve"> (62</w:t>
            </w:r>
            <w:r w:rsidRPr="00593135">
              <w:t>*</w:t>
            </w:r>
            <w:r w:rsidR="00476DAB">
              <w:t>)</w:t>
            </w:r>
          </w:p>
        </w:tc>
      </w:tr>
    </w:tbl>
    <w:p w14:paraId="3CE8D23C" w14:textId="77777777" w:rsidR="0084761F" w:rsidRPr="00593135" w:rsidRDefault="0084761F" w:rsidP="0084761F">
      <w:pPr>
        <w:pStyle w:val="ExhibitSource"/>
      </w:pPr>
      <w:r w:rsidRPr="00593135">
        <w:t xml:space="preserve">*Not all participants were released for the last tracking interview because </w:t>
      </w:r>
      <w:r w:rsidR="008E4AF1">
        <w:t>the research team released</w:t>
      </w:r>
      <w:r w:rsidRPr="00593135">
        <w:t xml:space="preserve"> the last few enrollment cohorts prior to the 36-month anniversary. Excluding those cases that were not released for the 2</w:t>
      </w:r>
      <w:r>
        <w:t>7</w:t>
      </w:r>
      <w:r w:rsidRPr="00593135">
        <w:t>-month interview, the response rate was 62 percent.</w:t>
      </w:r>
    </w:p>
    <w:p w14:paraId="4AD627DB" w14:textId="77777777" w:rsidR="0093204B" w:rsidRDefault="00187AFF" w:rsidP="0084761F">
      <w:pPr>
        <w:pStyle w:val="BodyText"/>
      </w:pPr>
      <w:r>
        <w:t xml:space="preserve">In contrast to the proposed 72-month tracking interview, </w:t>
      </w:r>
      <w:r w:rsidR="0084761F" w:rsidRPr="00593135">
        <w:t>earl</w:t>
      </w:r>
      <w:r>
        <w:t xml:space="preserve">ier tracking </w:t>
      </w:r>
      <w:r w:rsidR="0084761F" w:rsidRPr="00593135">
        <w:t xml:space="preserve">efforts were done when interviewers were in frequent contact with study participants. Of particular </w:t>
      </w:r>
      <w:r w:rsidR="00B16119">
        <w:t xml:space="preserve">relevance for projecting response rate for the 72-month interview, </w:t>
      </w:r>
      <w:r w:rsidR="0084761F" w:rsidRPr="00593135">
        <w:t xml:space="preserve">is the </w:t>
      </w:r>
      <w:r w:rsidR="00B16119">
        <w:t xml:space="preserve">11 </w:t>
      </w:r>
      <w:r w:rsidR="0084761F" w:rsidRPr="00593135">
        <w:t>percentage point drop in completion rate between the 6-month and 2</w:t>
      </w:r>
      <w:r w:rsidR="0084761F">
        <w:t>7</w:t>
      </w:r>
      <w:r w:rsidR="0084761F" w:rsidRPr="00593135">
        <w:t>-month interviews.</w:t>
      </w:r>
      <w:r w:rsidR="00476DAB">
        <w:t xml:space="preserve">  The drop occurred during a period of time where the research team maintained frequent communication with the study participants, and participants were engaged in the ongoing research efforts.   </w:t>
      </w:r>
    </w:p>
    <w:p w14:paraId="14C3D128" w14:textId="77777777" w:rsidR="0093204B" w:rsidRDefault="0093204B" w:rsidP="0084761F">
      <w:pPr>
        <w:pStyle w:val="BodyText"/>
      </w:pPr>
    </w:p>
    <w:p w14:paraId="373BA1C8" w14:textId="77777777" w:rsidR="0093204B" w:rsidRDefault="0093204B" w:rsidP="0084761F">
      <w:pPr>
        <w:pStyle w:val="BodyText"/>
        <w:rPr>
          <w:szCs w:val="24"/>
        </w:rPr>
      </w:pPr>
      <w:r>
        <w:t xml:space="preserve">The study participants </w:t>
      </w:r>
      <w:r w:rsidR="00B16119">
        <w:t xml:space="preserve">have been </w:t>
      </w:r>
      <w:r>
        <w:t xml:space="preserve">fairly mobile over time.  </w:t>
      </w:r>
      <w:r w:rsidR="0080681C">
        <w:t>The research team analyzed the location o</w:t>
      </w:r>
      <w:r>
        <w:t>f the most recently observed location for study participants</w:t>
      </w:r>
      <w:r w:rsidR="0080681C">
        <w:t xml:space="preserve"> that completed the 20 and/or 37-month follow-up survey.  That analysis showed that </w:t>
      </w:r>
      <w:r>
        <w:t xml:space="preserve">12 percent were living in a state other than the one they lived in at the time of enrollment.  </w:t>
      </w:r>
      <w:r w:rsidR="0080681C">
        <w:t xml:space="preserve">This number is likely higher as it does not include those who were not interviewed at 37-months.   Further, </w:t>
      </w:r>
      <w:r w:rsidR="0080681C" w:rsidRPr="00593135">
        <w:rPr>
          <w:szCs w:val="24"/>
        </w:rPr>
        <w:t>by the end of the first follow-up period, participants were living in 42 different states</w:t>
      </w:r>
      <w:r w:rsidR="0080681C">
        <w:rPr>
          <w:szCs w:val="24"/>
        </w:rPr>
        <w:t xml:space="preserve"> </w:t>
      </w:r>
      <w:r w:rsidR="0080681C" w:rsidRPr="00593135">
        <w:rPr>
          <w:szCs w:val="24"/>
        </w:rPr>
        <w:t>(see McInnis and Rodriguez, 2016</w:t>
      </w:r>
      <w:r w:rsidR="0080681C">
        <w:rPr>
          <w:szCs w:val="24"/>
        </w:rPr>
        <w:t xml:space="preserve">). </w:t>
      </w:r>
    </w:p>
    <w:p w14:paraId="05BA3C9E" w14:textId="77777777" w:rsidR="0080681C" w:rsidRDefault="0080681C" w:rsidP="0084761F">
      <w:pPr>
        <w:pStyle w:val="BodyText"/>
      </w:pPr>
    </w:p>
    <w:p w14:paraId="54B42D66" w14:textId="77777777" w:rsidR="0080681C" w:rsidRDefault="0080681C" w:rsidP="0080681C">
      <w:r>
        <w:t>G</w:t>
      </w:r>
      <w:r w:rsidRPr="00593135">
        <w:t xml:space="preserve">iven </w:t>
      </w:r>
      <w:r>
        <w:t xml:space="preserve">the </w:t>
      </w:r>
      <w:r w:rsidR="00B16119">
        <w:t xml:space="preserve">known mobility of the study </w:t>
      </w:r>
      <w:r w:rsidRPr="00593135">
        <w:t>population</w:t>
      </w:r>
      <w:r w:rsidR="00B16119">
        <w:t xml:space="preserve">, </w:t>
      </w:r>
      <w:r w:rsidR="008E4AF1">
        <w:t>the research team’s</w:t>
      </w:r>
      <w:r w:rsidR="00B16119">
        <w:t xml:space="preserve"> </w:t>
      </w:r>
      <w:r w:rsidRPr="00593135">
        <w:t xml:space="preserve">experiences </w:t>
      </w:r>
      <w:r w:rsidR="00B16119">
        <w:t xml:space="preserve">in </w:t>
      </w:r>
      <w:r w:rsidRPr="00593135">
        <w:t>the prior tracking interview efforts,</w:t>
      </w:r>
      <w:r w:rsidR="00B16119">
        <w:t xml:space="preserve"> and</w:t>
      </w:r>
      <w:r w:rsidRPr="00593135">
        <w:t xml:space="preserve"> the uncertainty about feasibility of locating the families after so much time has elapsed</w:t>
      </w:r>
      <w:r>
        <w:t xml:space="preserve"> </w:t>
      </w:r>
      <w:r w:rsidR="00F07375">
        <w:t xml:space="preserve">the target response rate for the tracking interviews is 50 percent.  </w:t>
      </w:r>
      <w:r>
        <w:t>The research team will strive</w:t>
      </w:r>
      <w:r w:rsidRPr="008D3E3F">
        <w:t xml:space="preserve"> to exceed this target</w:t>
      </w:r>
      <w:r>
        <w:t xml:space="preserve"> if possible </w:t>
      </w:r>
      <w:r w:rsidR="00F07375">
        <w:t xml:space="preserve">within the level of resources </w:t>
      </w:r>
      <w:r w:rsidR="00B16119">
        <w:t xml:space="preserve">available </w:t>
      </w:r>
      <w:r w:rsidR="00F07375">
        <w:t xml:space="preserve">for the project. </w:t>
      </w:r>
    </w:p>
    <w:p w14:paraId="1F3E7E25" w14:textId="77777777" w:rsidR="0080681C" w:rsidRPr="00593135" w:rsidRDefault="0080681C" w:rsidP="0084761F">
      <w:pPr>
        <w:pStyle w:val="BodyText"/>
      </w:pPr>
    </w:p>
    <w:p w14:paraId="3B7A0DFC" w14:textId="77777777" w:rsidR="0084761F" w:rsidRDefault="0084761F" w:rsidP="0084761F">
      <w:pPr>
        <w:pStyle w:val="BodyText"/>
      </w:pPr>
      <w:r w:rsidRPr="00593135">
        <w:t xml:space="preserve">In order to complete as many tracking interviews as possible, </w:t>
      </w:r>
      <w:r w:rsidR="008E4AF1">
        <w:t>the research team will</w:t>
      </w:r>
      <w:r>
        <w:t xml:space="preserve"> use </w:t>
      </w:r>
      <w:r w:rsidRPr="00593135">
        <w:t>a longer field period than used for previous tracking surveys</w:t>
      </w:r>
      <w:r>
        <w:t xml:space="preserve"> (</w:t>
      </w:r>
      <w:r w:rsidR="00B16119">
        <w:t>6</w:t>
      </w:r>
      <w:r>
        <w:t xml:space="preserve"> months rather than 12 weeks).  </w:t>
      </w:r>
      <w:r w:rsidR="008E4AF1">
        <w:t>The research team will</w:t>
      </w:r>
      <w:r>
        <w:t xml:space="preserve"> capture detailed information on the final dispositions of all cases, regardless of whether or not a tracking interview was completed.  The detailed disposition data will help ensure that </w:t>
      </w:r>
      <w:r w:rsidR="008E4AF1">
        <w:t>the research team and</w:t>
      </w:r>
      <w:r>
        <w:t xml:space="preserve"> the Department can effectively assess the feasibility of a long term follow-up study.</w:t>
      </w:r>
    </w:p>
    <w:p w14:paraId="54774D65" w14:textId="77777777" w:rsidR="0084761F" w:rsidRPr="00593135" w:rsidRDefault="0084761F" w:rsidP="0084761F">
      <w:pPr>
        <w:pStyle w:val="BodyText"/>
      </w:pPr>
    </w:p>
    <w:p w14:paraId="7FE0F527" w14:textId="77777777" w:rsidR="0084761F" w:rsidRDefault="008E4AF1" w:rsidP="0084761F">
      <w:pPr>
        <w:pStyle w:val="BodyText"/>
      </w:pPr>
      <w:r>
        <w:t>The research team’s</w:t>
      </w:r>
      <w:r w:rsidR="0084761F">
        <w:t xml:space="preserve"> s</w:t>
      </w:r>
      <w:r w:rsidR="0084761F" w:rsidRPr="00593135">
        <w:t>urvey management staff will monitor production across sites and intervention groups</w:t>
      </w:r>
      <w:r w:rsidR="0084761F">
        <w:t xml:space="preserve"> and report to the Department </w:t>
      </w:r>
      <w:r w:rsidR="0084761F" w:rsidRPr="00593135">
        <w:t>on a biweekly basis</w:t>
      </w:r>
      <w:r w:rsidR="0084761F">
        <w:t xml:space="preserve">. </w:t>
      </w:r>
      <w:r w:rsidR="0084761F" w:rsidRPr="00593135">
        <w:t xml:space="preserve">If changes to the field procedures are needed to reach or exceed our target response rates, </w:t>
      </w:r>
      <w:r>
        <w:t>the research team will</w:t>
      </w:r>
      <w:r w:rsidR="0084761F">
        <w:t xml:space="preserve"> work collaboratively to implement them</w:t>
      </w:r>
      <w:r w:rsidR="0084761F" w:rsidRPr="00593135">
        <w:t xml:space="preserve"> immediately.</w:t>
      </w:r>
      <w:r w:rsidR="0084761F">
        <w:t xml:space="preserve">  </w:t>
      </w:r>
    </w:p>
    <w:p w14:paraId="7429D4B9" w14:textId="77777777" w:rsidR="00205ACF" w:rsidRDefault="00205ACF" w:rsidP="006A12FA"/>
    <w:p w14:paraId="03D2AB48" w14:textId="77777777" w:rsidR="00EB5181" w:rsidRDefault="008E4AF1" w:rsidP="004C59C1">
      <w:r>
        <w:t>The research team will</w:t>
      </w:r>
      <w:r w:rsidR="005A5FBC">
        <w:t xml:space="preserve"> utilize the same strategies to minimize non-response levels and the risk of non-response bias that proved successful during the 20- and 37-</w:t>
      </w:r>
      <w:r w:rsidR="00D25A84">
        <w:t xml:space="preserve">month </w:t>
      </w:r>
      <w:r w:rsidR="00EB5181">
        <w:t>data collection period</w:t>
      </w:r>
      <w:r w:rsidR="005A5FBC">
        <w:t xml:space="preserve">. These strategies include the use of: </w:t>
      </w:r>
      <w:r w:rsidR="00EB5181">
        <w:t xml:space="preserve"> </w:t>
      </w:r>
    </w:p>
    <w:p w14:paraId="44019630" w14:textId="77777777" w:rsidR="00EB5181" w:rsidRDefault="00EB5181" w:rsidP="006A12FA"/>
    <w:p w14:paraId="0BEB8FA6" w14:textId="77777777" w:rsidR="0044551C" w:rsidRDefault="00754375" w:rsidP="00E24788">
      <w:pPr>
        <w:pStyle w:val="Bullets"/>
      </w:pPr>
      <w:r>
        <w:t xml:space="preserve">Local site interviewers. </w:t>
      </w:r>
      <w:r w:rsidR="008E4AF1">
        <w:t>The research team will</w:t>
      </w:r>
      <w:r w:rsidR="0044551C">
        <w:t xml:space="preserve"> rely on the local site interviewers</w:t>
      </w:r>
      <w:r w:rsidR="001E1EA0">
        <w:t xml:space="preserve"> to</w:t>
      </w:r>
      <w:r w:rsidR="0044551C">
        <w:t xml:space="preserve"> </w:t>
      </w:r>
      <w:r>
        <w:t>lead the local data collection activities for the 36-month follow-up survey</w:t>
      </w:r>
      <w:r w:rsidR="007459F0">
        <w:t xml:space="preserve">. </w:t>
      </w:r>
      <w:r>
        <w:t xml:space="preserve">These local interviewers are established in the </w:t>
      </w:r>
      <w:r w:rsidR="001E1EA0">
        <w:t xml:space="preserve">study </w:t>
      </w:r>
      <w:r>
        <w:t>communities and are well known to the families participating in the study</w:t>
      </w:r>
      <w:r w:rsidR="007459F0">
        <w:t xml:space="preserve">. </w:t>
      </w:r>
      <w:r w:rsidR="008E4AF1">
        <w:t>The research team will</w:t>
      </w:r>
      <w:r>
        <w:t xml:space="preserve"> also recruit additional interviewers who are skilled at working with this population, to support the data collection.</w:t>
      </w:r>
    </w:p>
    <w:p w14:paraId="66F28F78" w14:textId="77777777" w:rsidR="00EB5181" w:rsidRDefault="005A5FBC" w:rsidP="007459F0">
      <w:pPr>
        <w:pStyle w:val="Bullets"/>
        <w:spacing w:after="0"/>
      </w:pPr>
      <w:r>
        <w:lastRenderedPageBreak/>
        <w:t>Automated field management system.</w:t>
      </w:r>
      <w:r w:rsidR="00B16119">
        <w:t xml:space="preserve"> </w:t>
      </w:r>
      <w:r w:rsidR="008E4AF1">
        <w:t xml:space="preserve">The research team </w:t>
      </w:r>
      <w:r w:rsidR="00754375">
        <w:t>will use a field data collection management system that permits interactive sample management and electronic searches of historical tracking and locating data</w:t>
      </w:r>
      <w:r w:rsidR="007459F0">
        <w:t xml:space="preserve">. </w:t>
      </w:r>
      <w:r w:rsidR="00754375">
        <w:t xml:space="preserve">This will allow </w:t>
      </w:r>
      <w:r w:rsidR="008E4AF1">
        <w:t>the research team to</w:t>
      </w:r>
      <w:r w:rsidR="00754375">
        <w:t xml:space="preserve"> monitor response rates closely and to work the sample groups for each of the study interventions evenly</w:t>
      </w:r>
      <w:r w:rsidR="00EB5181">
        <w:t xml:space="preserve">. </w:t>
      </w:r>
    </w:p>
    <w:p w14:paraId="0276E955" w14:textId="77777777" w:rsidR="00EB5181" w:rsidRPr="004C59C1" w:rsidRDefault="00EB5181" w:rsidP="004C59C1"/>
    <w:p w14:paraId="26E20339" w14:textId="77777777" w:rsidR="00102844" w:rsidRDefault="00102844" w:rsidP="004C59C1">
      <w:r w:rsidRPr="00627B03">
        <w:t>Prior to the start of data collection, the data collection team will review the study sample to identify cases that do not have tracking updates from any point of tracking</w:t>
      </w:r>
      <w:r w:rsidR="00E24788">
        <w:t xml:space="preserve">. </w:t>
      </w:r>
      <w:r w:rsidRPr="00627B03">
        <w:t xml:space="preserve">These cases will be classified as “high priority cases” and will be assigned to </w:t>
      </w:r>
      <w:r w:rsidR="002A5770">
        <w:t>field interviewers to work first</w:t>
      </w:r>
      <w:r w:rsidR="00E24788">
        <w:t xml:space="preserve">. </w:t>
      </w:r>
      <w:r w:rsidRPr="00627B03">
        <w:t xml:space="preserve">In addition to any information obtained through the tracking process (e.g. </w:t>
      </w:r>
      <w:r w:rsidR="00E76251">
        <w:t>updates from participants or</w:t>
      </w:r>
      <w:r w:rsidRPr="00627B03">
        <w:t xml:space="preserve"> information from secondary contacts), the research team will also contact </w:t>
      </w:r>
      <w:r w:rsidR="002A5770">
        <w:t xml:space="preserve">rely on administrative data for updated information.  </w:t>
      </w:r>
      <w:r w:rsidRPr="00627B03">
        <w:t>High priority cases will be reviewed by the Field Manager regularly to make sure all leads are followed</w:t>
      </w:r>
      <w:r w:rsidR="00E24788">
        <w:t xml:space="preserve">. </w:t>
      </w:r>
      <w:r w:rsidRPr="00627B03">
        <w:t xml:space="preserve">Field interviewers will receive a comprehensive </w:t>
      </w:r>
      <w:r w:rsidR="00E76251">
        <w:t xml:space="preserve">history of </w:t>
      </w:r>
      <w:r w:rsidRPr="00627B03">
        <w:t>respondent’s information history collected through the</w:t>
      </w:r>
      <w:r w:rsidR="0024783D">
        <w:t xml:space="preserve"> </w:t>
      </w:r>
      <w:r w:rsidR="007A1CC4">
        <w:t xml:space="preserve">baseline, </w:t>
      </w:r>
      <w:r w:rsidR="0024783D">
        <w:t>all interwave</w:t>
      </w:r>
      <w:r w:rsidRPr="00627B03">
        <w:t xml:space="preserve"> tracking components</w:t>
      </w:r>
      <w:r w:rsidR="007A1CC4">
        <w:t xml:space="preserve"> and </w:t>
      </w:r>
      <w:r w:rsidR="00E76251">
        <w:t>the 20- and 37</w:t>
      </w:r>
      <w:r w:rsidR="007A1CC4">
        <w:t>-month follow-up efforts</w:t>
      </w:r>
      <w:r w:rsidRPr="00627B03">
        <w:t xml:space="preserve"> (all address, home/cell phone numbers and emails), secondary contacts and any relevant notes collected during the tracking efforts</w:t>
      </w:r>
      <w:r w:rsidR="00E24788">
        <w:t xml:space="preserve">. </w:t>
      </w:r>
    </w:p>
    <w:p w14:paraId="47A27508" w14:textId="77777777" w:rsidR="00884500" w:rsidRPr="00627B03" w:rsidRDefault="00884500" w:rsidP="006A12FA"/>
    <w:p w14:paraId="3E707DC9" w14:textId="77777777" w:rsidR="004365B7" w:rsidRDefault="004365B7" w:rsidP="004C59C1">
      <w:r>
        <w:t xml:space="preserve">As noted in Part A.9, </w:t>
      </w:r>
      <w:r w:rsidR="008E4AF1">
        <w:t>the research team will</w:t>
      </w:r>
      <w:r>
        <w:t xml:space="preserve"> again use incentives to thank participants for their time responding to the 36-month data collection effort</w:t>
      </w:r>
      <w:r w:rsidR="00E24788">
        <w:t xml:space="preserve">. </w:t>
      </w:r>
      <w:r>
        <w:t>Adult respondents will receive $</w:t>
      </w:r>
      <w:r w:rsidR="00E76251">
        <w:t xml:space="preserve">25 </w:t>
      </w:r>
      <w:r>
        <w:t xml:space="preserve">for completing the </w:t>
      </w:r>
      <w:r w:rsidR="00975F24">
        <w:t>72-month</w:t>
      </w:r>
      <w:r w:rsidR="00E76251">
        <w:t xml:space="preserve"> tracking interview</w:t>
      </w:r>
      <w:r w:rsidR="00A95E6C">
        <w:t xml:space="preserve">.  </w:t>
      </w:r>
      <w:r w:rsidR="006611B8">
        <w:t xml:space="preserve">After the 72-month survey, the </w:t>
      </w:r>
      <w:r w:rsidR="008E4AF1">
        <w:t>research team will</w:t>
      </w:r>
      <w:r w:rsidR="00A95E6C">
        <w:t xml:space="preserve"> send adult respondents one request for updated contact information, those who respond</w:t>
      </w:r>
      <w:r w:rsidR="00546D90">
        <w:t xml:space="preserve"> </w:t>
      </w:r>
      <w:r w:rsidR="00E76251">
        <w:t xml:space="preserve">will also receive $5 </w:t>
      </w:r>
      <w:r w:rsidR="002B1BC9">
        <w:t xml:space="preserve">as a token of appreciation for their time spent </w:t>
      </w:r>
      <w:r w:rsidR="00E76251">
        <w:t>re</w:t>
      </w:r>
      <w:r w:rsidR="00D64F9C">
        <w:t xml:space="preserve">sponding to </w:t>
      </w:r>
      <w:r w:rsidR="00546D90">
        <w:t>the request</w:t>
      </w:r>
      <w:r w:rsidR="00D64F9C">
        <w:t>.</w:t>
      </w:r>
    </w:p>
    <w:p w14:paraId="7C96659A" w14:textId="77777777" w:rsidR="004365B7" w:rsidRDefault="004365B7" w:rsidP="006A12FA"/>
    <w:p w14:paraId="30C4C021" w14:textId="77777777" w:rsidR="004C59C1" w:rsidRPr="00607775" w:rsidRDefault="004C59C1" w:rsidP="004C59C1">
      <w:pPr>
        <w:rPr>
          <w:szCs w:val="22"/>
        </w:rPr>
      </w:pPr>
    </w:p>
    <w:p w14:paraId="070B7D25" w14:textId="77777777" w:rsidR="00EB5181" w:rsidRDefault="00EB5181" w:rsidP="006A12FA">
      <w:pPr>
        <w:pStyle w:val="Heading2"/>
      </w:pPr>
      <w:bookmarkStart w:id="22" w:name="_Toc241651541"/>
      <w:bookmarkStart w:id="23" w:name="_Toc465091700"/>
      <w:r>
        <w:t>B.4</w:t>
      </w:r>
      <w:r>
        <w:tab/>
        <w:t>Test of Procedures</w:t>
      </w:r>
      <w:bookmarkEnd w:id="22"/>
      <w:bookmarkEnd w:id="23"/>
    </w:p>
    <w:p w14:paraId="5ECCAF09" w14:textId="77777777" w:rsidR="00EB5181" w:rsidRDefault="00257242" w:rsidP="004C59C1">
      <w:r>
        <w:t xml:space="preserve">The instruments used in the </w:t>
      </w:r>
      <w:r w:rsidR="00DC032B">
        <w:t>72-month</w:t>
      </w:r>
      <w:r w:rsidR="0092518F">
        <w:t xml:space="preserve"> tracking interview data</w:t>
      </w:r>
      <w:r>
        <w:t xml:space="preserve"> collection effort are </w:t>
      </w:r>
      <w:r w:rsidR="00DC032B">
        <w:t xml:space="preserve">almost </w:t>
      </w:r>
      <w:r>
        <w:t xml:space="preserve">identical to the ones </w:t>
      </w:r>
      <w:r w:rsidR="0092518F">
        <w:t xml:space="preserve">previously approved under OMB Approval Number 2528-0259, expiring on 03/31/2017.  </w:t>
      </w:r>
      <w:r>
        <w:t xml:space="preserve"> The interview length used to calculate the burden estimates in Section A12 are based on the actual experience with the </w:t>
      </w:r>
      <w:r w:rsidR="0092518F">
        <w:t xml:space="preserve">prior tracking </w:t>
      </w:r>
      <w:r w:rsidR="00E42A36">
        <w:t xml:space="preserve">interviews </w:t>
      </w:r>
      <w:r w:rsidR="0092518F">
        <w:t xml:space="preserve">and 37-month follow-up interview </w:t>
      </w:r>
      <w:r>
        <w:t>administration efforts</w:t>
      </w:r>
      <w:r w:rsidR="00E24788">
        <w:t xml:space="preserve">. </w:t>
      </w:r>
      <w:r w:rsidR="00CA10F6">
        <w:t xml:space="preserve">Given the high response rates to prior efforts, we </w:t>
      </w:r>
      <w:r w:rsidR="00B16119">
        <w:t>do not</w:t>
      </w:r>
      <w:r>
        <w:t xml:space="preserve"> anticipate any </w:t>
      </w:r>
      <w:r w:rsidR="00F0677C">
        <w:t>challenges for respondents to answer them</w:t>
      </w:r>
      <w:r w:rsidR="00E24788">
        <w:t xml:space="preserve">. </w:t>
      </w:r>
      <w:r w:rsidR="00CA10F6">
        <w:t xml:space="preserve">Therefore, since we are not proposing any new questions or questions previously untested with this study population, </w:t>
      </w:r>
      <w:r w:rsidR="00F07375">
        <w:t>we do not believe a pretest will be necessary for this data collection</w:t>
      </w:r>
      <w:r w:rsidR="00B16119">
        <w:t>.</w:t>
      </w:r>
      <w:r w:rsidR="00F07375">
        <w:t xml:space="preserve"> </w:t>
      </w:r>
    </w:p>
    <w:p w14:paraId="6D63C7C1" w14:textId="77777777" w:rsidR="00EB5181" w:rsidRPr="006F3349" w:rsidRDefault="00EB5181" w:rsidP="006A12FA"/>
    <w:p w14:paraId="27F32F00" w14:textId="77777777" w:rsidR="004C59C1" w:rsidRDefault="004C59C1">
      <w:pPr>
        <w:spacing w:line="240" w:lineRule="auto"/>
        <w:rPr>
          <w:rFonts w:ascii="Arial" w:hAnsi="Arial" w:cs="Arial"/>
          <w:b/>
          <w:bCs/>
          <w:iCs/>
          <w:color w:val="FFFFFF" w:themeColor="background1"/>
          <w:sz w:val="24"/>
          <w:szCs w:val="28"/>
        </w:rPr>
      </w:pPr>
      <w:bookmarkStart w:id="24" w:name="_Toc241651542"/>
      <w:r>
        <w:br w:type="page"/>
      </w:r>
    </w:p>
    <w:p w14:paraId="375EDE74" w14:textId="77777777" w:rsidR="00EB5181" w:rsidRDefault="00EB5181" w:rsidP="006A12FA">
      <w:pPr>
        <w:pStyle w:val="Heading2"/>
      </w:pPr>
      <w:bookmarkStart w:id="25" w:name="_Toc465091701"/>
      <w:r>
        <w:lastRenderedPageBreak/>
        <w:t>B.5</w:t>
      </w:r>
      <w:r>
        <w:tab/>
        <w:t>Individuals Consulted on Statistical Aspects of the Design</w:t>
      </w:r>
      <w:bookmarkEnd w:id="24"/>
      <w:bookmarkEnd w:id="25"/>
    </w:p>
    <w:p w14:paraId="4D88DE9B" w14:textId="77777777" w:rsidR="00EB5181" w:rsidRDefault="00EB5181" w:rsidP="004C59C1">
      <w:r>
        <w:t>The individuals shown in Exhibit B-</w:t>
      </w:r>
      <w:r w:rsidR="001D1637">
        <w:t xml:space="preserve">9 </w:t>
      </w:r>
      <w:r w:rsidR="0092518F">
        <w:t xml:space="preserve">previously </w:t>
      </w:r>
      <w:r>
        <w:t>assisted HUD in the statistical design of the evaluation.</w:t>
      </w:r>
    </w:p>
    <w:p w14:paraId="16D0D1AE" w14:textId="77777777" w:rsidR="00EB5181" w:rsidRPr="004C59C1" w:rsidRDefault="00EB5181" w:rsidP="004C59C1"/>
    <w:p w14:paraId="6408ACDE" w14:textId="77777777" w:rsidR="00EB5181" w:rsidRDefault="00EB5181" w:rsidP="004C59C1">
      <w:pPr>
        <w:pStyle w:val="ExhibitTitle"/>
      </w:pPr>
      <w:r>
        <w:t>Exhibit B-</w:t>
      </w:r>
      <w:r w:rsidR="001D1637">
        <w:t>9</w:t>
      </w:r>
      <w:r w:rsidR="005F21BD">
        <w:t>.</w:t>
      </w:r>
      <w:r w:rsidR="004B0536">
        <w:tab/>
      </w:r>
      <w:r>
        <w:t>Individuals Consulted on the Study Design</w:t>
      </w:r>
    </w:p>
    <w:tbl>
      <w:tblPr>
        <w:tblW w:w="9360" w:type="dxa"/>
        <w:tblInd w:w="11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8" w:type="dxa"/>
          <w:right w:w="118" w:type="dxa"/>
        </w:tblCellMar>
        <w:tblLook w:val="0000" w:firstRow="0" w:lastRow="0" w:firstColumn="0" w:lastColumn="0" w:noHBand="0" w:noVBand="0"/>
      </w:tblPr>
      <w:tblGrid>
        <w:gridCol w:w="4140"/>
        <w:gridCol w:w="2430"/>
        <w:gridCol w:w="2790"/>
      </w:tblGrid>
      <w:tr w:rsidR="004B0536" w:rsidRPr="004C59C1" w14:paraId="3E8E42CF" w14:textId="77777777" w:rsidTr="004C59C1">
        <w:trPr>
          <w:trHeight w:val="378"/>
        </w:trPr>
        <w:tc>
          <w:tcPr>
            <w:tcW w:w="4140" w:type="dxa"/>
            <w:shd w:val="clear" w:color="auto" w:fill="C3C6A8" w:themeFill="accent4"/>
            <w:vAlign w:val="center"/>
          </w:tcPr>
          <w:p w14:paraId="3BDCA461" w14:textId="77777777" w:rsidR="00EB5181" w:rsidRPr="004C59C1" w:rsidRDefault="00EB5181" w:rsidP="006A12FA">
            <w:pPr>
              <w:rPr>
                <w:rFonts w:ascii="Arial" w:hAnsi="Arial" w:cs="Arial"/>
                <w:b/>
                <w:sz w:val="20"/>
              </w:rPr>
            </w:pPr>
            <w:bookmarkStart w:id="26" w:name="_Toc58747360"/>
            <w:r w:rsidRPr="004C59C1">
              <w:rPr>
                <w:rFonts w:ascii="Arial" w:hAnsi="Arial" w:cs="Arial"/>
                <w:b/>
                <w:sz w:val="20"/>
              </w:rPr>
              <w:t>Name</w:t>
            </w:r>
            <w:bookmarkEnd w:id="26"/>
          </w:p>
        </w:tc>
        <w:tc>
          <w:tcPr>
            <w:tcW w:w="2430" w:type="dxa"/>
            <w:shd w:val="clear" w:color="auto" w:fill="C3C6A8" w:themeFill="accent4"/>
            <w:vAlign w:val="center"/>
          </w:tcPr>
          <w:p w14:paraId="1A9AEE03" w14:textId="77777777" w:rsidR="00EB5181" w:rsidRPr="004C59C1" w:rsidRDefault="00EB5181" w:rsidP="006A12FA">
            <w:pPr>
              <w:rPr>
                <w:rFonts w:ascii="Arial" w:hAnsi="Arial" w:cs="Arial"/>
                <w:b/>
                <w:sz w:val="20"/>
              </w:rPr>
            </w:pPr>
            <w:r w:rsidRPr="004C59C1">
              <w:rPr>
                <w:rFonts w:ascii="Arial" w:hAnsi="Arial" w:cs="Arial"/>
                <w:b/>
                <w:sz w:val="20"/>
              </w:rPr>
              <w:t>Telephone Number</w:t>
            </w:r>
          </w:p>
        </w:tc>
        <w:tc>
          <w:tcPr>
            <w:tcW w:w="2790" w:type="dxa"/>
            <w:shd w:val="clear" w:color="auto" w:fill="C3C6A8" w:themeFill="accent4"/>
            <w:vAlign w:val="center"/>
          </w:tcPr>
          <w:p w14:paraId="44A9BB96" w14:textId="77777777" w:rsidR="00EB5181" w:rsidRPr="004C59C1" w:rsidRDefault="00EB5181" w:rsidP="006A12FA">
            <w:pPr>
              <w:rPr>
                <w:rFonts w:ascii="Arial" w:hAnsi="Arial" w:cs="Arial"/>
                <w:b/>
                <w:sz w:val="20"/>
              </w:rPr>
            </w:pPr>
            <w:r w:rsidRPr="004C59C1">
              <w:rPr>
                <w:rFonts w:ascii="Arial" w:hAnsi="Arial" w:cs="Arial"/>
                <w:b/>
                <w:sz w:val="20"/>
              </w:rPr>
              <w:t>Role in Study</w:t>
            </w:r>
          </w:p>
        </w:tc>
      </w:tr>
      <w:tr w:rsidR="00EB5181" w:rsidRPr="004C59C1" w14:paraId="7B09B621" w14:textId="77777777" w:rsidTr="004C59C1">
        <w:trPr>
          <w:trHeight w:val="269"/>
        </w:trPr>
        <w:tc>
          <w:tcPr>
            <w:tcW w:w="4140" w:type="dxa"/>
            <w:shd w:val="clear" w:color="auto" w:fill="CFD1D1" w:themeFill="accent2" w:themeFillTint="66"/>
            <w:vAlign w:val="center"/>
          </w:tcPr>
          <w:p w14:paraId="72A5C674" w14:textId="77777777" w:rsidR="00EB5181" w:rsidRPr="004C59C1" w:rsidRDefault="00EB5181" w:rsidP="006A12FA">
            <w:pPr>
              <w:rPr>
                <w:rFonts w:ascii="Arial" w:hAnsi="Arial" w:cs="Arial"/>
                <w:sz w:val="20"/>
              </w:rPr>
            </w:pPr>
            <w:r w:rsidRPr="004C59C1">
              <w:rPr>
                <w:rFonts w:ascii="Arial" w:hAnsi="Arial" w:cs="Arial"/>
                <w:sz w:val="20"/>
              </w:rPr>
              <w:t>Dr. Stephen Bell</w:t>
            </w:r>
          </w:p>
          <w:p w14:paraId="5CBB4660" w14:textId="77777777" w:rsidR="00EB5181" w:rsidRPr="004C59C1" w:rsidRDefault="00EB5181" w:rsidP="006A12FA">
            <w:pPr>
              <w:rPr>
                <w:rFonts w:ascii="Arial" w:hAnsi="Arial" w:cs="Arial"/>
                <w:sz w:val="20"/>
              </w:rPr>
            </w:pPr>
            <w:r w:rsidRPr="004C59C1">
              <w:rPr>
                <w:rFonts w:ascii="Arial" w:hAnsi="Arial" w:cs="Arial"/>
                <w:sz w:val="20"/>
              </w:rPr>
              <w:t>Abt Associates Inc.</w:t>
            </w:r>
          </w:p>
        </w:tc>
        <w:tc>
          <w:tcPr>
            <w:tcW w:w="2430" w:type="dxa"/>
            <w:shd w:val="clear" w:color="auto" w:fill="CFD1D1" w:themeFill="accent2" w:themeFillTint="66"/>
            <w:vAlign w:val="center"/>
          </w:tcPr>
          <w:p w14:paraId="1787C2FE" w14:textId="77777777" w:rsidR="00EB5181" w:rsidRPr="004C59C1" w:rsidRDefault="00EB5181" w:rsidP="006A12FA">
            <w:pPr>
              <w:rPr>
                <w:rFonts w:ascii="Arial" w:hAnsi="Arial" w:cs="Arial"/>
                <w:sz w:val="20"/>
              </w:rPr>
            </w:pPr>
            <w:r w:rsidRPr="004C59C1">
              <w:rPr>
                <w:rFonts w:ascii="Arial" w:hAnsi="Arial" w:cs="Arial"/>
                <w:sz w:val="20"/>
              </w:rPr>
              <w:t>301-634-1721</w:t>
            </w:r>
          </w:p>
        </w:tc>
        <w:tc>
          <w:tcPr>
            <w:tcW w:w="2790" w:type="dxa"/>
            <w:shd w:val="clear" w:color="auto" w:fill="CFD1D1" w:themeFill="accent2" w:themeFillTint="66"/>
            <w:vAlign w:val="center"/>
          </w:tcPr>
          <w:p w14:paraId="4E505640" w14:textId="77777777" w:rsidR="00EB5181" w:rsidRPr="004C59C1" w:rsidRDefault="00EB5181" w:rsidP="006A12FA">
            <w:pPr>
              <w:rPr>
                <w:rFonts w:ascii="Arial" w:hAnsi="Arial" w:cs="Arial"/>
                <w:sz w:val="20"/>
              </w:rPr>
            </w:pPr>
            <w:r w:rsidRPr="004C59C1">
              <w:rPr>
                <w:rFonts w:ascii="Arial" w:hAnsi="Arial" w:cs="Arial"/>
                <w:sz w:val="20"/>
              </w:rPr>
              <w:t>Co-Principal Investigator</w:t>
            </w:r>
          </w:p>
        </w:tc>
      </w:tr>
      <w:tr w:rsidR="00EB5181" w:rsidRPr="004C59C1" w14:paraId="50168281" w14:textId="77777777" w:rsidTr="004C59C1">
        <w:trPr>
          <w:trHeight w:val="395"/>
        </w:trPr>
        <w:tc>
          <w:tcPr>
            <w:tcW w:w="4140" w:type="dxa"/>
            <w:vAlign w:val="center"/>
          </w:tcPr>
          <w:p w14:paraId="3E9D0ADF" w14:textId="77777777" w:rsidR="00EB5181" w:rsidRPr="004C59C1" w:rsidRDefault="00EB5181" w:rsidP="006A12FA">
            <w:pPr>
              <w:rPr>
                <w:rFonts w:ascii="Arial" w:hAnsi="Arial" w:cs="Arial"/>
                <w:sz w:val="20"/>
              </w:rPr>
            </w:pPr>
            <w:r w:rsidRPr="004C59C1">
              <w:rPr>
                <w:rFonts w:ascii="Arial" w:hAnsi="Arial" w:cs="Arial"/>
                <w:sz w:val="20"/>
              </w:rPr>
              <w:t>Dr. Marybeth Shinn</w:t>
            </w:r>
          </w:p>
          <w:p w14:paraId="29B6E2A8" w14:textId="77777777" w:rsidR="00EB5181" w:rsidRPr="004C59C1" w:rsidRDefault="00EB5181" w:rsidP="006A12FA">
            <w:pPr>
              <w:rPr>
                <w:rFonts w:ascii="Arial" w:hAnsi="Arial" w:cs="Arial"/>
                <w:sz w:val="20"/>
              </w:rPr>
            </w:pPr>
            <w:r w:rsidRPr="004C59C1">
              <w:rPr>
                <w:rFonts w:ascii="Arial" w:hAnsi="Arial" w:cs="Arial"/>
                <w:sz w:val="20"/>
              </w:rPr>
              <w:t>Vanderbilt University</w:t>
            </w:r>
          </w:p>
        </w:tc>
        <w:tc>
          <w:tcPr>
            <w:tcW w:w="2430" w:type="dxa"/>
            <w:vAlign w:val="center"/>
          </w:tcPr>
          <w:p w14:paraId="6822121B" w14:textId="77777777" w:rsidR="00EB5181" w:rsidRPr="004C59C1" w:rsidRDefault="00EB5181" w:rsidP="006A12FA">
            <w:pPr>
              <w:rPr>
                <w:rFonts w:ascii="Arial" w:hAnsi="Arial" w:cs="Arial"/>
                <w:sz w:val="20"/>
              </w:rPr>
            </w:pPr>
            <w:r w:rsidRPr="004C59C1">
              <w:rPr>
                <w:rFonts w:ascii="Arial" w:hAnsi="Arial" w:cs="Arial"/>
                <w:sz w:val="20"/>
              </w:rPr>
              <w:t>615-322-8735</w:t>
            </w:r>
          </w:p>
        </w:tc>
        <w:tc>
          <w:tcPr>
            <w:tcW w:w="2790" w:type="dxa"/>
            <w:vAlign w:val="center"/>
          </w:tcPr>
          <w:p w14:paraId="7E1D9628" w14:textId="77777777" w:rsidR="00EB5181" w:rsidRPr="004C59C1" w:rsidRDefault="00EB5181" w:rsidP="006A12FA">
            <w:pPr>
              <w:rPr>
                <w:rFonts w:ascii="Arial" w:hAnsi="Arial" w:cs="Arial"/>
                <w:sz w:val="20"/>
              </w:rPr>
            </w:pPr>
            <w:r w:rsidRPr="004C59C1">
              <w:rPr>
                <w:rFonts w:ascii="Arial" w:hAnsi="Arial" w:cs="Arial"/>
                <w:sz w:val="20"/>
              </w:rPr>
              <w:t>Co-Principal Investigator</w:t>
            </w:r>
          </w:p>
        </w:tc>
      </w:tr>
      <w:tr w:rsidR="00EB5181" w:rsidRPr="004C59C1" w14:paraId="50519ED9" w14:textId="77777777" w:rsidTr="004C59C1">
        <w:trPr>
          <w:trHeight w:val="251"/>
        </w:trPr>
        <w:tc>
          <w:tcPr>
            <w:tcW w:w="4140" w:type="dxa"/>
            <w:shd w:val="clear" w:color="auto" w:fill="CFD1D1" w:themeFill="accent2" w:themeFillTint="66"/>
            <w:vAlign w:val="center"/>
          </w:tcPr>
          <w:p w14:paraId="0A996004" w14:textId="77777777" w:rsidR="00EB5181" w:rsidRPr="004C59C1" w:rsidRDefault="00EB5181" w:rsidP="006A12FA">
            <w:pPr>
              <w:rPr>
                <w:rFonts w:ascii="Arial" w:hAnsi="Arial" w:cs="Arial"/>
                <w:sz w:val="20"/>
              </w:rPr>
            </w:pPr>
            <w:r w:rsidRPr="004C59C1">
              <w:rPr>
                <w:rFonts w:ascii="Arial" w:hAnsi="Arial" w:cs="Arial"/>
                <w:sz w:val="20"/>
              </w:rPr>
              <w:t>Dr. Jill Khadduri</w:t>
            </w:r>
          </w:p>
          <w:p w14:paraId="39052211" w14:textId="77777777" w:rsidR="00EB5181" w:rsidRPr="004C59C1" w:rsidRDefault="00EB5181" w:rsidP="006A12FA">
            <w:pPr>
              <w:rPr>
                <w:rFonts w:ascii="Arial" w:hAnsi="Arial" w:cs="Arial"/>
                <w:sz w:val="20"/>
              </w:rPr>
            </w:pPr>
            <w:r w:rsidRPr="004C59C1">
              <w:rPr>
                <w:rFonts w:ascii="Arial" w:hAnsi="Arial" w:cs="Arial"/>
                <w:sz w:val="20"/>
              </w:rPr>
              <w:t>Abt Associates Inc.</w:t>
            </w:r>
          </w:p>
        </w:tc>
        <w:tc>
          <w:tcPr>
            <w:tcW w:w="2430" w:type="dxa"/>
            <w:shd w:val="clear" w:color="auto" w:fill="CFD1D1" w:themeFill="accent2" w:themeFillTint="66"/>
            <w:vAlign w:val="center"/>
          </w:tcPr>
          <w:p w14:paraId="14F8AAE3" w14:textId="77777777" w:rsidR="00EB5181" w:rsidRPr="004C59C1" w:rsidRDefault="00EB5181" w:rsidP="006A12FA">
            <w:pPr>
              <w:rPr>
                <w:rFonts w:ascii="Arial" w:hAnsi="Arial" w:cs="Arial"/>
                <w:sz w:val="20"/>
              </w:rPr>
            </w:pPr>
            <w:r w:rsidRPr="004C59C1">
              <w:rPr>
                <w:rFonts w:ascii="Arial" w:hAnsi="Arial" w:cs="Arial"/>
                <w:sz w:val="20"/>
              </w:rPr>
              <w:t>301-634-1745</w:t>
            </w:r>
          </w:p>
        </w:tc>
        <w:tc>
          <w:tcPr>
            <w:tcW w:w="2790" w:type="dxa"/>
            <w:shd w:val="clear" w:color="auto" w:fill="CFD1D1" w:themeFill="accent2" w:themeFillTint="66"/>
            <w:vAlign w:val="center"/>
          </w:tcPr>
          <w:p w14:paraId="22C08F99" w14:textId="77777777" w:rsidR="00EB5181" w:rsidRPr="004C59C1" w:rsidRDefault="00EB5181" w:rsidP="006A12FA">
            <w:pPr>
              <w:rPr>
                <w:rFonts w:ascii="Arial" w:hAnsi="Arial" w:cs="Arial"/>
                <w:sz w:val="20"/>
              </w:rPr>
            </w:pPr>
            <w:r w:rsidRPr="004C59C1">
              <w:rPr>
                <w:rFonts w:ascii="Arial" w:hAnsi="Arial" w:cs="Arial"/>
                <w:sz w:val="20"/>
              </w:rPr>
              <w:t>Project Quality Advisor</w:t>
            </w:r>
          </w:p>
        </w:tc>
      </w:tr>
      <w:tr w:rsidR="00EB5181" w:rsidRPr="004C59C1" w14:paraId="4C54AD6B" w14:textId="77777777" w:rsidTr="004C59C1">
        <w:trPr>
          <w:trHeight w:val="576"/>
        </w:trPr>
        <w:tc>
          <w:tcPr>
            <w:tcW w:w="4140" w:type="dxa"/>
            <w:vAlign w:val="center"/>
          </w:tcPr>
          <w:p w14:paraId="6647C27F" w14:textId="77777777" w:rsidR="00EB5181" w:rsidRPr="004C59C1" w:rsidRDefault="00EB5181" w:rsidP="006A12FA">
            <w:pPr>
              <w:rPr>
                <w:rFonts w:ascii="Arial" w:hAnsi="Arial" w:cs="Arial"/>
                <w:sz w:val="20"/>
              </w:rPr>
            </w:pPr>
            <w:r w:rsidRPr="004C59C1">
              <w:rPr>
                <w:rFonts w:ascii="Arial" w:hAnsi="Arial" w:cs="Arial"/>
                <w:sz w:val="20"/>
              </w:rPr>
              <w:t>Mr. Jacob Klerman</w:t>
            </w:r>
          </w:p>
          <w:p w14:paraId="69FD6FE8" w14:textId="77777777" w:rsidR="00EB5181" w:rsidRPr="004C59C1" w:rsidRDefault="00EB5181" w:rsidP="006A12FA">
            <w:pPr>
              <w:rPr>
                <w:rFonts w:ascii="Arial" w:hAnsi="Arial" w:cs="Arial"/>
                <w:sz w:val="20"/>
              </w:rPr>
            </w:pPr>
            <w:r w:rsidRPr="004C59C1">
              <w:rPr>
                <w:rFonts w:ascii="Arial" w:hAnsi="Arial" w:cs="Arial"/>
                <w:sz w:val="20"/>
              </w:rPr>
              <w:t>Abt Associates Inc.</w:t>
            </w:r>
          </w:p>
        </w:tc>
        <w:tc>
          <w:tcPr>
            <w:tcW w:w="2430" w:type="dxa"/>
            <w:vAlign w:val="center"/>
          </w:tcPr>
          <w:p w14:paraId="3ABAF518" w14:textId="77777777" w:rsidR="00EB5181" w:rsidRPr="004C59C1" w:rsidRDefault="00EB5181" w:rsidP="006A12FA">
            <w:pPr>
              <w:rPr>
                <w:rFonts w:ascii="Arial" w:hAnsi="Arial" w:cs="Arial"/>
                <w:sz w:val="20"/>
              </w:rPr>
            </w:pPr>
            <w:r w:rsidRPr="004C59C1">
              <w:rPr>
                <w:rFonts w:ascii="Arial" w:hAnsi="Arial" w:cs="Arial"/>
                <w:sz w:val="20"/>
              </w:rPr>
              <w:t>617-520-2613</w:t>
            </w:r>
          </w:p>
        </w:tc>
        <w:tc>
          <w:tcPr>
            <w:tcW w:w="2790" w:type="dxa"/>
            <w:vAlign w:val="center"/>
          </w:tcPr>
          <w:p w14:paraId="31595D15" w14:textId="77777777" w:rsidR="00EB5181" w:rsidRPr="004C59C1" w:rsidRDefault="00EB5181" w:rsidP="006A12FA">
            <w:pPr>
              <w:rPr>
                <w:rFonts w:ascii="Arial" w:hAnsi="Arial" w:cs="Arial"/>
                <w:sz w:val="20"/>
              </w:rPr>
            </w:pPr>
            <w:r w:rsidRPr="004C59C1">
              <w:rPr>
                <w:rFonts w:ascii="Arial" w:hAnsi="Arial" w:cs="Arial"/>
                <w:sz w:val="20"/>
              </w:rPr>
              <w:t>Project Quality Advisor</w:t>
            </w:r>
          </w:p>
        </w:tc>
      </w:tr>
      <w:tr w:rsidR="00EB5181" w:rsidRPr="004C59C1" w14:paraId="6C6D52DF" w14:textId="77777777" w:rsidTr="004C59C1">
        <w:trPr>
          <w:trHeight w:val="576"/>
        </w:trPr>
        <w:tc>
          <w:tcPr>
            <w:tcW w:w="4140" w:type="dxa"/>
            <w:shd w:val="clear" w:color="auto" w:fill="CFD1D1" w:themeFill="accent2" w:themeFillTint="66"/>
            <w:vAlign w:val="center"/>
          </w:tcPr>
          <w:p w14:paraId="678DC3F3" w14:textId="77777777" w:rsidR="00EB5181" w:rsidRPr="004C59C1" w:rsidRDefault="00EB5181" w:rsidP="006A12FA">
            <w:pPr>
              <w:rPr>
                <w:rFonts w:ascii="Arial" w:hAnsi="Arial" w:cs="Arial"/>
                <w:sz w:val="20"/>
              </w:rPr>
            </w:pPr>
            <w:r w:rsidRPr="004C59C1">
              <w:rPr>
                <w:rFonts w:ascii="Arial" w:hAnsi="Arial" w:cs="Arial"/>
                <w:sz w:val="20"/>
              </w:rPr>
              <w:t>Dr. Martha Burt</w:t>
            </w:r>
          </w:p>
          <w:p w14:paraId="44A33890" w14:textId="77777777" w:rsidR="00EB5181" w:rsidRPr="004C59C1" w:rsidRDefault="00EB5181" w:rsidP="006A12FA">
            <w:pPr>
              <w:rPr>
                <w:rFonts w:ascii="Arial" w:hAnsi="Arial" w:cs="Arial"/>
                <w:sz w:val="20"/>
              </w:rPr>
            </w:pPr>
            <w:r w:rsidRPr="004C59C1">
              <w:rPr>
                <w:rFonts w:ascii="Arial" w:hAnsi="Arial" w:cs="Arial"/>
                <w:sz w:val="20"/>
              </w:rPr>
              <w:t>Consultant to Abt Associates Inc.</w:t>
            </w:r>
          </w:p>
        </w:tc>
        <w:tc>
          <w:tcPr>
            <w:tcW w:w="2430" w:type="dxa"/>
            <w:shd w:val="clear" w:color="auto" w:fill="CFD1D1" w:themeFill="accent2" w:themeFillTint="66"/>
            <w:vAlign w:val="center"/>
          </w:tcPr>
          <w:p w14:paraId="44BDCCBF" w14:textId="77777777" w:rsidR="00EB5181" w:rsidRPr="004C59C1" w:rsidRDefault="00EB5181" w:rsidP="006A12FA">
            <w:pPr>
              <w:rPr>
                <w:rFonts w:ascii="Arial" w:hAnsi="Arial" w:cs="Arial"/>
                <w:sz w:val="20"/>
              </w:rPr>
            </w:pPr>
            <w:r w:rsidRPr="004C59C1">
              <w:rPr>
                <w:rFonts w:ascii="Arial" w:hAnsi="Arial" w:cs="Arial"/>
                <w:sz w:val="20"/>
              </w:rPr>
              <w:t>202-261-5551</w:t>
            </w:r>
          </w:p>
        </w:tc>
        <w:tc>
          <w:tcPr>
            <w:tcW w:w="2790" w:type="dxa"/>
            <w:shd w:val="clear" w:color="auto" w:fill="CFD1D1" w:themeFill="accent2" w:themeFillTint="66"/>
            <w:vAlign w:val="center"/>
          </w:tcPr>
          <w:p w14:paraId="40648C76" w14:textId="77777777" w:rsidR="00EB5181" w:rsidRPr="004C59C1" w:rsidRDefault="00EB5181" w:rsidP="006A12FA">
            <w:pPr>
              <w:rPr>
                <w:rFonts w:ascii="Arial" w:hAnsi="Arial" w:cs="Arial"/>
                <w:sz w:val="20"/>
              </w:rPr>
            </w:pPr>
            <w:r w:rsidRPr="004C59C1">
              <w:rPr>
                <w:rFonts w:ascii="Arial" w:hAnsi="Arial" w:cs="Arial"/>
                <w:sz w:val="20"/>
              </w:rPr>
              <w:t>Project Advisor</w:t>
            </w:r>
          </w:p>
        </w:tc>
      </w:tr>
      <w:tr w:rsidR="00EB5181" w:rsidRPr="004C59C1" w14:paraId="2D8AE8D7" w14:textId="77777777" w:rsidTr="004C59C1">
        <w:trPr>
          <w:trHeight w:val="576"/>
        </w:trPr>
        <w:tc>
          <w:tcPr>
            <w:tcW w:w="4140" w:type="dxa"/>
            <w:shd w:val="clear" w:color="auto" w:fill="auto"/>
            <w:vAlign w:val="center"/>
          </w:tcPr>
          <w:p w14:paraId="39112435" w14:textId="77777777" w:rsidR="00EB5181" w:rsidRPr="004C59C1" w:rsidRDefault="00EB5181" w:rsidP="006A12FA">
            <w:pPr>
              <w:rPr>
                <w:rFonts w:ascii="Arial" w:hAnsi="Arial" w:cs="Arial"/>
                <w:sz w:val="20"/>
              </w:rPr>
            </w:pPr>
            <w:r w:rsidRPr="004C59C1">
              <w:rPr>
                <w:rFonts w:ascii="Arial" w:hAnsi="Arial" w:cs="Arial"/>
                <w:sz w:val="20"/>
              </w:rPr>
              <w:t>Dr. Dennis Culhane</w:t>
            </w:r>
          </w:p>
          <w:p w14:paraId="61A6CE02" w14:textId="77777777" w:rsidR="00EB5181" w:rsidRPr="004C59C1" w:rsidRDefault="00EB5181" w:rsidP="006A12FA">
            <w:pPr>
              <w:rPr>
                <w:rFonts w:ascii="Arial" w:hAnsi="Arial" w:cs="Arial"/>
                <w:sz w:val="20"/>
              </w:rPr>
            </w:pPr>
            <w:r w:rsidRPr="004C59C1">
              <w:rPr>
                <w:rFonts w:ascii="Arial" w:hAnsi="Arial" w:cs="Arial"/>
                <w:sz w:val="20"/>
              </w:rPr>
              <w:t>University of Pennsylvania</w:t>
            </w:r>
          </w:p>
        </w:tc>
        <w:tc>
          <w:tcPr>
            <w:tcW w:w="2430" w:type="dxa"/>
            <w:shd w:val="clear" w:color="auto" w:fill="auto"/>
            <w:vAlign w:val="center"/>
          </w:tcPr>
          <w:p w14:paraId="573A0AE0" w14:textId="77777777" w:rsidR="00EB5181" w:rsidRPr="004C59C1" w:rsidRDefault="00EB5181" w:rsidP="006A12FA">
            <w:pPr>
              <w:rPr>
                <w:rFonts w:ascii="Arial" w:hAnsi="Arial" w:cs="Arial"/>
                <w:sz w:val="20"/>
              </w:rPr>
            </w:pPr>
            <w:r w:rsidRPr="004C59C1">
              <w:rPr>
                <w:rFonts w:ascii="Arial" w:hAnsi="Arial" w:cs="Arial"/>
                <w:sz w:val="20"/>
              </w:rPr>
              <w:t>215-746-3245</w:t>
            </w:r>
          </w:p>
        </w:tc>
        <w:tc>
          <w:tcPr>
            <w:tcW w:w="2790" w:type="dxa"/>
            <w:shd w:val="clear" w:color="auto" w:fill="auto"/>
            <w:vAlign w:val="center"/>
          </w:tcPr>
          <w:p w14:paraId="68C01FA5" w14:textId="77777777" w:rsidR="00EB5181" w:rsidRPr="004C59C1" w:rsidRDefault="00EB5181" w:rsidP="006A12FA">
            <w:pPr>
              <w:rPr>
                <w:rFonts w:ascii="Arial" w:hAnsi="Arial" w:cs="Arial"/>
                <w:sz w:val="20"/>
              </w:rPr>
            </w:pPr>
            <w:r w:rsidRPr="004C59C1">
              <w:rPr>
                <w:rFonts w:ascii="Arial" w:hAnsi="Arial" w:cs="Arial"/>
                <w:sz w:val="20"/>
              </w:rPr>
              <w:t>Project Advisor</w:t>
            </w:r>
          </w:p>
        </w:tc>
      </w:tr>
      <w:tr w:rsidR="00EB5181" w:rsidRPr="004C59C1" w14:paraId="68D4A89C" w14:textId="77777777" w:rsidTr="004C59C1">
        <w:trPr>
          <w:trHeight w:val="576"/>
        </w:trPr>
        <w:tc>
          <w:tcPr>
            <w:tcW w:w="4140" w:type="dxa"/>
            <w:shd w:val="clear" w:color="auto" w:fill="CFD1D1" w:themeFill="accent2" w:themeFillTint="66"/>
            <w:vAlign w:val="center"/>
          </w:tcPr>
          <w:p w14:paraId="45134929" w14:textId="77777777" w:rsidR="00EB5181" w:rsidRPr="004C59C1" w:rsidRDefault="00EB5181" w:rsidP="006A12FA">
            <w:pPr>
              <w:rPr>
                <w:rFonts w:ascii="Arial" w:hAnsi="Arial" w:cs="Arial"/>
                <w:sz w:val="20"/>
              </w:rPr>
            </w:pPr>
            <w:r w:rsidRPr="004C59C1">
              <w:rPr>
                <w:rFonts w:ascii="Arial" w:hAnsi="Arial" w:cs="Arial"/>
                <w:sz w:val="20"/>
              </w:rPr>
              <w:t>Dr. Ellen Bassuk,</w:t>
            </w:r>
          </w:p>
          <w:p w14:paraId="0FEA878F" w14:textId="77777777" w:rsidR="00EB5181" w:rsidRPr="004C59C1" w:rsidRDefault="00EB5181" w:rsidP="006A12FA">
            <w:pPr>
              <w:rPr>
                <w:rFonts w:ascii="Arial" w:hAnsi="Arial" w:cs="Arial"/>
                <w:sz w:val="20"/>
              </w:rPr>
            </w:pPr>
            <w:r w:rsidRPr="004C59C1">
              <w:rPr>
                <w:rFonts w:ascii="Arial" w:hAnsi="Arial" w:cs="Arial"/>
                <w:sz w:val="20"/>
              </w:rPr>
              <w:t xml:space="preserve">Center for Social Innovation and National Center on Family Homelessness </w:t>
            </w:r>
          </w:p>
        </w:tc>
        <w:tc>
          <w:tcPr>
            <w:tcW w:w="2430" w:type="dxa"/>
            <w:shd w:val="clear" w:color="auto" w:fill="CFD1D1" w:themeFill="accent2" w:themeFillTint="66"/>
            <w:vAlign w:val="center"/>
          </w:tcPr>
          <w:p w14:paraId="335F2E60" w14:textId="77777777" w:rsidR="00EB5181" w:rsidRPr="004C59C1" w:rsidRDefault="00EB5181" w:rsidP="006A12FA">
            <w:pPr>
              <w:rPr>
                <w:rFonts w:ascii="Arial" w:hAnsi="Arial" w:cs="Arial"/>
                <w:sz w:val="20"/>
              </w:rPr>
            </w:pPr>
            <w:r w:rsidRPr="004C59C1">
              <w:rPr>
                <w:rFonts w:ascii="Arial" w:hAnsi="Arial" w:cs="Arial"/>
                <w:sz w:val="20"/>
              </w:rPr>
              <w:t>617-467-6014</w:t>
            </w:r>
          </w:p>
        </w:tc>
        <w:tc>
          <w:tcPr>
            <w:tcW w:w="2790" w:type="dxa"/>
            <w:shd w:val="clear" w:color="auto" w:fill="CFD1D1" w:themeFill="accent2" w:themeFillTint="66"/>
            <w:vAlign w:val="center"/>
          </w:tcPr>
          <w:p w14:paraId="6582DFE8" w14:textId="77777777" w:rsidR="00EB5181" w:rsidRPr="004C59C1" w:rsidRDefault="00EB5181" w:rsidP="006A12FA">
            <w:pPr>
              <w:rPr>
                <w:rFonts w:ascii="Arial" w:hAnsi="Arial" w:cs="Arial"/>
                <w:sz w:val="20"/>
              </w:rPr>
            </w:pPr>
            <w:r w:rsidRPr="004C59C1">
              <w:rPr>
                <w:rFonts w:ascii="Arial" w:hAnsi="Arial" w:cs="Arial"/>
                <w:sz w:val="20"/>
              </w:rPr>
              <w:t>Project Advisor</w:t>
            </w:r>
          </w:p>
        </w:tc>
      </w:tr>
      <w:tr w:rsidR="00EB5181" w:rsidRPr="004C59C1" w14:paraId="3A8C0559" w14:textId="77777777" w:rsidTr="004C59C1">
        <w:trPr>
          <w:trHeight w:val="576"/>
        </w:trPr>
        <w:tc>
          <w:tcPr>
            <w:tcW w:w="4140" w:type="dxa"/>
            <w:shd w:val="clear" w:color="auto" w:fill="auto"/>
            <w:vAlign w:val="center"/>
          </w:tcPr>
          <w:p w14:paraId="41556700" w14:textId="77777777" w:rsidR="00EB5181" w:rsidRPr="004C59C1" w:rsidRDefault="0092518F" w:rsidP="006A12FA">
            <w:pPr>
              <w:rPr>
                <w:rFonts w:ascii="Arial" w:hAnsi="Arial" w:cs="Arial"/>
                <w:sz w:val="20"/>
              </w:rPr>
            </w:pPr>
            <w:r>
              <w:rPr>
                <w:rFonts w:ascii="Arial" w:hAnsi="Arial" w:cs="Arial"/>
                <w:sz w:val="20"/>
              </w:rPr>
              <w:t>Mr. Rick Jarmon</w:t>
            </w:r>
          </w:p>
          <w:p w14:paraId="045D4E49" w14:textId="77777777" w:rsidR="00EB5181" w:rsidRPr="004C59C1" w:rsidRDefault="0092518F" w:rsidP="006A12FA">
            <w:pPr>
              <w:rPr>
                <w:rFonts w:ascii="Arial" w:hAnsi="Arial" w:cs="Arial"/>
                <w:sz w:val="20"/>
              </w:rPr>
            </w:pPr>
            <w:r>
              <w:rPr>
                <w:rFonts w:ascii="Arial" w:hAnsi="Arial" w:cs="Arial"/>
                <w:sz w:val="20"/>
              </w:rPr>
              <w:t>Abt SRBI</w:t>
            </w:r>
          </w:p>
        </w:tc>
        <w:tc>
          <w:tcPr>
            <w:tcW w:w="2430" w:type="dxa"/>
            <w:shd w:val="clear" w:color="auto" w:fill="auto"/>
            <w:vAlign w:val="center"/>
          </w:tcPr>
          <w:p w14:paraId="0A90ED7C" w14:textId="77777777" w:rsidR="00EB5181" w:rsidRPr="004C59C1" w:rsidRDefault="0092518F" w:rsidP="006A12FA">
            <w:pPr>
              <w:rPr>
                <w:rFonts w:ascii="Arial" w:hAnsi="Arial" w:cs="Arial"/>
                <w:sz w:val="20"/>
              </w:rPr>
            </w:pPr>
            <w:r>
              <w:rPr>
                <w:rFonts w:ascii="Arial" w:hAnsi="Arial" w:cs="Arial"/>
                <w:sz w:val="20"/>
              </w:rPr>
              <w:t>617-386-2601</w:t>
            </w:r>
          </w:p>
        </w:tc>
        <w:tc>
          <w:tcPr>
            <w:tcW w:w="2790" w:type="dxa"/>
            <w:shd w:val="clear" w:color="auto" w:fill="auto"/>
            <w:vAlign w:val="center"/>
          </w:tcPr>
          <w:p w14:paraId="74F372E7" w14:textId="77777777" w:rsidR="00EB5181" w:rsidRPr="004C59C1" w:rsidRDefault="00EB5181" w:rsidP="006A12FA">
            <w:pPr>
              <w:rPr>
                <w:rFonts w:ascii="Arial" w:hAnsi="Arial" w:cs="Arial"/>
                <w:sz w:val="20"/>
              </w:rPr>
            </w:pPr>
          </w:p>
        </w:tc>
      </w:tr>
      <w:tr w:rsidR="00EB5181" w:rsidRPr="004C59C1" w14:paraId="50A4E8C2" w14:textId="77777777" w:rsidTr="004C59C1">
        <w:trPr>
          <w:trHeight w:val="576"/>
        </w:trPr>
        <w:tc>
          <w:tcPr>
            <w:tcW w:w="4140" w:type="dxa"/>
            <w:shd w:val="clear" w:color="auto" w:fill="CFD1D1" w:themeFill="accent2" w:themeFillTint="66"/>
            <w:vAlign w:val="center"/>
          </w:tcPr>
          <w:p w14:paraId="28B603DF" w14:textId="77777777" w:rsidR="00EB5181" w:rsidRPr="004C59C1" w:rsidRDefault="00EB5181" w:rsidP="006A12FA">
            <w:pPr>
              <w:rPr>
                <w:rFonts w:ascii="Arial" w:hAnsi="Arial" w:cs="Arial"/>
                <w:sz w:val="20"/>
              </w:rPr>
            </w:pPr>
          </w:p>
        </w:tc>
        <w:tc>
          <w:tcPr>
            <w:tcW w:w="2430" w:type="dxa"/>
            <w:shd w:val="clear" w:color="auto" w:fill="CFD1D1" w:themeFill="accent2" w:themeFillTint="66"/>
            <w:vAlign w:val="center"/>
          </w:tcPr>
          <w:p w14:paraId="69BF4200" w14:textId="77777777" w:rsidR="00EB5181" w:rsidRPr="004C59C1" w:rsidRDefault="00EB5181" w:rsidP="006A12FA">
            <w:pPr>
              <w:rPr>
                <w:rFonts w:ascii="Arial" w:hAnsi="Arial" w:cs="Arial"/>
                <w:color w:val="000000"/>
                <w:sz w:val="20"/>
              </w:rPr>
            </w:pPr>
          </w:p>
        </w:tc>
        <w:tc>
          <w:tcPr>
            <w:tcW w:w="2790" w:type="dxa"/>
            <w:shd w:val="clear" w:color="auto" w:fill="CFD1D1" w:themeFill="accent2" w:themeFillTint="66"/>
            <w:vAlign w:val="center"/>
          </w:tcPr>
          <w:p w14:paraId="6953D87B" w14:textId="77777777" w:rsidR="00EB5181" w:rsidRPr="004C59C1" w:rsidRDefault="00EB5181" w:rsidP="006A12FA">
            <w:pPr>
              <w:rPr>
                <w:rFonts w:ascii="Arial" w:hAnsi="Arial" w:cs="Arial"/>
                <w:sz w:val="20"/>
              </w:rPr>
            </w:pPr>
          </w:p>
        </w:tc>
      </w:tr>
    </w:tbl>
    <w:p w14:paraId="618240E7" w14:textId="77777777" w:rsidR="00EB5181" w:rsidRPr="004C59C1" w:rsidRDefault="00EB5181" w:rsidP="004C59C1"/>
    <w:p w14:paraId="5D00C35F" w14:textId="77777777" w:rsidR="00EB5181" w:rsidRPr="004C59C1" w:rsidRDefault="00EB5181" w:rsidP="004C59C1">
      <w:r w:rsidRPr="004C59C1">
        <w:t>Inquiries regarding the statistical aspects of the study's planned analysis should be directed to:</w:t>
      </w:r>
    </w:p>
    <w:p w14:paraId="0153EB1B" w14:textId="77777777" w:rsidR="00EB5181" w:rsidRPr="004C59C1" w:rsidRDefault="00EB5181" w:rsidP="004C59C1"/>
    <w:p w14:paraId="0B6F2B40" w14:textId="77777777" w:rsidR="0092518F" w:rsidRDefault="0092518F" w:rsidP="004C59C1">
      <w:pPr>
        <w:tabs>
          <w:tab w:val="left" w:pos="2520"/>
          <w:tab w:val="left" w:pos="5580"/>
        </w:tabs>
      </w:pPr>
      <w:r>
        <w:t>Ms. Michelle Wood</w:t>
      </w:r>
      <w:r>
        <w:tab/>
        <w:t>Project Director</w:t>
      </w:r>
      <w:r>
        <w:tab/>
        <w:t>Telephone: 301-634-1777</w:t>
      </w:r>
    </w:p>
    <w:p w14:paraId="42DAF1D2" w14:textId="77777777" w:rsidR="00EB5181" w:rsidRPr="004C59C1" w:rsidRDefault="00EB5181" w:rsidP="004C59C1">
      <w:pPr>
        <w:tabs>
          <w:tab w:val="left" w:pos="2520"/>
          <w:tab w:val="left" w:pos="5580"/>
        </w:tabs>
      </w:pPr>
      <w:r w:rsidRPr="004C59C1">
        <w:t xml:space="preserve">Dr. </w:t>
      </w:r>
      <w:r w:rsidR="0092518F">
        <w:t>Daniel Gubits</w:t>
      </w:r>
      <w:r w:rsidR="0092518F">
        <w:tab/>
        <w:t>Project Quality Advisor</w:t>
      </w:r>
      <w:r w:rsidRPr="004C59C1">
        <w:tab/>
        <w:t>Telephone: 301-634-1</w:t>
      </w:r>
      <w:r w:rsidR="0092518F">
        <w:t>854</w:t>
      </w:r>
    </w:p>
    <w:p w14:paraId="647BD3C6" w14:textId="77777777" w:rsidR="00EB5181" w:rsidRPr="004C59C1" w:rsidRDefault="00EB5181" w:rsidP="004C59C1">
      <w:pPr>
        <w:tabs>
          <w:tab w:val="left" w:pos="2520"/>
          <w:tab w:val="left" w:pos="5580"/>
        </w:tabs>
      </w:pPr>
      <w:r w:rsidRPr="004C59C1">
        <w:t>Dr. Marybeth Shinn</w:t>
      </w:r>
      <w:r w:rsidRPr="004C59C1">
        <w:tab/>
      </w:r>
      <w:r w:rsidR="0092518F">
        <w:t>Project Advisor</w:t>
      </w:r>
      <w:r w:rsidRPr="004C59C1">
        <w:tab/>
        <w:t>Telephone: 615-322-8735</w:t>
      </w:r>
    </w:p>
    <w:p w14:paraId="7D784A36" w14:textId="77777777" w:rsidR="00EB5181" w:rsidRPr="004C59C1" w:rsidRDefault="00EB5181" w:rsidP="004C59C1"/>
    <w:p w14:paraId="0AC4006B" w14:textId="77777777" w:rsidR="00EB5181" w:rsidRPr="004C59C1" w:rsidRDefault="00EB5181" w:rsidP="004C59C1"/>
    <w:p w14:paraId="1C50B3A8" w14:textId="77777777" w:rsidR="00EB5181" w:rsidRDefault="00EB5181" w:rsidP="006A12FA">
      <w:pPr>
        <w:pStyle w:val="Heading1"/>
      </w:pPr>
      <w:bookmarkStart w:id="27" w:name="_Toc222801325"/>
      <w:bookmarkStart w:id="28" w:name="_Toc241651543"/>
      <w:bookmarkStart w:id="29" w:name="_Toc296077860"/>
      <w:bookmarkStart w:id="30" w:name="_Toc465091702"/>
      <w:r>
        <w:lastRenderedPageBreak/>
        <w:t>References</w:t>
      </w:r>
      <w:bookmarkEnd w:id="27"/>
      <w:bookmarkEnd w:id="28"/>
      <w:bookmarkEnd w:id="29"/>
      <w:bookmarkEnd w:id="30"/>
      <w:r>
        <w:t xml:space="preserve"> </w:t>
      </w:r>
    </w:p>
    <w:p w14:paraId="5F090301" w14:textId="77777777" w:rsidR="009534E5" w:rsidRPr="00DD3D08" w:rsidRDefault="009534E5" w:rsidP="009534E5">
      <w:pPr>
        <w:spacing w:after="180"/>
        <w:ind w:left="720" w:hanging="720"/>
        <w:rPr>
          <w:spacing w:val="-2"/>
          <w:szCs w:val="22"/>
        </w:rPr>
      </w:pPr>
      <w:r w:rsidRPr="00DD3D08">
        <w:rPr>
          <w:spacing w:val="-2"/>
          <w:szCs w:val="22"/>
        </w:rPr>
        <w:t xml:space="preserve">Duffer, </w:t>
      </w:r>
      <w:r w:rsidRPr="00DD3D08">
        <w:rPr>
          <w:szCs w:val="22"/>
        </w:rPr>
        <w:t>Allen</w:t>
      </w:r>
      <w:r w:rsidRPr="00DD3D08">
        <w:rPr>
          <w:spacing w:val="-2"/>
          <w:szCs w:val="22"/>
        </w:rPr>
        <w:t xml:space="preserve"> P. et al., "Effects of Incentive Payments on Response Rates and Field Costs in a Pretest of a National CAPI Survey" (Research Triangle Institute, May 1994).</w:t>
      </w:r>
    </w:p>
    <w:p w14:paraId="77C5286F" w14:textId="77777777" w:rsidR="009534E5" w:rsidRPr="00DD3D08" w:rsidRDefault="009534E5" w:rsidP="009534E5">
      <w:pPr>
        <w:spacing w:after="180"/>
        <w:ind w:left="720" w:hanging="720"/>
        <w:rPr>
          <w:spacing w:val="-5"/>
        </w:rPr>
      </w:pPr>
      <w:r w:rsidRPr="00CB699E">
        <w:rPr>
          <w:color w:val="000000"/>
          <w:szCs w:val="24"/>
        </w:rPr>
        <w:t>Gubits</w:t>
      </w:r>
      <w:r w:rsidRPr="00DD3D08">
        <w:rPr>
          <w:spacing w:val="-5"/>
        </w:rPr>
        <w:t xml:space="preserve">, Daniel et al., </w:t>
      </w:r>
      <w:r w:rsidRPr="00DD3D08">
        <w:rPr>
          <w:i/>
          <w:iCs/>
          <w:spacing w:val="-5"/>
        </w:rPr>
        <w:t>Interim Report, Family Options Study,</w:t>
      </w:r>
      <w:r w:rsidRPr="00DD3D08">
        <w:rPr>
          <w:spacing w:val="-5"/>
        </w:rPr>
        <w:t xml:space="preserve"> Washington, DC: U.S. Department of Housing and Urban Development, March 2013. </w:t>
      </w:r>
      <w:hyperlink r:id="rId15" w:history="1">
        <w:r w:rsidRPr="00DD3D08">
          <w:rPr>
            <w:rStyle w:val="Hyperlink"/>
            <w:spacing w:val="-5"/>
          </w:rPr>
          <w:t>http://www.huduser.org/portal/publications/homeless/hud_503_FOS_interim_report.html</w:t>
        </w:r>
      </w:hyperlink>
    </w:p>
    <w:p w14:paraId="61AD19D1" w14:textId="77777777" w:rsidR="00663E49" w:rsidRDefault="00663E49" w:rsidP="00663E49">
      <w:pPr>
        <w:spacing w:after="180"/>
        <w:ind w:left="720" w:hanging="720"/>
        <w:rPr>
          <w:spacing w:val="-5"/>
        </w:rPr>
      </w:pPr>
      <w:r w:rsidRPr="00CB699E">
        <w:rPr>
          <w:color w:val="000000"/>
          <w:szCs w:val="24"/>
        </w:rPr>
        <w:t>Gubits</w:t>
      </w:r>
      <w:r w:rsidRPr="00DD3D08">
        <w:rPr>
          <w:spacing w:val="-5"/>
        </w:rPr>
        <w:t xml:space="preserve">, Daniel et al., </w:t>
      </w:r>
      <w:r w:rsidRPr="00DD3D08">
        <w:rPr>
          <w:i/>
          <w:iCs/>
          <w:spacing w:val="-5"/>
        </w:rPr>
        <w:t>Family Options Study,</w:t>
      </w:r>
      <w:r>
        <w:rPr>
          <w:i/>
          <w:iCs/>
          <w:spacing w:val="-5"/>
        </w:rPr>
        <w:t xml:space="preserve"> 3-Year Impacts of Housing and Services Interventions for Homeless Families.</w:t>
      </w:r>
      <w:r w:rsidRPr="00DD3D08">
        <w:rPr>
          <w:spacing w:val="-5"/>
        </w:rPr>
        <w:t xml:space="preserve"> Washington, DC: U.S. Department of Housing and Urban Development, </w:t>
      </w:r>
      <w:r>
        <w:rPr>
          <w:spacing w:val="-5"/>
        </w:rPr>
        <w:t>October 2016</w:t>
      </w:r>
      <w:r w:rsidRPr="00DD3D08">
        <w:rPr>
          <w:spacing w:val="-5"/>
        </w:rPr>
        <w:t xml:space="preserve">. </w:t>
      </w:r>
      <w:hyperlink r:id="rId16" w:history="1">
        <w:r w:rsidRPr="00C42308">
          <w:rPr>
            <w:rStyle w:val="Hyperlink"/>
            <w:spacing w:val="-5"/>
          </w:rPr>
          <w:t>https://www.huduser.gov/portal/sites/default/files/pdf/Family-Options-Study-Full-Report.pdf</w:t>
        </w:r>
      </w:hyperlink>
    </w:p>
    <w:p w14:paraId="48C44B8E" w14:textId="77777777" w:rsidR="009534E5" w:rsidRPr="00DD3D08" w:rsidRDefault="009534E5" w:rsidP="009534E5">
      <w:pPr>
        <w:spacing w:after="180"/>
        <w:ind w:left="720" w:hanging="720"/>
        <w:rPr>
          <w:spacing w:val="-2"/>
          <w:szCs w:val="22"/>
        </w:rPr>
      </w:pPr>
      <w:r w:rsidRPr="00DD3D08">
        <w:rPr>
          <w:spacing w:val="-2"/>
          <w:szCs w:val="22"/>
        </w:rPr>
        <w:t>"National Adult Literacy Survey Addendum to Clearance Package, Volume II: Analyses of the NALS Field Test" (Educational Testing Service, September 1991), pp. 2-3.</w:t>
      </w:r>
    </w:p>
    <w:p w14:paraId="2D935E41" w14:textId="77777777" w:rsidR="00EB5181" w:rsidRPr="00296252" w:rsidRDefault="00EB5181" w:rsidP="009534E5">
      <w:pPr>
        <w:ind w:left="720" w:hanging="720"/>
      </w:pPr>
    </w:p>
    <w:sectPr w:rsidR="00EB5181" w:rsidRPr="00296252" w:rsidSect="007555FA">
      <w:footerReference w:type="default" r:id="rId17"/>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C7CD7" w14:textId="77777777" w:rsidR="007F2FA4" w:rsidRDefault="007F2FA4" w:rsidP="006A12FA">
      <w:r>
        <w:separator/>
      </w:r>
    </w:p>
  </w:endnote>
  <w:endnote w:type="continuationSeparator" w:id="0">
    <w:p w14:paraId="6B1C3C2F" w14:textId="77777777" w:rsidR="007F2FA4" w:rsidRDefault="007F2FA4" w:rsidP="006A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0D52D" w14:textId="77777777" w:rsidR="00D55667" w:rsidRDefault="00D55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BA53" w14:textId="2D9FB8CC" w:rsidR="007F2FA4" w:rsidRPr="0066134E" w:rsidRDefault="007F2FA4" w:rsidP="006A12FA">
    <w:pPr>
      <w:pStyle w:val="Footer"/>
      <w:tabs>
        <w:tab w:val="clear" w:pos="4507"/>
        <w:tab w:val="clear" w:pos="9000"/>
        <w:tab w:val="right" w:pos="9360"/>
      </w:tabs>
    </w:pPr>
    <w:r w:rsidRPr="0066134E">
      <w:rPr>
        <w:rStyle w:val="PageNumber"/>
        <w:b/>
      </w:rPr>
      <w:tab/>
    </w:r>
    <w:r>
      <w:rPr>
        <w:rStyle w:val="PageNumber"/>
        <w:b/>
      </w:rPr>
      <w:t xml:space="preserve">Table of </w:t>
    </w:r>
    <w:r>
      <w:t>Contents</w:t>
    </w:r>
    <w:r>
      <w:rPr>
        <w:rStyle w:val="PageNumber"/>
        <w:b/>
      </w:rPr>
      <w:t xml:space="preserve">  </w:t>
    </w:r>
    <w:r>
      <w:rPr>
        <w:rStyle w:val="PageNumber"/>
        <w:rFonts w:cs="Arial"/>
        <w:b/>
      </w:rPr>
      <w:t>▌</w:t>
    </w:r>
    <w:r>
      <w:rPr>
        <w:rStyle w:val="PageNumber"/>
        <w:b/>
      </w:rPr>
      <w:t>pg.</w:t>
    </w:r>
    <w:r w:rsidRPr="006A12FA">
      <w:rPr>
        <w:rStyle w:val="PageNumber"/>
        <w:b/>
        <w:color w:val="DA291C" w:themeColor="accent1"/>
      </w:rPr>
      <w:t xml:space="preserve"> </w:t>
    </w:r>
    <w:r w:rsidRPr="006A12FA">
      <w:rPr>
        <w:rStyle w:val="PageNumber"/>
        <w:b/>
        <w:color w:val="DA291C" w:themeColor="accent1"/>
      </w:rPr>
      <w:fldChar w:fldCharType="begin"/>
    </w:r>
    <w:r w:rsidRPr="006A12FA">
      <w:rPr>
        <w:rStyle w:val="PageNumber"/>
        <w:b/>
        <w:color w:val="DA291C" w:themeColor="accent1"/>
      </w:rPr>
      <w:instrText xml:space="preserve"> PAGE   \* MERGEFORMAT </w:instrText>
    </w:r>
    <w:r w:rsidRPr="006A12FA">
      <w:rPr>
        <w:rStyle w:val="PageNumber"/>
        <w:b/>
        <w:color w:val="DA291C" w:themeColor="accent1"/>
      </w:rPr>
      <w:fldChar w:fldCharType="separate"/>
    </w:r>
    <w:r w:rsidR="006A0B87">
      <w:rPr>
        <w:rStyle w:val="PageNumber"/>
        <w:b/>
        <w:noProof/>
        <w:color w:val="DA291C" w:themeColor="accent1"/>
      </w:rPr>
      <w:t>ii</w:t>
    </w:r>
    <w:r w:rsidRPr="006A12FA">
      <w:rPr>
        <w:rStyle w:val="PageNumber"/>
        <w:b/>
        <w:noProof/>
        <w:color w:val="DA291C"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166C" w14:textId="77777777" w:rsidR="00D55667" w:rsidRDefault="00D55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CFF9C" w14:textId="6F4CA7A4" w:rsidR="007F2FA4" w:rsidRPr="0066134E" w:rsidRDefault="007F2FA4" w:rsidP="006A12FA">
    <w:pPr>
      <w:pStyle w:val="Footer"/>
      <w:tabs>
        <w:tab w:val="clear" w:pos="4507"/>
        <w:tab w:val="clear" w:pos="9000"/>
        <w:tab w:val="right" w:pos="9360"/>
      </w:tabs>
    </w:pPr>
    <w:r w:rsidRPr="0066134E">
      <w:rPr>
        <w:rStyle w:val="PageNumber"/>
        <w:b/>
      </w:rPr>
      <w:tab/>
    </w:r>
    <w:r w:rsidRPr="006A12FA">
      <w:rPr>
        <w:rStyle w:val="PageNumber"/>
        <w:b/>
      </w:rPr>
      <w:t>Part B:</w:t>
    </w:r>
    <w:r>
      <w:rPr>
        <w:rStyle w:val="PageNumber"/>
        <w:b/>
      </w:rPr>
      <w:t xml:space="preserve"> </w:t>
    </w:r>
    <w:r w:rsidRPr="006A12FA">
      <w:rPr>
        <w:rStyle w:val="PageNumber"/>
        <w:b/>
      </w:rPr>
      <w:t>Collection of Information Employing Statistical Methods</w:t>
    </w:r>
    <w:r>
      <w:rPr>
        <w:rStyle w:val="PageNumber"/>
        <w:b/>
      </w:rPr>
      <w:t xml:space="preserve">  </w:t>
    </w:r>
    <w:r>
      <w:rPr>
        <w:rStyle w:val="PageNumber"/>
        <w:rFonts w:cs="Arial"/>
        <w:b/>
      </w:rPr>
      <w:t>▌</w:t>
    </w:r>
    <w:r>
      <w:rPr>
        <w:rStyle w:val="PageNumber"/>
        <w:b/>
      </w:rPr>
      <w:t>pg.</w:t>
    </w:r>
    <w:r w:rsidRPr="006A12FA">
      <w:rPr>
        <w:rStyle w:val="PageNumber"/>
        <w:b/>
        <w:color w:val="DA291C" w:themeColor="accent1"/>
      </w:rPr>
      <w:t xml:space="preserve"> </w:t>
    </w:r>
    <w:r w:rsidRPr="006A12FA">
      <w:rPr>
        <w:rStyle w:val="PageNumber"/>
        <w:b/>
        <w:color w:val="DA291C" w:themeColor="accent1"/>
      </w:rPr>
      <w:fldChar w:fldCharType="begin"/>
    </w:r>
    <w:r w:rsidRPr="006A12FA">
      <w:rPr>
        <w:rStyle w:val="PageNumber"/>
        <w:b/>
        <w:color w:val="DA291C" w:themeColor="accent1"/>
      </w:rPr>
      <w:instrText xml:space="preserve"> PAGE   \* MERGEFORMAT </w:instrText>
    </w:r>
    <w:r w:rsidRPr="006A12FA">
      <w:rPr>
        <w:rStyle w:val="PageNumber"/>
        <w:b/>
        <w:color w:val="DA291C" w:themeColor="accent1"/>
      </w:rPr>
      <w:fldChar w:fldCharType="separate"/>
    </w:r>
    <w:r w:rsidR="006A0B87">
      <w:rPr>
        <w:rStyle w:val="PageNumber"/>
        <w:b/>
        <w:noProof/>
        <w:color w:val="DA291C" w:themeColor="accent1"/>
      </w:rPr>
      <w:t>1</w:t>
    </w:r>
    <w:r w:rsidRPr="006A12FA">
      <w:rPr>
        <w:rStyle w:val="PageNumber"/>
        <w:b/>
        <w:noProof/>
        <w:color w:val="DA291C"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A4E8" w14:textId="77777777" w:rsidR="007F2FA4" w:rsidRDefault="007F2FA4" w:rsidP="006A12FA">
      <w:r>
        <w:separator/>
      </w:r>
    </w:p>
  </w:footnote>
  <w:footnote w:type="continuationSeparator" w:id="0">
    <w:p w14:paraId="1A25C331" w14:textId="77777777" w:rsidR="007F2FA4" w:rsidRDefault="007F2FA4" w:rsidP="006A12FA">
      <w:r>
        <w:continuationSeparator/>
      </w:r>
    </w:p>
  </w:footnote>
  <w:footnote w:id="1">
    <w:p w14:paraId="5848D0DB" w14:textId="77777777" w:rsidR="007F2FA4" w:rsidRDefault="007F2FA4" w:rsidP="0041663D">
      <w:pPr>
        <w:pStyle w:val="FootnoteText"/>
      </w:pPr>
      <w:r>
        <w:rPr>
          <w:rStyle w:val="FootnoteReference"/>
        </w:rPr>
        <w:footnoteRef/>
      </w:r>
      <w:r>
        <w:t xml:space="preserve"> </w:t>
      </w:r>
      <w:r>
        <w:tab/>
      </w:r>
      <w:r w:rsidRPr="002D1525">
        <w:t xml:space="preserve">The final enrollment count for the study </w:t>
      </w:r>
      <w:r>
        <w:t>was</w:t>
      </w:r>
      <w:r w:rsidRPr="002D1525">
        <w:t xml:space="preserve"> 2,307 families</w:t>
      </w:r>
      <w:r>
        <w:t xml:space="preserve">. </w:t>
      </w:r>
      <w:r w:rsidRPr="002D1525">
        <w:t>However, upon reviewing baseline data collected, the research team determined that 25 families had been enrolled in error and did not satisfy the family eligibility requirement</w:t>
      </w:r>
      <w:r>
        <w:t xml:space="preserve"> of having </w:t>
      </w:r>
      <w:r w:rsidRPr="002D1525">
        <w:t>at least one child age 15 or younger.</w:t>
      </w:r>
      <w:r>
        <w:t xml:space="preserve"> </w:t>
      </w:r>
      <w:r w:rsidRPr="002D1525">
        <w:t>These 25 families</w:t>
      </w:r>
      <w:r>
        <w:t>, scattered at random among the four random assignment arms in the study design,</w:t>
      </w:r>
      <w:r w:rsidRPr="002D1525">
        <w:t xml:space="preserve"> have been removed from the research sample</w:t>
      </w:r>
      <w:r>
        <w:t xml:space="preserve"> without skewing the statistical equivalence of the arms,</w:t>
      </w:r>
      <w:r w:rsidRPr="002D1525">
        <w:t xml:space="preserve"> leaving 2,282</w:t>
      </w:r>
      <w:r>
        <w:t xml:space="preserve"> families</w:t>
      </w:r>
      <w:r w:rsidRPr="002D1525">
        <w:t>.</w:t>
      </w:r>
      <w:r>
        <w:t xml:space="preserve"> </w:t>
      </w:r>
    </w:p>
  </w:footnote>
  <w:footnote w:id="2">
    <w:p w14:paraId="7C814283" w14:textId="77777777" w:rsidR="007F2FA4" w:rsidRDefault="007F2FA4" w:rsidP="00421DA0">
      <w:pPr>
        <w:pStyle w:val="FootnoteText"/>
      </w:pPr>
      <w:r>
        <w:rPr>
          <w:rStyle w:val="FootnoteReference"/>
        </w:rPr>
        <w:footnoteRef/>
      </w:r>
      <w:r>
        <w:tab/>
        <w:t xml:space="preserve">The term </w:t>
      </w:r>
      <w:r w:rsidRPr="003562A1">
        <w:rPr>
          <w:i/>
        </w:rPr>
        <w:t>slot</w:t>
      </w:r>
      <w:r>
        <w:t xml:space="preserve"> refers to opportunities for placement in a study intervention. For SUB intervention, a slot refers to a housing choice voucher or a unit in a public housing or project-based assisted development. For the PBTH intervention, a slot refers to a family’s housing unit or space at a transitional housing facility. For the CBRR intervention, a slot refers to rental assistance provided to the family to subsidize the rent of a housing unit in the community. When we refer to an intervention slot as available, we mean that there was an open space for a family to be placed in that study intervention.</w:t>
      </w:r>
    </w:p>
  </w:footnote>
  <w:footnote w:id="3">
    <w:p w14:paraId="05E19D72" w14:textId="77777777" w:rsidR="007F2FA4" w:rsidRDefault="007F2FA4" w:rsidP="00421DA0">
      <w:pPr>
        <w:pStyle w:val="FootnoteText"/>
      </w:pPr>
      <w:r>
        <w:rPr>
          <w:rStyle w:val="FootnoteReference"/>
        </w:rPr>
        <w:footnoteRef/>
      </w:r>
      <w:r>
        <w:t xml:space="preserve"> </w:t>
      </w:r>
      <w:r>
        <w:tab/>
        <w:t>Initially, random assignment was contingent upon family eligibility for available slots in at least three of the four interventions, in order to maximize the number of experimental comparisons that each family could be included in. In August 2011, this condition was relaxed to two of the four interventions in order to take full advantage of service slots that had been reserved for families in the study. Sometimes it took longer to utilize all of the slots for one intervention type than others. In those instances, as one intervention type—CBRR for example—was fully utilized, but another intervention type had slots remaining—SUB for example—we relaxed the requirement in order to take advantage of the slots reserved for the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3757" w14:textId="77777777" w:rsidR="00D55667" w:rsidRDefault="00D55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550D" w14:textId="77777777" w:rsidR="007F2FA4" w:rsidRPr="00333DCE" w:rsidRDefault="007F2FA4" w:rsidP="006A12FA">
    <w:pPr>
      <w:pStyle w:val="Header"/>
    </w:pPr>
    <w:r w:rsidRPr="007459F0">
      <w:t xml:space="preserve">Family Options Study </w:t>
    </w:r>
    <w:r>
      <w:t>Long Term Tracking</w:t>
    </w:r>
    <w:r w:rsidRPr="007459F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31B8" w14:textId="77777777" w:rsidR="00D55667" w:rsidRDefault="00D55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0F0EB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506B83"/>
    <w:multiLevelType w:val="hybridMultilevel"/>
    <w:tmpl w:val="AD562E9C"/>
    <w:lvl w:ilvl="0" w:tplc="CE24DCBC">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050BC"/>
    <w:multiLevelType w:val="hybridMultilevel"/>
    <w:tmpl w:val="2B98D3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15:restartNumberingAfterBreak="0">
    <w:nsid w:val="27B05280"/>
    <w:multiLevelType w:val="hybridMultilevel"/>
    <w:tmpl w:val="1708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87BE7"/>
    <w:multiLevelType w:val="hybridMultilevel"/>
    <w:tmpl w:val="48569888"/>
    <w:lvl w:ilvl="0" w:tplc="24D0AC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C44B5"/>
    <w:multiLevelType w:val="hybridMultilevel"/>
    <w:tmpl w:val="1D50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D33C4"/>
    <w:multiLevelType w:val="multilevel"/>
    <w:tmpl w:val="E0B876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F91314"/>
    <w:multiLevelType w:val="hybridMultilevel"/>
    <w:tmpl w:val="28E2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072C5"/>
    <w:multiLevelType w:val="hybridMultilevel"/>
    <w:tmpl w:val="C79E8828"/>
    <w:lvl w:ilvl="0" w:tplc="A0EE4D02">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20C14"/>
    <w:multiLevelType w:val="hybridMultilevel"/>
    <w:tmpl w:val="1240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C12B2"/>
    <w:multiLevelType w:val="hybridMultilevel"/>
    <w:tmpl w:val="EF449C48"/>
    <w:lvl w:ilvl="0" w:tplc="CE24DCBC">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B67F77"/>
    <w:multiLevelType w:val="hybridMultilevel"/>
    <w:tmpl w:val="A106E546"/>
    <w:lvl w:ilvl="0" w:tplc="3298636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15:restartNumberingAfterBreak="0">
    <w:nsid w:val="76905508"/>
    <w:multiLevelType w:val="hybridMultilevel"/>
    <w:tmpl w:val="9B1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63DA6"/>
    <w:multiLevelType w:val="singleLevel"/>
    <w:tmpl w:val="6910EA90"/>
    <w:lvl w:ilvl="0">
      <w:start w:val="1"/>
      <w:numFmt w:val="bullet"/>
      <w:pStyle w:val="Bullets"/>
      <w:lvlText w:val=""/>
      <w:lvlJc w:val="left"/>
      <w:pPr>
        <w:ind w:left="360" w:hanging="360"/>
      </w:pPr>
      <w:rPr>
        <w:rFonts w:ascii="Symbol" w:hAnsi="Symbol" w:hint="default"/>
        <w:color w:val="DA291C"/>
        <w:sz w:val="22"/>
      </w:rPr>
    </w:lvl>
  </w:abstractNum>
  <w:abstractNum w:abstractNumId="20" w15:restartNumberingAfterBreak="0">
    <w:nsid w:val="7D0A36CA"/>
    <w:multiLevelType w:val="hybridMultilevel"/>
    <w:tmpl w:val="2FFC2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B4278F"/>
    <w:multiLevelType w:val="hybridMultilevel"/>
    <w:tmpl w:val="80C8DEA2"/>
    <w:lvl w:ilvl="0" w:tplc="04090001">
      <w:start w:val="1"/>
      <w:numFmt w:val="bullet"/>
      <w:lvlText w:val=""/>
      <w:lvlJc w:val="left"/>
      <w:pPr>
        <w:tabs>
          <w:tab w:val="num" w:pos="720"/>
        </w:tabs>
        <w:ind w:left="720" w:hanging="360"/>
      </w:pPr>
      <w:rPr>
        <w:rFonts w:ascii="Symbol" w:hAnsi="Symbol" w:hint="default"/>
      </w:rPr>
    </w:lvl>
    <w:lvl w:ilvl="1" w:tplc="6A0CD55C">
      <w:start w:val="1"/>
      <w:numFmt w:val="bullet"/>
      <w:pStyle w:val="Sub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136708"/>
    <w:multiLevelType w:val="hybridMultilevel"/>
    <w:tmpl w:val="DF3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F753D"/>
    <w:multiLevelType w:val="hybridMultilevel"/>
    <w:tmpl w:val="64A0E984"/>
    <w:lvl w:ilvl="0" w:tplc="13506B58">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9"/>
  </w:num>
  <w:num w:numId="4">
    <w:abstractNumId w:val="8"/>
  </w:num>
  <w:num w:numId="5">
    <w:abstractNumId w:val="23"/>
  </w:num>
  <w:num w:numId="6">
    <w:abstractNumId w:val="5"/>
  </w:num>
  <w:num w:numId="7">
    <w:abstractNumId w:val="15"/>
  </w:num>
  <w:num w:numId="8">
    <w:abstractNumId w:val="3"/>
  </w:num>
  <w:num w:numId="9">
    <w:abstractNumId w:val="9"/>
  </w:num>
  <w:num w:numId="10">
    <w:abstractNumId w:val="21"/>
  </w:num>
  <w:num w:numId="11">
    <w:abstractNumId w:val="14"/>
  </w:num>
  <w:num w:numId="12">
    <w:abstractNumId w:val="22"/>
  </w:num>
  <w:num w:numId="13">
    <w:abstractNumId w:val="10"/>
  </w:num>
  <w:num w:numId="14">
    <w:abstractNumId w:val="12"/>
  </w:num>
  <w:num w:numId="15">
    <w:abstractNumId w:val="0"/>
  </w:num>
  <w:num w:numId="16">
    <w:abstractNumId w:val="16"/>
  </w:num>
  <w:num w:numId="17">
    <w:abstractNumId w:val="18"/>
  </w:num>
  <w:num w:numId="18">
    <w:abstractNumId w:val="20"/>
  </w:num>
  <w:num w:numId="19">
    <w:abstractNumId w:val="7"/>
  </w:num>
  <w:num w:numId="20">
    <w:abstractNumId w:val="13"/>
  </w:num>
  <w:num w:numId="21">
    <w:abstractNumId w:val="4"/>
    <w:lvlOverride w:ilvl="0">
      <w:startOverride w:val="1"/>
    </w:lvlOverride>
  </w:num>
  <w:num w:numId="22">
    <w:abstractNumId w:val="11"/>
  </w:num>
  <w:num w:numId="23">
    <w:abstractNumId w:val="1"/>
  </w:num>
  <w:num w:numId="24">
    <w:abstractNumId w:val="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396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81"/>
    <w:rsid w:val="00000BFC"/>
    <w:rsid w:val="00003A2C"/>
    <w:rsid w:val="00006B3A"/>
    <w:rsid w:val="00007D50"/>
    <w:rsid w:val="00011AB6"/>
    <w:rsid w:val="000136F3"/>
    <w:rsid w:val="00016E17"/>
    <w:rsid w:val="0002216E"/>
    <w:rsid w:val="00040BF1"/>
    <w:rsid w:val="00040E00"/>
    <w:rsid w:val="00046728"/>
    <w:rsid w:val="000525E0"/>
    <w:rsid w:val="00053EEF"/>
    <w:rsid w:val="000543DC"/>
    <w:rsid w:val="00055022"/>
    <w:rsid w:val="000601C4"/>
    <w:rsid w:val="0006045E"/>
    <w:rsid w:val="0006587B"/>
    <w:rsid w:val="00070322"/>
    <w:rsid w:val="00082052"/>
    <w:rsid w:val="00082D01"/>
    <w:rsid w:val="00086806"/>
    <w:rsid w:val="00087856"/>
    <w:rsid w:val="000902AA"/>
    <w:rsid w:val="00095D40"/>
    <w:rsid w:val="000A00A2"/>
    <w:rsid w:val="000A028A"/>
    <w:rsid w:val="000A032C"/>
    <w:rsid w:val="000A0B6B"/>
    <w:rsid w:val="000A7D69"/>
    <w:rsid w:val="000B33D1"/>
    <w:rsid w:val="000B7B7B"/>
    <w:rsid w:val="000B7EC0"/>
    <w:rsid w:val="000C0A39"/>
    <w:rsid w:val="000C3040"/>
    <w:rsid w:val="000D06E5"/>
    <w:rsid w:val="000D1FB5"/>
    <w:rsid w:val="000D3802"/>
    <w:rsid w:val="000D4116"/>
    <w:rsid w:val="000D53F1"/>
    <w:rsid w:val="000D5777"/>
    <w:rsid w:val="000E34FE"/>
    <w:rsid w:val="000E6B75"/>
    <w:rsid w:val="000F53F4"/>
    <w:rsid w:val="000F74CD"/>
    <w:rsid w:val="00100729"/>
    <w:rsid w:val="00102844"/>
    <w:rsid w:val="001034D7"/>
    <w:rsid w:val="00104DE0"/>
    <w:rsid w:val="00104F2A"/>
    <w:rsid w:val="00107A04"/>
    <w:rsid w:val="0011170B"/>
    <w:rsid w:val="00112D25"/>
    <w:rsid w:val="00112D55"/>
    <w:rsid w:val="00114AA5"/>
    <w:rsid w:val="001164A8"/>
    <w:rsid w:val="001178CA"/>
    <w:rsid w:val="00127AC4"/>
    <w:rsid w:val="001307A5"/>
    <w:rsid w:val="00141F90"/>
    <w:rsid w:val="00152153"/>
    <w:rsid w:val="00154CB2"/>
    <w:rsid w:val="001562CF"/>
    <w:rsid w:val="00157E04"/>
    <w:rsid w:val="001677DC"/>
    <w:rsid w:val="00172119"/>
    <w:rsid w:val="00174466"/>
    <w:rsid w:val="00174D6C"/>
    <w:rsid w:val="00182414"/>
    <w:rsid w:val="00183534"/>
    <w:rsid w:val="00187AFF"/>
    <w:rsid w:val="00193798"/>
    <w:rsid w:val="00193F50"/>
    <w:rsid w:val="001944C7"/>
    <w:rsid w:val="001A23B5"/>
    <w:rsid w:val="001A250C"/>
    <w:rsid w:val="001A403F"/>
    <w:rsid w:val="001A4633"/>
    <w:rsid w:val="001B4509"/>
    <w:rsid w:val="001C0891"/>
    <w:rsid w:val="001C10AF"/>
    <w:rsid w:val="001C5133"/>
    <w:rsid w:val="001C5146"/>
    <w:rsid w:val="001C6EB5"/>
    <w:rsid w:val="001D1118"/>
    <w:rsid w:val="001D1359"/>
    <w:rsid w:val="001D1637"/>
    <w:rsid w:val="001D4FDD"/>
    <w:rsid w:val="001E1EA0"/>
    <w:rsid w:val="001E3092"/>
    <w:rsid w:val="001E549C"/>
    <w:rsid w:val="00200E58"/>
    <w:rsid w:val="00203259"/>
    <w:rsid w:val="002036E8"/>
    <w:rsid w:val="00205ACF"/>
    <w:rsid w:val="002064D3"/>
    <w:rsid w:val="002106BF"/>
    <w:rsid w:val="00211ACC"/>
    <w:rsid w:val="00212CA9"/>
    <w:rsid w:val="00221485"/>
    <w:rsid w:val="002216AD"/>
    <w:rsid w:val="00221D99"/>
    <w:rsid w:val="00223A9F"/>
    <w:rsid w:val="0022479D"/>
    <w:rsid w:val="0022674D"/>
    <w:rsid w:val="00227977"/>
    <w:rsid w:val="0023449A"/>
    <w:rsid w:val="00235F88"/>
    <w:rsid w:val="00245ABE"/>
    <w:rsid w:val="0024783D"/>
    <w:rsid w:val="002546E1"/>
    <w:rsid w:val="00255975"/>
    <w:rsid w:val="00257242"/>
    <w:rsid w:val="00262399"/>
    <w:rsid w:val="002702F7"/>
    <w:rsid w:val="00273EAA"/>
    <w:rsid w:val="00276702"/>
    <w:rsid w:val="00281605"/>
    <w:rsid w:val="0028245D"/>
    <w:rsid w:val="0028328D"/>
    <w:rsid w:val="002838F5"/>
    <w:rsid w:val="00285BB6"/>
    <w:rsid w:val="00286574"/>
    <w:rsid w:val="00291F54"/>
    <w:rsid w:val="0029491C"/>
    <w:rsid w:val="00295E58"/>
    <w:rsid w:val="002A20B4"/>
    <w:rsid w:val="002A4388"/>
    <w:rsid w:val="002A5770"/>
    <w:rsid w:val="002A5CE0"/>
    <w:rsid w:val="002A637E"/>
    <w:rsid w:val="002B1BC9"/>
    <w:rsid w:val="002B2F3C"/>
    <w:rsid w:val="002B39B4"/>
    <w:rsid w:val="002C32AB"/>
    <w:rsid w:val="002C41F9"/>
    <w:rsid w:val="002C4495"/>
    <w:rsid w:val="002C5AC8"/>
    <w:rsid w:val="002C6D76"/>
    <w:rsid w:val="002C76AB"/>
    <w:rsid w:val="002D1525"/>
    <w:rsid w:val="002D2113"/>
    <w:rsid w:val="002D4536"/>
    <w:rsid w:val="002D6124"/>
    <w:rsid w:val="002E0E89"/>
    <w:rsid w:val="002E4913"/>
    <w:rsid w:val="002E59F4"/>
    <w:rsid w:val="002F48C8"/>
    <w:rsid w:val="002F55CE"/>
    <w:rsid w:val="002F76F5"/>
    <w:rsid w:val="002F79C1"/>
    <w:rsid w:val="00307548"/>
    <w:rsid w:val="00314A8A"/>
    <w:rsid w:val="0031655B"/>
    <w:rsid w:val="0032112F"/>
    <w:rsid w:val="00324EC2"/>
    <w:rsid w:val="003279F2"/>
    <w:rsid w:val="003336EC"/>
    <w:rsid w:val="00333DCE"/>
    <w:rsid w:val="00342BA9"/>
    <w:rsid w:val="00344483"/>
    <w:rsid w:val="0034493A"/>
    <w:rsid w:val="003455BC"/>
    <w:rsid w:val="003544C6"/>
    <w:rsid w:val="003623F0"/>
    <w:rsid w:val="00365245"/>
    <w:rsid w:val="00370164"/>
    <w:rsid w:val="003711CD"/>
    <w:rsid w:val="00380C39"/>
    <w:rsid w:val="00380DB1"/>
    <w:rsid w:val="0038239C"/>
    <w:rsid w:val="00383BFC"/>
    <w:rsid w:val="00384611"/>
    <w:rsid w:val="00384CA0"/>
    <w:rsid w:val="003870BA"/>
    <w:rsid w:val="00395A89"/>
    <w:rsid w:val="00397DF1"/>
    <w:rsid w:val="00397E7F"/>
    <w:rsid w:val="003A18C1"/>
    <w:rsid w:val="003A2FA8"/>
    <w:rsid w:val="003A3403"/>
    <w:rsid w:val="003B1B46"/>
    <w:rsid w:val="003B4503"/>
    <w:rsid w:val="003B4770"/>
    <w:rsid w:val="003C1BC1"/>
    <w:rsid w:val="003C20BF"/>
    <w:rsid w:val="003D2C2E"/>
    <w:rsid w:val="003D3F31"/>
    <w:rsid w:val="003D5616"/>
    <w:rsid w:val="003D7C9F"/>
    <w:rsid w:val="003E53CB"/>
    <w:rsid w:val="003E666B"/>
    <w:rsid w:val="003F3E19"/>
    <w:rsid w:val="0041663D"/>
    <w:rsid w:val="004215A7"/>
    <w:rsid w:val="00421DA0"/>
    <w:rsid w:val="00422AC2"/>
    <w:rsid w:val="00423092"/>
    <w:rsid w:val="004253E8"/>
    <w:rsid w:val="004279D4"/>
    <w:rsid w:val="00427EA9"/>
    <w:rsid w:val="0043080C"/>
    <w:rsid w:val="00430E23"/>
    <w:rsid w:val="004319BC"/>
    <w:rsid w:val="004350B0"/>
    <w:rsid w:val="004365B7"/>
    <w:rsid w:val="00436CE5"/>
    <w:rsid w:val="0044551C"/>
    <w:rsid w:val="00450819"/>
    <w:rsid w:val="004522D8"/>
    <w:rsid w:val="0045471C"/>
    <w:rsid w:val="004610BF"/>
    <w:rsid w:val="00466679"/>
    <w:rsid w:val="00466CA6"/>
    <w:rsid w:val="00470AB4"/>
    <w:rsid w:val="00472E16"/>
    <w:rsid w:val="004734DF"/>
    <w:rsid w:val="00476DAB"/>
    <w:rsid w:val="00484465"/>
    <w:rsid w:val="00486943"/>
    <w:rsid w:val="00491E9C"/>
    <w:rsid w:val="0049251E"/>
    <w:rsid w:val="004940EF"/>
    <w:rsid w:val="00495B91"/>
    <w:rsid w:val="00497603"/>
    <w:rsid w:val="004A1CAE"/>
    <w:rsid w:val="004A5408"/>
    <w:rsid w:val="004B0536"/>
    <w:rsid w:val="004B7B93"/>
    <w:rsid w:val="004C18DF"/>
    <w:rsid w:val="004C29E5"/>
    <w:rsid w:val="004C2B46"/>
    <w:rsid w:val="004C3A69"/>
    <w:rsid w:val="004C59C1"/>
    <w:rsid w:val="004D4C6D"/>
    <w:rsid w:val="004D75E0"/>
    <w:rsid w:val="004D7F16"/>
    <w:rsid w:val="004E01A4"/>
    <w:rsid w:val="004E3A83"/>
    <w:rsid w:val="004E7883"/>
    <w:rsid w:val="004F6742"/>
    <w:rsid w:val="004F709B"/>
    <w:rsid w:val="00500550"/>
    <w:rsid w:val="00501B45"/>
    <w:rsid w:val="00503049"/>
    <w:rsid w:val="005051B2"/>
    <w:rsid w:val="00505B31"/>
    <w:rsid w:val="005074A0"/>
    <w:rsid w:val="00511C74"/>
    <w:rsid w:val="0051202E"/>
    <w:rsid w:val="00524402"/>
    <w:rsid w:val="00533C8C"/>
    <w:rsid w:val="00533CB7"/>
    <w:rsid w:val="00534B03"/>
    <w:rsid w:val="00534C33"/>
    <w:rsid w:val="005365DE"/>
    <w:rsid w:val="00536DB4"/>
    <w:rsid w:val="0054025D"/>
    <w:rsid w:val="00546D90"/>
    <w:rsid w:val="00550015"/>
    <w:rsid w:val="0055123E"/>
    <w:rsid w:val="0055285A"/>
    <w:rsid w:val="00552B8A"/>
    <w:rsid w:val="005536A8"/>
    <w:rsid w:val="00555D44"/>
    <w:rsid w:val="005606C2"/>
    <w:rsid w:val="005765CC"/>
    <w:rsid w:val="00577206"/>
    <w:rsid w:val="00583C3A"/>
    <w:rsid w:val="00585CA4"/>
    <w:rsid w:val="00597948"/>
    <w:rsid w:val="005A105C"/>
    <w:rsid w:val="005A5FBC"/>
    <w:rsid w:val="005B1AC5"/>
    <w:rsid w:val="005B6A25"/>
    <w:rsid w:val="005C0235"/>
    <w:rsid w:val="005C4647"/>
    <w:rsid w:val="005D59B5"/>
    <w:rsid w:val="005E0CF2"/>
    <w:rsid w:val="005E2AEA"/>
    <w:rsid w:val="005E71E8"/>
    <w:rsid w:val="005F21BD"/>
    <w:rsid w:val="005F3780"/>
    <w:rsid w:val="005F42BB"/>
    <w:rsid w:val="005F649C"/>
    <w:rsid w:val="00605502"/>
    <w:rsid w:val="00607775"/>
    <w:rsid w:val="006122D8"/>
    <w:rsid w:val="0061247A"/>
    <w:rsid w:val="00615938"/>
    <w:rsid w:val="00623FFB"/>
    <w:rsid w:val="006251AE"/>
    <w:rsid w:val="00627479"/>
    <w:rsid w:val="00627B03"/>
    <w:rsid w:val="0063014E"/>
    <w:rsid w:val="006314E2"/>
    <w:rsid w:val="006325E3"/>
    <w:rsid w:val="006425D8"/>
    <w:rsid w:val="0065112D"/>
    <w:rsid w:val="006611B8"/>
    <w:rsid w:val="0066134E"/>
    <w:rsid w:val="00663E49"/>
    <w:rsid w:val="00671CCA"/>
    <w:rsid w:val="006814BB"/>
    <w:rsid w:val="00683E9F"/>
    <w:rsid w:val="006840EB"/>
    <w:rsid w:val="006873BE"/>
    <w:rsid w:val="00687471"/>
    <w:rsid w:val="00690E2E"/>
    <w:rsid w:val="0069342C"/>
    <w:rsid w:val="006A0525"/>
    <w:rsid w:val="006A0B87"/>
    <w:rsid w:val="006A12FA"/>
    <w:rsid w:val="006A541C"/>
    <w:rsid w:val="006A5B3B"/>
    <w:rsid w:val="006A7A5C"/>
    <w:rsid w:val="006B309C"/>
    <w:rsid w:val="006B5891"/>
    <w:rsid w:val="006C245B"/>
    <w:rsid w:val="006C6846"/>
    <w:rsid w:val="006D2DD0"/>
    <w:rsid w:val="006D406B"/>
    <w:rsid w:val="006D554F"/>
    <w:rsid w:val="006E0BE8"/>
    <w:rsid w:val="006E2B32"/>
    <w:rsid w:val="006F4518"/>
    <w:rsid w:val="006F568F"/>
    <w:rsid w:val="007057ED"/>
    <w:rsid w:val="0070672F"/>
    <w:rsid w:val="007105A6"/>
    <w:rsid w:val="00713A19"/>
    <w:rsid w:val="00715417"/>
    <w:rsid w:val="00717735"/>
    <w:rsid w:val="00723F5F"/>
    <w:rsid w:val="00726162"/>
    <w:rsid w:val="00726DD4"/>
    <w:rsid w:val="00727882"/>
    <w:rsid w:val="00730F56"/>
    <w:rsid w:val="00734D77"/>
    <w:rsid w:val="00740DE2"/>
    <w:rsid w:val="00741AE7"/>
    <w:rsid w:val="007459F0"/>
    <w:rsid w:val="00750C7E"/>
    <w:rsid w:val="00752119"/>
    <w:rsid w:val="00754375"/>
    <w:rsid w:val="00754408"/>
    <w:rsid w:val="007552F5"/>
    <w:rsid w:val="007555FA"/>
    <w:rsid w:val="007557C4"/>
    <w:rsid w:val="00755F33"/>
    <w:rsid w:val="00761365"/>
    <w:rsid w:val="0076264C"/>
    <w:rsid w:val="00763CCC"/>
    <w:rsid w:val="00776C72"/>
    <w:rsid w:val="0078258F"/>
    <w:rsid w:val="007846BC"/>
    <w:rsid w:val="00794B6E"/>
    <w:rsid w:val="007969A4"/>
    <w:rsid w:val="00797526"/>
    <w:rsid w:val="007A0114"/>
    <w:rsid w:val="007A09CF"/>
    <w:rsid w:val="007A0DCD"/>
    <w:rsid w:val="007A1CC4"/>
    <w:rsid w:val="007A58AE"/>
    <w:rsid w:val="007B1321"/>
    <w:rsid w:val="007B1904"/>
    <w:rsid w:val="007C7863"/>
    <w:rsid w:val="007D0F43"/>
    <w:rsid w:val="007D6370"/>
    <w:rsid w:val="007E092F"/>
    <w:rsid w:val="007E5EC0"/>
    <w:rsid w:val="007F0C40"/>
    <w:rsid w:val="007F2FA4"/>
    <w:rsid w:val="007F3BF9"/>
    <w:rsid w:val="0080098A"/>
    <w:rsid w:val="00801761"/>
    <w:rsid w:val="0080681C"/>
    <w:rsid w:val="00810F21"/>
    <w:rsid w:val="008111EB"/>
    <w:rsid w:val="008130C9"/>
    <w:rsid w:val="00813D02"/>
    <w:rsid w:val="00814833"/>
    <w:rsid w:val="00817DEE"/>
    <w:rsid w:val="008222AD"/>
    <w:rsid w:val="008237C5"/>
    <w:rsid w:val="00825090"/>
    <w:rsid w:val="008263AE"/>
    <w:rsid w:val="0083104D"/>
    <w:rsid w:val="008349AE"/>
    <w:rsid w:val="00840DD8"/>
    <w:rsid w:val="00845910"/>
    <w:rsid w:val="00846D77"/>
    <w:rsid w:val="0084761F"/>
    <w:rsid w:val="00852480"/>
    <w:rsid w:val="00856632"/>
    <w:rsid w:val="008576B6"/>
    <w:rsid w:val="0088141B"/>
    <w:rsid w:val="00881FF1"/>
    <w:rsid w:val="00884500"/>
    <w:rsid w:val="00894C24"/>
    <w:rsid w:val="008965BE"/>
    <w:rsid w:val="008A00A2"/>
    <w:rsid w:val="008A0FBF"/>
    <w:rsid w:val="008B0543"/>
    <w:rsid w:val="008C0280"/>
    <w:rsid w:val="008C1E1C"/>
    <w:rsid w:val="008C2D97"/>
    <w:rsid w:val="008C3505"/>
    <w:rsid w:val="008C5A76"/>
    <w:rsid w:val="008D30BB"/>
    <w:rsid w:val="008D30EA"/>
    <w:rsid w:val="008D55C8"/>
    <w:rsid w:val="008D5E2F"/>
    <w:rsid w:val="008E00A0"/>
    <w:rsid w:val="008E20DE"/>
    <w:rsid w:val="008E4AF1"/>
    <w:rsid w:val="008E5B05"/>
    <w:rsid w:val="008F1770"/>
    <w:rsid w:val="008F1E00"/>
    <w:rsid w:val="009013C5"/>
    <w:rsid w:val="009113C4"/>
    <w:rsid w:val="009127BD"/>
    <w:rsid w:val="00912E02"/>
    <w:rsid w:val="0092518F"/>
    <w:rsid w:val="00927FA3"/>
    <w:rsid w:val="00930558"/>
    <w:rsid w:val="0093204B"/>
    <w:rsid w:val="0093662F"/>
    <w:rsid w:val="00936824"/>
    <w:rsid w:val="009378A7"/>
    <w:rsid w:val="00942024"/>
    <w:rsid w:val="00944550"/>
    <w:rsid w:val="009534E5"/>
    <w:rsid w:val="00970CB9"/>
    <w:rsid w:val="009735F4"/>
    <w:rsid w:val="00975F24"/>
    <w:rsid w:val="00977D73"/>
    <w:rsid w:val="0099578C"/>
    <w:rsid w:val="009A05F3"/>
    <w:rsid w:val="009A10C4"/>
    <w:rsid w:val="009A2B82"/>
    <w:rsid w:val="009A4A35"/>
    <w:rsid w:val="009A5067"/>
    <w:rsid w:val="009A73FB"/>
    <w:rsid w:val="009B26B1"/>
    <w:rsid w:val="009B2DFE"/>
    <w:rsid w:val="009B56DA"/>
    <w:rsid w:val="009C7D8F"/>
    <w:rsid w:val="009D50EB"/>
    <w:rsid w:val="009E32F5"/>
    <w:rsid w:val="009E3F08"/>
    <w:rsid w:val="009E6279"/>
    <w:rsid w:val="009F2649"/>
    <w:rsid w:val="009F704C"/>
    <w:rsid w:val="009F70A6"/>
    <w:rsid w:val="00A06666"/>
    <w:rsid w:val="00A105E0"/>
    <w:rsid w:val="00A12A6D"/>
    <w:rsid w:val="00A13372"/>
    <w:rsid w:val="00A23E3F"/>
    <w:rsid w:val="00A3018B"/>
    <w:rsid w:val="00A3128D"/>
    <w:rsid w:val="00A324EA"/>
    <w:rsid w:val="00A37802"/>
    <w:rsid w:val="00A42F8C"/>
    <w:rsid w:val="00A45B43"/>
    <w:rsid w:val="00A4794A"/>
    <w:rsid w:val="00A533DE"/>
    <w:rsid w:val="00A53E2B"/>
    <w:rsid w:val="00A603DB"/>
    <w:rsid w:val="00A729FF"/>
    <w:rsid w:val="00A768CA"/>
    <w:rsid w:val="00A817CE"/>
    <w:rsid w:val="00A928FA"/>
    <w:rsid w:val="00A9559B"/>
    <w:rsid w:val="00A95E6C"/>
    <w:rsid w:val="00AA4E0E"/>
    <w:rsid w:val="00AA7B0B"/>
    <w:rsid w:val="00AB32CF"/>
    <w:rsid w:val="00AC15BC"/>
    <w:rsid w:val="00AC59EB"/>
    <w:rsid w:val="00AD1BCA"/>
    <w:rsid w:val="00AD20D2"/>
    <w:rsid w:val="00AD2235"/>
    <w:rsid w:val="00AD7529"/>
    <w:rsid w:val="00AE1233"/>
    <w:rsid w:val="00B02599"/>
    <w:rsid w:val="00B16119"/>
    <w:rsid w:val="00B1645B"/>
    <w:rsid w:val="00B167F8"/>
    <w:rsid w:val="00B16B3C"/>
    <w:rsid w:val="00B22650"/>
    <w:rsid w:val="00B2308E"/>
    <w:rsid w:val="00B24296"/>
    <w:rsid w:val="00B25EE3"/>
    <w:rsid w:val="00B269D4"/>
    <w:rsid w:val="00B3357C"/>
    <w:rsid w:val="00B33A3C"/>
    <w:rsid w:val="00B37220"/>
    <w:rsid w:val="00B42E50"/>
    <w:rsid w:val="00B4325A"/>
    <w:rsid w:val="00B45552"/>
    <w:rsid w:val="00B46472"/>
    <w:rsid w:val="00B538F7"/>
    <w:rsid w:val="00B54EC3"/>
    <w:rsid w:val="00B61C4A"/>
    <w:rsid w:val="00B61EC9"/>
    <w:rsid w:val="00B61FF5"/>
    <w:rsid w:val="00B62F0D"/>
    <w:rsid w:val="00B66E9C"/>
    <w:rsid w:val="00B67827"/>
    <w:rsid w:val="00B679AD"/>
    <w:rsid w:val="00B7504A"/>
    <w:rsid w:val="00B75F95"/>
    <w:rsid w:val="00B7744A"/>
    <w:rsid w:val="00B82D4D"/>
    <w:rsid w:val="00B87EE6"/>
    <w:rsid w:val="00B90057"/>
    <w:rsid w:val="00B9260A"/>
    <w:rsid w:val="00B926F5"/>
    <w:rsid w:val="00B9658D"/>
    <w:rsid w:val="00BA0963"/>
    <w:rsid w:val="00BA7509"/>
    <w:rsid w:val="00BB7BAA"/>
    <w:rsid w:val="00BC4EE7"/>
    <w:rsid w:val="00BD7911"/>
    <w:rsid w:val="00BE12BF"/>
    <w:rsid w:val="00BE429B"/>
    <w:rsid w:val="00BE57EE"/>
    <w:rsid w:val="00BE654E"/>
    <w:rsid w:val="00BE7396"/>
    <w:rsid w:val="00BF18DC"/>
    <w:rsid w:val="00C03DE5"/>
    <w:rsid w:val="00C04B4F"/>
    <w:rsid w:val="00C1223F"/>
    <w:rsid w:val="00C13DE2"/>
    <w:rsid w:val="00C14408"/>
    <w:rsid w:val="00C14776"/>
    <w:rsid w:val="00C1480C"/>
    <w:rsid w:val="00C17F58"/>
    <w:rsid w:val="00C213A4"/>
    <w:rsid w:val="00C238DF"/>
    <w:rsid w:val="00C24B7C"/>
    <w:rsid w:val="00C307E7"/>
    <w:rsid w:val="00C311AD"/>
    <w:rsid w:val="00C331CE"/>
    <w:rsid w:val="00C34A92"/>
    <w:rsid w:val="00C35829"/>
    <w:rsid w:val="00C37044"/>
    <w:rsid w:val="00C370A7"/>
    <w:rsid w:val="00C41D24"/>
    <w:rsid w:val="00C51E8F"/>
    <w:rsid w:val="00C57E90"/>
    <w:rsid w:val="00C6380F"/>
    <w:rsid w:val="00C66B8B"/>
    <w:rsid w:val="00C744A3"/>
    <w:rsid w:val="00C81DB5"/>
    <w:rsid w:val="00C850C7"/>
    <w:rsid w:val="00C900FF"/>
    <w:rsid w:val="00C91C08"/>
    <w:rsid w:val="00C96327"/>
    <w:rsid w:val="00CA10F6"/>
    <w:rsid w:val="00CB112A"/>
    <w:rsid w:val="00CB1951"/>
    <w:rsid w:val="00CB3FC8"/>
    <w:rsid w:val="00CB5266"/>
    <w:rsid w:val="00CC346D"/>
    <w:rsid w:val="00CC39FE"/>
    <w:rsid w:val="00CC3F2B"/>
    <w:rsid w:val="00CD4B2E"/>
    <w:rsid w:val="00CD4DE4"/>
    <w:rsid w:val="00CD6527"/>
    <w:rsid w:val="00CD683B"/>
    <w:rsid w:val="00CD6B3F"/>
    <w:rsid w:val="00CE176D"/>
    <w:rsid w:val="00CF3E63"/>
    <w:rsid w:val="00CF561E"/>
    <w:rsid w:val="00CF5A62"/>
    <w:rsid w:val="00CF7CF3"/>
    <w:rsid w:val="00D01381"/>
    <w:rsid w:val="00D1392C"/>
    <w:rsid w:val="00D13C33"/>
    <w:rsid w:val="00D143BA"/>
    <w:rsid w:val="00D14A56"/>
    <w:rsid w:val="00D20DD2"/>
    <w:rsid w:val="00D25A84"/>
    <w:rsid w:val="00D332AF"/>
    <w:rsid w:val="00D34EEE"/>
    <w:rsid w:val="00D37BAF"/>
    <w:rsid w:val="00D43A87"/>
    <w:rsid w:val="00D46803"/>
    <w:rsid w:val="00D51B1E"/>
    <w:rsid w:val="00D534EF"/>
    <w:rsid w:val="00D54D22"/>
    <w:rsid w:val="00D55667"/>
    <w:rsid w:val="00D63418"/>
    <w:rsid w:val="00D64F9C"/>
    <w:rsid w:val="00D75C1D"/>
    <w:rsid w:val="00D822BC"/>
    <w:rsid w:val="00D87A0C"/>
    <w:rsid w:val="00D937E6"/>
    <w:rsid w:val="00D96598"/>
    <w:rsid w:val="00DA02B9"/>
    <w:rsid w:val="00DA42EA"/>
    <w:rsid w:val="00DA46A4"/>
    <w:rsid w:val="00DA480B"/>
    <w:rsid w:val="00DA7E28"/>
    <w:rsid w:val="00DA7FEA"/>
    <w:rsid w:val="00DB269B"/>
    <w:rsid w:val="00DB4DB1"/>
    <w:rsid w:val="00DB537F"/>
    <w:rsid w:val="00DB7363"/>
    <w:rsid w:val="00DC02B5"/>
    <w:rsid w:val="00DC032B"/>
    <w:rsid w:val="00DC07A0"/>
    <w:rsid w:val="00DC0A8D"/>
    <w:rsid w:val="00DC0FE9"/>
    <w:rsid w:val="00DC4E03"/>
    <w:rsid w:val="00DC6FD3"/>
    <w:rsid w:val="00DD27D1"/>
    <w:rsid w:val="00DE221A"/>
    <w:rsid w:val="00DE2DDE"/>
    <w:rsid w:val="00DE5C1E"/>
    <w:rsid w:val="00DF531C"/>
    <w:rsid w:val="00DF68F0"/>
    <w:rsid w:val="00DF6CDE"/>
    <w:rsid w:val="00E0113D"/>
    <w:rsid w:val="00E01B6E"/>
    <w:rsid w:val="00E039CB"/>
    <w:rsid w:val="00E114A4"/>
    <w:rsid w:val="00E1197A"/>
    <w:rsid w:val="00E1423B"/>
    <w:rsid w:val="00E21388"/>
    <w:rsid w:val="00E21618"/>
    <w:rsid w:val="00E21A78"/>
    <w:rsid w:val="00E24788"/>
    <w:rsid w:val="00E262E3"/>
    <w:rsid w:val="00E317E1"/>
    <w:rsid w:val="00E32DDF"/>
    <w:rsid w:val="00E34F4B"/>
    <w:rsid w:val="00E358F1"/>
    <w:rsid w:val="00E417E8"/>
    <w:rsid w:val="00E42A36"/>
    <w:rsid w:val="00E43109"/>
    <w:rsid w:val="00E4524E"/>
    <w:rsid w:val="00E45E0D"/>
    <w:rsid w:val="00E6022C"/>
    <w:rsid w:val="00E6186E"/>
    <w:rsid w:val="00E61F68"/>
    <w:rsid w:val="00E63520"/>
    <w:rsid w:val="00E63E38"/>
    <w:rsid w:val="00E72F03"/>
    <w:rsid w:val="00E73E78"/>
    <w:rsid w:val="00E7429A"/>
    <w:rsid w:val="00E75D89"/>
    <w:rsid w:val="00E76251"/>
    <w:rsid w:val="00E84434"/>
    <w:rsid w:val="00E85FEF"/>
    <w:rsid w:val="00E87BEE"/>
    <w:rsid w:val="00E943DA"/>
    <w:rsid w:val="00EA0512"/>
    <w:rsid w:val="00EA34FA"/>
    <w:rsid w:val="00EA48E2"/>
    <w:rsid w:val="00EA77E5"/>
    <w:rsid w:val="00EB01CC"/>
    <w:rsid w:val="00EB0275"/>
    <w:rsid w:val="00EB30F5"/>
    <w:rsid w:val="00EB45FB"/>
    <w:rsid w:val="00EB5181"/>
    <w:rsid w:val="00EB5846"/>
    <w:rsid w:val="00EB5C8B"/>
    <w:rsid w:val="00EC469F"/>
    <w:rsid w:val="00EC47CA"/>
    <w:rsid w:val="00EC5E10"/>
    <w:rsid w:val="00EC61F2"/>
    <w:rsid w:val="00ED08EE"/>
    <w:rsid w:val="00ED263C"/>
    <w:rsid w:val="00ED2A92"/>
    <w:rsid w:val="00ED503D"/>
    <w:rsid w:val="00EE11FD"/>
    <w:rsid w:val="00EE1D07"/>
    <w:rsid w:val="00EE3CB1"/>
    <w:rsid w:val="00EE50AB"/>
    <w:rsid w:val="00EF054D"/>
    <w:rsid w:val="00EF27D3"/>
    <w:rsid w:val="00F0677C"/>
    <w:rsid w:val="00F07375"/>
    <w:rsid w:val="00F11F65"/>
    <w:rsid w:val="00F13235"/>
    <w:rsid w:val="00F1494E"/>
    <w:rsid w:val="00F23798"/>
    <w:rsid w:val="00F260AC"/>
    <w:rsid w:val="00F268CF"/>
    <w:rsid w:val="00F26DFB"/>
    <w:rsid w:val="00F27043"/>
    <w:rsid w:val="00F32176"/>
    <w:rsid w:val="00F32E6E"/>
    <w:rsid w:val="00F40E25"/>
    <w:rsid w:val="00F41A18"/>
    <w:rsid w:val="00F4263A"/>
    <w:rsid w:val="00F4273E"/>
    <w:rsid w:val="00F47E96"/>
    <w:rsid w:val="00F50A3A"/>
    <w:rsid w:val="00F53CE6"/>
    <w:rsid w:val="00F56E78"/>
    <w:rsid w:val="00F62A1E"/>
    <w:rsid w:val="00F62D81"/>
    <w:rsid w:val="00F64DB9"/>
    <w:rsid w:val="00F65513"/>
    <w:rsid w:val="00F7397F"/>
    <w:rsid w:val="00F77E46"/>
    <w:rsid w:val="00F83922"/>
    <w:rsid w:val="00F85399"/>
    <w:rsid w:val="00F93183"/>
    <w:rsid w:val="00FA035F"/>
    <w:rsid w:val="00FA686C"/>
    <w:rsid w:val="00FA6932"/>
    <w:rsid w:val="00FB3456"/>
    <w:rsid w:val="00FB3972"/>
    <w:rsid w:val="00FB67AD"/>
    <w:rsid w:val="00FB70DE"/>
    <w:rsid w:val="00FC2BD1"/>
    <w:rsid w:val="00FC6633"/>
    <w:rsid w:val="00FD0A6B"/>
    <w:rsid w:val="00FD17C2"/>
    <w:rsid w:val="00FD634F"/>
    <w:rsid w:val="00FD7D40"/>
    <w:rsid w:val="00FE2611"/>
    <w:rsid w:val="00FE2AD0"/>
    <w:rsid w:val="00FE4E8F"/>
    <w:rsid w:val="00FF2067"/>
    <w:rsid w:val="00FF3FFA"/>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e1e1ff,#069,#bad1e8,#afd787,#cde6b4,#d1e8ba,#0000ac"/>
    </o:shapedefaults>
    <o:shapelayout v:ext="edit">
      <o:idmap v:ext="edit" data="1"/>
    </o:shapelayout>
  </w:shapeDefaults>
  <w:decimalSymbol w:val="."/>
  <w:listSeparator w:val=","/>
  <w14:docId w14:val="4B733685"/>
  <w15:docId w15:val="{C82CBAB5-1B21-4942-8773-494DAD06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A12FA"/>
    <w:pPr>
      <w:spacing w:line="264" w:lineRule="auto"/>
    </w:pPr>
    <w:rPr>
      <w:sz w:val="22"/>
    </w:rPr>
  </w:style>
  <w:style w:type="paragraph" w:styleId="Heading1">
    <w:name w:val="heading 1"/>
    <w:basedOn w:val="Normal"/>
    <w:next w:val="BodyText"/>
    <w:qFormat/>
    <w:rsid w:val="006D2DD0"/>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qFormat/>
    <w:rsid w:val="006D2DD0"/>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qFormat/>
    <w:rsid w:val="006D2DD0"/>
    <w:pPr>
      <w:keepNext/>
      <w:spacing w:before="60" w:after="120"/>
      <w:ind w:left="720" w:hanging="720"/>
      <w:outlineLvl w:val="2"/>
    </w:pPr>
    <w:rPr>
      <w:rFonts w:ascii="Arial" w:hAnsi="Arial"/>
      <w:b/>
      <w:color w:val="DA291C"/>
      <w:sz w:val="20"/>
    </w:rPr>
  </w:style>
  <w:style w:type="paragraph" w:styleId="Heading4">
    <w:name w:val="heading 4"/>
    <w:basedOn w:val="Normal"/>
    <w:next w:val="BodyText"/>
    <w:qFormat/>
    <w:rsid w:val="004B0536"/>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34D7"/>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1034D7"/>
    <w:rPr>
      <w:rFonts w:ascii="Arial" w:hAnsi="Arial"/>
      <w:b/>
      <w:color w:val="595959" w:themeColor="text1" w:themeTint="A6"/>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EB5181"/>
  </w:style>
  <w:style w:type="character" w:customStyle="1" w:styleId="BodyTextChar">
    <w:name w:val="Body Text Char"/>
    <w:basedOn w:val="DefaultParagraphFont"/>
    <w:link w:val="BodyText"/>
    <w:rsid w:val="00EB5181"/>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E24788"/>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6A12FA"/>
    <w:pPr>
      <w:tabs>
        <w:tab w:val="left" w:pos="1260"/>
        <w:tab w:val="right" w:leader="dot" w:pos="9360"/>
      </w:tabs>
      <w:spacing w:before="24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6A12FA"/>
    <w:pPr>
      <w:tabs>
        <w:tab w:val="left" w:pos="1170"/>
        <w:tab w:val="right" w:leader="dot" w:pos="9360"/>
      </w:tabs>
      <w:ind w:left="576" w:right="540"/>
    </w:pPr>
    <w:rPr>
      <w:noProof/>
    </w:rPr>
  </w:style>
  <w:style w:type="paragraph" w:styleId="TOC3">
    <w:name w:val="toc 3"/>
    <w:basedOn w:val="BodyText"/>
    <w:next w:val="BodyText"/>
    <w:uiPriority w:val="39"/>
    <w:rsid w:val="006A12FA"/>
    <w:pPr>
      <w:tabs>
        <w:tab w:val="left" w:pos="1920"/>
        <w:tab w:val="right" w:leader="dot" w:pos="9360"/>
      </w:tabs>
      <w:ind w:left="1170" w:righ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Normal"/>
    <w:next w:val="BodyText"/>
    <w:rsid w:val="004C59C1"/>
    <w:pPr>
      <w:keepNext/>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E24788"/>
    <w:pPr>
      <w:numPr>
        <w:numId w:val="5"/>
      </w:numPr>
      <w:tabs>
        <w:tab w:val="clear" w:pos="720"/>
        <w:tab w:val="left" w:pos="1080"/>
      </w:tabs>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16pt">
    <w:name w:val="Cover Text 16 pt"/>
    <w:basedOn w:val="Normal"/>
    <w:qFormat/>
    <w:rsid w:val="00536DB4"/>
    <w:pPr>
      <w:autoSpaceDE w:val="0"/>
      <w:autoSpaceDN w:val="0"/>
      <w:adjustRightInd w:val="0"/>
      <w:ind w:left="6696" w:right="-792"/>
    </w:pPr>
    <w:rPr>
      <w:sz w:val="32"/>
      <w:szCs w:val="32"/>
    </w:rPr>
  </w:style>
  <w:style w:type="paragraph" w:customStyle="1" w:styleId="CoverText11pt">
    <w:name w:val="Cover Text 11 pt"/>
    <w:basedOn w:val="Normal"/>
    <w:qFormat/>
    <w:rsid w:val="00536DB4"/>
    <w:pPr>
      <w:autoSpaceDE w:val="0"/>
      <w:autoSpaceDN w:val="0"/>
      <w:adjustRightInd w:val="0"/>
      <w:ind w:left="6696" w:right="-792"/>
    </w:pPr>
    <w:rPr>
      <w:i/>
    </w:rPr>
  </w:style>
  <w:style w:type="paragraph" w:customStyle="1" w:styleId="CoverText-Address">
    <w:name w:val="Cover Text - Address"/>
    <w:basedOn w:val="Normal"/>
    <w:qFormat/>
    <w:rsid w:val="00536DB4"/>
    <w:pPr>
      <w:autoSpaceDE w:val="0"/>
      <w:autoSpaceDN w:val="0"/>
      <w:adjustRightInd w:val="0"/>
      <w:ind w:left="6696" w:right="-792"/>
    </w:pPr>
  </w:style>
  <w:style w:type="paragraph" w:customStyle="1" w:styleId="DisclaimerText">
    <w:name w:val="Disclaimer Text"/>
    <w:basedOn w:val="Normal"/>
    <w:qFormat/>
    <w:rsid w:val="00536DB4"/>
    <w:rPr>
      <w:sz w:val="18"/>
      <w:szCs w:val="18"/>
    </w:rPr>
  </w:style>
  <w:style w:type="paragraph" w:customStyle="1" w:styleId="AbtHeadA">
    <w:name w:val="AbtHead A"/>
    <w:basedOn w:val="Normal"/>
    <w:next w:val="BodyText"/>
    <w:rsid w:val="00EB5181"/>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EB5181"/>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EB5181"/>
    <w:pPr>
      <w:keepNext/>
      <w:keepLines/>
      <w:tabs>
        <w:tab w:val="left" w:pos="720"/>
        <w:tab w:val="left" w:pos="1080"/>
        <w:tab w:val="left" w:pos="1440"/>
        <w:tab w:val="left" w:pos="1800"/>
      </w:tabs>
      <w:spacing w:after="240"/>
      <w:outlineLvl w:val="2"/>
    </w:pPr>
    <w:rPr>
      <w:rFonts w:ascii="Arial" w:hAnsi="Arial"/>
      <w:b/>
      <w:sz w:val="20"/>
    </w:rPr>
  </w:style>
  <w:style w:type="character" w:customStyle="1" w:styleId="FootnoteTextChar">
    <w:name w:val="Footnote Text Char"/>
    <w:aliases w:val="F1 Char,*Footnote Text Char"/>
    <w:link w:val="FootnoteText"/>
    <w:uiPriority w:val="99"/>
    <w:locked/>
    <w:rsid w:val="00EB5181"/>
  </w:style>
  <w:style w:type="paragraph" w:customStyle="1" w:styleId="Table">
    <w:name w:val="Table"/>
    <w:basedOn w:val="Normal"/>
    <w:rsid w:val="00EB5181"/>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4C59C1"/>
    <w:pPr>
      <w:tabs>
        <w:tab w:val="left" w:pos="1080"/>
        <w:tab w:val="left" w:pos="1440"/>
        <w:tab w:val="left" w:pos="1800"/>
      </w:tabs>
      <w:spacing w:before="120"/>
      <w:ind w:left="720" w:hanging="720"/>
    </w:pPr>
    <w:rPr>
      <w:rFonts w:ascii="Arial" w:hAnsi="Arial" w:cs="Arial"/>
      <w:sz w:val="18"/>
    </w:rPr>
  </w:style>
  <w:style w:type="paragraph" w:customStyle="1" w:styleId="SubBullet">
    <w:name w:val="SubBullet"/>
    <w:basedOn w:val="Normal"/>
    <w:rsid w:val="00EB5181"/>
    <w:pPr>
      <w:numPr>
        <w:ilvl w:val="1"/>
        <w:numId w:val="10"/>
      </w:numPr>
      <w:tabs>
        <w:tab w:val="left" w:pos="1080"/>
        <w:tab w:val="left" w:pos="1800"/>
      </w:tabs>
    </w:pPr>
  </w:style>
  <w:style w:type="paragraph" w:customStyle="1" w:styleId="AbtHeadD">
    <w:name w:val="AbtHead D"/>
    <w:basedOn w:val="Normal"/>
    <w:next w:val="BodyText"/>
    <w:rsid w:val="00EB5181"/>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6D2DD0"/>
    <w:pPr>
      <w:spacing w:before="240"/>
    </w:pPr>
  </w:style>
  <w:style w:type="paragraph" w:styleId="ListParagraph">
    <w:name w:val="List Paragraph"/>
    <w:basedOn w:val="Normal"/>
    <w:uiPriority w:val="34"/>
    <w:qFormat/>
    <w:rsid w:val="00291F54"/>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3D7C9F"/>
    <w:pPr>
      <w:tabs>
        <w:tab w:val="left" w:pos="720"/>
        <w:tab w:val="left" w:pos="1080"/>
        <w:tab w:val="left" w:pos="1440"/>
        <w:tab w:val="left" w:pos="1800"/>
      </w:tabs>
      <w:spacing w:after="120"/>
      <w:jc w:val="center"/>
    </w:pPr>
    <w:rPr>
      <w:rFonts w:ascii="Arial" w:hAnsi="Arial" w:cs="Arial"/>
      <w:b/>
      <w:bCs/>
      <w:color w:val="000000"/>
    </w:rPr>
  </w:style>
  <w:style w:type="paragraph" w:customStyle="1" w:styleId="NIH">
    <w:name w:val="NIH"/>
    <w:basedOn w:val="Normal"/>
    <w:rsid w:val="00B37220"/>
    <w:pPr>
      <w:spacing w:line="240" w:lineRule="auto"/>
      <w:ind w:firstLine="720"/>
    </w:pPr>
    <w:rPr>
      <w:rFonts w:ascii="Arial" w:hAnsi="Arial" w:cs="Arial"/>
      <w:szCs w:val="24"/>
    </w:rPr>
  </w:style>
  <w:style w:type="paragraph" w:styleId="EndnoteText">
    <w:name w:val="endnote text"/>
    <w:basedOn w:val="Normal"/>
    <w:link w:val="EndnoteTextChar"/>
    <w:rsid w:val="00C51E8F"/>
    <w:pPr>
      <w:spacing w:line="240" w:lineRule="auto"/>
    </w:pPr>
    <w:rPr>
      <w:sz w:val="20"/>
    </w:rPr>
  </w:style>
  <w:style w:type="character" w:customStyle="1" w:styleId="EndnoteTextChar">
    <w:name w:val="Endnote Text Char"/>
    <w:basedOn w:val="DefaultParagraphFont"/>
    <w:link w:val="EndnoteText"/>
    <w:rsid w:val="00C51E8F"/>
  </w:style>
  <w:style w:type="character" w:styleId="EndnoteReference">
    <w:name w:val="endnote reference"/>
    <w:basedOn w:val="DefaultParagraphFont"/>
    <w:rsid w:val="00C51E8F"/>
    <w:rPr>
      <w:vertAlign w:val="superscript"/>
    </w:rPr>
  </w:style>
  <w:style w:type="paragraph" w:styleId="Revision">
    <w:name w:val="Revision"/>
    <w:hidden/>
    <w:uiPriority w:val="99"/>
    <w:semiHidden/>
    <w:rsid w:val="006A12FA"/>
    <w:rPr>
      <w:sz w:val="22"/>
    </w:rPr>
  </w:style>
  <w:style w:type="paragraph" w:styleId="PlainText">
    <w:name w:val="Plain Text"/>
    <w:basedOn w:val="Normal"/>
    <w:link w:val="PlainTextChar"/>
    <w:uiPriority w:val="99"/>
    <w:unhideWhenUsed/>
    <w:rsid w:val="004D7F16"/>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D7F16"/>
    <w:rPr>
      <w:rFonts w:ascii="Calibri" w:eastAsiaTheme="minorHAnsi" w:hAnsi="Calibri" w:cstheme="minorBidi"/>
      <w:sz w:val="22"/>
      <w:szCs w:val="21"/>
    </w:rPr>
  </w:style>
  <w:style w:type="paragraph" w:customStyle="1" w:styleId="ExhibitSource">
    <w:name w:val="Exhibit Source"/>
    <w:basedOn w:val="Normal"/>
    <w:qFormat/>
    <w:rsid w:val="00221485"/>
    <w:pPr>
      <w:spacing w:before="60" w:after="180" w:line="240" w:lineRule="auto"/>
      <w:contextualSpacing/>
    </w:pPr>
    <w:rPr>
      <w:rFonts w:ascii="Arial Narrow" w:hAnsi="Arial Narrow" w:cs="Arial"/>
      <w:sz w:val="18"/>
    </w:rPr>
  </w:style>
  <w:style w:type="paragraph" w:customStyle="1" w:styleId="ExhibitText">
    <w:name w:val="Exhibit Text"/>
    <w:basedOn w:val="Normal"/>
    <w:qFormat/>
    <w:rsid w:val="00221485"/>
    <w:pPr>
      <w:spacing w:line="240" w:lineRule="auto"/>
    </w:pPr>
    <w:rPr>
      <w:rFonts w:ascii="Arial Narrow" w:hAnsi="Arial Narrow" w:cs="Arial"/>
      <w:bCs/>
      <w:color w:val="000000"/>
      <w:sz w:val="20"/>
    </w:rPr>
  </w:style>
  <w:style w:type="paragraph" w:customStyle="1" w:styleId="ExhibitColumnHeader">
    <w:name w:val="Exhibit Column Header"/>
    <w:basedOn w:val="Normal"/>
    <w:qFormat/>
    <w:rsid w:val="00221485"/>
    <w:pPr>
      <w:spacing w:line="240" w:lineRule="auto"/>
      <w:jc w:val="center"/>
    </w:pPr>
    <w:rPr>
      <w:rFonts w:ascii="Arial Narrow" w:hAnsi="Arial Narrow" w:cs="Arial"/>
      <w:b/>
      <w:color w:val="000000" w:themeColor="text1"/>
      <w:sz w:val="18"/>
    </w:rPr>
  </w:style>
  <w:style w:type="table" w:customStyle="1" w:styleId="TableGrid1">
    <w:name w:val="Table Grid1"/>
    <w:basedOn w:val="TableNormal"/>
    <w:next w:val="TableGrid"/>
    <w:uiPriority w:val="59"/>
    <w:rsid w:val="002214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D55667"/>
    <w:pPr>
      <w:tabs>
        <w:tab w:val="left" w:pos="720"/>
        <w:tab w:val="left" w:pos="1080"/>
        <w:tab w:val="left" w:pos="1440"/>
        <w:tab w:val="left" w:pos="1800"/>
        <w:tab w:val="left" w:pos="6660"/>
      </w:tabs>
      <w:ind w:left="6490" w:right="-540"/>
      <w:jc w:val="right"/>
    </w:pPr>
    <w:rPr>
      <w:rFonts w:ascii="Arial" w:hAnsi="Arial"/>
      <w:b/>
      <w:color w:val="DA291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7271">
      <w:bodyDiv w:val="1"/>
      <w:marLeft w:val="0"/>
      <w:marRight w:val="0"/>
      <w:marTop w:val="0"/>
      <w:marBottom w:val="0"/>
      <w:divBdr>
        <w:top w:val="none" w:sz="0" w:space="0" w:color="auto"/>
        <w:left w:val="none" w:sz="0" w:space="0" w:color="auto"/>
        <w:bottom w:val="none" w:sz="0" w:space="0" w:color="auto"/>
        <w:right w:val="none" w:sz="0" w:space="0" w:color="auto"/>
      </w:divBdr>
    </w:div>
    <w:div w:id="137648140">
      <w:bodyDiv w:val="1"/>
      <w:marLeft w:val="0"/>
      <w:marRight w:val="0"/>
      <w:marTop w:val="0"/>
      <w:marBottom w:val="0"/>
      <w:divBdr>
        <w:top w:val="none" w:sz="0" w:space="0" w:color="auto"/>
        <w:left w:val="none" w:sz="0" w:space="0" w:color="auto"/>
        <w:bottom w:val="none" w:sz="0" w:space="0" w:color="auto"/>
        <w:right w:val="none" w:sz="0" w:space="0" w:color="auto"/>
      </w:divBdr>
    </w:div>
    <w:div w:id="730272011">
      <w:bodyDiv w:val="1"/>
      <w:marLeft w:val="0"/>
      <w:marRight w:val="0"/>
      <w:marTop w:val="0"/>
      <w:marBottom w:val="0"/>
      <w:divBdr>
        <w:top w:val="none" w:sz="0" w:space="0" w:color="auto"/>
        <w:left w:val="none" w:sz="0" w:space="0" w:color="auto"/>
        <w:bottom w:val="none" w:sz="0" w:space="0" w:color="auto"/>
        <w:right w:val="none" w:sz="0" w:space="0" w:color="auto"/>
      </w:divBdr>
    </w:div>
    <w:div w:id="129768381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huduser.gov/portal/sites/default/files/pdf/Family-Options-Study-Full-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uduser.org/portal/publications/homeless/hud_503_FOS_interim_report.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dotm"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F1FF-A9DA-490C-96B1-94363637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Template</Template>
  <TotalTime>0</TotalTime>
  <Pages>11</Pages>
  <Words>3180</Words>
  <Characters>19260</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22396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Guido, Anna P</cp:lastModifiedBy>
  <cp:revision>2</cp:revision>
  <cp:lastPrinted>2017-05-25T19:48:00Z</cp:lastPrinted>
  <dcterms:created xsi:type="dcterms:W3CDTF">2017-05-25T19:48:00Z</dcterms:created>
  <dcterms:modified xsi:type="dcterms:W3CDTF">2017-05-25T19:48:00Z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