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86B" w:rsidRPr="00AD3F2F" w:rsidRDefault="0020686B" w:rsidP="0020686B">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4"/>
          <w:szCs w:val="24"/>
        </w:rPr>
      </w:pPr>
      <w:r w:rsidRPr="00AD3F2F">
        <w:rPr>
          <w:rFonts w:ascii="Times New Roman" w:eastAsia="Times New Roman" w:hAnsi="Times New Roman" w:cs="Times New Roman"/>
          <w:b/>
          <w:sz w:val="24"/>
          <w:szCs w:val="24"/>
        </w:rPr>
        <w:t>Financial Statement of Corporate Application for Cooperative</w:t>
      </w:r>
    </w:p>
    <w:p w:rsidR="0020686B" w:rsidRPr="00AD3F2F" w:rsidRDefault="0020686B" w:rsidP="002068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AD3F2F">
        <w:rPr>
          <w:rFonts w:ascii="Times New Roman" w:eastAsia="Times New Roman" w:hAnsi="Times New Roman" w:cs="Times New Roman"/>
          <w:b/>
          <w:sz w:val="24"/>
          <w:szCs w:val="24"/>
        </w:rPr>
        <w:t>Housing Mortgage</w:t>
      </w:r>
    </w:p>
    <w:p w:rsidR="0020686B" w:rsidRPr="00AD3F2F" w:rsidRDefault="0020686B" w:rsidP="002068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AD3F2F">
        <w:rPr>
          <w:rFonts w:ascii="Times New Roman" w:eastAsia="Times New Roman" w:hAnsi="Times New Roman" w:cs="Times New Roman"/>
          <w:b/>
          <w:sz w:val="24"/>
          <w:szCs w:val="24"/>
        </w:rPr>
        <w:t>OMB Control Number 2502-0058</w:t>
      </w:r>
    </w:p>
    <w:p w:rsidR="0020686B" w:rsidRPr="00AD3F2F" w:rsidRDefault="0020686B" w:rsidP="002068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AD3F2F">
        <w:rPr>
          <w:rFonts w:ascii="Times New Roman" w:eastAsia="Times New Roman" w:hAnsi="Times New Roman" w:cs="Times New Roman"/>
          <w:b/>
          <w:sz w:val="24"/>
          <w:szCs w:val="24"/>
        </w:rPr>
        <w:t>(Form HUD-93232-A)</w:t>
      </w:r>
    </w:p>
    <w:p w:rsidR="0020686B" w:rsidRPr="00AD3F2F" w:rsidRDefault="0020686B" w:rsidP="002068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20686B" w:rsidRPr="00AD3F2F" w:rsidRDefault="0020686B" w:rsidP="002068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AD3F2F">
        <w:rPr>
          <w:rFonts w:ascii="Times New Roman" w:eastAsia="Times New Roman" w:hAnsi="Times New Roman" w:cs="Times New Roman"/>
          <w:b/>
          <w:sz w:val="24"/>
          <w:szCs w:val="24"/>
        </w:rPr>
        <w:t xml:space="preserve">A. </w:t>
      </w:r>
      <w:r w:rsidRPr="00AD3F2F">
        <w:rPr>
          <w:rFonts w:ascii="Times New Roman" w:eastAsia="Times New Roman" w:hAnsi="Times New Roman" w:cs="Times New Roman"/>
          <w:b/>
          <w:sz w:val="24"/>
          <w:szCs w:val="24"/>
        </w:rPr>
        <w:tab/>
        <w:t>Justi</w:t>
      </w:r>
      <w:r w:rsidRPr="00AD3F2F">
        <w:rPr>
          <w:rFonts w:ascii="Times New Roman" w:eastAsia="Times New Roman" w:hAnsi="Times New Roman" w:cs="Times New Roman"/>
          <w:b/>
          <w:color w:val="000000"/>
          <w:sz w:val="24"/>
          <w:szCs w:val="24"/>
        </w:rPr>
        <w:t xml:space="preserve">fication    </w:t>
      </w:r>
    </w:p>
    <w:p w:rsidR="0020686B" w:rsidRPr="00AD3F2F" w:rsidRDefault="0020686B" w:rsidP="0020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rsidR="0020686B" w:rsidRPr="00AD3F2F" w:rsidRDefault="0020686B" w:rsidP="0020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color w:val="000000"/>
          <w:sz w:val="24"/>
          <w:szCs w:val="24"/>
        </w:rPr>
        <w:t>1.</w:t>
      </w:r>
      <w:r w:rsidRPr="00AD3F2F">
        <w:rPr>
          <w:rFonts w:ascii="Times New Roman" w:eastAsia="Times New Roman" w:hAnsi="Times New Roman" w:cs="Times New Roman"/>
          <w:color w:val="000000"/>
          <w:sz w:val="24"/>
          <w:szCs w:val="24"/>
        </w:rPr>
        <w:tab/>
      </w:r>
      <w:r w:rsidRPr="00AD3F2F">
        <w:rPr>
          <w:rFonts w:ascii="Times New Roman" w:eastAsia="Times New Roman" w:hAnsi="Times New Roman" w:cs="Times New Roman"/>
          <w:sz w:val="24"/>
          <w:szCs w:val="24"/>
        </w:rPr>
        <w:t xml:space="preserve">Sections 213 and 221(d)(3) of the National Housing Act, as amended authorizes the Secretary to insure mortgages covering property held by a non-profit cooperative ownership-housing corporation. Section 213 insures mortgage loans to facilitate the construction, substantial rehabilitation, and purchase of cooperative housing projects. Each member shares in the ownership of the whole project with the exclusive right to occupy a specific unit and to participate in project operations through the purchase of stock. </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“Any mortgage insured under this section shall provide for complete amortization by periodic payments within such terms as the Secretary may prescribe but not to exceed forty years from the beginning of amortization of the mortgage…”</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The Department is required to determine the capacity of the borrower corporation and the individual members to meet the statutory requirements for repayment. The Department must review the applicant’s financial and credit history to determine whether there is a potential risk to the Insurance Fund.</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Default="0020686B" w:rsidP="009570AC">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2.</w:t>
      </w:r>
      <w:r w:rsidRPr="00AD3F2F">
        <w:rPr>
          <w:rFonts w:ascii="Times New Roman" w:eastAsia="Times New Roman" w:hAnsi="Times New Roman" w:cs="Times New Roman"/>
          <w:sz w:val="24"/>
          <w:szCs w:val="24"/>
        </w:rPr>
        <w:tab/>
        <w:t>The Department is required to conduct a credit investigation of all applicants applying for mortgage insurance.  Credit reports on the individual members and their personal financial statements are submitted on form HUD-93232-A in order to determine their credit standing, ability to pay, and stability of employment.  An analysis of the financial capacity will assist the Department in accurately assessing the credit risk in regards to the loan amount and amortization period.   Many lenders provide an e-mail address as well as a telephone number to the borrower.</w:t>
      </w:r>
    </w:p>
    <w:p w:rsidR="009570AC" w:rsidRDefault="009570AC" w:rsidP="009570A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rsidR="009570AC" w:rsidRDefault="009570AC" w:rsidP="00693145">
      <w:pPr>
        <w:ind w:left="360" w:hanging="36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3.   </w:t>
      </w:r>
      <w:r w:rsidRPr="000361A0">
        <w:rPr>
          <w:rFonts w:ascii="Times New Roman" w:hAnsi="Times New Roman" w:cs="Times New Roman"/>
          <w:color w:val="000000" w:themeColor="text1"/>
          <w:sz w:val="24"/>
          <w:szCs w:val="24"/>
        </w:rPr>
        <w:t xml:space="preserve">Reengineering efforts to replace the Development Application Processing (DAP) system with </w:t>
      </w:r>
      <w:r>
        <w:rPr>
          <w:rFonts w:ascii="Times New Roman" w:hAnsi="Times New Roman" w:cs="Times New Roman"/>
          <w:color w:val="000000" w:themeColor="text1"/>
          <w:sz w:val="24"/>
          <w:szCs w:val="24"/>
        </w:rPr>
        <w:t xml:space="preserve">       </w:t>
      </w:r>
      <w:r w:rsidRPr="000361A0">
        <w:rPr>
          <w:rFonts w:ascii="Times New Roman" w:hAnsi="Times New Roman" w:cs="Times New Roman"/>
          <w:color w:val="000000" w:themeColor="text1"/>
          <w:sz w:val="24"/>
          <w:szCs w:val="24"/>
        </w:rPr>
        <w:t>a modernized and simplified solution to improve the application review process are underway.  The initial prototype for handling the tracking pipeline data and reporting for Multifamily (MFH) and Healthcare (OHP) needs to be developed using the most feasible, flexible, and scalable technologies to build an interactive and intuitive online solution.  The new system, to be called Application Underwriting Support System (AUSS) will generate staff-generated review documents, pre-populated standardized documents and offers communication capability between HUD staff reviews and Lender coordination. It will also interface with the integrated Real Estate Management System (</w:t>
      </w:r>
      <w:proofErr w:type="spellStart"/>
      <w:r w:rsidRPr="000361A0">
        <w:rPr>
          <w:rFonts w:ascii="Times New Roman" w:hAnsi="Times New Roman" w:cs="Times New Roman"/>
          <w:color w:val="000000" w:themeColor="text1"/>
          <w:sz w:val="24"/>
          <w:szCs w:val="24"/>
        </w:rPr>
        <w:t>iREMS</w:t>
      </w:r>
      <w:proofErr w:type="spellEnd"/>
      <w:r w:rsidRPr="000361A0">
        <w:rPr>
          <w:rFonts w:ascii="Times New Roman" w:hAnsi="Times New Roman" w:cs="Times New Roman"/>
          <w:color w:val="000000" w:themeColor="text1"/>
          <w:sz w:val="24"/>
          <w:szCs w:val="24"/>
        </w:rPr>
        <w:t xml:space="preserve">), a lender portal, and document management system for an enterprise solution that will streamline FHA’s business processes.  Strategic planning, technologies evaluation, risk assessment, and security consideration are agilely reviewed at each life cycle stage to ensure realignment opportunities captured and implemented in timely manner. </w:t>
      </w:r>
    </w:p>
    <w:p w:rsidR="0020686B" w:rsidRPr="00AD3F2F" w:rsidRDefault="009570AC" w:rsidP="009570A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4. This </w:t>
      </w:r>
      <w:r w:rsidR="0020686B" w:rsidRPr="00AD3F2F">
        <w:rPr>
          <w:rFonts w:ascii="Times New Roman" w:eastAsia="Times New Roman" w:hAnsi="Times New Roman" w:cs="Times New Roman"/>
          <w:sz w:val="24"/>
          <w:szCs w:val="24"/>
        </w:rPr>
        <w:t xml:space="preserve">information is not collected elsewhere.  A review of Multifamily Housing information </w:t>
      </w:r>
      <w:r>
        <w:rPr>
          <w:rFonts w:ascii="Times New Roman" w:eastAsia="Times New Roman" w:hAnsi="Times New Roman" w:cs="Times New Roman"/>
          <w:sz w:val="24"/>
          <w:szCs w:val="24"/>
        </w:rPr>
        <w:t xml:space="preserve">   </w:t>
      </w:r>
      <w:r w:rsidR="0020686B" w:rsidRPr="00AD3F2F">
        <w:rPr>
          <w:rFonts w:ascii="Times New Roman" w:eastAsia="Times New Roman" w:hAnsi="Times New Roman" w:cs="Times New Roman"/>
          <w:sz w:val="24"/>
          <w:szCs w:val="24"/>
        </w:rPr>
        <w:t>collections confirms that no other information collection provides this particular information.</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5.</w:t>
      </w:r>
      <w:r w:rsidRPr="00AD3F2F">
        <w:rPr>
          <w:rFonts w:ascii="Times New Roman" w:eastAsia="Times New Roman" w:hAnsi="Times New Roman" w:cs="Times New Roman"/>
          <w:sz w:val="24"/>
          <w:szCs w:val="24"/>
        </w:rPr>
        <w:tab/>
        <w:t>There are no small businesses or other small entities involved in the collection of this information.</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6.</w:t>
      </w:r>
      <w:r w:rsidRPr="00AD3F2F">
        <w:rPr>
          <w:rFonts w:ascii="Times New Roman" w:eastAsia="Times New Roman" w:hAnsi="Times New Roman" w:cs="Times New Roman"/>
          <w:sz w:val="24"/>
          <w:szCs w:val="24"/>
        </w:rPr>
        <w:tab/>
        <w:t xml:space="preserve">The information is collected only once, with the mortgage insurance application and the form is required to receive benefits.   </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9F33D1" w:rsidRDefault="0020686B" w:rsidP="009F33D1">
      <w:pPr>
        <w:keepNext/>
        <w:tabs>
          <w:tab w:val="left" w:pos="360"/>
        </w:tabs>
        <w:overflowPunct w:val="0"/>
        <w:autoSpaceDE w:val="0"/>
        <w:autoSpaceDN w:val="0"/>
        <w:adjustRightInd w:val="0"/>
        <w:spacing w:after="0" w:line="240" w:lineRule="auto"/>
        <w:rPr>
          <w:b/>
          <w:bCs/>
        </w:rPr>
      </w:pPr>
      <w:r w:rsidRPr="00AD3F2F">
        <w:rPr>
          <w:rFonts w:ascii="Times New Roman" w:eastAsia="Times New Roman" w:hAnsi="Times New Roman" w:cs="Times New Roman"/>
          <w:sz w:val="24"/>
          <w:szCs w:val="24"/>
        </w:rPr>
        <w:t>7.</w:t>
      </w:r>
      <w:r w:rsidRPr="00AD3F2F">
        <w:rPr>
          <w:rFonts w:ascii="Times New Roman" w:eastAsia="Times New Roman" w:hAnsi="Times New Roman" w:cs="Times New Roman"/>
          <w:sz w:val="24"/>
          <w:szCs w:val="24"/>
        </w:rPr>
        <w:tab/>
      </w:r>
      <w:r w:rsidR="009F33D1">
        <w:rPr>
          <w:b/>
          <w:bCs/>
        </w:rPr>
        <w:t xml:space="preserve">Explain any special circumstances that would cause an information collection to be conducted in a manner: </w:t>
      </w:r>
    </w:p>
    <w:p w:rsidR="009F33D1" w:rsidRDefault="009F33D1" w:rsidP="009F33D1">
      <w:pPr>
        <w:keepNext/>
        <w:tabs>
          <w:tab w:val="left" w:pos="360"/>
        </w:tabs>
        <w:ind w:left="360"/>
        <w:rPr>
          <w:b/>
          <w:bCs/>
        </w:rPr>
      </w:pPr>
    </w:p>
    <w:p w:rsidR="009F33D1" w:rsidRDefault="009F33D1" w:rsidP="009F33D1">
      <w:pPr>
        <w:keepNext/>
        <w:numPr>
          <w:ilvl w:val="0"/>
          <w:numId w:val="2"/>
        </w:numPr>
        <w:tabs>
          <w:tab w:val="left" w:pos="360"/>
        </w:tabs>
        <w:overflowPunct w:val="0"/>
        <w:autoSpaceDE w:val="0"/>
        <w:autoSpaceDN w:val="0"/>
        <w:adjustRightInd w:val="0"/>
        <w:spacing w:after="0" w:line="240" w:lineRule="auto"/>
        <w:rPr>
          <w:bCs/>
        </w:rPr>
      </w:pPr>
      <w:r>
        <w:rPr>
          <w:bCs/>
        </w:rPr>
        <w:t xml:space="preserve">requiring respondents to report information to the agency more than quarterly; </w:t>
      </w:r>
    </w:p>
    <w:p w:rsidR="009F33D1" w:rsidRDefault="009F33D1" w:rsidP="009F33D1">
      <w:pPr>
        <w:keepNext/>
        <w:tabs>
          <w:tab w:val="left" w:pos="360"/>
        </w:tabs>
        <w:ind w:left="504"/>
        <w:rPr>
          <w:b/>
          <w:bCs/>
        </w:rPr>
      </w:pPr>
      <w:r>
        <w:rPr>
          <w:b/>
          <w:bCs/>
        </w:rPr>
        <w:t>Not Applicable</w:t>
      </w:r>
    </w:p>
    <w:p w:rsidR="009F33D1" w:rsidRDefault="009F33D1" w:rsidP="009F33D1">
      <w:pPr>
        <w:keepNext/>
        <w:numPr>
          <w:ilvl w:val="0"/>
          <w:numId w:val="2"/>
        </w:numPr>
        <w:tabs>
          <w:tab w:val="left" w:pos="360"/>
        </w:tabs>
        <w:overflowPunct w:val="0"/>
        <w:autoSpaceDE w:val="0"/>
        <w:autoSpaceDN w:val="0"/>
        <w:adjustRightInd w:val="0"/>
        <w:spacing w:after="0" w:line="240" w:lineRule="auto"/>
        <w:rPr>
          <w:bCs/>
        </w:rPr>
      </w:pPr>
      <w:r>
        <w:rPr>
          <w:bCs/>
        </w:rPr>
        <w:t xml:space="preserve">requiring respondents to prepare a written response to a collection of information in fewer than 30 days after receipt of it; </w:t>
      </w:r>
    </w:p>
    <w:p w:rsidR="009F33D1" w:rsidRDefault="009F33D1" w:rsidP="009F33D1">
      <w:pPr>
        <w:keepNext/>
        <w:tabs>
          <w:tab w:val="left" w:pos="360"/>
        </w:tabs>
        <w:ind w:left="504"/>
        <w:rPr>
          <w:b/>
          <w:bCs/>
        </w:rPr>
      </w:pPr>
      <w:r>
        <w:rPr>
          <w:b/>
          <w:bCs/>
        </w:rPr>
        <w:t>Not Applicable</w:t>
      </w:r>
    </w:p>
    <w:p w:rsidR="009F33D1" w:rsidRDefault="009F33D1" w:rsidP="009F33D1">
      <w:pPr>
        <w:keepNext/>
        <w:numPr>
          <w:ilvl w:val="0"/>
          <w:numId w:val="2"/>
        </w:numPr>
        <w:tabs>
          <w:tab w:val="left" w:pos="360"/>
        </w:tabs>
        <w:overflowPunct w:val="0"/>
        <w:autoSpaceDE w:val="0"/>
        <w:autoSpaceDN w:val="0"/>
        <w:adjustRightInd w:val="0"/>
        <w:spacing w:after="0" w:line="240" w:lineRule="auto"/>
        <w:rPr>
          <w:bCs/>
        </w:rPr>
      </w:pPr>
      <w:r>
        <w:rPr>
          <w:bCs/>
        </w:rPr>
        <w:t xml:space="preserve">requiring respondents to submit more than an original and two copies of any document; </w:t>
      </w:r>
    </w:p>
    <w:p w:rsidR="009F33D1" w:rsidRDefault="009F33D1" w:rsidP="009F33D1">
      <w:pPr>
        <w:keepNext/>
        <w:tabs>
          <w:tab w:val="left" w:pos="360"/>
        </w:tabs>
        <w:ind w:left="504"/>
        <w:rPr>
          <w:b/>
          <w:bCs/>
        </w:rPr>
      </w:pPr>
      <w:r>
        <w:rPr>
          <w:b/>
          <w:bCs/>
        </w:rPr>
        <w:t>Not Applicable</w:t>
      </w:r>
    </w:p>
    <w:p w:rsidR="009F33D1" w:rsidRDefault="009F33D1" w:rsidP="009F33D1">
      <w:pPr>
        <w:keepNext/>
        <w:numPr>
          <w:ilvl w:val="0"/>
          <w:numId w:val="2"/>
        </w:numPr>
        <w:tabs>
          <w:tab w:val="left" w:pos="360"/>
        </w:tabs>
        <w:overflowPunct w:val="0"/>
        <w:autoSpaceDE w:val="0"/>
        <w:autoSpaceDN w:val="0"/>
        <w:adjustRightInd w:val="0"/>
        <w:spacing w:after="0" w:line="240" w:lineRule="auto"/>
        <w:rPr>
          <w:bCs/>
        </w:rPr>
      </w:pPr>
      <w:r>
        <w:rPr>
          <w:bCs/>
        </w:rPr>
        <w:t xml:space="preserve">requiring respondents to retain records other than health, medical, government contract, grant-in-aid, or tax records for more than three years; </w:t>
      </w:r>
    </w:p>
    <w:p w:rsidR="009F33D1" w:rsidRDefault="009F33D1" w:rsidP="009F33D1">
      <w:pPr>
        <w:keepNext/>
        <w:tabs>
          <w:tab w:val="left" w:pos="360"/>
        </w:tabs>
        <w:ind w:left="504"/>
        <w:rPr>
          <w:b/>
          <w:bCs/>
        </w:rPr>
      </w:pPr>
      <w:r>
        <w:rPr>
          <w:b/>
          <w:bCs/>
        </w:rPr>
        <w:t>Not Applicable</w:t>
      </w:r>
    </w:p>
    <w:p w:rsidR="009F33D1" w:rsidRDefault="009F33D1" w:rsidP="009F33D1">
      <w:pPr>
        <w:keepNext/>
        <w:numPr>
          <w:ilvl w:val="0"/>
          <w:numId w:val="2"/>
        </w:numPr>
        <w:tabs>
          <w:tab w:val="left" w:pos="360"/>
        </w:tabs>
        <w:overflowPunct w:val="0"/>
        <w:autoSpaceDE w:val="0"/>
        <w:autoSpaceDN w:val="0"/>
        <w:adjustRightInd w:val="0"/>
        <w:spacing w:after="0" w:line="240" w:lineRule="auto"/>
        <w:rPr>
          <w:bCs/>
        </w:rPr>
      </w:pPr>
      <w:r>
        <w:rPr>
          <w:bCs/>
        </w:rPr>
        <w:t xml:space="preserve">in connection with a statistical survey, that is not designed to produce valid and reliable results than can be generalized to the universe of study; </w:t>
      </w:r>
    </w:p>
    <w:p w:rsidR="009F33D1" w:rsidRDefault="009F33D1" w:rsidP="009F33D1">
      <w:pPr>
        <w:keepNext/>
        <w:tabs>
          <w:tab w:val="left" w:pos="360"/>
        </w:tabs>
        <w:ind w:left="504"/>
        <w:rPr>
          <w:b/>
          <w:bCs/>
        </w:rPr>
      </w:pPr>
      <w:r>
        <w:rPr>
          <w:b/>
          <w:bCs/>
        </w:rPr>
        <w:t>Not Applicable</w:t>
      </w:r>
    </w:p>
    <w:p w:rsidR="009F33D1" w:rsidRDefault="009F33D1" w:rsidP="009F33D1">
      <w:pPr>
        <w:keepNext/>
        <w:numPr>
          <w:ilvl w:val="0"/>
          <w:numId w:val="2"/>
        </w:numPr>
        <w:tabs>
          <w:tab w:val="left" w:pos="360"/>
        </w:tabs>
        <w:overflowPunct w:val="0"/>
        <w:autoSpaceDE w:val="0"/>
        <w:autoSpaceDN w:val="0"/>
        <w:adjustRightInd w:val="0"/>
        <w:spacing w:after="0" w:line="240" w:lineRule="auto"/>
        <w:rPr>
          <w:bCs/>
        </w:rPr>
      </w:pPr>
      <w:r>
        <w:rPr>
          <w:bCs/>
        </w:rPr>
        <w:t xml:space="preserve">requiring the use of a statistical data classification that has not been reviewed and approved by OMB; </w:t>
      </w:r>
    </w:p>
    <w:p w:rsidR="009F33D1" w:rsidRDefault="009F33D1" w:rsidP="009F33D1">
      <w:pPr>
        <w:keepNext/>
        <w:numPr>
          <w:ilvl w:val="0"/>
          <w:numId w:val="2"/>
        </w:numPr>
        <w:tabs>
          <w:tab w:val="left" w:pos="360"/>
        </w:tabs>
        <w:overflowPunct w:val="0"/>
        <w:autoSpaceDE w:val="0"/>
        <w:autoSpaceDN w:val="0"/>
        <w:adjustRightInd w:val="0"/>
        <w:spacing w:after="0" w:line="240" w:lineRule="auto"/>
        <w:rPr>
          <w:b/>
          <w:bCs/>
        </w:rPr>
      </w:pPr>
      <w:r>
        <w:rPr>
          <w:b/>
          <w:bCs/>
        </w:rPr>
        <w:t>Not Applicable</w:t>
      </w:r>
    </w:p>
    <w:p w:rsidR="009F33D1" w:rsidRDefault="009F33D1" w:rsidP="009F33D1">
      <w:pPr>
        <w:keepNext/>
        <w:tabs>
          <w:tab w:val="left" w:pos="360"/>
        </w:tabs>
        <w:ind w:left="504"/>
        <w:rPr>
          <w:bCs/>
        </w:rPr>
      </w:pPr>
      <w:r>
        <w:rPr>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F33D1" w:rsidRDefault="009F33D1" w:rsidP="009F33D1">
      <w:pPr>
        <w:keepNext/>
        <w:tabs>
          <w:tab w:val="left" w:pos="360"/>
        </w:tabs>
        <w:ind w:left="504"/>
        <w:rPr>
          <w:b/>
          <w:bCs/>
        </w:rPr>
      </w:pPr>
      <w:r>
        <w:rPr>
          <w:b/>
          <w:bCs/>
        </w:rPr>
        <w:t>Not Applicable</w:t>
      </w:r>
    </w:p>
    <w:p w:rsidR="009F33D1" w:rsidRDefault="009F33D1" w:rsidP="009F33D1">
      <w:pPr>
        <w:keepNext/>
        <w:numPr>
          <w:ilvl w:val="0"/>
          <w:numId w:val="2"/>
        </w:numPr>
        <w:tabs>
          <w:tab w:val="left" w:pos="360"/>
        </w:tabs>
        <w:overflowPunct w:val="0"/>
        <w:autoSpaceDE w:val="0"/>
        <w:autoSpaceDN w:val="0"/>
        <w:adjustRightInd w:val="0"/>
        <w:spacing w:after="0" w:line="240" w:lineRule="auto"/>
        <w:rPr>
          <w:bCs/>
        </w:rPr>
      </w:pPr>
      <w:r>
        <w:rPr>
          <w:bCs/>
        </w:rPr>
        <w:t>requiring respondents to submit proprietary trade secret, or other confidential information unless the agency can demonstrate that it has instituted procedures to protect the information's confidentiality to the extent permitted by law.</w:t>
      </w:r>
    </w:p>
    <w:p w:rsidR="009F33D1" w:rsidRDefault="009F33D1" w:rsidP="009F33D1">
      <w:pPr>
        <w:keepNext/>
        <w:numPr>
          <w:ilvl w:val="0"/>
          <w:numId w:val="2"/>
        </w:numPr>
        <w:tabs>
          <w:tab w:val="left" w:pos="360"/>
        </w:tabs>
        <w:overflowPunct w:val="0"/>
        <w:autoSpaceDE w:val="0"/>
        <w:autoSpaceDN w:val="0"/>
        <w:adjustRightInd w:val="0"/>
        <w:spacing w:after="0" w:line="240" w:lineRule="auto"/>
        <w:rPr>
          <w:b/>
          <w:bCs/>
        </w:rPr>
      </w:pPr>
      <w:r>
        <w:rPr>
          <w:b/>
          <w:bCs/>
        </w:rPr>
        <w:t>Not Applicable</w:t>
      </w:r>
    </w:p>
    <w:p w:rsidR="009F33D1" w:rsidRDefault="009F33D1" w:rsidP="009F33D1">
      <w:pPr>
        <w:tabs>
          <w:tab w:val="left" w:pos="360"/>
        </w:tabs>
        <w:ind w:left="504"/>
      </w:pPr>
    </w:p>
    <w:p w:rsidR="009F33D1" w:rsidRDefault="009F33D1" w:rsidP="009F33D1">
      <w:pPr>
        <w:tabs>
          <w:tab w:val="left" w:pos="360"/>
        </w:tabs>
        <w:ind w:left="360" w:hanging="360"/>
      </w:pPr>
      <w:r>
        <w:lastRenderedPageBreak/>
        <w:tab/>
        <w:t>There are no special circumstances that require the collection of information to be inconsistent with the guidelines in 24CFR 200.95 and 200.96.</w:t>
      </w:r>
    </w:p>
    <w:p w:rsidR="00D93DF3" w:rsidRPr="00A35C0A" w:rsidRDefault="0020686B" w:rsidP="00D93DF3">
      <w:pPr>
        <w:ind w:left="360" w:hanging="360"/>
      </w:pPr>
      <w:r w:rsidRPr="00AD3F2F">
        <w:rPr>
          <w:rFonts w:ascii="Times New Roman" w:eastAsia="Times New Roman" w:hAnsi="Times New Roman" w:cs="Times New Roman"/>
          <w:sz w:val="24"/>
          <w:szCs w:val="24"/>
        </w:rPr>
        <w:t xml:space="preserve">8.   </w:t>
      </w:r>
      <w:r w:rsidR="00D93DF3" w:rsidRPr="00D93DF3">
        <w:rPr>
          <w:rFonts w:ascii="Times New Roman" w:hAnsi="Times New Roman" w:cs="Times New Roman"/>
          <w:sz w:val="24"/>
          <w:szCs w:val="24"/>
        </w:rPr>
        <w:t xml:space="preserve">In accordance with 5CFR 1320.8(d), this information collection soliciting public comments was announced in the Federal Register on </w:t>
      </w:r>
      <w:r w:rsidR="00D93DF3" w:rsidRPr="00D93DF3">
        <w:rPr>
          <w:rFonts w:ascii="Times New Roman" w:hAnsi="Times New Roman" w:cs="Times New Roman"/>
          <w:b/>
          <w:sz w:val="24"/>
          <w:szCs w:val="24"/>
          <w:u w:val="single"/>
        </w:rPr>
        <w:t>September 26, 2016</w:t>
      </w:r>
      <w:r w:rsidR="00D93DF3" w:rsidRPr="00D93DF3">
        <w:rPr>
          <w:rFonts w:ascii="Times New Roman" w:hAnsi="Times New Roman" w:cs="Times New Roman"/>
          <w:sz w:val="24"/>
          <w:szCs w:val="24"/>
        </w:rPr>
        <w:t xml:space="preserve">, Volume </w:t>
      </w:r>
      <w:r w:rsidR="00D93DF3" w:rsidRPr="00D93DF3">
        <w:rPr>
          <w:rFonts w:ascii="Times New Roman" w:hAnsi="Times New Roman" w:cs="Times New Roman"/>
          <w:b/>
          <w:sz w:val="24"/>
          <w:szCs w:val="24"/>
          <w:u w:val="single"/>
        </w:rPr>
        <w:t>81</w:t>
      </w:r>
      <w:r w:rsidR="00D93DF3" w:rsidRPr="00D93DF3">
        <w:rPr>
          <w:rFonts w:ascii="Times New Roman" w:hAnsi="Times New Roman" w:cs="Times New Roman"/>
          <w:sz w:val="24"/>
          <w:szCs w:val="24"/>
        </w:rPr>
        <w:t xml:space="preserve">, No. </w:t>
      </w:r>
      <w:r w:rsidR="00D93DF3" w:rsidRPr="00D93DF3">
        <w:rPr>
          <w:rFonts w:ascii="Times New Roman" w:hAnsi="Times New Roman" w:cs="Times New Roman"/>
          <w:b/>
          <w:sz w:val="24"/>
          <w:szCs w:val="24"/>
          <w:u w:val="single"/>
        </w:rPr>
        <w:t>186</w:t>
      </w:r>
      <w:r w:rsidR="00D93DF3" w:rsidRPr="00D93DF3">
        <w:rPr>
          <w:rFonts w:ascii="Times New Roman" w:hAnsi="Times New Roman" w:cs="Times New Roman"/>
          <w:sz w:val="24"/>
          <w:szCs w:val="24"/>
        </w:rPr>
        <w:t xml:space="preserve">, Pages </w:t>
      </w:r>
      <w:r w:rsidR="00D93DF3" w:rsidRPr="00D93DF3">
        <w:rPr>
          <w:rFonts w:ascii="Times New Roman" w:hAnsi="Times New Roman" w:cs="Times New Roman"/>
          <w:b/>
          <w:sz w:val="24"/>
          <w:szCs w:val="24"/>
          <w:u w:val="single"/>
        </w:rPr>
        <w:t>66073</w:t>
      </w:r>
      <w:r w:rsidR="00D93DF3" w:rsidRPr="00D93DF3">
        <w:rPr>
          <w:rFonts w:ascii="Times New Roman" w:hAnsi="Times New Roman" w:cs="Times New Roman"/>
          <w:sz w:val="24"/>
          <w:szCs w:val="24"/>
        </w:rPr>
        <w:t>.  No Comments received.</w:t>
      </w:r>
    </w:p>
    <w:p w:rsidR="0020686B" w:rsidRPr="00AD3F2F" w:rsidRDefault="0020686B" w:rsidP="00D93DF3">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9.</w:t>
      </w:r>
      <w:r w:rsidRPr="00AD3F2F">
        <w:rPr>
          <w:rFonts w:ascii="Times New Roman" w:eastAsia="Times New Roman" w:hAnsi="Times New Roman" w:cs="Times New Roman"/>
          <w:sz w:val="24"/>
          <w:szCs w:val="24"/>
        </w:rPr>
        <w:tab/>
        <w:t>There will be no gifts or payments given to respondents.</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10.</w:t>
      </w:r>
      <w:r w:rsidRPr="00AD3F2F">
        <w:rPr>
          <w:rFonts w:ascii="Times New Roman" w:eastAsia="Times New Roman" w:hAnsi="Times New Roman" w:cs="Times New Roman"/>
          <w:sz w:val="24"/>
          <w:szCs w:val="24"/>
        </w:rPr>
        <w:tab/>
        <w:t>There is no assurance of confidentiality; however, except under the Freedom of Information Act.</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11.</w:t>
      </w:r>
      <w:r w:rsidRPr="00AD3F2F">
        <w:rPr>
          <w:rFonts w:ascii="Times New Roman" w:eastAsia="Times New Roman" w:hAnsi="Times New Roman" w:cs="Times New Roman"/>
          <w:sz w:val="24"/>
          <w:szCs w:val="24"/>
        </w:rPr>
        <w:tab/>
        <w:t>There are no questions of a sensitive nature.</w:t>
      </w: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20686B" w:rsidRPr="00AD3F2F" w:rsidRDefault="0020686B" w:rsidP="0020686B">
      <w:pPr>
        <w:tabs>
          <w:tab w:val="left" w:pos="2715"/>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12. Annual Burden Estimate:</w:t>
      </w:r>
      <w:r w:rsidRPr="00AD3F2F">
        <w:rPr>
          <w:rFonts w:ascii="Times New Roman" w:eastAsia="Times New Roman" w:hAnsi="Times New Roman" w:cs="Times New Roman"/>
          <w:sz w:val="24"/>
          <w:szCs w:val="24"/>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1300"/>
        <w:gridCol w:w="1139"/>
        <w:gridCol w:w="1139"/>
        <w:gridCol w:w="1074"/>
        <w:gridCol w:w="925"/>
        <w:gridCol w:w="1074"/>
        <w:gridCol w:w="976"/>
      </w:tblGrid>
      <w:tr w:rsidR="00413833" w:rsidRPr="00AD3F2F" w:rsidTr="00E26AFE">
        <w:tc>
          <w:tcPr>
            <w:tcW w:w="1453"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F60733">
              <w:rPr>
                <w:rFonts w:ascii="Times New Roman" w:eastAsia="Times New Roman" w:hAnsi="Times New Roman" w:cs="Times New Roman"/>
                <w:sz w:val="20"/>
                <w:szCs w:val="20"/>
              </w:rPr>
              <w:t>Information Collection</w:t>
            </w:r>
          </w:p>
        </w:tc>
        <w:tc>
          <w:tcPr>
            <w:tcW w:w="1443"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F60733">
              <w:rPr>
                <w:rFonts w:ascii="Times New Roman" w:eastAsia="Times New Roman" w:hAnsi="Times New Roman" w:cs="Times New Roman"/>
                <w:sz w:val="20"/>
                <w:szCs w:val="20"/>
              </w:rPr>
              <w:t>Number of Respondents</w:t>
            </w:r>
          </w:p>
        </w:tc>
        <w:tc>
          <w:tcPr>
            <w:tcW w:w="1321" w:type="dxa"/>
          </w:tcPr>
          <w:p w:rsidR="0020686B" w:rsidRPr="00F60733" w:rsidRDefault="00413833" w:rsidP="004138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Frequency of Responses </w:t>
            </w:r>
            <w:r w:rsidR="0020686B" w:rsidRPr="00F60733">
              <w:rPr>
                <w:rFonts w:ascii="Times New Roman" w:eastAsia="Times New Roman" w:hAnsi="Times New Roman" w:cs="Times New Roman"/>
                <w:sz w:val="20"/>
                <w:szCs w:val="20"/>
              </w:rPr>
              <w:t xml:space="preserve"> </w:t>
            </w:r>
          </w:p>
        </w:tc>
        <w:tc>
          <w:tcPr>
            <w:tcW w:w="1321" w:type="dxa"/>
          </w:tcPr>
          <w:p w:rsidR="0020686B" w:rsidRPr="00F60733" w:rsidRDefault="00413833" w:rsidP="004138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Responses Per Annum </w:t>
            </w:r>
          </w:p>
        </w:tc>
        <w:tc>
          <w:tcPr>
            <w:tcW w:w="1286"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F60733">
              <w:rPr>
                <w:rFonts w:ascii="Times New Roman" w:eastAsia="Times New Roman" w:hAnsi="Times New Roman" w:cs="Times New Roman"/>
                <w:sz w:val="20"/>
                <w:szCs w:val="20"/>
              </w:rPr>
              <w:t>Burden Hour Per Response</w:t>
            </w:r>
          </w:p>
        </w:tc>
        <w:tc>
          <w:tcPr>
            <w:tcW w:w="1205" w:type="dxa"/>
          </w:tcPr>
          <w:p w:rsidR="0020686B" w:rsidRPr="00F60733" w:rsidRDefault="00E44ED4"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Annual Burden </w:t>
            </w:r>
            <w:proofErr w:type="spellStart"/>
            <w:r>
              <w:rPr>
                <w:rFonts w:ascii="Times New Roman" w:eastAsia="Times New Roman" w:hAnsi="Times New Roman" w:cs="Times New Roman"/>
                <w:sz w:val="20"/>
                <w:szCs w:val="20"/>
              </w:rPr>
              <w:t>Hrs</w:t>
            </w:r>
            <w:proofErr w:type="spellEnd"/>
            <w:r>
              <w:rPr>
                <w:rFonts w:ascii="Times New Roman" w:eastAsia="Times New Roman" w:hAnsi="Times New Roman" w:cs="Times New Roman"/>
                <w:sz w:val="20"/>
                <w:szCs w:val="20"/>
              </w:rPr>
              <w:t xml:space="preserve"> </w:t>
            </w:r>
          </w:p>
        </w:tc>
        <w:tc>
          <w:tcPr>
            <w:tcW w:w="1286"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F60733">
              <w:rPr>
                <w:rFonts w:ascii="Times New Roman" w:eastAsia="Times New Roman" w:hAnsi="Times New Roman" w:cs="Times New Roman"/>
                <w:sz w:val="20"/>
                <w:szCs w:val="20"/>
              </w:rPr>
              <w:t xml:space="preserve">Hourly Cost </w:t>
            </w:r>
            <w:r w:rsidR="00E44ED4">
              <w:rPr>
                <w:rFonts w:ascii="Times New Roman" w:eastAsia="Times New Roman" w:hAnsi="Times New Roman" w:cs="Times New Roman"/>
                <w:sz w:val="20"/>
                <w:szCs w:val="20"/>
              </w:rPr>
              <w:t>per Response</w:t>
            </w:r>
          </w:p>
        </w:tc>
        <w:tc>
          <w:tcPr>
            <w:tcW w:w="1233" w:type="dxa"/>
          </w:tcPr>
          <w:p w:rsidR="0020686B" w:rsidRPr="00F60733" w:rsidRDefault="00E44ED4"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Total </w:t>
            </w:r>
            <w:r w:rsidR="0020686B" w:rsidRPr="00F60733">
              <w:rPr>
                <w:rFonts w:ascii="Times New Roman" w:eastAsia="Times New Roman" w:hAnsi="Times New Roman" w:cs="Times New Roman"/>
                <w:sz w:val="20"/>
                <w:szCs w:val="20"/>
              </w:rPr>
              <w:t>Annual Cost</w:t>
            </w:r>
          </w:p>
        </w:tc>
      </w:tr>
      <w:tr w:rsidR="00413833" w:rsidRPr="00AD3F2F" w:rsidTr="00E26AFE">
        <w:trPr>
          <w:trHeight w:val="572"/>
        </w:trPr>
        <w:tc>
          <w:tcPr>
            <w:tcW w:w="1453"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F60733">
              <w:rPr>
                <w:rFonts w:ascii="Times New Roman" w:eastAsia="Times New Roman" w:hAnsi="Times New Roman" w:cs="Times New Roman"/>
                <w:sz w:val="20"/>
                <w:szCs w:val="20"/>
              </w:rPr>
              <w:t>HUD-93232-A</w:t>
            </w:r>
          </w:p>
        </w:tc>
        <w:tc>
          <w:tcPr>
            <w:tcW w:w="1443" w:type="dxa"/>
          </w:tcPr>
          <w:p w:rsidR="0020686B" w:rsidRPr="00F60733" w:rsidRDefault="00F60733"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321"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F60733">
              <w:rPr>
                <w:rFonts w:ascii="Times New Roman" w:eastAsia="Times New Roman" w:hAnsi="Times New Roman" w:cs="Times New Roman"/>
                <w:sz w:val="20"/>
                <w:szCs w:val="20"/>
              </w:rPr>
              <w:t>1</w:t>
            </w:r>
          </w:p>
        </w:tc>
        <w:tc>
          <w:tcPr>
            <w:tcW w:w="1321" w:type="dxa"/>
          </w:tcPr>
          <w:p w:rsidR="0020686B" w:rsidRPr="00F60733" w:rsidRDefault="00F60733"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286"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F60733">
              <w:rPr>
                <w:rFonts w:ascii="Times New Roman" w:eastAsia="Times New Roman" w:hAnsi="Times New Roman" w:cs="Times New Roman"/>
                <w:sz w:val="20"/>
                <w:szCs w:val="20"/>
              </w:rPr>
              <w:t>1</w:t>
            </w:r>
          </w:p>
        </w:tc>
        <w:tc>
          <w:tcPr>
            <w:tcW w:w="1205" w:type="dxa"/>
          </w:tcPr>
          <w:p w:rsidR="0020686B" w:rsidRPr="00F60733" w:rsidRDefault="00F60733"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286"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F60733">
              <w:rPr>
                <w:rFonts w:ascii="Times New Roman" w:eastAsia="Times New Roman" w:hAnsi="Times New Roman" w:cs="Times New Roman"/>
                <w:sz w:val="20"/>
                <w:szCs w:val="20"/>
              </w:rPr>
              <w:t>$30.00</w:t>
            </w:r>
          </w:p>
        </w:tc>
        <w:tc>
          <w:tcPr>
            <w:tcW w:w="1233" w:type="dxa"/>
          </w:tcPr>
          <w:p w:rsidR="0020686B" w:rsidRPr="00F60733" w:rsidRDefault="0020686B" w:rsidP="00F607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F60733">
              <w:rPr>
                <w:rFonts w:ascii="Times New Roman" w:eastAsia="Times New Roman" w:hAnsi="Times New Roman" w:cs="Times New Roman"/>
                <w:sz w:val="20"/>
                <w:szCs w:val="20"/>
              </w:rPr>
              <w:t>$3</w:t>
            </w:r>
            <w:r w:rsidR="00F60733">
              <w:rPr>
                <w:rFonts w:ascii="Times New Roman" w:eastAsia="Times New Roman" w:hAnsi="Times New Roman" w:cs="Times New Roman"/>
                <w:sz w:val="20"/>
                <w:szCs w:val="20"/>
              </w:rPr>
              <w:t>90</w:t>
            </w:r>
            <w:r w:rsidRPr="00F60733">
              <w:rPr>
                <w:rFonts w:ascii="Times New Roman" w:eastAsia="Times New Roman" w:hAnsi="Times New Roman" w:cs="Times New Roman"/>
                <w:sz w:val="20"/>
                <w:szCs w:val="20"/>
              </w:rPr>
              <w:t>.00</w:t>
            </w:r>
          </w:p>
        </w:tc>
      </w:tr>
      <w:tr w:rsidR="00413833" w:rsidRPr="00AD3F2F" w:rsidTr="00E26AFE">
        <w:tc>
          <w:tcPr>
            <w:tcW w:w="1453" w:type="dxa"/>
          </w:tcPr>
          <w:p w:rsidR="0020686B" w:rsidRPr="00F60733" w:rsidRDefault="0020686B" w:rsidP="00E26AFE">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0"/>
                <w:szCs w:val="20"/>
              </w:rPr>
            </w:pPr>
            <w:r w:rsidRPr="00F60733">
              <w:rPr>
                <w:rFonts w:ascii="Times New Roman" w:eastAsia="Times New Roman" w:hAnsi="Times New Roman" w:cs="Times New Roman"/>
                <w:b/>
                <w:bCs/>
                <w:sz w:val="20"/>
                <w:szCs w:val="20"/>
              </w:rPr>
              <w:t>Totals</w:t>
            </w:r>
          </w:p>
        </w:tc>
        <w:tc>
          <w:tcPr>
            <w:tcW w:w="1443"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p>
        </w:tc>
        <w:tc>
          <w:tcPr>
            <w:tcW w:w="1321"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p>
        </w:tc>
        <w:tc>
          <w:tcPr>
            <w:tcW w:w="1321" w:type="dxa"/>
          </w:tcPr>
          <w:p w:rsidR="0020686B" w:rsidRPr="00F60733" w:rsidRDefault="00F60733"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w:t>
            </w:r>
          </w:p>
        </w:tc>
        <w:tc>
          <w:tcPr>
            <w:tcW w:w="1286"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p>
        </w:tc>
        <w:tc>
          <w:tcPr>
            <w:tcW w:w="1205" w:type="dxa"/>
          </w:tcPr>
          <w:p w:rsidR="0020686B" w:rsidRPr="00F60733" w:rsidRDefault="00F60733"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w:t>
            </w:r>
          </w:p>
        </w:tc>
        <w:tc>
          <w:tcPr>
            <w:tcW w:w="1286" w:type="dxa"/>
          </w:tcPr>
          <w:p w:rsidR="0020686B" w:rsidRPr="00F60733"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p>
        </w:tc>
        <w:tc>
          <w:tcPr>
            <w:tcW w:w="1233" w:type="dxa"/>
          </w:tcPr>
          <w:p w:rsidR="0020686B" w:rsidRPr="00F60733" w:rsidRDefault="0020686B" w:rsidP="00F6073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rPr>
            </w:pPr>
            <w:r w:rsidRPr="00F60733">
              <w:rPr>
                <w:rFonts w:ascii="Times New Roman" w:eastAsia="Times New Roman" w:hAnsi="Times New Roman" w:cs="Times New Roman"/>
                <w:b/>
                <w:bCs/>
                <w:sz w:val="20"/>
                <w:szCs w:val="20"/>
              </w:rPr>
              <w:t>$3</w:t>
            </w:r>
            <w:r w:rsidR="00F60733">
              <w:rPr>
                <w:rFonts w:ascii="Times New Roman" w:eastAsia="Times New Roman" w:hAnsi="Times New Roman" w:cs="Times New Roman"/>
                <w:b/>
                <w:bCs/>
                <w:sz w:val="20"/>
                <w:szCs w:val="20"/>
              </w:rPr>
              <w:t>90</w:t>
            </w:r>
            <w:r w:rsidRPr="00F60733">
              <w:rPr>
                <w:rFonts w:ascii="Times New Roman" w:eastAsia="Times New Roman" w:hAnsi="Times New Roman" w:cs="Times New Roman"/>
                <w:b/>
                <w:bCs/>
                <w:sz w:val="20"/>
                <w:szCs w:val="20"/>
              </w:rPr>
              <w:t>.00</w:t>
            </w:r>
          </w:p>
        </w:tc>
      </w:tr>
    </w:tbl>
    <w:p w:rsidR="0020686B" w:rsidRPr="00AD3F2F" w:rsidRDefault="0020686B" w:rsidP="002068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20686B" w:rsidRPr="00AD3F2F" w:rsidRDefault="0020686B" w:rsidP="0020686B">
      <w:pPr>
        <w:tabs>
          <w:tab w:val="center" w:pos="2280"/>
          <w:tab w:val="center" w:pos="3720"/>
          <w:tab w:val="center" w:pos="5160"/>
          <w:tab w:val="center" w:pos="6360"/>
          <w:tab w:val="center" w:pos="7560"/>
          <w:tab w:val="center" w:pos="864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 xml:space="preserve">**Information collection includes HUD 93232-A, credit report, Request for Verification of Deposit and Request for Verification of Employment  </w:t>
      </w:r>
    </w:p>
    <w:p w:rsidR="0020686B" w:rsidRPr="00AD3F2F" w:rsidRDefault="0020686B" w:rsidP="002068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13.</w:t>
      </w:r>
      <w:r w:rsidRPr="00AD3F2F">
        <w:rPr>
          <w:rFonts w:ascii="Times New Roman" w:eastAsia="Times New Roman" w:hAnsi="Times New Roman" w:cs="Times New Roman"/>
          <w:sz w:val="24"/>
          <w:szCs w:val="24"/>
        </w:rPr>
        <w:tab/>
        <w:t>There are no additional costs to the respondents.</w:t>
      </w: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14. Annual Cost to the Federal Government:</w:t>
      </w:r>
    </w:p>
    <w:tbl>
      <w:tblPr>
        <w:tblW w:w="96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1443"/>
        <w:gridCol w:w="1229"/>
        <w:gridCol w:w="1230"/>
        <w:gridCol w:w="1136"/>
        <w:gridCol w:w="969"/>
        <w:gridCol w:w="896"/>
        <w:gridCol w:w="1341"/>
      </w:tblGrid>
      <w:tr w:rsidR="009F02EF" w:rsidRPr="00AD3F2F" w:rsidTr="00D83ABF">
        <w:tc>
          <w:tcPr>
            <w:tcW w:w="1363" w:type="dxa"/>
          </w:tcPr>
          <w:p w:rsidR="009F02EF" w:rsidRPr="00AD3F2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Information Collection</w:t>
            </w:r>
          </w:p>
        </w:tc>
        <w:tc>
          <w:tcPr>
            <w:tcW w:w="1443" w:type="dxa"/>
          </w:tcPr>
          <w:p w:rsidR="009F02EF" w:rsidRPr="00AD3F2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Number of Respondents</w:t>
            </w:r>
          </w:p>
        </w:tc>
        <w:tc>
          <w:tcPr>
            <w:tcW w:w="1229" w:type="dxa"/>
          </w:tcPr>
          <w:p w:rsidR="009F02EF" w:rsidRPr="00AD3F2F" w:rsidRDefault="009F02EF" w:rsidP="004138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roofErr w:type="gramStart"/>
            <w:r>
              <w:rPr>
                <w:rFonts w:ascii="Times New Roman" w:eastAsia="Times New Roman" w:hAnsi="Times New Roman" w:cs="Times New Roman"/>
                <w:sz w:val="24"/>
                <w:szCs w:val="24"/>
              </w:rPr>
              <w:t xml:space="preserve">of </w:t>
            </w:r>
            <w:r w:rsidRPr="00AD3F2F">
              <w:rPr>
                <w:rFonts w:ascii="Times New Roman" w:eastAsia="Times New Roman" w:hAnsi="Times New Roman" w:cs="Times New Roman"/>
                <w:sz w:val="24"/>
                <w:szCs w:val="24"/>
              </w:rPr>
              <w:t xml:space="preserve"> Response</w:t>
            </w:r>
            <w:proofErr w:type="gramEnd"/>
          </w:p>
        </w:tc>
        <w:tc>
          <w:tcPr>
            <w:tcW w:w="1230" w:type="dxa"/>
          </w:tcPr>
          <w:p w:rsidR="009F02EF" w:rsidRDefault="009F02EF" w:rsidP="004138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 xml:space="preserve">Total Annual </w:t>
            </w:r>
            <w:r>
              <w:rPr>
                <w:rFonts w:ascii="Times New Roman" w:eastAsia="Times New Roman" w:hAnsi="Times New Roman" w:cs="Times New Roman"/>
                <w:sz w:val="24"/>
                <w:szCs w:val="24"/>
              </w:rPr>
              <w:t xml:space="preserve">Responses </w:t>
            </w:r>
          </w:p>
          <w:p w:rsidR="009F02EF" w:rsidRPr="00AD3F2F" w:rsidRDefault="009F02EF" w:rsidP="004138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136" w:type="dxa"/>
          </w:tcPr>
          <w:p w:rsidR="009F02EF" w:rsidRPr="00AD3F2F" w:rsidRDefault="009F02EF" w:rsidP="009F02E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Burden Hours per Response</w:t>
            </w:r>
          </w:p>
        </w:tc>
        <w:tc>
          <w:tcPr>
            <w:tcW w:w="969" w:type="dxa"/>
          </w:tcPr>
          <w:p w:rsidR="009F02EF" w:rsidRPr="00AD3F2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 xml:space="preserve">Annual </w:t>
            </w:r>
            <w:r>
              <w:rPr>
                <w:rFonts w:ascii="Times New Roman" w:eastAsia="Times New Roman" w:hAnsi="Times New Roman" w:cs="Times New Roman"/>
                <w:sz w:val="24"/>
                <w:szCs w:val="24"/>
              </w:rPr>
              <w:t xml:space="preserve">Burden Hours </w:t>
            </w:r>
          </w:p>
        </w:tc>
        <w:tc>
          <w:tcPr>
            <w:tcW w:w="896" w:type="dxa"/>
          </w:tcPr>
          <w:p w:rsidR="009F02EF" w:rsidRPr="00AD3F2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Hourly Cost</w:t>
            </w:r>
          </w:p>
        </w:tc>
        <w:tc>
          <w:tcPr>
            <w:tcW w:w="1341" w:type="dxa"/>
          </w:tcPr>
          <w:p w:rsidR="009F02E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p w:rsidR="009F02EF" w:rsidRPr="00AD3F2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 Cost </w:t>
            </w:r>
          </w:p>
        </w:tc>
      </w:tr>
      <w:tr w:rsidR="009F02EF" w:rsidRPr="00AD3F2F" w:rsidTr="00D83ABF">
        <w:trPr>
          <w:trHeight w:val="572"/>
        </w:trPr>
        <w:tc>
          <w:tcPr>
            <w:tcW w:w="1363" w:type="dxa"/>
          </w:tcPr>
          <w:p w:rsidR="009F02EF" w:rsidRPr="00AD3F2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HUD-93232-A</w:t>
            </w:r>
          </w:p>
        </w:tc>
        <w:tc>
          <w:tcPr>
            <w:tcW w:w="1443" w:type="dxa"/>
          </w:tcPr>
          <w:p w:rsidR="009F02EF" w:rsidRPr="00AD3F2F" w:rsidRDefault="009F02EF" w:rsidP="00F607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1229" w:type="dxa"/>
          </w:tcPr>
          <w:p w:rsidR="009F02EF" w:rsidRPr="00AD3F2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w:t>
            </w:r>
          </w:p>
        </w:tc>
        <w:tc>
          <w:tcPr>
            <w:tcW w:w="1230" w:type="dxa"/>
          </w:tcPr>
          <w:p w:rsidR="009F02EF" w:rsidRPr="00AD3F2F" w:rsidRDefault="009F02EF" w:rsidP="00F607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tcPr>
          <w:p w:rsidR="009F02EF" w:rsidRPr="00AD3F2F" w:rsidRDefault="00E44ED4" w:rsidP="009F02E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69" w:type="dxa"/>
          </w:tcPr>
          <w:p w:rsidR="009F02EF" w:rsidRPr="00AD3F2F" w:rsidRDefault="00E44ED4" w:rsidP="009F02E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96" w:type="dxa"/>
          </w:tcPr>
          <w:p w:rsidR="009F02EF" w:rsidRPr="00AD3F2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$42.22</w:t>
            </w:r>
          </w:p>
        </w:tc>
        <w:tc>
          <w:tcPr>
            <w:tcW w:w="1341" w:type="dxa"/>
          </w:tcPr>
          <w:p w:rsidR="009F02EF" w:rsidRPr="00AD3F2F" w:rsidRDefault="00E44ED4"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$548.86</w:t>
            </w:r>
          </w:p>
        </w:tc>
      </w:tr>
      <w:tr w:rsidR="009F02EF" w:rsidRPr="00AD3F2F" w:rsidTr="00D83ABF">
        <w:trPr>
          <w:trHeight w:val="638"/>
        </w:trPr>
        <w:tc>
          <w:tcPr>
            <w:tcW w:w="1363" w:type="dxa"/>
          </w:tcPr>
          <w:p w:rsidR="009F02EF" w:rsidRPr="00AD3F2F" w:rsidRDefault="009F02EF" w:rsidP="00E26AFE">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Totals</w:t>
            </w:r>
          </w:p>
        </w:tc>
        <w:tc>
          <w:tcPr>
            <w:tcW w:w="1443" w:type="dxa"/>
          </w:tcPr>
          <w:p w:rsidR="009F02EF" w:rsidRPr="00AD3F2F" w:rsidRDefault="009F02EF" w:rsidP="00F6073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w:t>
            </w:r>
          </w:p>
        </w:tc>
        <w:tc>
          <w:tcPr>
            <w:tcW w:w="1229" w:type="dxa"/>
          </w:tcPr>
          <w:p w:rsidR="009F02EF" w:rsidRPr="00AD3F2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tc>
        <w:tc>
          <w:tcPr>
            <w:tcW w:w="1230" w:type="dxa"/>
          </w:tcPr>
          <w:p w:rsidR="009F02EF" w:rsidRPr="00AD3F2F" w:rsidRDefault="009F02EF" w:rsidP="00F6073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w:t>
            </w:r>
          </w:p>
        </w:tc>
        <w:tc>
          <w:tcPr>
            <w:tcW w:w="1136" w:type="dxa"/>
          </w:tcPr>
          <w:p w:rsidR="009F02EF" w:rsidRPr="00AD3F2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tc>
        <w:tc>
          <w:tcPr>
            <w:tcW w:w="969" w:type="dxa"/>
          </w:tcPr>
          <w:p w:rsidR="009F02EF" w:rsidRPr="00AD3F2F" w:rsidRDefault="00D83ABF" w:rsidP="009F02E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896" w:type="dxa"/>
          </w:tcPr>
          <w:p w:rsidR="009F02EF" w:rsidRPr="00AD3F2F" w:rsidRDefault="009F02E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tc>
        <w:tc>
          <w:tcPr>
            <w:tcW w:w="1341" w:type="dxa"/>
          </w:tcPr>
          <w:p w:rsidR="009F02EF" w:rsidRPr="00AD3F2F" w:rsidRDefault="00D83ABF"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$548.86</w:t>
            </w:r>
            <w:bookmarkStart w:id="0" w:name="_GoBack"/>
            <w:bookmarkEnd w:id="0"/>
          </w:p>
        </w:tc>
      </w:tr>
    </w:tbl>
    <w:p w:rsidR="0020686B" w:rsidRPr="00AD3F2F" w:rsidRDefault="0020686B" w:rsidP="00AD3F2F">
      <w:pPr>
        <w:overflowPunct w:val="0"/>
        <w:autoSpaceDE w:val="0"/>
        <w:autoSpaceDN w:val="0"/>
        <w:adjustRightInd w:val="0"/>
        <w:spacing w:after="0" w:line="240" w:lineRule="auto"/>
        <w:ind w:left="48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 xml:space="preserve">Estimated cost based on the </w:t>
      </w:r>
      <w:r w:rsidR="00693145" w:rsidRPr="00AD3F2F">
        <w:rPr>
          <w:rFonts w:ascii="Times New Roman" w:eastAsia="Times New Roman" w:hAnsi="Times New Roman" w:cs="Times New Roman"/>
          <w:sz w:val="24"/>
          <w:szCs w:val="24"/>
        </w:rPr>
        <w:t>ann</w:t>
      </w:r>
      <w:r w:rsidR="00693145">
        <w:rPr>
          <w:rFonts w:ascii="Times New Roman" w:eastAsia="Times New Roman" w:hAnsi="Times New Roman" w:cs="Times New Roman"/>
          <w:sz w:val="24"/>
          <w:szCs w:val="24"/>
        </w:rPr>
        <w:t>u</w:t>
      </w:r>
      <w:r w:rsidR="00693145" w:rsidRPr="00AD3F2F">
        <w:rPr>
          <w:rFonts w:ascii="Times New Roman" w:eastAsia="Times New Roman" w:hAnsi="Times New Roman" w:cs="Times New Roman"/>
          <w:sz w:val="24"/>
          <w:szCs w:val="24"/>
        </w:rPr>
        <w:t xml:space="preserve">al </w:t>
      </w:r>
      <w:r w:rsidR="00693145">
        <w:rPr>
          <w:rFonts w:ascii="Times New Roman" w:eastAsia="Times New Roman" w:hAnsi="Times New Roman" w:cs="Times New Roman"/>
          <w:sz w:val="24"/>
          <w:szCs w:val="24"/>
        </w:rPr>
        <w:t>salary</w:t>
      </w:r>
      <w:r w:rsidRPr="00AD3F2F">
        <w:rPr>
          <w:rFonts w:ascii="Times New Roman" w:eastAsia="Times New Roman" w:hAnsi="Times New Roman" w:cs="Times New Roman"/>
          <w:sz w:val="24"/>
          <w:szCs w:val="24"/>
        </w:rPr>
        <w:t xml:space="preserve"> of a GS12, step 5 of $</w:t>
      </w:r>
      <w:r w:rsidR="009F02EF">
        <w:rPr>
          <w:rFonts w:ascii="Times New Roman" w:eastAsia="Times New Roman" w:hAnsi="Times New Roman" w:cs="Times New Roman"/>
          <w:sz w:val="24"/>
          <w:szCs w:val="24"/>
        </w:rPr>
        <w:t>42.22</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AD3F2F">
      <w:pPr>
        <w:overflowPunct w:val="0"/>
        <w:autoSpaceDE w:val="0"/>
        <w:autoSpaceDN w:val="0"/>
        <w:adjustRightInd w:val="0"/>
        <w:spacing w:after="0" w:line="240" w:lineRule="auto"/>
        <w:ind w:left="360" w:hanging="360"/>
        <w:textAlignment w:val="baseline"/>
        <w:rPr>
          <w:rFonts w:ascii="Times New Roman" w:hAnsi="Times New Roman" w:cs="Times New Roman"/>
          <w:sz w:val="24"/>
          <w:szCs w:val="24"/>
        </w:rPr>
      </w:pPr>
      <w:r w:rsidRPr="00AD3F2F">
        <w:rPr>
          <w:rFonts w:ascii="Times New Roman" w:eastAsia="Times New Roman" w:hAnsi="Times New Roman" w:cs="Times New Roman"/>
          <w:sz w:val="24"/>
          <w:szCs w:val="24"/>
        </w:rPr>
        <w:t>15. This is an extension of a current</w:t>
      </w:r>
      <w:r w:rsidR="00762F4E">
        <w:rPr>
          <w:rFonts w:ascii="Times New Roman" w:eastAsia="Times New Roman" w:hAnsi="Times New Roman" w:cs="Times New Roman"/>
          <w:sz w:val="24"/>
          <w:szCs w:val="24"/>
        </w:rPr>
        <w:t>ly</w:t>
      </w:r>
      <w:r w:rsidRPr="00AD3F2F">
        <w:rPr>
          <w:rFonts w:ascii="Times New Roman" w:eastAsia="Times New Roman" w:hAnsi="Times New Roman" w:cs="Times New Roman"/>
          <w:sz w:val="24"/>
          <w:szCs w:val="24"/>
        </w:rPr>
        <w:t xml:space="preserve"> approved collection.  </w:t>
      </w:r>
      <w:r w:rsidR="00AD3F2F" w:rsidRPr="00AD3F2F">
        <w:rPr>
          <w:rFonts w:ascii="Times New Roman" w:hAnsi="Times New Roman" w:cs="Times New Roman"/>
          <w:sz w:val="24"/>
          <w:szCs w:val="24"/>
        </w:rPr>
        <w:t>The decreases in the number of respondents reflect a decreased use of the program which is a direct reflection on the declining housing economy.</w:t>
      </w:r>
    </w:p>
    <w:p w:rsidR="00AD3F2F" w:rsidRPr="00AD3F2F" w:rsidRDefault="00AD3F2F" w:rsidP="00AD3F2F">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16.</w:t>
      </w:r>
      <w:r w:rsidRPr="00AD3F2F">
        <w:rPr>
          <w:rFonts w:ascii="Times New Roman" w:eastAsia="Times New Roman" w:hAnsi="Times New Roman" w:cs="Times New Roman"/>
          <w:sz w:val="24"/>
          <w:szCs w:val="24"/>
        </w:rPr>
        <w:tab/>
        <w:t>The collection of information is not scheduled for publication.</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17.</w:t>
      </w:r>
      <w:r w:rsidRPr="00AD3F2F">
        <w:rPr>
          <w:rFonts w:ascii="Times New Roman" w:eastAsia="Times New Roman" w:hAnsi="Times New Roman" w:cs="Times New Roman"/>
          <w:sz w:val="24"/>
          <w:szCs w:val="24"/>
        </w:rPr>
        <w:tab/>
        <w:t>OMB expiration date will be displayed on the appropriate form.</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18.</w:t>
      </w:r>
      <w:r w:rsidRPr="00AD3F2F">
        <w:rPr>
          <w:rFonts w:ascii="Times New Roman" w:eastAsia="Times New Roman" w:hAnsi="Times New Roman" w:cs="Times New Roman"/>
          <w:sz w:val="24"/>
          <w:szCs w:val="24"/>
        </w:rPr>
        <w:tab/>
        <w:t>There will be no exceptions to the “certification statement”.</w:t>
      </w:r>
    </w:p>
    <w:p w:rsidR="0020686B" w:rsidRPr="00AD3F2F" w:rsidRDefault="0020686B" w:rsidP="0020686B">
      <w:pPr>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rsidR="0020686B" w:rsidRPr="00AD3F2F" w:rsidRDefault="0020686B" w:rsidP="0020686B">
      <w:pPr>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rsidR="0020686B" w:rsidRPr="00AD3F2F" w:rsidRDefault="0020686B" w:rsidP="0020686B">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AD3F2F">
        <w:rPr>
          <w:rFonts w:ascii="Times New Roman" w:eastAsia="Times New Roman" w:hAnsi="Times New Roman" w:cs="Times New Roman"/>
          <w:b/>
          <w:color w:val="000000"/>
          <w:sz w:val="24"/>
          <w:szCs w:val="24"/>
        </w:rPr>
        <w:t xml:space="preserve">B. </w:t>
      </w:r>
      <w:r w:rsidRPr="00AD3F2F">
        <w:rPr>
          <w:rFonts w:ascii="Times New Roman" w:eastAsia="Times New Roman" w:hAnsi="Times New Roman" w:cs="Times New Roman"/>
          <w:b/>
          <w:color w:val="000000"/>
          <w:sz w:val="24"/>
          <w:szCs w:val="24"/>
        </w:rPr>
        <w:tab/>
        <w:t>Collections of Information Employing Statistical Methods</w:t>
      </w:r>
    </w:p>
    <w:p w:rsidR="0020686B" w:rsidRPr="00AD3F2F" w:rsidRDefault="0020686B" w:rsidP="0020686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rsidR="0020686B" w:rsidRPr="00AD3F2F" w:rsidRDefault="0020686B" w:rsidP="0020686B">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4"/>
          <w:szCs w:val="24"/>
        </w:rPr>
      </w:pPr>
      <w:r w:rsidRPr="00AD3F2F">
        <w:rPr>
          <w:rFonts w:ascii="Times New Roman" w:eastAsia="Times New Roman" w:hAnsi="Times New Roman" w:cs="Times New Roman"/>
          <w:color w:val="000000"/>
          <w:sz w:val="24"/>
          <w:szCs w:val="24"/>
        </w:rPr>
        <w:t>There will be no statistical methods used in this collection of information.</w:t>
      </w:r>
    </w:p>
    <w:p w:rsidR="005710B0" w:rsidRPr="00AD3F2F" w:rsidRDefault="005710B0" w:rsidP="0020686B">
      <w:pPr>
        <w:rPr>
          <w:rFonts w:ascii="Times New Roman" w:hAnsi="Times New Roman" w:cs="Times New Roman"/>
          <w:sz w:val="24"/>
          <w:szCs w:val="24"/>
        </w:rPr>
      </w:pPr>
    </w:p>
    <w:sectPr w:rsidR="005710B0" w:rsidRPr="00AD3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18"/>
        <w:u w:val="none"/>
        <w:effect w:val="none"/>
      </w:rPr>
    </w:lvl>
  </w:abstractNum>
  <w:num w:numId="1">
    <w:abstractNumId w:val="1"/>
    <w:lvlOverride w:ilvl="0">
      <w:startOverride w:val="7"/>
    </w:lvlOverride>
  </w:num>
  <w:num w:numId="2">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6B"/>
    <w:rsid w:val="00025C3A"/>
    <w:rsid w:val="001B05D6"/>
    <w:rsid w:val="0020686B"/>
    <w:rsid w:val="00413833"/>
    <w:rsid w:val="005710B0"/>
    <w:rsid w:val="00693145"/>
    <w:rsid w:val="00762F4E"/>
    <w:rsid w:val="009570AC"/>
    <w:rsid w:val="009F02EF"/>
    <w:rsid w:val="009F33D1"/>
    <w:rsid w:val="00A8062D"/>
    <w:rsid w:val="00AD3F2F"/>
    <w:rsid w:val="00D44E2D"/>
    <w:rsid w:val="00D83ABF"/>
    <w:rsid w:val="00D93DF3"/>
    <w:rsid w:val="00E44ED4"/>
    <w:rsid w:val="00F6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AC31"/>
  <w15:docId w15:val="{D87382B4-36AE-4A5D-ABAA-DDBCCE06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06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Chatman, Sylvia S</cp:lastModifiedBy>
  <cp:revision>3</cp:revision>
  <cp:lastPrinted>2016-10-25T15:14:00Z</cp:lastPrinted>
  <dcterms:created xsi:type="dcterms:W3CDTF">2016-10-25T14:42:00Z</dcterms:created>
  <dcterms:modified xsi:type="dcterms:W3CDTF">2016-10-25T15:18:00Z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-1410198979</vt:i4>
  </property>
  <property fmtid="{D5CDD505-2E9C-101B-9397-08002B2CF9AE}" pid="3" name="_NewReviewCycle">
    <vt:lpwstr/>
  </property>
  <property fmtid="{D5CDD505-2E9C-101B-9397-08002B2CF9AE}" pid="4" name="_EmailSubject">
    <vt:lpwstr>Corrections to PRA Packages  2502-0011, 2502-0016, 2502-0058</vt:lpwstr>
  </property>
  <property fmtid="{D5CDD505-2E9C-101B-9397-08002B2CF9AE}" pid="5" name="_AuthorEmail">
    <vt:lpwstr>Sylvia.S.Chatman@hud.gov</vt:lpwstr>
  </property>
  <property fmtid="{D5CDD505-2E9C-101B-9397-08002B2CF9AE}" pid="6" name="_AuthorEmailDisplayName">
    <vt:lpwstr>Chatman, Sylvia S</vt:lpwstr>
  </property>
</Properties>
</file>