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29BDF" w14:textId="74FBF4D0" w:rsidR="00843CF8" w:rsidRDefault="00A20500" w:rsidP="00843CF8">
      <w:r>
        <w:tab/>
      </w:r>
      <w:r>
        <w:tab/>
      </w:r>
      <w:r>
        <w:tab/>
      </w:r>
      <w:r>
        <w:tab/>
      </w:r>
      <w:r>
        <w:tab/>
      </w:r>
      <w:r>
        <w:tab/>
      </w:r>
      <w:r>
        <w:tab/>
      </w:r>
      <w:r>
        <w:tab/>
      </w:r>
      <w:r w:rsidR="002A6168">
        <w:tab/>
      </w:r>
      <w:r w:rsidR="002A6168">
        <w:tab/>
      </w:r>
      <w:r w:rsidR="001B0584">
        <w:t>2140-00XX</w:t>
      </w:r>
    </w:p>
    <w:p w14:paraId="02F27D60" w14:textId="4BECB5FE" w:rsidR="00A20500" w:rsidRDefault="00A20500" w:rsidP="00843CF8">
      <w:r>
        <w:tab/>
      </w:r>
      <w:r>
        <w:tab/>
      </w:r>
      <w:r>
        <w:tab/>
      </w:r>
      <w:r>
        <w:tab/>
      </w:r>
      <w:r>
        <w:tab/>
      </w:r>
      <w:r>
        <w:tab/>
      </w:r>
      <w:r>
        <w:tab/>
      </w:r>
      <w:r>
        <w:tab/>
      </w:r>
      <w:r w:rsidR="001B0584">
        <w:tab/>
      </w:r>
      <w:r w:rsidR="001B0584">
        <w:tab/>
        <w:t>September</w:t>
      </w:r>
      <w:r w:rsidR="002A6168">
        <w:t xml:space="preserve"> 2016</w:t>
      </w:r>
    </w:p>
    <w:p w14:paraId="2BC08AAB" w14:textId="77777777" w:rsidR="00A20500" w:rsidRDefault="00A20500" w:rsidP="00843CF8"/>
    <w:p w14:paraId="14947DD8" w14:textId="77777777" w:rsidR="00A20500" w:rsidRDefault="00A20500" w:rsidP="00843CF8"/>
    <w:p w14:paraId="1FAC8909" w14:textId="77777777" w:rsidR="00994EB7" w:rsidRPr="00E524B6" w:rsidRDefault="00994EB7" w:rsidP="00994EB7">
      <w:pPr>
        <w:tabs>
          <w:tab w:val="center" w:pos="4680"/>
        </w:tabs>
        <w:contextualSpacing/>
        <w:jc w:val="center"/>
        <w:rPr>
          <w:b/>
          <w:bCs/>
        </w:rPr>
      </w:pPr>
      <w:r w:rsidRPr="00E524B6">
        <w:rPr>
          <w:b/>
          <w:bCs/>
        </w:rPr>
        <w:t>SUPPORTING STATEMENT</w:t>
      </w:r>
    </w:p>
    <w:p w14:paraId="3911CF46" w14:textId="77777777" w:rsidR="00994EB7" w:rsidRPr="00E524B6" w:rsidRDefault="00994EB7" w:rsidP="00994EB7">
      <w:pPr>
        <w:tabs>
          <w:tab w:val="center" w:pos="4680"/>
        </w:tabs>
        <w:contextualSpacing/>
        <w:rPr>
          <w:b/>
          <w:bCs/>
        </w:rPr>
      </w:pPr>
      <w:r w:rsidRPr="00E524B6">
        <w:rPr>
          <w:b/>
          <w:bCs/>
        </w:rPr>
        <w:tab/>
        <w:t>FOR REQUEST OF OMB APPROVAL</w:t>
      </w:r>
    </w:p>
    <w:p w14:paraId="7B498253" w14:textId="77777777" w:rsidR="00994EB7" w:rsidRPr="00E524B6" w:rsidRDefault="00994EB7" w:rsidP="00994EB7">
      <w:pPr>
        <w:tabs>
          <w:tab w:val="center" w:pos="4680"/>
        </w:tabs>
        <w:contextualSpacing/>
        <w:rPr>
          <w:b/>
          <w:bCs/>
        </w:rPr>
      </w:pPr>
      <w:r w:rsidRPr="00E524B6">
        <w:rPr>
          <w:b/>
          <w:bCs/>
        </w:rPr>
        <w:tab/>
        <w:t xml:space="preserve">UNDER THE PAPERWORK REDUCTION ACT AND 5 C.F.R. </w:t>
      </w:r>
      <w:r w:rsidRPr="00E524B6">
        <w:rPr>
          <w:b/>
        </w:rPr>
        <w:t xml:space="preserve">§ </w:t>
      </w:r>
      <w:r w:rsidRPr="00E524B6">
        <w:rPr>
          <w:b/>
          <w:bCs/>
        </w:rPr>
        <w:t>1320</w:t>
      </w:r>
    </w:p>
    <w:p w14:paraId="4E199872" w14:textId="77777777" w:rsidR="00A20500" w:rsidRDefault="00A20500" w:rsidP="00843CF8"/>
    <w:p w14:paraId="5DECE788" w14:textId="1579A962" w:rsidR="00843CF8" w:rsidRDefault="00994EB7" w:rsidP="00843CF8">
      <w:r>
        <w:rPr>
          <w:b/>
        </w:rPr>
        <w:tab/>
      </w:r>
      <w:r>
        <w:t>The Surface Transportation Board (STB or Board) requests approval of the regulations governing the collection of Roster of Eligible Arbitrators.</w:t>
      </w:r>
    </w:p>
    <w:p w14:paraId="647B4138" w14:textId="77777777" w:rsidR="00843CF8" w:rsidRDefault="00843CF8" w:rsidP="00843CF8"/>
    <w:p w14:paraId="6781E200" w14:textId="77777777" w:rsidR="00843CF8" w:rsidRDefault="00843CF8" w:rsidP="00843CF8">
      <w:pPr>
        <w:rPr>
          <w:b/>
          <w:bCs/>
          <w:u w:val="single"/>
        </w:rPr>
      </w:pPr>
      <w:r>
        <w:rPr>
          <w:b/>
          <w:bCs/>
        </w:rPr>
        <w:t xml:space="preserve">A.  </w:t>
      </w:r>
      <w:r>
        <w:rPr>
          <w:b/>
          <w:bCs/>
          <w:u w:val="single"/>
        </w:rPr>
        <w:t>Justification</w:t>
      </w:r>
      <w:r w:rsidRPr="007A6074">
        <w:rPr>
          <w:b/>
          <w:bCs/>
        </w:rPr>
        <w:t>:</w:t>
      </w:r>
    </w:p>
    <w:p w14:paraId="7CC7FFF9" w14:textId="77777777" w:rsidR="00843CF8" w:rsidRDefault="00843CF8" w:rsidP="00843CF8">
      <w:pPr>
        <w:rPr>
          <w:b/>
          <w:bCs/>
          <w:u w:val="single"/>
        </w:rPr>
      </w:pPr>
    </w:p>
    <w:p w14:paraId="30ED82EC" w14:textId="0C39DC79" w:rsidR="006E1D4B" w:rsidRDefault="00843CF8" w:rsidP="007A6074">
      <w:pPr>
        <w:suppressAutoHyphens/>
        <w:ind w:firstLine="720"/>
      </w:pPr>
      <w:r>
        <w:t xml:space="preserve">1.  </w:t>
      </w:r>
      <w:r w:rsidR="006E1D4B">
        <w:rPr>
          <w:u w:val="single"/>
        </w:rPr>
        <w:t>Need for Information in Collection</w:t>
      </w:r>
      <w:r w:rsidR="006E1D4B">
        <w:t xml:space="preserve">.  Under Section 13 of the </w:t>
      </w:r>
      <w:r w:rsidR="006E1D4B" w:rsidRPr="00BA3D65">
        <w:rPr>
          <w:u w:val="single"/>
        </w:rPr>
        <w:t>Surface Transportation Board Reauthorization Act of 2015</w:t>
      </w:r>
      <w:r w:rsidR="006E1D4B">
        <w:t xml:space="preserve">, </w:t>
      </w:r>
      <w:r w:rsidR="006E1D4B" w:rsidRPr="00B97867">
        <w:t>P.L. 114-110 (2015</w:t>
      </w:r>
      <w:r w:rsidR="006E1D4B">
        <w:t xml:space="preserve">) (STB Reauthorization Act) (codified at 49 U.S.C. § 11708), the Board is required to “promulgate regulations to establish a voluntary and binding arbitration process to resolve rail rate and practice complaints” that are subject to the Board’s jurisdiction.  Section 11708 sets forth specific requirements and procedures for the Board’s arbitration process.  </w:t>
      </w:r>
      <w:r w:rsidR="006E1D4B" w:rsidRPr="00D56C27">
        <w:t>In a notice of proposed rulemaking, the Surface Transportation Board (Board) proposed</w:t>
      </w:r>
      <w:r w:rsidR="006E1D4B">
        <w:t xml:space="preserve"> to amend its arbitration procedures set forth at 49 C.F.R. §§ 1108 and 1115.8 to conform to the requirements of the </w:t>
      </w:r>
      <w:r w:rsidR="006E1D4B" w:rsidRPr="00C44EAE">
        <w:t>STB Reauthorization Act</w:t>
      </w:r>
      <w:r w:rsidR="006E1D4B">
        <w:t xml:space="preserve">.  </w:t>
      </w:r>
      <w:r w:rsidR="006E1D4B" w:rsidRPr="007E5913">
        <w:rPr>
          <w:rStyle w:val="Emphasis"/>
          <w:u w:val="single"/>
        </w:rPr>
        <w:t>Revisions to Arbitration Procedures</w:t>
      </w:r>
      <w:r w:rsidR="006E1D4B">
        <w:rPr>
          <w:rStyle w:val="Emphasis"/>
        </w:rPr>
        <w:t xml:space="preserve">, Docket No. EP 730 </w:t>
      </w:r>
      <w:r w:rsidR="006E1D4B">
        <w:rPr>
          <w:rStyle w:val="Emphasis"/>
          <w:i w:val="0"/>
        </w:rPr>
        <w:t>(STB served May 12, 2016) (NPRM)</w:t>
      </w:r>
      <w:r w:rsidR="006E1D4B">
        <w:rPr>
          <w:rStyle w:val="Emphasis"/>
        </w:rPr>
        <w:t xml:space="preserve">. </w:t>
      </w:r>
      <w:r w:rsidR="006E1D4B" w:rsidRPr="00D56C27">
        <w:t xml:space="preserve"> </w:t>
      </w:r>
      <w:r w:rsidR="006E1D4B">
        <w:t>The Board now plans to issue final rules consistent with the NPRM.</w:t>
      </w:r>
    </w:p>
    <w:p w14:paraId="2206FF27" w14:textId="77777777" w:rsidR="006E1D4B" w:rsidRDefault="006E1D4B" w:rsidP="007A6074">
      <w:pPr>
        <w:suppressAutoHyphens/>
        <w:ind w:firstLine="720"/>
      </w:pPr>
    </w:p>
    <w:p w14:paraId="1FB3FBD4" w14:textId="4E82F3B5" w:rsidR="00843CF8" w:rsidRPr="00756EBB" w:rsidRDefault="00015D7E" w:rsidP="007A6074">
      <w:pPr>
        <w:suppressAutoHyphens/>
        <w:ind w:firstLine="720"/>
        <w:rPr>
          <w:color w:val="000000"/>
        </w:rPr>
      </w:pPr>
      <w:r>
        <w:t xml:space="preserve">While the Board’s existing arbitration regulations are mostly consistent with the new statutory provisions, certain changes will be implemented through the </w:t>
      </w:r>
      <w:r w:rsidR="006E1D4B">
        <w:t xml:space="preserve">final rules </w:t>
      </w:r>
      <w:r>
        <w:t xml:space="preserve">so that the Board’s regulations conform to the requirements under § 11708.  </w:t>
      </w:r>
      <w:r w:rsidR="000F083C">
        <w:t>Under</w:t>
      </w:r>
      <w:r w:rsidRPr="00015D7E">
        <w:rPr>
          <w:color w:val="000000"/>
        </w:rPr>
        <w:t xml:space="preserve"> </w:t>
      </w:r>
      <w:r>
        <w:rPr>
          <w:color w:val="000000"/>
        </w:rPr>
        <w:t>§ 11708(f)</w:t>
      </w:r>
      <w:r w:rsidR="000F083C">
        <w:rPr>
          <w:color w:val="000000"/>
        </w:rPr>
        <w:t xml:space="preserve">, </w:t>
      </w:r>
      <w:r>
        <w:rPr>
          <w:color w:val="000000"/>
        </w:rPr>
        <w:t xml:space="preserve">unless parties otherwise agree, an arbitrator or panel of arbitrators would be selected from a roster maintained by the Board.  </w:t>
      </w:r>
      <w:r>
        <w:t>Thus, t</w:t>
      </w:r>
      <w:r w:rsidR="00C021E0">
        <w:t>he Board</w:t>
      </w:r>
      <w:r>
        <w:t xml:space="preserve"> </w:t>
      </w:r>
      <w:r w:rsidR="00756EBB">
        <w:t>will issue final rules t</w:t>
      </w:r>
      <w:r>
        <w:t>o e</w:t>
      </w:r>
      <w:r w:rsidR="00843CF8">
        <w:t>stablish a process for creating and maintaining a roster of arbitrators and selecting arbitrators from the roster in accordance with the statutory requirements.</w:t>
      </w:r>
      <w:r w:rsidR="00843CF8" w:rsidRPr="00DB2868">
        <w:t xml:space="preserve">  </w:t>
      </w:r>
      <w:r w:rsidR="00843CF8">
        <w:rPr>
          <w:color w:val="000000"/>
        </w:rPr>
        <w:t xml:space="preserve">The Board’s roster would provide a brief biographical sketch of each arbitrator, detailing background, experience, and geographical location, as well as general contact information, based on the </w:t>
      </w:r>
      <w:r w:rsidR="00843CF8" w:rsidRPr="00756EBB">
        <w:rPr>
          <w:color w:val="000000"/>
        </w:rPr>
        <w:t xml:space="preserve">information supplied by the arbitrator.  Under the </w:t>
      </w:r>
      <w:r w:rsidR="00756EBB" w:rsidRPr="00756EBB">
        <w:rPr>
          <w:color w:val="000000"/>
        </w:rPr>
        <w:t xml:space="preserve">final </w:t>
      </w:r>
      <w:r w:rsidR="00843CF8" w:rsidRPr="00756EBB">
        <w:rPr>
          <w:color w:val="000000"/>
        </w:rPr>
        <w:t>rules, an initial roster would be compiled by the Chairman</w:t>
      </w:r>
      <w:r w:rsidR="00DC1DD1" w:rsidRPr="00756EBB">
        <w:rPr>
          <w:color w:val="000000"/>
        </w:rPr>
        <w:t xml:space="preserve"> of the Board</w:t>
      </w:r>
      <w:r w:rsidR="00843CF8" w:rsidRPr="00756EBB">
        <w:rPr>
          <w:color w:val="000000"/>
        </w:rPr>
        <w:t>, who would seek notice from all interested, qualified persons who wish to be placed on the Board’s arbitration roster.</w:t>
      </w:r>
      <w:r w:rsidR="00DC1DD1" w:rsidRPr="00756EBB">
        <w:rPr>
          <w:color w:val="000000"/>
        </w:rPr>
        <w:t xml:space="preserve">  The Chairman could augment the roster at any time to include other eligible arbitrators and remove from the roster any arbitrators who are no longer available or eligible.  </w:t>
      </w:r>
      <w:r w:rsidR="00843CF8" w:rsidRPr="00756EBB">
        <w:rPr>
          <w:color w:val="000000"/>
        </w:rPr>
        <w:t xml:space="preserve">  </w:t>
      </w:r>
    </w:p>
    <w:p w14:paraId="56D0BDF8" w14:textId="77777777" w:rsidR="00015D7E" w:rsidRPr="00756EBB" w:rsidRDefault="00015D7E" w:rsidP="00843CF8">
      <w:pPr>
        <w:suppressAutoHyphens/>
      </w:pPr>
    </w:p>
    <w:p w14:paraId="2114B7A6" w14:textId="5266C1D0" w:rsidR="00452AC0" w:rsidRDefault="00843CF8" w:rsidP="00843CF8">
      <w:pPr>
        <w:ind w:firstLine="720"/>
        <w:rPr>
          <w:color w:val="000000"/>
        </w:rPr>
      </w:pPr>
      <w:r w:rsidRPr="00756EBB">
        <w:t xml:space="preserve">2.  </w:t>
      </w:r>
      <w:r w:rsidR="007D319C" w:rsidRPr="00756EBB">
        <w:rPr>
          <w:u w:val="single"/>
        </w:rPr>
        <w:t>Use of Data Collected</w:t>
      </w:r>
      <w:r w:rsidRPr="00756EBB">
        <w:t xml:space="preserve">.  </w:t>
      </w:r>
      <w:r w:rsidR="0084399D" w:rsidRPr="00756EBB">
        <w:t>Parties interested in utilizing the Board’s arbitration program may select an arbitrator or panel of arbitrators from the arbitration roster that will be supplied by the Board.  T</w:t>
      </w:r>
      <w:r w:rsidR="00452AC0" w:rsidRPr="00756EBB">
        <w:rPr>
          <w:color w:val="000000"/>
        </w:rPr>
        <w:t>he</w:t>
      </w:r>
      <w:r w:rsidR="0084399D" w:rsidRPr="00756EBB">
        <w:rPr>
          <w:color w:val="000000"/>
        </w:rPr>
        <w:t xml:space="preserve"> arbitration</w:t>
      </w:r>
      <w:r w:rsidR="00452AC0" w:rsidRPr="00756EBB">
        <w:rPr>
          <w:color w:val="000000"/>
        </w:rPr>
        <w:t xml:space="preserve"> roster would provide a brief</w:t>
      </w:r>
      <w:r w:rsidR="00452AC0">
        <w:rPr>
          <w:color w:val="000000"/>
        </w:rPr>
        <w:t xml:space="preserve"> biographical sketch of each arbitrator, detailing background, experience, and geographical location, as well as general contact information, based on the information supplied by the arbitrator</w:t>
      </w:r>
      <w:r w:rsidR="007D319C">
        <w:rPr>
          <w:color w:val="000000"/>
        </w:rPr>
        <w:t>.</w:t>
      </w:r>
    </w:p>
    <w:p w14:paraId="32D62C01" w14:textId="77777777" w:rsidR="0084399D" w:rsidRDefault="0084399D" w:rsidP="00843CF8">
      <w:pPr>
        <w:ind w:firstLine="720"/>
      </w:pPr>
    </w:p>
    <w:p w14:paraId="5D62EDE4" w14:textId="4B263D13" w:rsidR="00843CF8" w:rsidRDefault="00843CF8" w:rsidP="00843CF8">
      <w:pPr>
        <w:ind w:firstLine="720"/>
      </w:pPr>
      <w:r>
        <w:t xml:space="preserve">3.  </w:t>
      </w:r>
      <w:r w:rsidR="007D319C">
        <w:rPr>
          <w:u w:val="single"/>
        </w:rPr>
        <w:t>Reduction through Improved Technology</w:t>
      </w:r>
      <w:r>
        <w:t>.  The Board expects all respondents to file electronically through the Board’s e-filing system.</w:t>
      </w:r>
    </w:p>
    <w:p w14:paraId="374D2144" w14:textId="77777777" w:rsidR="00843CF8" w:rsidRDefault="00843CF8" w:rsidP="00843CF8"/>
    <w:p w14:paraId="2501F496" w14:textId="1501ED0E" w:rsidR="00843CF8" w:rsidRDefault="00843CF8" w:rsidP="00843CF8">
      <w:pPr>
        <w:ind w:firstLine="720"/>
      </w:pPr>
      <w:r>
        <w:t xml:space="preserve">4.  </w:t>
      </w:r>
      <w:r w:rsidRPr="00FC4786">
        <w:rPr>
          <w:u w:val="single"/>
        </w:rPr>
        <w:t xml:space="preserve">Identification of </w:t>
      </w:r>
      <w:r w:rsidR="00AF55E4">
        <w:rPr>
          <w:u w:val="single"/>
        </w:rPr>
        <w:t>D</w:t>
      </w:r>
      <w:r w:rsidRPr="00FC4786">
        <w:rPr>
          <w:u w:val="single"/>
        </w:rPr>
        <w:t>uplication</w:t>
      </w:r>
      <w:r>
        <w:t xml:space="preserve">.  No other federal agency collects the information in this collection, which is information from </w:t>
      </w:r>
      <w:r w:rsidR="0084399D">
        <w:t>interested, qualified persons</w:t>
      </w:r>
      <w:r w:rsidR="00452AC0">
        <w:t xml:space="preserve"> seeking to be placed on the Board’s arbitration roster</w:t>
      </w:r>
      <w:r w:rsidR="0084399D">
        <w:t xml:space="preserve">, </w:t>
      </w:r>
      <w:r>
        <w:t xml:space="preserve">nor is this information available from any other source.  Therefore, there will be no duplication of information.  </w:t>
      </w:r>
    </w:p>
    <w:p w14:paraId="5710F1E3" w14:textId="05EFDBD3" w:rsidR="00843CF8" w:rsidRDefault="00843CF8" w:rsidP="00843CF8">
      <w:pPr>
        <w:spacing w:before="100" w:beforeAutospacing="1" w:after="100" w:afterAutospacing="1"/>
        <w:ind w:firstLine="720"/>
      </w:pPr>
      <w:r>
        <w:t xml:space="preserve">5.  </w:t>
      </w:r>
      <w:r w:rsidR="00AF55E4">
        <w:rPr>
          <w:u w:val="single"/>
        </w:rPr>
        <w:t>Minimizing Burden for Small Business</w:t>
      </w:r>
      <w:r>
        <w:t xml:space="preserve">.  </w:t>
      </w:r>
      <w:r w:rsidR="0002254F">
        <w:rPr>
          <w:color w:val="000000"/>
        </w:rPr>
        <w:t>This collection</w:t>
      </w:r>
      <w:r>
        <w:rPr>
          <w:color w:val="000000"/>
        </w:rPr>
        <w:t xml:space="preserve"> </w:t>
      </w:r>
      <w:r w:rsidR="0002254F">
        <w:rPr>
          <w:color w:val="000000"/>
        </w:rPr>
        <w:t xml:space="preserve">is </w:t>
      </w:r>
      <w:r>
        <w:rPr>
          <w:color w:val="000000"/>
        </w:rPr>
        <w:t>not</w:t>
      </w:r>
      <w:r w:rsidRPr="00C33233">
        <w:rPr>
          <w:color w:val="000000"/>
        </w:rPr>
        <w:t xml:space="preserve"> </w:t>
      </w:r>
      <w:r w:rsidR="0002254F">
        <w:rPr>
          <w:color w:val="000000"/>
        </w:rPr>
        <w:t xml:space="preserve">expected to </w:t>
      </w:r>
      <w:r w:rsidRPr="00C33233">
        <w:rPr>
          <w:color w:val="000000"/>
        </w:rPr>
        <w:t xml:space="preserve">have a significant economic impact on a substantial number of small entities within the meaning of </w:t>
      </w:r>
      <w:r>
        <w:rPr>
          <w:color w:val="000000"/>
        </w:rPr>
        <w:t>t</w:t>
      </w:r>
      <w:r w:rsidR="00452AC0">
        <w:rPr>
          <w:color w:val="000000"/>
        </w:rPr>
        <w:t>he Regulatory Flexibility Act.</w:t>
      </w:r>
      <w:r w:rsidR="0002254F">
        <w:rPr>
          <w:color w:val="000000"/>
        </w:rPr>
        <w:t xml:space="preserve">  To the extent there is any impact on small businesses, it is expected that small businesses will benefit by the increased availability of a less costly and faster process for resolving disputes.</w:t>
      </w:r>
    </w:p>
    <w:p w14:paraId="401C71AC" w14:textId="32595527" w:rsidR="00843CF8" w:rsidRDefault="00843CF8" w:rsidP="00843CF8">
      <w:pPr>
        <w:ind w:firstLine="720"/>
      </w:pPr>
      <w:r w:rsidRPr="00C33233">
        <w:t xml:space="preserve">6. </w:t>
      </w:r>
      <w:r w:rsidR="00DF37F5">
        <w:rPr>
          <w:u w:val="single"/>
        </w:rPr>
        <w:t>Consequences if Collection not Conducted or Conducted Less Frequently</w:t>
      </w:r>
      <w:r>
        <w:t xml:space="preserve">.  Without this collection, the Board could not establish </w:t>
      </w:r>
      <w:r w:rsidR="00452AC0">
        <w:t xml:space="preserve">and maintain a roster of arbitrators as required under </w:t>
      </w:r>
      <w:r w:rsidR="00452AC0">
        <w:rPr>
          <w:color w:val="000000"/>
        </w:rPr>
        <w:t>§ 11708(f).</w:t>
      </w:r>
      <w:r w:rsidRPr="005E5D9A">
        <w:t xml:space="preserve">  </w:t>
      </w:r>
      <w:r w:rsidRPr="00293B4B">
        <w:t> </w:t>
      </w:r>
    </w:p>
    <w:p w14:paraId="1E41B604" w14:textId="77777777" w:rsidR="00843CF8" w:rsidRDefault="00843CF8" w:rsidP="00843CF8"/>
    <w:p w14:paraId="59F08BD2" w14:textId="28247D0E" w:rsidR="00843CF8" w:rsidRDefault="00843CF8" w:rsidP="00843CF8">
      <w:pPr>
        <w:ind w:firstLine="720"/>
      </w:pPr>
      <w:r>
        <w:t xml:space="preserve">7.  </w:t>
      </w:r>
      <w:r w:rsidRPr="00FC4786">
        <w:rPr>
          <w:u w:val="single"/>
        </w:rPr>
        <w:t xml:space="preserve">Special </w:t>
      </w:r>
      <w:r w:rsidR="00FB7043">
        <w:rPr>
          <w:u w:val="single"/>
        </w:rPr>
        <w:t>C</w:t>
      </w:r>
      <w:r w:rsidRPr="00FC4786">
        <w:rPr>
          <w:u w:val="single"/>
        </w:rPr>
        <w:t>ircumstances</w:t>
      </w:r>
      <w:r>
        <w:t>.  No special circumstances apply to this collection.</w:t>
      </w:r>
    </w:p>
    <w:p w14:paraId="7C30E55B" w14:textId="77777777" w:rsidR="00843CF8" w:rsidRDefault="00843CF8" w:rsidP="00843CF8"/>
    <w:p w14:paraId="7ADBCDBD" w14:textId="0073E5EC" w:rsidR="00843CF8" w:rsidRPr="007A6074" w:rsidRDefault="00843CF8" w:rsidP="007A6074">
      <w:pPr>
        <w:ind w:firstLine="720"/>
        <w:rPr>
          <w:rFonts w:ascii="Times" w:hAnsi="Times"/>
          <w:szCs w:val="20"/>
        </w:rPr>
      </w:pPr>
      <w:r>
        <w:t xml:space="preserve">8.  </w:t>
      </w:r>
      <w:r w:rsidRPr="00FC4786">
        <w:rPr>
          <w:u w:val="single"/>
        </w:rPr>
        <w:t>Co</w:t>
      </w:r>
      <w:r w:rsidR="00DF37F5">
        <w:rPr>
          <w:u w:val="single"/>
        </w:rPr>
        <w:t>nsultation with Outside Agency</w:t>
      </w:r>
      <w:r>
        <w:t xml:space="preserve">.  </w:t>
      </w:r>
      <w:r w:rsidR="00DC1DD1">
        <w:t xml:space="preserve">The Board published a notice in the Federal Register, providing a </w:t>
      </w:r>
      <w:r w:rsidR="004F7F02">
        <w:t xml:space="preserve">28-day comment period for initial comments and an 18-day </w:t>
      </w:r>
      <w:r w:rsidR="004F7F02">
        <w:rPr>
          <w:rStyle w:val="CommentReference"/>
          <w:vanish/>
        </w:rPr>
        <w:commentReference w:id="0"/>
      </w:r>
      <w:r w:rsidR="004F7F02">
        <w:t xml:space="preserve">comment period for replies regarding this collection.  </w:t>
      </w:r>
      <w:r w:rsidR="004F7F02" w:rsidRPr="00615DC9">
        <w:rPr>
          <w:u w:val="single"/>
        </w:rPr>
        <w:t>See</w:t>
      </w:r>
      <w:r w:rsidR="004F7F02" w:rsidRPr="00615DC9">
        <w:t xml:space="preserve"> </w:t>
      </w:r>
      <w:bookmarkStart w:id="1" w:name="_GoBack"/>
      <w:r w:rsidR="004F7F02" w:rsidRPr="00615DC9">
        <w:rPr>
          <w:color w:val="363636"/>
        </w:rPr>
        <w:t>8</w:t>
      </w:r>
      <w:r w:rsidR="004F7F02">
        <w:rPr>
          <w:color w:val="363636"/>
        </w:rPr>
        <w:t>1 Fed. Reg. 30229</w:t>
      </w:r>
      <w:r w:rsidR="004F7F02" w:rsidRPr="00615DC9">
        <w:rPr>
          <w:color w:val="363636"/>
        </w:rPr>
        <w:t xml:space="preserve"> (</w:t>
      </w:r>
      <w:r w:rsidR="004F7F02">
        <w:rPr>
          <w:color w:val="363636"/>
        </w:rPr>
        <w:t>May 16, 2016</w:t>
      </w:r>
      <w:bookmarkEnd w:id="1"/>
      <w:r w:rsidR="004F7F02" w:rsidRPr="00615DC9">
        <w:rPr>
          <w:color w:val="363636"/>
        </w:rPr>
        <w:t>)</w:t>
      </w:r>
      <w:r w:rsidR="004F7F02" w:rsidRPr="00615DC9">
        <w:rPr>
          <w:szCs w:val="20"/>
        </w:rPr>
        <w:t>.</w:t>
      </w:r>
      <w:r w:rsidR="004F7F02">
        <w:rPr>
          <w:szCs w:val="20"/>
        </w:rPr>
        <w:t xml:space="preserve">  No comments were received.</w:t>
      </w:r>
      <w:r w:rsidR="004F7F02">
        <w:rPr>
          <w:rFonts w:ascii="Times" w:hAnsi="Times"/>
          <w:sz w:val="20"/>
          <w:szCs w:val="20"/>
        </w:rPr>
        <w:t xml:space="preserve">  </w:t>
      </w:r>
    </w:p>
    <w:p w14:paraId="5D70CB43" w14:textId="77777777" w:rsidR="00843CF8" w:rsidRDefault="00843CF8" w:rsidP="00843CF8"/>
    <w:p w14:paraId="4B32B011" w14:textId="4F128B41" w:rsidR="00843CF8" w:rsidRDefault="00843CF8" w:rsidP="00843CF8">
      <w:pPr>
        <w:ind w:firstLine="720"/>
      </w:pPr>
      <w:r>
        <w:t xml:space="preserve">9.  </w:t>
      </w:r>
      <w:r w:rsidRPr="00FC4786">
        <w:rPr>
          <w:u w:val="single"/>
        </w:rPr>
        <w:t>Payments o</w:t>
      </w:r>
      <w:r w:rsidR="004F7F02">
        <w:rPr>
          <w:u w:val="single"/>
        </w:rPr>
        <w:t>r</w:t>
      </w:r>
      <w:r w:rsidRPr="00FC4786">
        <w:rPr>
          <w:u w:val="single"/>
        </w:rPr>
        <w:t xml:space="preserve"> </w:t>
      </w:r>
      <w:r w:rsidR="004F7F02">
        <w:rPr>
          <w:u w:val="single"/>
        </w:rPr>
        <w:t>G</w:t>
      </w:r>
      <w:r w:rsidRPr="00FC4786">
        <w:rPr>
          <w:u w:val="single"/>
        </w:rPr>
        <w:t>ifts</w:t>
      </w:r>
      <w:r>
        <w:t xml:space="preserve">.  The Board does not provide any payment or gift </w:t>
      </w:r>
      <w:r w:rsidR="001634DE">
        <w:t>for this collection</w:t>
      </w:r>
      <w:r>
        <w:t>.</w:t>
      </w:r>
    </w:p>
    <w:p w14:paraId="72995723" w14:textId="77777777" w:rsidR="00843CF8" w:rsidRDefault="00843CF8" w:rsidP="00843CF8"/>
    <w:p w14:paraId="7FB0C72E" w14:textId="15751F72" w:rsidR="00843CF8" w:rsidRDefault="00843CF8" w:rsidP="00843CF8">
      <w:pPr>
        <w:ind w:firstLine="720"/>
      </w:pPr>
      <w:r>
        <w:t xml:space="preserve">10.  </w:t>
      </w:r>
      <w:r w:rsidRPr="00FC4786">
        <w:rPr>
          <w:u w:val="single"/>
        </w:rPr>
        <w:t xml:space="preserve">Assurance of </w:t>
      </w:r>
      <w:r w:rsidR="001634DE">
        <w:rPr>
          <w:u w:val="single"/>
        </w:rPr>
        <w:t>C</w:t>
      </w:r>
      <w:r w:rsidRPr="00FC4786">
        <w:rPr>
          <w:u w:val="single"/>
        </w:rPr>
        <w:t>onfidentiality</w:t>
      </w:r>
      <w:r>
        <w:t xml:space="preserve">.  </w:t>
      </w:r>
      <w:r w:rsidRPr="009806DB">
        <w:rPr>
          <w:rFonts w:cs="Shruti"/>
        </w:rPr>
        <w:t>All information collected through this report is available to the public.</w:t>
      </w:r>
      <w:r>
        <w:t xml:space="preserve">  </w:t>
      </w:r>
    </w:p>
    <w:p w14:paraId="3BD63E73" w14:textId="77777777" w:rsidR="00843CF8" w:rsidRDefault="00843CF8" w:rsidP="00843CF8"/>
    <w:p w14:paraId="25269CAB" w14:textId="44D943AE" w:rsidR="00843CF8" w:rsidRDefault="00843CF8" w:rsidP="00843CF8">
      <w:pPr>
        <w:ind w:firstLine="720"/>
      </w:pPr>
      <w:r>
        <w:t xml:space="preserve">11. </w:t>
      </w:r>
      <w:r w:rsidR="001634DE">
        <w:rPr>
          <w:u w:val="single"/>
        </w:rPr>
        <w:t>S</w:t>
      </w:r>
      <w:r w:rsidRPr="00FC4786">
        <w:rPr>
          <w:u w:val="single"/>
        </w:rPr>
        <w:t xml:space="preserve">ensitive </w:t>
      </w:r>
      <w:r w:rsidR="001634DE">
        <w:rPr>
          <w:u w:val="single"/>
        </w:rPr>
        <w:t>I</w:t>
      </w:r>
      <w:r w:rsidRPr="00FC4786">
        <w:rPr>
          <w:u w:val="single"/>
        </w:rPr>
        <w:t>nformation</w:t>
      </w:r>
      <w:r>
        <w:t>.  This collection contains no information of a sensitive nature.</w:t>
      </w:r>
    </w:p>
    <w:p w14:paraId="55550C42" w14:textId="77777777" w:rsidR="00843CF8" w:rsidRDefault="00843CF8" w:rsidP="00843CF8"/>
    <w:p w14:paraId="3AC42C66" w14:textId="5E064B2B" w:rsidR="00FB7043" w:rsidRDefault="00843CF8" w:rsidP="00843CF8">
      <w:pPr>
        <w:ind w:firstLine="720"/>
      </w:pPr>
      <w:r>
        <w:t xml:space="preserve">12.  </w:t>
      </w:r>
      <w:r w:rsidRPr="00C33233">
        <w:rPr>
          <w:u w:val="single"/>
        </w:rPr>
        <w:t>Estimat</w:t>
      </w:r>
      <w:r w:rsidR="00FB7043">
        <w:rPr>
          <w:u w:val="single"/>
        </w:rPr>
        <w:t>ed Burden Hours</w:t>
      </w:r>
      <w:r>
        <w:t xml:space="preserve">. </w:t>
      </w:r>
      <w:r w:rsidR="00FB7043">
        <w:t>The following information pertains to the estimate of burden hours associated with this collection:</w:t>
      </w:r>
    </w:p>
    <w:p w14:paraId="12E81887" w14:textId="77777777" w:rsidR="00FB7043" w:rsidRDefault="00FB7043" w:rsidP="00843CF8">
      <w:pPr>
        <w:ind w:firstLine="720"/>
      </w:pPr>
    </w:p>
    <w:p w14:paraId="6D01B3DB" w14:textId="6A3AB792" w:rsidR="00FB7043" w:rsidRDefault="00FB7043" w:rsidP="00843CF8">
      <w:pPr>
        <w:ind w:firstLine="720"/>
      </w:pPr>
      <w:r>
        <w:tab/>
        <w:t>(1)</w:t>
      </w:r>
      <w:r w:rsidR="00861F4E">
        <w:t xml:space="preserve"> </w:t>
      </w:r>
      <w:r w:rsidR="00861F4E" w:rsidRPr="00D10E9A">
        <w:rPr>
          <w:u w:val="single"/>
        </w:rPr>
        <w:t>Number of respondents</w:t>
      </w:r>
      <w:r w:rsidR="00861F4E">
        <w:t>.</w:t>
      </w:r>
      <w:r w:rsidR="001D1C8F">
        <w:t xml:space="preserve">  40</w:t>
      </w:r>
      <w:r w:rsidR="000F083C">
        <w:t>.</w:t>
      </w:r>
    </w:p>
    <w:p w14:paraId="755DB6F7" w14:textId="77777777" w:rsidR="00FB7043" w:rsidRDefault="00FB7043" w:rsidP="00843CF8">
      <w:pPr>
        <w:ind w:firstLine="720"/>
      </w:pPr>
    </w:p>
    <w:p w14:paraId="27411CD7" w14:textId="77777777" w:rsidR="00FB7043" w:rsidRDefault="00FB7043" w:rsidP="00843CF8">
      <w:pPr>
        <w:ind w:firstLine="720"/>
      </w:pPr>
      <w:r>
        <w:tab/>
        <w:t>(2)</w:t>
      </w:r>
      <w:r w:rsidR="00861F4E">
        <w:t xml:space="preserve"> </w:t>
      </w:r>
      <w:r w:rsidR="00861F4E">
        <w:rPr>
          <w:u w:val="single"/>
        </w:rPr>
        <w:t>Frequency of response</w:t>
      </w:r>
      <w:r w:rsidR="00861F4E">
        <w:t>.</w:t>
      </w:r>
      <w:r w:rsidR="001D1C8F">
        <w:t xml:space="preserve">  Annually.</w:t>
      </w:r>
    </w:p>
    <w:p w14:paraId="07FC285E" w14:textId="77777777" w:rsidR="00FB7043" w:rsidRDefault="00FB7043" w:rsidP="00843CF8">
      <w:pPr>
        <w:ind w:firstLine="720"/>
      </w:pPr>
    </w:p>
    <w:p w14:paraId="6FA563D4" w14:textId="07682E5B" w:rsidR="00FB7043" w:rsidRDefault="00FB7043" w:rsidP="007A6074">
      <w:pPr>
        <w:ind w:left="720"/>
      </w:pPr>
      <w:r>
        <w:tab/>
        <w:t>(3)</w:t>
      </w:r>
      <w:r w:rsidR="00861F4E">
        <w:t xml:space="preserve"> </w:t>
      </w:r>
      <w:r w:rsidR="00861F4E">
        <w:rPr>
          <w:u w:val="single"/>
        </w:rPr>
        <w:t>Annual hour burden per respondent and total for all respondents</w:t>
      </w:r>
      <w:r w:rsidR="00861F4E">
        <w:t>.</w:t>
      </w:r>
      <w:r w:rsidR="001D1C8F">
        <w:t xml:space="preserve"> </w:t>
      </w:r>
      <w:r w:rsidR="00F556F8">
        <w:t xml:space="preserve"> </w:t>
      </w:r>
      <w:r w:rsidR="000F083C">
        <w:t>40</w:t>
      </w:r>
      <w:r w:rsidR="001D1C8F">
        <w:t xml:space="preserve"> hour</w:t>
      </w:r>
      <w:r w:rsidR="000F083C">
        <w:t>s (40 respondents X one hour per response</w:t>
      </w:r>
      <w:r w:rsidR="001D1C8F">
        <w:t>).</w:t>
      </w:r>
    </w:p>
    <w:p w14:paraId="3F1B4701" w14:textId="77777777" w:rsidR="00843CF8" w:rsidRDefault="00843CF8" w:rsidP="00843CF8"/>
    <w:p w14:paraId="147FD4DF" w14:textId="1A5D2C89" w:rsidR="00843CF8" w:rsidRDefault="00843CF8" w:rsidP="00843CF8">
      <w:pPr>
        <w:ind w:firstLine="720"/>
      </w:pPr>
      <w:r>
        <w:t xml:space="preserve">13.  </w:t>
      </w:r>
      <w:r w:rsidR="00FB7043">
        <w:rPr>
          <w:u w:val="single"/>
        </w:rPr>
        <w:t>Estimated Total Annual Cost to Respondents</w:t>
      </w:r>
      <w:r w:rsidR="00FA72CF">
        <w:t>.</w:t>
      </w:r>
      <w:r>
        <w:t xml:space="preserve">  No non-hour burdens have been identified.  </w:t>
      </w:r>
    </w:p>
    <w:p w14:paraId="07162AE2" w14:textId="77777777" w:rsidR="00843CF8" w:rsidRDefault="00843CF8" w:rsidP="00843CF8"/>
    <w:p w14:paraId="7877D898" w14:textId="4EE215A2" w:rsidR="00843CF8" w:rsidRDefault="00843CF8" w:rsidP="00843CF8">
      <w:pPr>
        <w:ind w:firstLine="720"/>
      </w:pPr>
      <w:r>
        <w:t xml:space="preserve">14.  </w:t>
      </w:r>
      <w:r w:rsidR="003940F8">
        <w:rPr>
          <w:u w:val="single"/>
        </w:rPr>
        <w:t>Annualized Cost to the Federal Government</w:t>
      </w:r>
      <w:r w:rsidR="003940F8">
        <w:t>.</w:t>
      </w:r>
      <w:r w:rsidRPr="00D56C27">
        <w:t xml:space="preserve">  We estimate that the </w:t>
      </w:r>
      <w:r>
        <w:t xml:space="preserve">maximum </w:t>
      </w:r>
      <w:r w:rsidRPr="00D56C27">
        <w:t xml:space="preserve">cost to the Board of entering the </w:t>
      </w:r>
      <w:r w:rsidR="00DC1DD1">
        <w:t>arbitration roster</w:t>
      </w:r>
      <w:r w:rsidRPr="00D56C27">
        <w:t xml:space="preserve"> into the Board’s e-Library under the appropriate docket </w:t>
      </w:r>
      <w:r w:rsidR="00DC1DD1">
        <w:t>and posting the searchable pdf</w:t>
      </w:r>
      <w:r w:rsidRPr="00D56C27">
        <w:t xml:space="preserve"> to the website </w:t>
      </w:r>
      <w:r>
        <w:t xml:space="preserve">would </w:t>
      </w:r>
      <w:r w:rsidRPr="00D56C27">
        <w:t xml:space="preserve">total </w:t>
      </w:r>
      <w:r>
        <w:t xml:space="preserve">no more than </w:t>
      </w:r>
      <w:r w:rsidR="003938C0" w:rsidRPr="003938C0">
        <w:t>$</w:t>
      </w:r>
      <w:r w:rsidR="003938C0">
        <w:t>457.13</w:t>
      </w:r>
      <w:r w:rsidR="003938C0" w:rsidRPr="003938C0">
        <w:t xml:space="preserve"> per year, which includes </w:t>
      </w:r>
      <w:r w:rsidR="003938C0">
        <w:t>10</w:t>
      </w:r>
      <w:r w:rsidR="003938C0" w:rsidRPr="003938C0">
        <w:t xml:space="preserve"> hours </w:t>
      </w:r>
      <w:r w:rsidR="003938C0">
        <w:t>(0.25</w:t>
      </w:r>
      <w:r w:rsidR="003938C0" w:rsidRPr="003938C0">
        <w:t xml:space="preserve"> </w:t>
      </w:r>
      <w:r w:rsidR="003938C0">
        <w:t>hours to add names to a roster</w:t>
      </w:r>
      <w:r w:rsidR="003938C0" w:rsidRPr="003938C0">
        <w:t xml:space="preserve"> X </w:t>
      </w:r>
      <w:r w:rsidR="003938C0">
        <w:t>40 respondents</w:t>
      </w:r>
      <w:r w:rsidR="003938C0" w:rsidRPr="003938C0">
        <w:t>) at a GS-1</w:t>
      </w:r>
      <w:r w:rsidR="003938C0">
        <w:t>1</w:t>
      </w:r>
      <w:r w:rsidR="003938C0" w:rsidRPr="003938C0">
        <w:t xml:space="preserve"> pay</w:t>
      </w:r>
      <w:r w:rsidR="003938C0">
        <w:t xml:space="preserve"> grade</w:t>
      </w:r>
      <w:r w:rsidR="00DC1DD1" w:rsidRPr="003938C0">
        <w:t>.</w:t>
      </w:r>
    </w:p>
    <w:p w14:paraId="28BD3DC6" w14:textId="77777777" w:rsidR="00843CF8" w:rsidRDefault="00843CF8" w:rsidP="00843CF8"/>
    <w:p w14:paraId="7EF7A6D3" w14:textId="33FB8C2B" w:rsidR="00843CF8" w:rsidRDefault="00843CF8" w:rsidP="00843CF8">
      <w:pPr>
        <w:ind w:firstLine="720"/>
      </w:pPr>
      <w:r>
        <w:t xml:space="preserve">15.  </w:t>
      </w:r>
      <w:r w:rsidR="00476B7C">
        <w:rPr>
          <w:u w:val="single"/>
        </w:rPr>
        <w:t>Explanation of Program Changes or Adjustments</w:t>
      </w:r>
      <w:r>
        <w:t xml:space="preserve">.  This ICR requests a change because this is a new collection.  </w:t>
      </w:r>
    </w:p>
    <w:p w14:paraId="7DC7DAF1" w14:textId="77777777" w:rsidR="00843CF8" w:rsidRDefault="00843CF8" w:rsidP="00843CF8"/>
    <w:p w14:paraId="77275E23" w14:textId="543D19BF" w:rsidR="00843CF8" w:rsidRPr="0075597D" w:rsidRDefault="00843CF8" w:rsidP="00843CF8">
      <w:pPr>
        <w:ind w:firstLine="720"/>
      </w:pPr>
      <w:r>
        <w:t xml:space="preserve">16.  </w:t>
      </w:r>
      <w:r>
        <w:rPr>
          <w:u w:val="single"/>
        </w:rPr>
        <w:t>Plans for tabulation and publication</w:t>
      </w:r>
      <w:r w:rsidR="00FA72CF">
        <w:t>.</w:t>
      </w:r>
      <w:r>
        <w:t xml:space="preserve">  </w:t>
      </w:r>
      <w:r>
        <w:rPr>
          <w:color w:val="000000"/>
        </w:rPr>
        <w:t>T</w:t>
      </w:r>
      <w:r w:rsidRPr="008E5B48">
        <w:rPr>
          <w:color w:val="000000"/>
        </w:rPr>
        <w:t>he notices</w:t>
      </w:r>
      <w:r>
        <w:rPr>
          <w:color w:val="000000"/>
        </w:rPr>
        <w:t xml:space="preserve"> required by this collection</w:t>
      </w:r>
      <w:r w:rsidRPr="008E5B48">
        <w:rPr>
          <w:color w:val="000000"/>
        </w:rPr>
        <w:t xml:space="preserve"> </w:t>
      </w:r>
      <w:r>
        <w:rPr>
          <w:color w:val="000000"/>
        </w:rPr>
        <w:t>will be</w:t>
      </w:r>
      <w:r w:rsidRPr="008E5B48">
        <w:rPr>
          <w:color w:val="000000"/>
        </w:rPr>
        <w:t xml:space="preserve"> posted </w:t>
      </w:r>
      <w:r>
        <w:rPr>
          <w:color w:val="000000"/>
        </w:rPr>
        <w:t>to</w:t>
      </w:r>
      <w:r w:rsidRPr="008E5B48">
        <w:rPr>
          <w:color w:val="000000"/>
        </w:rPr>
        <w:t xml:space="preserve"> the appropriate docket within the Board's </w:t>
      </w:r>
      <w:r>
        <w:rPr>
          <w:color w:val="000000"/>
        </w:rPr>
        <w:t xml:space="preserve">e-Library </w:t>
      </w:r>
      <w:r w:rsidRPr="008E5B48">
        <w:rPr>
          <w:color w:val="000000"/>
        </w:rPr>
        <w:t xml:space="preserve">at </w:t>
      </w:r>
      <w:r w:rsidRPr="008E5B48">
        <w:rPr>
          <w:color w:val="0000FF"/>
          <w:u w:val="single"/>
        </w:rPr>
        <w:t>www.stb.dot.gov</w:t>
      </w:r>
      <w:r w:rsidRPr="008E5B48">
        <w:rPr>
          <w:color w:val="000000"/>
        </w:rPr>
        <w:t>.</w:t>
      </w:r>
      <w:r>
        <w:rPr>
          <w:color w:val="000000"/>
        </w:rPr>
        <w:t xml:space="preserve">  </w:t>
      </w:r>
    </w:p>
    <w:p w14:paraId="3C535808" w14:textId="77777777" w:rsidR="00843CF8" w:rsidRDefault="00843CF8" w:rsidP="00843CF8">
      <w:pPr>
        <w:ind w:firstLine="720"/>
        <w:rPr>
          <w:b/>
          <w:bCs/>
        </w:rPr>
      </w:pPr>
      <w:r>
        <w:rPr>
          <w:b/>
          <w:bCs/>
        </w:rPr>
        <w:tab/>
      </w:r>
    </w:p>
    <w:p w14:paraId="6464F35C" w14:textId="77777777" w:rsidR="00843CF8" w:rsidRDefault="00843CF8" w:rsidP="00DC1DD1">
      <w:pPr>
        <w:ind w:firstLine="720"/>
      </w:pPr>
      <w:r>
        <w:t xml:space="preserve">17.  </w:t>
      </w:r>
      <w:r w:rsidRPr="00347493">
        <w:rPr>
          <w:u w:val="single"/>
        </w:rPr>
        <w:t>Display of expiration date for OMB approval</w:t>
      </w:r>
      <w:r w:rsidRPr="00347493">
        <w:t>.</w:t>
      </w:r>
      <w:r w:rsidR="00DC1DD1">
        <w:t xml:space="preserve">  There is no form associated with this collection.  The instructions will be found in the Board’s regulations at 49 C.F.R. §§ 1108 and 1115.8.</w:t>
      </w:r>
      <w:r w:rsidR="00DC1DD1" w:rsidRPr="00347493">
        <w:t xml:space="preserve">   The control number and expiration date for this collection </w:t>
      </w:r>
      <w:r w:rsidR="00DC1DD1">
        <w:t>will be published in the Federal Register</w:t>
      </w:r>
      <w:r w:rsidR="00DC1DD1" w:rsidRPr="00773560">
        <w:t>.</w:t>
      </w:r>
      <w:r w:rsidRPr="00347493">
        <w:t xml:space="preserve">  </w:t>
      </w:r>
    </w:p>
    <w:p w14:paraId="0FD90311" w14:textId="77777777" w:rsidR="00843CF8" w:rsidRDefault="00843CF8" w:rsidP="00843CF8"/>
    <w:p w14:paraId="13575335" w14:textId="4711A335" w:rsidR="00843CF8" w:rsidRDefault="00843CF8" w:rsidP="00843CF8">
      <w:pPr>
        <w:rPr>
          <w:b/>
          <w:bCs/>
          <w:u w:val="single"/>
        </w:rPr>
      </w:pPr>
      <w:r>
        <w:tab/>
        <w:t xml:space="preserve">18.  </w:t>
      </w:r>
      <w:r w:rsidRPr="002C248B">
        <w:rPr>
          <w:u w:val="single"/>
        </w:rPr>
        <w:t>Exceptions to Certification Statement</w:t>
      </w:r>
      <w:r>
        <w:t>.  No</w:t>
      </w:r>
      <w:r w:rsidR="00BD3C74">
        <w:t>t applicable.</w:t>
      </w:r>
    </w:p>
    <w:p w14:paraId="181FDC4B" w14:textId="77777777" w:rsidR="00843CF8" w:rsidRDefault="00843CF8" w:rsidP="00843CF8">
      <w:pPr>
        <w:rPr>
          <w:b/>
          <w:bCs/>
          <w:u w:val="single"/>
        </w:rPr>
      </w:pPr>
    </w:p>
    <w:p w14:paraId="1952DA07" w14:textId="77777777" w:rsidR="00843CF8" w:rsidRPr="00FB3F7F" w:rsidRDefault="00843CF8" w:rsidP="00843CF8">
      <w:pPr>
        <w:keepNext/>
        <w:widowControl/>
        <w:rPr>
          <w:b/>
          <w:bCs/>
          <w:u w:val="single"/>
        </w:rPr>
      </w:pPr>
      <w:r w:rsidRPr="00FB3F7F">
        <w:rPr>
          <w:b/>
        </w:rPr>
        <w:t>B.</w:t>
      </w:r>
      <w:r>
        <w:t xml:space="preserve"> </w:t>
      </w:r>
      <w:r w:rsidR="00FA72CF">
        <w:t xml:space="preserve"> </w:t>
      </w:r>
      <w:r>
        <w:rPr>
          <w:b/>
          <w:bCs/>
        </w:rPr>
        <w:t>Collections of Information Employing Statistical Methods:</w:t>
      </w:r>
    </w:p>
    <w:p w14:paraId="1A82FB8A" w14:textId="77777777" w:rsidR="00843CF8" w:rsidRDefault="00843CF8" w:rsidP="00843CF8"/>
    <w:p w14:paraId="2DF88B11" w14:textId="77777777" w:rsidR="00843CF8" w:rsidRDefault="00843CF8" w:rsidP="00843CF8">
      <w:pPr>
        <w:ind w:firstLine="720"/>
      </w:pPr>
      <w:r>
        <w:t>Not applicable.</w:t>
      </w:r>
      <w:r>
        <w:tab/>
      </w:r>
    </w:p>
    <w:p w14:paraId="32FBCBEA" w14:textId="77777777" w:rsidR="00843CF8" w:rsidRDefault="00843CF8" w:rsidP="00843CF8">
      <w:pPr>
        <w:rPr>
          <w:b/>
          <w:bCs/>
        </w:rPr>
      </w:pPr>
    </w:p>
    <w:p w14:paraId="00CAA774" w14:textId="77777777" w:rsidR="00662887" w:rsidRDefault="00662887"/>
    <w:sectPr w:rsidR="00662887" w:rsidSect="00843CF8">
      <w:footerReference w:type="default" r:id="rId8"/>
      <w:pgSz w:w="12240" w:h="15840"/>
      <w:pgMar w:top="1440" w:right="1440" w:bottom="1440" w:left="1440" w:header="1440" w:footer="144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lizabeth Cochran" w:date="2016-08-26T14:04:00Z" w:initials="EC">
    <w:p w14:paraId="7986BFA4" w14:textId="77777777" w:rsidR="001634DE" w:rsidRDefault="001634DE" w:rsidP="004F7F02">
      <w:pPr>
        <w:pStyle w:val="CommentText"/>
      </w:pPr>
      <w:r>
        <w:rPr>
          <w:rStyle w:val="CommentReference"/>
        </w:rPr>
        <w:annotationRef/>
      </w:r>
      <w:r>
        <w:t>This is based on my calculation between the publication date in the FR (May 16) and the due dates (June 13 and July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86BFA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68F84" w14:textId="77777777" w:rsidR="001634DE" w:rsidRDefault="001634DE" w:rsidP="00843CF8">
      <w:r>
        <w:separator/>
      </w:r>
    </w:p>
  </w:endnote>
  <w:endnote w:type="continuationSeparator" w:id="0">
    <w:p w14:paraId="00A3E34E" w14:textId="77777777" w:rsidR="001634DE" w:rsidRDefault="001634DE" w:rsidP="0084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086640"/>
      <w:docPartObj>
        <w:docPartGallery w:val="Page Numbers (Bottom of Page)"/>
        <w:docPartUnique/>
      </w:docPartObj>
    </w:sdtPr>
    <w:sdtEndPr>
      <w:rPr>
        <w:noProof/>
      </w:rPr>
    </w:sdtEndPr>
    <w:sdtContent>
      <w:p w14:paraId="6EC1A670" w14:textId="3C48ABCD" w:rsidR="001634DE" w:rsidRDefault="00852831">
        <w:pPr>
          <w:pStyle w:val="Footer"/>
          <w:jc w:val="center"/>
        </w:pPr>
        <w:r>
          <w:fldChar w:fldCharType="begin"/>
        </w:r>
        <w:r>
          <w:instrText xml:space="preserve"> PAGE   \* MERGEFORMAT </w:instrText>
        </w:r>
        <w:r>
          <w:fldChar w:fldCharType="separate"/>
        </w:r>
        <w:r w:rsidR="00152C0D">
          <w:rPr>
            <w:noProof/>
          </w:rPr>
          <w:t>3</w:t>
        </w:r>
        <w:r>
          <w:rPr>
            <w:noProof/>
          </w:rPr>
          <w:fldChar w:fldCharType="end"/>
        </w:r>
      </w:p>
    </w:sdtContent>
  </w:sdt>
  <w:p w14:paraId="161B1641" w14:textId="77777777" w:rsidR="001634DE" w:rsidRDefault="00163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519F6" w14:textId="77777777" w:rsidR="001634DE" w:rsidRDefault="001634DE" w:rsidP="00843CF8">
      <w:r>
        <w:separator/>
      </w:r>
    </w:p>
  </w:footnote>
  <w:footnote w:type="continuationSeparator" w:id="0">
    <w:p w14:paraId="300E4F19" w14:textId="77777777" w:rsidR="001634DE" w:rsidRDefault="001634DE" w:rsidP="00843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F8"/>
    <w:rsid w:val="00015D7E"/>
    <w:rsid w:val="0002254F"/>
    <w:rsid w:val="000F083C"/>
    <w:rsid w:val="00152C0D"/>
    <w:rsid w:val="001634DE"/>
    <w:rsid w:val="001B0584"/>
    <w:rsid w:val="001D1C8F"/>
    <w:rsid w:val="00200B24"/>
    <w:rsid w:val="00292DB3"/>
    <w:rsid w:val="002A6168"/>
    <w:rsid w:val="003938C0"/>
    <w:rsid w:val="003940F8"/>
    <w:rsid w:val="003C75B9"/>
    <w:rsid w:val="00414BAC"/>
    <w:rsid w:val="00452AC0"/>
    <w:rsid w:val="00476B7C"/>
    <w:rsid w:val="004D3035"/>
    <w:rsid w:val="004F7F02"/>
    <w:rsid w:val="00523CD5"/>
    <w:rsid w:val="00662887"/>
    <w:rsid w:val="006E1D4B"/>
    <w:rsid w:val="006E3524"/>
    <w:rsid w:val="007347DE"/>
    <w:rsid w:val="00756EBB"/>
    <w:rsid w:val="007A6074"/>
    <w:rsid w:val="007A60A5"/>
    <w:rsid w:val="007D319C"/>
    <w:rsid w:val="0084399D"/>
    <w:rsid w:val="00843CF8"/>
    <w:rsid w:val="00852831"/>
    <w:rsid w:val="00861F4E"/>
    <w:rsid w:val="00872450"/>
    <w:rsid w:val="008B3528"/>
    <w:rsid w:val="009475CF"/>
    <w:rsid w:val="00994EB7"/>
    <w:rsid w:val="009B2A29"/>
    <w:rsid w:val="00A20500"/>
    <w:rsid w:val="00A36351"/>
    <w:rsid w:val="00AA39C0"/>
    <w:rsid w:val="00AF55E4"/>
    <w:rsid w:val="00B30C67"/>
    <w:rsid w:val="00BD3C74"/>
    <w:rsid w:val="00C021E0"/>
    <w:rsid w:val="00C10340"/>
    <w:rsid w:val="00DC1DD1"/>
    <w:rsid w:val="00DF37F5"/>
    <w:rsid w:val="00E86B4A"/>
    <w:rsid w:val="00ED4409"/>
    <w:rsid w:val="00F556F8"/>
    <w:rsid w:val="00F77606"/>
    <w:rsid w:val="00FA72CF"/>
    <w:rsid w:val="00FB704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0C81"/>
  <w15:docId w15:val="{7207317D-ACE4-4863-8757-A5EC82DD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2">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43CF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20500"/>
    <w:rPr>
      <w:rFonts w:ascii="Tahoma" w:hAnsi="Tahoma" w:cs="Tahoma"/>
      <w:sz w:val="16"/>
      <w:szCs w:val="16"/>
    </w:rPr>
  </w:style>
  <w:style w:type="character" w:customStyle="1" w:styleId="BalloonTextChar">
    <w:name w:val="Balloon Text Char"/>
    <w:basedOn w:val="DefaultParagraphFont"/>
    <w:uiPriority w:val="99"/>
    <w:semiHidden/>
    <w:rsid w:val="007800EF"/>
    <w:rPr>
      <w:rFonts w:ascii="Lucida Grande" w:hAnsi="Lucida Grande"/>
      <w:sz w:val="18"/>
      <w:szCs w:val="18"/>
    </w:rPr>
  </w:style>
  <w:style w:type="character" w:styleId="FootnoteReference">
    <w:name w:val="footnote reference"/>
    <w:basedOn w:val="DefaultParagraphFont"/>
    <w:uiPriority w:val="99"/>
    <w:rsid w:val="00843CF8"/>
    <w:rPr>
      <w:rFonts w:cs="Times New Roman"/>
    </w:rPr>
  </w:style>
  <w:style w:type="paragraph" w:styleId="Footer">
    <w:name w:val="footer"/>
    <w:basedOn w:val="Normal"/>
    <w:link w:val="FooterChar"/>
    <w:uiPriority w:val="99"/>
    <w:unhideWhenUsed/>
    <w:rsid w:val="00843CF8"/>
    <w:pPr>
      <w:tabs>
        <w:tab w:val="center" w:pos="4680"/>
        <w:tab w:val="right" w:pos="9360"/>
      </w:tabs>
    </w:pPr>
  </w:style>
  <w:style w:type="character" w:customStyle="1" w:styleId="FooterChar">
    <w:name w:val="Footer Char"/>
    <w:basedOn w:val="DefaultParagraphFont"/>
    <w:link w:val="Footer"/>
    <w:uiPriority w:val="99"/>
    <w:rsid w:val="00843CF8"/>
    <w:rPr>
      <w:rFonts w:ascii="Times New Roman" w:eastAsia="Times New Roman" w:hAnsi="Times New Roman" w:cs="Times New Roman"/>
      <w:sz w:val="24"/>
      <w:szCs w:val="24"/>
    </w:rPr>
  </w:style>
  <w:style w:type="character" w:styleId="Emphasis">
    <w:name w:val="Emphasis"/>
    <w:basedOn w:val="DefaultParagraphFont"/>
    <w:qFormat/>
    <w:rsid w:val="00843CF8"/>
    <w:rPr>
      <w:i/>
      <w:iCs/>
    </w:rPr>
  </w:style>
  <w:style w:type="paragraph" w:styleId="FootnoteText">
    <w:name w:val="footnote text"/>
    <w:basedOn w:val="Normal"/>
    <w:link w:val="FootnoteTextChar"/>
    <w:uiPriority w:val="99"/>
    <w:semiHidden/>
    <w:rsid w:val="00843CF8"/>
    <w:pPr>
      <w:widowControl/>
      <w:autoSpaceDE/>
      <w:autoSpaceDN/>
      <w:adjustRightInd/>
      <w:ind w:firstLine="720"/>
    </w:pPr>
    <w:rPr>
      <w:szCs w:val="20"/>
    </w:rPr>
  </w:style>
  <w:style w:type="character" w:customStyle="1" w:styleId="FootnoteTextChar">
    <w:name w:val="Footnote Text Char"/>
    <w:basedOn w:val="DefaultParagraphFont"/>
    <w:link w:val="FootnoteText"/>
    <w:uiPriority w:val="99"/>
    <w:semiHidden/>
    <w:rsid w:val="00843CF8"/>
    <w:rPr>
      <w:rFonts w:ascii="Times New Roman" w:eastAsia="Times New Roman" w:hAnsi="Times New Roman" w:cs="Times New Roman"/>
      <w:sz w:val="24"/>
      <w:szCs w:val="20"/>
    </w:rPr>
  </w:style>
  <w:style w:type="character" w:customStyle="1" w:styleId="BalloonTextChar1">
    <w:name w:val="Balloon Text Char1"/>
    <w:basedOn w:val="DefaultParagraphFont"/>
    <w:link w:val="BalloonText"/>
    <w:uiPriority w:val="99"/>
    <w:semiHidden/>
    <w:rsid w:val="00A2050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C75B9"/>
    <w:rPr>
      <w:sz w:val="16"/>
      <w:szCs w:val="16"/>
    </w:rPr>
  </w:style>
  <w:style w:type="paragraph" w:styleId="CommentText">
    <w:name w:val="annotation text"/>
    <w:basedOn w:val="Normal"/>
    <w:link w:val="CommentTextChar"/>
    <w:uiPriority w:val="99"/>
    <w:semiHidden/>
    <w:unhideWhenUsed/>
    <w:rsid w:val="003C75B9"/>
    <w:rPr>
      <w:sz w:val="20"/>
      <w:szCs w:val="20"/>
    </w:rPr>
  </w:style>
  <w:style w:type="character" w:customStyle="1" w:styleId="CommentTextChar">
    <w:name w:val="Comment Text Char"/>
    <w:basedOn w:val="DefaultParagraphFont"/>
    <w:link w:val="CommentText"/>
    <w:uiPriority w:val="99"/>
    <w:semiHidden/>
    <w:rsid w:val="003C7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75B9"/>
    <w:rPr>
      <w:b/>
      <w:bCs/>
    </w:rPr>
  </w:style>
  <w:style w:type="character" w:customStyle="1" w:styleId="CommentSubjectChar">
    <w:name w:val="Comment Subject Char"/>
    <w:basedOn w:val="CommentTextChar"/>
    <w:link w:val="CommentSubject"/>
    <w:uiPriority w:val="99"/>
    <w:semiHidden/>
    <w:rsid w:val="003C75B9"/>
    <w:rPr>
      <w:rFonts w:ascii="Times New Roman" w:eastAsia="Times New Roman" w:hAnsi="Times New Roman" w:cs="Times New Roman"/>
      <w:b/>
      <w:bCs/>
      <w:sz w:val="20"/>
      <w:szCs w:val="20"/>
    </w:rPr>
  </w:style>
  <w:style w:type="paragraph" w:styleId="ListParagraph">
    <w:name w:val="List Paragraph"/>
    <w:basedOn w:val="Normal"/>
    <w:rsid w:val="0073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Surface Transportation Board</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of the United States</dc:creator>
  <cp:lastModifiedBy>Christopher Oehrle</cp:lastModifiedBy>
  <cp:revision>2</cp:revision>
  <cp:lastPrinted>2016-09-19T11:30:00Z</cp:lastPrinted>
  <dcterms:created xsi:type="dcterms:W3CDTF">2016-09-19T20:14:00Z</dcterms:created>
  <dcterms:modified xsi:type="dcterms:W3CDTF">2016-09-19T20:14:00Z</dcterms:modified>
</cp:coreProperties>
</file>