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3CA4A" w14:textId="77777777" w:rsidR="00B3407F" w:rsidRPr="00B16372" w:rsidRDefault="00B3407F" w:rsidP="0092596C">
      <w:pPr>
        <w:spacing w:after="0" w:line="240" w:lineRule="auto"/>
        <w:jc w:val="center"/>
        <w:rPr>
          <w:rFonts w:ascii="Times New Roman" w:hAnsi="Times New Roman"/>
          <w:sz w:val="24"/>
          <w:szCs w:val="24"/>
        </w:rPr>
      </w:pPr>
      <w:r w:rsidRPr="00B16372">
        <w:rPr>
          <w:rFonts w:ascii="Times New Roman" w:hAnsi="Times New Roman"/>
          <w:sz w:val="24"/>
          <w:szCs w:val="24"/>
        </w:rPr>
        <w:t>Supporting Statement</w:t>
      </w:r>
    </w:p>
    <w:p w14:paraId="73F463E1" w14:textId="08ACF8C8" w:rsidR="00B3407F" w:rsidRPr="00B16372" w:rsidRDefault="00B3407F" w:rsidP="0092596C">
      <w:pPr>
        <w:spacing w:after="0" w:line="240" w:lineRule="auto"/>
        <w:jc w:val="center"/>
        <w:rPr>
          <w:rFonts w:ascii="Times New Roman" w:hAnsi="Times New Roman"/>
          <w:b/>
          <w:sz w:val="24"/>
          <w:szCs w:val="24"/>
        </w:rPr>
      </w:pPr>
      <w:r w:rsidRPr="00B16372">
        <w:rPr>
          <w:rFonts w:ascii="Times New Roman" w:hAnsi="Times New Roman"/>
          <w:b/>
          <w:sz w:val="24"/>
          <w:szCs w:val="24"/>
        </w:rPr>
        <w:t>FERC-725</w:t>
      </w:r>
      <w:r w:rsidR="006E33D4">
        <w:rPr>
          <w:rFonts w:ascii="Times New Roman" w:hAnsi="Times New Roman"/>
          <w:b/>
          <w:sz w:val="24"/>
          <w:szCs w:val="24"/>
        </w:rPr>
        <w:t>N</w:t>
      </w:r>
      <w:r w:rsidRPr="00B16372">
        <w:rPr>
          <w:rFonts w:ascii="Times New Roman" w:hAnsi="Times New Roman"/>
          <w:b/>
          <w:sz w:val="24"/>
          <w:szCs w:val="24"/>
        </w:rPr>
        <w:t>, Mandatory Reliability Standards</w:t>
      </w:r>
      <w:r w:rsidR="006E33D4">
        <w:rPr>
          <w:rFonts w:ascii="Times New Roman" w:hAnsi="Times New Roman"/>
          <w:b/>
          <w:sz w:val="24"/>
          <w:szCs w:val="24"/>
        </w:rPr>
        <w:t xml:space="preserve">: </w:t>
      </w:r>
      <w:r w:rsidR="00B63139">
        <w:rPr>
          <w:rFonts w:ascii="Times New Roman" w:hAnsi="Times New Roman"/>
          <w:b/>
          <w:sz w:val="24"/>
          <w:szCs w:val="24"/>
        </w:rPr>
        <w:t>TPL</w:t>
      </w:r>
      <w:r w:rsidR="006B1C0C" w:rsidRPr="00177077">
        <w:rPr>
          <w:rStyle w:val="FootnoteReference"/>
          <w:rFonts w:ascii="Times New Roman" w:hAnsi="Times New Roman"/>
          <w:b/>
          <w:sz w:val="24"/>
          <w:szCs w:val="24"/>
          <w:vertAlign w:val="superscript"/>
        </w:rPr>
        <w:footnoteReference w:id="1"/>
      </w:r>
      <w:r w:rsidR="00B63139" w:rsidRPr="00177077">
        <w:rPr>
          <w:rFonts w:ascii="Times New Roman" w:hAnsi="Times New Roman"/>
          <w:b/>
          <w:sz w:val="24"/>
          <w:szCs w:val="24"/>
          <w:vertAlign w:val="superscript"/>
        </w:rPr>
        <w:t xml:space="preserve"> </w:t>
      </w:r>
      <w:r w:rsidR="006E33D4">
        <w:rPr>
          <w:rFonts w:ascii="Times New Roman" w:hAnsi="Times New Roman"/>
          <w:b/>
          <w:sz w:val="24"/>
          <w:szCs w:val="24"/>
        </w:rPr>
        <w:t>Reliability Standard</w:t>
      </w:r>
      <w:r w:rsidR="00B63139">
        <w:rPr>
          <w:rFonts w:ascii="Times New Roman" w:hAnsi="Times New Roman"/>
          <w:b/>
          <w:sz w:val="24"/>
          <w:szCs w:val="24"/>
        </w:rPr>
        <w:t xml:space="preserve">s, </w:t>
      </w:r>
      <w:r w:rsidR="00212FCA">
        <w:rPr>
          <w:rFonts w:ascii="Times New Roman" w:hAnsi="Times New Roman"/>
          <w:b/>
          <w:sz w:val="24"/>
          <w:szCs w:val="24"/>
        </w:rPr>
        <w:t xml:space="preserve"> </w:t>
      </w:r>
    </w:p>
    <w:p w14:paraId="01A89744" w14:textId="61D08A6E" w:rsidR="00B3407F" w:rsidRPr="00B16372" w:rsidRDefault="000A3DF1" w:rsidP="0092596C">
      <w:pPr>
        <w:spacing w:after="0" w:line="240" w:lineRule="auto"/>
        <w:jc w:val="center"/>
        <w:rPr>
          <w:rFonts w:ascii="Times New Roman" w:hAnsi="Times New Roman"/>
          <w:sz w:val="24"/>
          <w:szCs w:val="24"/>
        </w:rPr>
      </w:pPr>
      <w:r>
        <w:rPr>
          <w:rFonts w:ascii="Times New Roman" w:hAnsi="Times New Roman"/>
          <w:sz w:val="24"/>
          <w:szCs w:val="24"/>
        </w:rPr>
        <w:t>in Final Rule</w:t>
      </w:r>
      <w:r w:rsidR="00AF32F2" w:rsidRPr="00B16372">
        <w:rPr>
          <w:rFonts w:ascii="Times New Roman" w:hAnsi="Times New Roman"/>
          <w:sz w:val="24"/>
          <w:szCs w:val="24"/>
        </w:rPr>
        <w:t xml:space="preserve"> in</w:t>
      </w:r>
      <w:r w:rsidR="00B3407F" w:rsidRPr="00B16372">
        <w:rPr>
          <w:rFonts w:ascii="Times New Roman" w:hAnsi="Times New Roman"/>
          <w:sz w:val="24"/>
          <w:szCs w:val="24"/>
        </w:rPr>
        <w:t xml:space="preserve"> RM1</w:t>
      </w:r>
      <w:r w:rsidR="00B63139">
        <w:rPr>
          <w:rFonts w:ascii="Times New Roman" w:hAnsi="Times New Roman"/>
          <w:sz w:val="24"/>
          <w:szCs w:val="24"/>
        </w:rPr>
        <w:t>5</w:t>
      </w:r>
      <w:r w:rsidR="00B3407F" w:rsidRPr="00B16372">
        <w:rPr>
          <w:rFonts w:ascii="Times New Roman" w:hAnsi="Times New Roman"/>
          <w:sz w:val="24"/>
          <w:szCs w:val="24"/>
        </w:rPr>
        <w:t>-1</w:t>
      </w:r>
      <w:r w:rsidR="00B63139">
        <w:rPr>
          <w:rFonts w:ascii="Times New Roman" w:hAnsi="Times New Roman"/>
          <w:sz w:val="24"/>
          <w:szCs w:val="24"/>
        </w:rPr>
        <w:t>1</w:t>
      </w:r>
      <w:r w:rsidR="00B3407F" w:rsidRPr="00B16372">
        <w:rPr>
          <w:rFonts w:ascii="Times New Roman" w:hAnsi="Times New Roman"/>
          <w:sz w:val="24"/>
          <w:szCs w:val="24"/>
        </w:rPr>
        <w:t>-000</w:t>
      </w:r>
    </w:p>
    <w:p w14:paraId="7FDB6396" w14:textId="77777777" w:rsidR="00FD66F1" w:rsidRPr="00B16372" w:rsidRDefault="00FD66F1" w:rsidP="0092596C">
      <w:pPr>
        <w:spacing w:after="0" w:line="240" w:lineRule="auto"/>
        <w:rPr>
          <w:rFonts w:ascii="Times New Roman" w:hAnsi="Times New Roman" w:cs="Times New Roman"/>
          <w:sz w:val="24"/>
          <w:szCs w:val="24"/>
        </w:rPr>
      </w:pPr>
    </w:p>
    <w:p w14:paraId="4E5279B1" w14:textId="1AA28943" w:rsidR="00C37770" w:rsidRDefault="00C37770" w:rsidP="0081469B">
      <w:pPr>
        <w:spacing w:after="0" w:line="240" w:lineRule="auto"/>
        <w:rPr>
          <w:rFonts w:ascii="Times New Roman" w:hAnsi="Times New Roman"/>
          <w:sz w:val="24"/>
          <w:szCs w:val="24"/>
        </w:rPr>
      </w:pPr>
      <w:r>
        <w:rPr>
          <w:rFonts w:ascii="Times New Roman" w:hAnsi="Times New Roman"/>
          <w:sz w:val="24"/>
          <w:szCs w:val="24"/>
        </w:rPr>
        <w:t>The reporting and recordk</w:t>
      </w:r>
      <w:r w:rsidR="00326E9D">
        <w:rPr>
          <w:rFonts w:ascii="Times New Roman" w:hAnsi="Times New Roman"/>
          <w:sz w:val="24"/>
          <w:szCs w:val="24"/>
        </w:rPr>
        <w:t>eeping requirements for</w:t>
      </w:r>
      <w:r>
        <w:rPr>
          <w:rFonts w:ascii="Times New Roman" w:hAnsi="Times New Roman"/>
          <w:sz w:val="24"/>
          <w:szCs w:val="24"/>
        </w:rPr>
        <w:t xml:space="preserve"> Reliability Standard TPL-007-1 </w:t>
      </w:r>
      <w:r w:rsidR="0087477C" w:rsidRPr="0087477C">
        <w:rPr>
          <w:rFonts w:ascii="Times New Roman" w:hAnsi="Times New Roman"/>
          <w:sz w:val="24"/>
          <w:szCs w:val="24"/>
        </w:rPr>
        <w:t>(Transmission System Planned Performance for Geomagnetic Disturbance Events)</w:t>
      </w:r>
      <w:r w:rsidR="0087477C">
        <w:rPr>
          <w:rFonts w:ascii="Times New Roman" w:hAnsi="Times New Roman"/>
          <w:sz w:val="24"/>
          <w:szCs w:val="24"/>
        </w:rPr>
        <w:t xml:space="preserve"> </w:t>
      </w:r>
      <w:r>
        <w:rPr>
          <w:rFonts w:ascii="Times New Roman" w:hAnsi="Times New Roman"/>
          <w:sz w:val="24"/>
          <w:szCs w:val="24"/>
        </w:rPr>
        <w:t>will be added to FER</w:t>
      </w:r>
      <w:r w:rsidR="00914DD7">
        <w:rPr>
          <w:rFonts w:ascii="Times New Roman" w:hAnsi="Times New Roman"/>
          <w:sz w:val="24"/>
          <w:szCs w:val="24"/>
        </w:rPr>
        <w:t>C-725N, as discussed in the Final Rule</w:t>
      </w:r>
      <w:r>
        <w:rPr>
          <w:rFonts w:ascii="Times New Roman" w:hAnsi="Times New Roman"/>
          <w:sz w:val="24"/>
          <w:szCs w:val="24"/>
        </w:rPr>
        <w:t xml:space="preserve"> in Docket No. RM15-11</w:t>
      </w:r>
      <w:r w:rsidR="00CF793D" w:rsidRPr="000E18A0">
        <w:rPr>
          <w:rStyle w:val="FootnoteReference"/>
          <w:rFonts w:ascii="Times New Roman" w:hAnsi="Times New Roman"/>
          <w:sz w:val="24"/>
          <w:szCs w:val="24"/>
          <w:vertAlign w:val="superscript"/>
        </w:rPr>
        <w:footnoteReference w:id="2"/>
      </w:r>
      <w:r w:rsidR="00914DD7">
        <w:rPr>
          <w:rFonts w:ascii="Times New Roman" w:hAnsi="Times New Roman"/>
          <w:sz w:val="24"/>
          <w:szCs w:val="24"/>
        </w:rPr>
        <w:t xml:space="preserve"> and this supporting statement</w:t>
      </w:r>
      <w:r w:rsidRPr="00C37770">
        <w:rPr>
          <w:rStyle w:val="FootnoteReference"/>
          <w:rFonts w:ascii="Times New Roman" w:hAnsi="Times New Roman"/>
          <w:sz w:val="24"/>
          <w:szCs w:val="24"/>
          <w:vertAlign w:val="superscript"/>
        </w:rPr>
        <w:footnoteReference w:id="3"/>
      </w:r>
      <w:r w:rsidR="00914DD7">
        <w:rPr>
          <w:rFonts w:ascii="Times New Roman" w:hAnsi="Times New Roman"/>
          <w:sz w:val="24"/>
          <w:szCs w:val="24"/>
        </w:rPr>
        <w:t>.</w:t>
      </w:r>
      <w:r>
        <w:rPr>
          <w:rFonts w:ascii="Times New Roman" w:hAnsi="Times New Roman"/>
          <w:sz w:val="24"/>
          <w:szCs w:val="24"/>
        </w:rPr>
        <w:t xml:space="preserve">  The Federal Energy Regulatory Commission (FERC or Commission) is requesting that the Office of Management and Budget (OMB) approve the reporting and record</w:t>
      </w:r>
      <w:r w:rsidR="00326E9D">
        <w:rPr>
          <w:rFonts w:ascii="Times New Roman" w:hAnsi="Times New Roman"/>
          <w:sz w:val="24"/>
          <w:szCs w:val="24"/>
        </w:rPr>
        <w:t>keeping requirements in</w:t>
      </w:r>
      <w:r>
        <w:rPr>
          <w:rFonts w:ascii="Times New Roman" w:hAnsi="Times New Roman"/>
          <w:sz w:val="24"/>
          <w:szCs w:val="24"/>
        </w:rPr>
        <w:t xml:space="preserve"> Reliability Standard TPL-007-1</w:t>
      </w:r>
      <w:r w:rsidR="00914DD7">
        <w:rPr>
          <w:rFonts w:ascii="Times New Roman" w:hAnsi="Times New Roman"/>
          <w:sz w:val="24"/>
          <w:szCs w:val="24"/>
        </w:rPr>
        <w:t xml:space="preserve"> in the Final Rule</w:t>
      </w:r>
      <w:r w:rsidR="00381D71">
        <w:rPr>
          <w:rFonts w:ascii="Times New Roman" w:hAnsi="Times New Roman"/>
          <w:sz w:val="24"/>
          <w:szCs w:val="24"/>
        </w:rPr>
        <w:t xml:space="preserve"> in RM15-11</w:t>
      </w:r>
      <w:r w:rsidR="00914DD7">
        <w:rPr>
          <w:rFonts w:ascii="Times New Roman" w:hAnsi="Times New Roman"/>
          <w:sz w:val="24"/>
          <w:szCs w:val="24"/>
        </w:rPr>
        <w:t>-000</w:t>
      </w:r>
      <w:r w:rsidR="00CF793D">
        <w:rPr>
          <w:rFonts w:ascii="Times New Roman" w:hAnsi="Times New Roman"/>
          <w:sz w:val="24"/>
          <w:szCs w:val="24"/>
        </w:rPr>
        <w:t>.</w:t>
      </w:r>
    </w:p>
    <w:p w14:paraId="7CA1761F" w14:textId="77777777" w:rsidR="00C37770" w:rsidRDefault="00C37770" w:rsidP="0081469B">
      <w:pPr>
        <w:spacing w:after="0" w:line="240" w:lineRule="auto"/>
        <w:rPr>
          <w:rFonts w:ascii="Times New Roman" w:hAnsi="Times New Roman"/>
          <w:sz w:val="24"/>
          <w:szCs w:val="24"/>
        </w:rPr>
      </w:pPr>
    </w:p>
    <w:p w14:paraId="69F1681D" w14:textId="51FEA09A" w:rsidR="00A72E7B" w:rsidRPr="00B16372"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CIRCUMSTANCES THAT MAKE THE COLLECTION OF INFORMATION NECESSARY</w:t>
      </w:r>
    </w:p>
    <w:p w14:paraId="6D33FE6B" w14:textId="77777777" w:rsidR="00A72E7B" w:rsidRPr="00B16372" w:rsidRDefault="00A72E7B" w:rsidP="0092596C">
      <w:pPr>
        <w:spacing w:after="0" w:line="240" w:lineRule="auto"/>
        <w:rPr>
          <w:rFonts w:ascii="Times New Roman" w:hAnsi="Times New Roman" w:cs="Times New Roman"/>
          <w:sz w:val="24"/>
          <w:szCs w:val="24"/>
        </w:rPr>
      </w:pPr>
    </w:p>
    <w:p w14:paraId="7EB43F8F" w14:textId="79CE4EFE" w:rsidR="00DF401D" w:rsidRPr="00B16372" w:rsidRDefault="00DF401D" w:rsidP="0092596C">
      <w:pPr>
        <w:pStyle w:val="FERCparanumber"/>
        <w:widowControl/>
        <w:numPr>
          <w:ilvl w:val="0"/>
          <w:numId w:val="0"/>
        </w:numPr>
        <w:spacing w:line="240" w:lineRule="auto"/>
        <w:rPr>
          <w:sz w:val="24"/>
        </w:rPr>
      </w:pPr>
      <w:r w:rsidRPr="00B16372">
        <w:rPr>
          <w:sz w:val="24"/>
        </w:rPr>
        <w:t>On August 8, 2005, The Electricity Modernization Act of 2005, which is Title XII of the Energy Policy Act of 2005 (EPAct 2005), was enacted into law.</w:t>
      </w:r>
      <w:r w:rsidRPr="00B16372">
        <w:rPr>
          <w:rStyle w:val="FootnoteReference"/>
          <w:sz w:val="24"/>
          <w:vertAlign w:val="superscript"/>
        </w:rPr>
        <w:footnoteReference w:id="4"/>
      </w:r>
      <w:r w:rsidRPr="00B16372">
        <w:rPr>
          <w:sz w:val="24"/>
        </w:rPr>
        <w:t xml:space="preserve">  EPAct 2005 added a new section 215 to the Federal Power Act (FPA), which requires a Commission-certified Electric Reliability Organization (ERO) to develop mandatory and enforceable Reliability Standards, which are subject to Commission review and approval.  Once approved</w:t>
      </w:r>
      <w:r w:rsidR="0081469B">
        <w:rPr>
          <w:sz w:val="24"/>
        </w:rPr>
        <w:t>,</w:t>
      </w:r>
      <w:r w:rsidRPr="00B16372">
        <w:rPr>
          <w:sz w:val="24"/>
        </w:rPr>
        <w:t xml:space="preserve"> the Reliability Standards may be enforced by the ERO, s</w:t>
      </w:r>
      <w:r w:rsidR="00914DD7">
        <w:rPr>
          <w:sz w:val="24"/>
        </w:rPr>
        <w:t>ubject to Commission oversight.</w:t>
      </w:r>
    </w:p>
    <w:p w14:paraId="63F75858" w14:textId="77777777" w:rsidR="00DF401D" w:rsidRPr="00B16372" w:rsidRDefault="00DF401D" w:rsidP="0092596C">
      <w:pPr>
        <w:spacing w:after="0" w:line="240" w:lineRule="auto"/>
        <w:rPr>
          <w:rFonts w:ascii="Times New Roman" w:hAnsi="Times New Roman" w:cs="Times New Roman"/>
          <w:sz w:val="24"/>
          <w:szCs w:val="24"/>
        </w:rPr>
      </w:pPr>
    </w:p>
    <w:p w14:paraId="437AA647" w14:textId="559C2CBD" w:rsidR="00AF4B6E" w:rsidRDefault="00E05FA3" w:rsidP="0087477C">
      <w:pPr>
        <w:spacing w:after="0" w:line="240" w:lineRule="auto"/>
        <w:rPr>
          <w:rFonts w:ascii="Times New Roman" w:eastAsia="Times New Roman" w:hAnsi="Times New Roman" w:cs="Times New Roman"/>
          <w:sz w:val="24"/>
          <w:szCs w:val="24"/>
        </w:rPr>
      </w:pPr>
      <w:r w:rsidRPr="00B16372">
        <w:rPr>
          <w:rFonts w:ascii="Times New Roman" w:hAnsi="Times New Roman" w:cs="Times New Roman"/>
          <w:sz w:val="24"/>
          <w:szCs w:val="24"/>
        </w:rPr>
        <w:t xml:space="preserve">On March 16, 2007, in Order No. 693, pursuant to section 215(d) of the FPA, the Commission approved 83 of 107 proposed Reliability Standards, six of the eight proposed regional differences, and the North American Electric Reliability Corporation (NERC) </w:t>
      </w:r>
      <w:r w:rsidRPr="00B16372">
        <w:rPr>
          <w:rFonts w:ascii="Times New Roman" w:hAnsi="Times New Roman" w:cs="Times New Roman"/>
          <w:i/>
          <w:sz w:val="24"/>
          <w:szCs w:val="24"/>
        </w:rPr>
        <w:t>Glossary of Terms Used in Reliability Standards</w:t>
      </w:r>
      <w:r w:rsidRPr="00B16372">
        <w:rPr>
          <w:rFonts w:ascii="Times New Roman" w:hAnsi="Times New Roman" w:cs="Times New Roman"/>
          <w:sz w:val="24"/>
          <w:szCs w:val="24"/>
        </w:rPr>
        <w:t xml:space="preserve"> (NERC Glossary), including </w:t>
      </w:r>
      <w:r w:rsidRPr="00B16372">
        <w:rPr>
          <w:rFonts w:ascii="Times New Roman" w:eastAsia="Times New Roman" w:hAnsi="Times New Roman" w:cs="Times New Roman"/>
          <w:sz w:val="24"/>
          <w:szCs w:val="24"/>
        </w:rPr>
        <w:t>Version 0 TPL Reliability Standards.</w:t>
      </w:r>
      <w:r w:rsidRPr="00B16372">
        <w:rPr>
          <w:rFonts w:ascii="Times New Roman" w:eastAsia="Times New Roman" w:hAnsi="Times New Roman" w:cs="Times New Roman"/>
          <w:b/>
          <w:sz w:val="24"/>
          <w:szCs w:val="24"/>
          <w:vertAlign w:val="superscript"/>
        </w:rPr>
        <w:footnoteReference w:id="5"/>
      </w:r>
      <w:r w:rsidRPr="00B16372">
        <w:rPr>
          <w:rFonts w:ascii="Times New Roman" w:eastAsia="Times New Roman" w:hAnsi="Times New Roman" w:cs="Times New Roman"/>
          <w:sz w:val="24"/>
          <w:szCs w:val="24"/>
        </w:rPr>
        <w:t xml:space="preserve">  Further, pursuant to FPA section 215(d)(5), the Commission directed NERC to develop modifications to TPL-001-0 through TPL-004-0 through the Reliability Standards development process.</w:t>
      </w:r>
      <w:r w:rsidR="00D037AB">
        <w:rPr>
          <w:rFonts w:ascii="Times New Roman" w:eastAsia="Times New Roman" w:hAnsi="Times New Roman" w:cs="Times New Roman"/>
          <w:sz w:val="24"/>
          <w:szCs w:val="24"/>
        </w:rPr>
        <w:t xml:space="preserve">  In </w:t>
      </w:r>
      <w:r w:rsidR="00D037AB" w:rsidRPr="00D037AB">
        <w:rPr>
          <w:rFonts w:ascii="Times New Roman" w:eastAsia="Times New Roman" w:hAnsi="Times New Roman" w:cs="Times New Roman"/>
          <w:sz w:val="24"/>
          <w:szCs w:val="24"/>
        </w:rPr>
        <w:t>Order</w:t>
      </w:r>
      <w:r w:rsidR="00D037AB">
        <w:rPr>
          <w:rFonts w:ascii="Times New Roman" w:eastAsia="Times New Roman" w:hAnsi="Times New Roman" w:cs="Times New Roman"/>
          <w:sz w:val="24"/>
          <w:szCs w:val="24"/>
        </w:rPr>
        <w:t xml:space="preserve"> No.</w:t>
      </w:r>
      <w:r w:rsidR="00D037AB" w:rsidRPr="00D037AB">
        <w:rPr>
          <w:rFonts w:ascii="Times New Roman" w:eastAsia="Times New Roman" w:hAnsi="Times New Roman" w:cs="Times New Roman"/>
          <w:sz w:val="24"/>
          <w:szCs w:val="24"/>
        </w:rPr>
        <w:t xml:space="preserve"> 693 </w:t>
      </w:r>
      <w:r w:rsidR="00D037AB">
        <w:rPr>
          <w:rFonts w:ascii="Times New Roman" w:eastAsia="Times New Roman" w:hAnsi="Times New Roman" w:cs="Times New Roman"/>
          <w:sz w:val="24"/>
          <w:szCs w:val="24"/>
        </w:rPr>
        <w:t>the Commission indicated</w:t>
      </w:r>
      <w:r w:rsidR="00D037AB" w:rsidRPr="00D037AB">
        <w:rPr>
          <w:rFonts w:ascii="Times New Roman" w:eastAsia="Times New Roman" w:hAnsi="Times New Roman" w:cs="Times New Roman"/>
          <w:sz w:val="24"/>
          <w:szCs w:val="24"/>
        </w:rPr>
        <w:t xml:space="preserve"> that the planning-related Reliability Standard could be improved to better account for probable contingencies wh</w:t>
      </w:r>
      <w:r w:rsidR="00D037AB">
        <w:rPr>
          <w:rFonts w:ascii="Times New Roman" w:eastAsia="Times New Roman" w:hAnsi="Times New Roman" w:cs="Times New Roman"/>
          <w:sz w:val="24"/>
          <w:szCs w:val="24"/>
        </w:rPr>
        <w:t>en conducting planning studies.  Further in that Order, FERC said that much of its proposal</w:t>
      </w:r>
      <w:r w:rsidR="00D037AB" w:rsidRPr="00D037AB">
        <w:rPr>
          <w:rFonts w:ascii="Times New Roman" w:eastAsia="Times New Roman" w:hAnsi="Times New Roman" w:cs="Times New Roman"/>
          <w:sz w:val="24"/>
          <w:szCs w:val="24"/>
        </w:rPr>
        <w:t xml:space="preserve"> was consistent with the potential improvements NERC </w:t>
      </w:r>
      <w:r w:rsidR="00D037AB">
        <w:rPr>
          <w:rFonts w:ascii="Times New Roman" w:eastAsia="Times New Roman" w:hAnsi="Times New Roman" w:cs="Times New Roman"/>
          <w:sz w:val="24"/>
          <w:szCs w:val="24"/>
        </w:rPr>
        <w:t>had already recognized.</w:t>
      </w:r>
      <w:r w:rsidR="001C300E" w:rsidRPr="001B6724">
        <w:rPr>
          <w:rStyle w:val="FootnoteReference"/>
          <w:rFonts w:ascii="Times New Roman" w:eastAsia="Times New Roman" w:hAnsi="Times New Roman" w:cs="Times New Roman"/>
          <w:sz w:val="24"/>
          <w:szCs w:val="24"/>
          <w:vertAlign w:val="superscript"/>
        </w:rPr>
        <w:footnoteReference w:id="6"/>
      </w:r>
    </w:p>
    <w:p w14:paraId="00E468FC" w14:textId="77777777" w:rsidR="004A4457" w:rsidRPr="004A4457" w:rsidRDefault="004A4457" w:rsidP="0087477C">
      <w:pPr>
        <w:spacing w:after="0" w:line="240" w:lineRule="auto"/>
        <w:rPr>
          <w:rFonts w:ascii="Times New Roman" w:eastAsia="Times New Roman" w:hAnsi="Times New Roman" w:cs="Times New Roman"/>
          <w:sz w:val="24"/>
          <w:szCs w:val="24"/>
        </w:rPr>
      </w:pPr>
    </w:p>
    <w:p w14:paraId="29B698AA" w14:textId="187DDC06" w:rsidR="0087477C" w:rsidRDefault="004A4457"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In this Final Rule</w:t>
      </w:r>
      <w:r w:rsidR="00044D1D">
        <w:rPr>
          <w:rFonts w:ascii="Times New Roman" w:hAnsi="Times New Roman" w:cs="Times New Roman"/>
          <w:sz w:val="24"/>
          <w:szCs w:val="24"/>
        </w:rPr>
        <w:t xml:space="preserve"> in Docket RM15-11</w:t>
      </w:r>
      <w:r w:rsidR="00914DD7">
        <w:rPr>
          <w:rFonts w:ascii="Times New Roman" w:hAnsi="Times New Roman" w:cs="Times New Roman"/>
          <w:sz w:val="24"/>
          <w:szCs w:val="24"/>
        </w:rPr>
        <w:t>, FERC</w:t>
      </w:r>
      <w:r w:rsidR="0087477C" w:rsidRPr="0087477C">
        <w:rPr>
          <w:rFonts w:ascii="Times New Roman" w:hAnsi="Times New Roman" w:cs="Times New Roman"/>
          <w:sz w:val="24"/>
          <w:szCs w:val="24"/>
        </w:rPr>
        <w:t xml:space="preserve"> approve</w:t>
      </w:r>
      <w:r>
        <w:rPr>
          <w:rFonts w:ascii="Times New Roman" w:hAnsi="Times New Roman" w:cs="Times New Roman"/>
          <w:sz w:val="24"/>
          <w:szCs w:val="24"/>
        </w:rPr>
        <w:t>s</w:t>
      </w:r>
      <w:r w:rsidR="0087477C" w:rsidRPr="0087477C">
        <w:rPr>
          <w:rFonts w:ascii="Times New Roman" w:hAnsi="Times New Roman" w:cs="Times New Roman"/>
          <w:sz w:val="24"/>
          <w:szCs w:val="24"/>
        </w:rPr>
        <w:t xml:space="preserve"> Reliabilit</w:t>
      </w:r>
      <w:r w:rsidR="00914DD7">
        <w:rPr>
          <w:rFonts w:ascii="Times New Roman" w:hAnsi="Times New Roman" w:cs="Times New Roman"/>
          <w:sz w:val="24"/>
          <w:szCs w:val="24"/>
        </w:rPr>
        <w:t xml:space="preserve">y Standard TPL-007-1.  </w:t>
      </w:r>
      <w:r w:rsidR="0087477C" w:rsidRPr="0087477C">
        <w:rPr>
          <w:rFonts w:ascii="Times New Roman" w:hAnsi="Times New Roman" w:cs="Times New Roman"/>
          <w:sz w:val="24"/>
          <w:szCs w:val="24"/>
        </w:rPr>
        <w:t xml:space="preserve">Reliability Standard TPL-007-1 establishes requirements for certain entities to assess the vulnerability of their transmission systems to geomagnetic disturbance events (GMDs), which occur when the sun ejects charged particles that interact and cause changes in the earth’s magnetic fields.  Entities that do not meet certain performance requirements, based on the results of their vulnerability assessments, must develop a plan to achieve the requirements.  </w:t>
      </w:r>
      <w:r w:rsidR="009C5135">
        <w:rPr>
          <w:rFonts w:ascii="Times New Roman" w:hAnsi="Times New Roman" w:cs="Times New Roman"/>
          <w:sz w:val="24"/>
          <w:szCs w:val="24"/>
        </w:rPr>
        <w:t>NERC</w:t>
      </w:r>
      <w:r w:rsidR="00EF5332">
        <w:rPr>
          <w:rFonts w:ascii="Times New Roman" w:hAnsi="Times New Roman" w:cs="Times New Roman"/>
          <w:sz w:val="24"/>
          <w:szCs w:val="24"/>
        </w:rPr>
        <w:t xml:space="preserve"> submitted the</w:t>
      </w:r>
      <w:r w:rsidR="0087477C" w:rsidRPr="0087477C">
        <w:rPr>
          <w:rFonts w:ascii="Times New Roman" w:hAnsi="Times New Roman" w:cs="Times New Roman"/>
          <w:sz w:val="24"/>
          <w:szCs w:val="24"/>
        </w:rPr>
        <w:t xml:space="preserve"> Reliability Standard for Commission approval in response to a </w:t>
      </w:r>
      <w:r w:rsidR="009C5135">
        <w:rPr>
          <w:rFonts w:ascii="Times New Roman" w:hAnsi="Times New Roman" w:cs="Times New Roman"/>
          <w:sz w:val="24"/>
          <w:szCs w:val="24"/>
        </w:rPr>
        <w:t>FERC</w:t>
      </w:r>
      <w:r w:rsidR="0087477C" w:rsidRPr="0087477C">
        <w:rPr>
          <w:rFonts w:ascii="Times New Roman" w:hAnsi="Times New Roman" w:cs="Times New Roman"/>
          <w:sz w:val="24"/>
          <w:szCs w:val="24"/>
        </w:rPr>
        <w:t xml:space="preserve"> directive in Order No. 779.  In a</w:t>
      </w:r>
      <w:r w:rsidR="00EF5332">
        <w:rPr>
          <w:rFonts w:ascii="Times New Roman" w:hAnsi="Times New Roman" w:cs="Times New Roman"/>
          <w:sz w:val="24"/>
          <w:szCs w:val="24"/>
        </w:rPr>
        <w:t>ddition, the Commission</w:t>
      </w:r>
      <w:r w:rsidR="0087477C" w:rsidRPr="0087477C">
        <w:rPr>
          <w:rFonts w:ascii="Times New Roman" w:hAnsi="Times New Roman" w:cs="Times New Roman"/>
          <w:sz w:val="24"/>
          <w:szCs w:val="24"/>
        </w:rPr>
        <w:t xml:space="preserve"> direct</w:t>
      </w:r>
      <w:r w:rsidR="00EF5332">
        <w:rPr>
          <w:rFonts w:ascii="Times New Roman" w:hAnsi="Times New Roman" w:cs="Times New Roman"/>
          <w:sz w:val="24"/>
          <w:szCs w:val="24"/>
        </w:rPr>
        <w:t>s</w:t>
      </w:r>
      <w:r w:rsidR="0087477C" w:rsidRPr="0087477C">
        <w:rPr>
          <w:rFonts w:ascii="Times New Roman" w:hAnsi="Times New Roman" w:cs="Times New Roman"/>
          <w:sz w:val="24"/>
          <w:szCs w:val="24"/>
        </w:rPr>
        <w:t xml:space="preserve"> that NERC develop modifications to the benchmark </w:t>
      </w:r>
      <w:r w:rsidR="0087477C" w:rsidRPr="0087477C">
        <w:rPr>
          <w:rFonts w:ascii="Times New Roman" w:hAnsi="Times New Roman" w:cs="Times New Roman"/>
          <w:sz w:val="24"/>
          <w:szCs w:val="24"/>
        </w:rPr>
        <w:lastRenderedPageBreak/>
        <w:t>GMD event definition set forth</w:t>
      </w:r>
      <w:r w:rsidR="00EF5332">
        <w:rPr>
          <w:rFonts w:ascii="Times New Roman" w:hAnsi="Times New Roman" w:cs="Times New Roman"/>
          <w:sz w:val="24"/>
          <w:szCs w:val="24"/>
        </w:rPr>
        <w:t xml:space="preserve"> in Attachment 1 of the approved</w:t>
      </w:r>
      <w:r w:rsidR="0087477C" w:rsidRPr="0087477C">
        <w:rPr>
          <w:rFonts w:ascii="Times New Roman" w:hAnsi="Times New Roman" w:cs="Times New Roman"/>
          <w:sz w:val="24"/>
          <w:szCs w:val="24"/>
        </w:rPr>
        <w:t xml:space="preserve"> Reliability Standard so that the definition is not based sole</w:t>
      </w:r>
      <w:r w:rsidR="00914DD7">
        <w:rPr>
          <w:rFonts w:ascii="Times New Roman" w:hAnsi="Times New Roman" w:cs="Times New Roman"/>
          <w:sz w:val="24"/>
          <w:szCs w:val="24"/>
        </w:rPr>
        <w:t>ly on spatially-averaged data.</w:t>
      </w:r>
    </w:p>
    <w:p w14:paraId="14E8CF29" w14:textId="77777777" w:rsidR="0087477C" w:rsidRPr="00B16372" w:rsidRDefault="0087477C" w:rsidP="0092596C">
      <w:pPr>
        <w:spacing w:after="0" w:line="240" w:lineRule="auto"/>
        <w:rPr>
          <w:rFonts w:ascii="Times New Roman" w:hAnsi="Times New Roman" w:cs="Times New Roman"/>
          <w:sz w:val="24"/>
          <w:szCs w:val="24"/>
        </w:rPr>
      </w:pPr>
    </w:p>
    <w:p w14:paraId="6371C6B7" w14:textId="77777777" w:rsidR="00A72E7B"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HOW, BY WHOM, AND FOR WHAT PURPOSE THE INFORMATION IS TO BE USED AND THE CONSEQUENCES OF NOT COLLECTING THE INFORMATION</w:t>
      </w:r>
    </w:p>
    <w:p w14:paraId="1EE1542B" w14:textId="77777777" w:rsidR="003B25DD" w:rsidRDefault="003B25DD" w:rsidP="0092596C">
      <w:pPr>
        <w:spacing w:after="0" w:line="240" w:lineRule="auto"/>
        <w:rPr>
          <w:rFonts w:ascii="Times New Roman" w:hAnsi="Times New Roman" w:cs="Times New Roman"/>
          <w:sz w:val="24"/>
          <w:szCs w:val="24"/>
        </w:rPr>
      </w:pPr>
    </w:p>
    <w:p w14:paraId="266B73BF" w14:textId="025535AD" w:rsidR="000D2AF1" w:rsidRDefault="00AF4B6E" w:rsidP="00AF4B6E">
      <w:pPr>
        <w:spacing w:after="0" w:line="240" w:lineRule="auto"/>
        <w:rPr>
          <w:rFonts w:ascii="Times New Roman" w:hAnsi="Times New Roman" w:cs="Times New Roman"/>
          <w:sz w:val="24"/>
          <w:szCs w:val="24"/>
        </w:rPr>
      </w:pPr>
      <w:r>
        <w:rPr>
          <w:rFonts w:ascii="Times New Roman" w:hAnsi="Times New Roman" w:cs="Times New Roman"/>
          <w:sz w:val="24"/>
          <w:szCs w:val="24"/>
        </w:rPr>
        <w:t>In its Petition, NERC</w:t>
      </w:r>
      <w:r w:rsidR="00EF5332">
        <w:rPr>
          <w:rFonts w:ascii="Times New Roman" w:hAnsi="Times New Roman" w:cs="Times New Roman"/>
          <w:sz w:val="24"/>
          <w:szCs w:val="24"/>
        </w:rPr>
        <w:t xml:space="preserve"> states that</w:t>
      </w:r>
      <w:r w:rsidR="000D2AF1">
        <w:rPr>
          <w:rFonts w:ascii="Times New Roman" w:hAnsi="Times New Roman" w:cs="Times New Roman"/>
          <w:sz w:val="24"/>
          <w:szCs w:val="24"/>
        </w:rPr>
        <w:t>:</w:t>
      </w:r>
    </w:p>
    <w:p w14:paraId="6E06008E" w14:textId="0344378A" w:rsidR="000D2AF1" w:rsidRDefault="00AF4B6E" w:rsidP="00AF4B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5AC64D6" w14:textId="19F8CED2" w:rsidR="00AF4B6E" w:rsidRPr="00AF4B6E" w:rsidRDefault="00AF4B6E" w:rsidP="006D15E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AF4B6E">
        <w:rPr>
          <w:rFonts w:ascii="Times New Roman" w:hAnsi="Times New Roman" w:cs="Times New Roman"/>
          <w:sz w:val="24"/>
          <w:szCs w:val="24"/>
        </w:rPr>
        <w:t>Geomagnetic disturbances (“GMDs”) occur during solar storms when the sun ejects</w:t>
      </w:r>
      <w:r>
        <w:rPr>
          <w:rFonts w:ascii="Times New Roman" w:hAnsi="Times New Roman" w:cs="Times New Roman"/>
          <w:sz w:val="24"/>
          <w:szCs w:val="24"/>
        </w:rPr>
        <w:t xml:space="preserve"> </w:t>
      </w:r>
      <w:r w:rsidRPr="00AF4B6E">
        <w:rPr>
          <w:rFonts w:ascii="Times New Roman" w:hAnsi="Times New Roman" w:cs="Times New Roman"/>
          <w:sz w:val="24"/>
          <w:szCs w:val="24"/>
        </w:rPr>
        <w:t>charged particles directed toward the earth, and the magnetic field associated with these charged</w:t>
      </w:r>
      <w:r>
        <w:rPr>
          <w:rFonts w:ascii="Times New Roman" w:hAnsi="Times New Roman" w:cs="Times New Roman"/>
          <w:sz w:val="24"/>
          <w:szCs w:val="24"/>
        </w:rPr>
        <w:t xml:space="preserve"> </w:t>
      </w:r>
      <w:r w:rsidRPr="00AF4B6E">
        <w:rPr>
          <w:rFonts w:ascii="Times New Roman" w:hAnsi="Times New Roman" w:cs="Times New Roman"/>
          <w:sz w:val="24"/>
          <w:szCs w:val="24"/>
        </w:rPr>
        <w:t>particles interacts with the earth’s magnetic field. This interaction could cause geomagnetically</w:t>
      </w:r>
      <w:r>
        <w:rPr>
          <w:rFonts w:ascii="Times New Roman" w:hAnsi="Times New Roman" w:cs="Times New Roman"/>
          <w:sz w:val="24"/>
          <w:szCs w:val="24"/>
        </w:rPr>
        <w:t xml:space="preserve"> </w:t>
      </w:r>
      <w:r w:rsidRPr="00AF4B6E">
        <w:rPr>
          <w:rFonts w:ascii="Times New Roman" w:hAnsi="Times New Roman" w:cs="Times New Roman"/>
          <w:sz w:val="24"/>
          <w:szCs w:val="24"/>
        </w:rPr>
        <w:t>induced</w:t>
      </w:r>
      <w:r>
        <w:rPr>
          <w:rFonts w:ascii="Times New Roman" w:hAnsi="Times New Roman" w:cs="Times New Roman"/>
          <w:sz w:val="24"/>
          <w:szCs w:val="24"/>
        </w:rPr>
        <w:t xml:space="preserve"> </w:t>
      </w:r>
      <w:r w:rsidRPr="00AF4B6E">
        <w:rPr>
          <w:rFonts w:ascii="Times New Roman" w:hAnsi="Times New Roman" w:cs="Times New Roman"/>
          <w:sz w:val="24"/>
          <w:szCs w:val="24"/>
        </w:rPr>
        <w:t>currents (also known as “GICs”) to flow in an electric power system through</w:t>
      </w:r>
      <w:r>
        <w:rPr>
          <w:rFonts w:ascii="Times New Roman" w:hAnsi="Times New Roman" w:cs="Times New Roman"/>
          <w:sz w:val="24"/>
          <w:szCs w:val="24"/>
        </w:rPr>
        <w:t xml:space="preserve"> </w:t>
      </w:r>
      <w:r w:rsidRPr="00AF4B6E">
        <w:rPr>
          <w:rFonts w:ascii="Times New Roman" w:hAnsi="Times New Roman" w:cs="Times New Roman"/>
          <w:sz w:val="24"/>
          <w:szCs w:val="24"/>
        </w:rPr>
        <w:t>transmission lines and grounded transformer windings. GMDs can be of varying intensity, and</w:t>
      </w:r>
      <w:r>
        <w:rPr>
          <w:rFonts w:ascii="Times New Roman" w:hAnsi="Times New Roman" w:cs="Times New Roman"/>
          <w:sz w:val="24"/>
          <w:szCs w:val="24"/>
        </w:rPr>
        <w:t xml:space="preserve"> </w:t>
      </w:r>
      <w:r w:rsidRPr="00AF4B6E">
        <w:rPr>
          <w:rFonts w:ascii="Times New Roman" w:hAnsi="Times New Roman" w:cs="Times New Roman"/>
          <w:sz w:val="24"/>
          <w:szCs w:val="24"/>
        </w:rPr>
        <w:t>their impact on an electric power system is dependent on a number of factors, including where</w:t>
      </w:r>
      <w:r>
        <w:rPr>
          <w:rFonts w:ascii="Times New Roman" w:hAnsi="Times New Roman" w:cs="Times New Roman"/>
          <w:sz w:val="24"/>
          <w:szCs w:val="24"/>
        </w:rPr>
        <w:t xml:space="preserve"> </w:t>
      </w:r>
      <w:r w:rsidRPr="00AF4B6E">
        <w:rPr>
          <w:rFonts w:ascii="Times New Roman" w:hAnsi="Times New Roman" w:cs="Times New Roman"/>
          <w:sz w:val="24"/>
          <w:szCs w:val="24"/>
        </w:rPr>
        <w:t>the geomagnetic storm is located, the magnitude and direction of the geomagnetic fields, the</w:t>
      </w:r>
      <w:r>
        <w:rPr>
          <w:rFonts w:ascii="Times New Roman" w:hAnsi="Times New Roman" w:cs="Times New Roman"/>
          <w:sz w:val="24"/>
          <w:szCs w:val="24"/>
        </w:rPr>
        <w:t xml:space="preserve"> </w:t>
      </w:r>
      <w:r w:rsidRPr="00AF4B6E">
        <w:rPr>
          <w:rFonts w:ascii="Times New Roman" w:hAnsi="Times New Roman" w:cs="Times New Roman"/>
          <w:sz w:val="24"/>
          <w:szCs w:val="24"/>
        </w:rPr>
        <w:t>geomagnetic latitude of the electric power system, the local geology (i.e. electrical conductivity</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of the ground), and the characteristics of the electric power system.</w:t>
      </w:r>
    </w:p>
    <w:p w14:paraId="39C0BD98" w14:textId="77777777" w:rsidR="00AF4B6E" w:rsidRDefault="00AF4B6E" w:rsidP="00AF4B6E">
      <w:pPr>
        <w:spacing w:after="0" w:line="240" w:lineRule="auto"/>
        <w:rPr>
          <w:rFonts w:ascii="Times New Roman" w:hAnsi="Times New Roman" w:cs="Times New Roman"/>
          <w:sz w:val="24"/>
          <w:szCs w:val="24"/>
        </w:rPr>
      </w:pPr>
    </w:p>
    <w:p w14:paraId="61A5261B" w14:textId="77777777" w:rsidR="00AF4B6E" w:rsidRPr="00AF4B6E" w:rsidRDefault="00AF4B6E" w:rsidP="006D15EC">
      <w:pPr>
        <w:spacing w:after="0" w:line="240" w:lineRule="auto"/>
        <w:ind w:left="720"/>
        <w:rPr>
          <w:rFonts w:ascii="Times New Roman" w:hAnsi="Times New Roman" w:cs="Times New Roman"/>
          <w:sz w:val="24"/>
          <w:szCs w:val="24"/>
        </w:rPr>
      </w:pPr>
      <w:r w:rsidRPr="00AF4B6E">
        <w:rPr>
          <w:rFonts w:ascii="Times New Roman" w:hAnsi="Times New Roman" w:cs="Times New Roman"/>
          <w:sz w:val="24"/>
          <w:szCs w:val="24"/>
        </w:rPr>
        <w:t>During a GMD event, GIC flow in transformers can substantially increase absorption of</w:t>
      </w:r>
    </w:p>
    <w:p w14:paraId="2931DABA" w14:textId="6A194375" w:rsidR="00AF4B6E" w:rsidRPr="00AF4B6E" w:rsidRDefault="00AF4B6E" w:rsidP="006D15EC">
      <w:pPr>
        <w:spacing w:after="0" w:line="240" w:lineRule="auto"/>
        <w:ind w:left="720"/>
        <w:rPr>
          <w:rFonts w:ascii="Times New Roman" w:hAnsi="Times New Roman" w:cs="Times New Roman"/>
          <w:sz w:val="24"/>
          <w:szCs w:val="24"/>
        </w:rPr>
      </w:pPr>
      <w:r w:rsidRPr="00AF4B6E">
        <w:rPr>
          <w:rFonts w:ascii="Times New Roman" w:hAnsi="Times New Roman" w:cs="Times New Roman"/>
          <w:sz w:val="24"/>
          <w:szCs w:val="24"/>
        </w:rPr>
        <w:t>reactive power and create harmonics, resulting in a risk of voltage instability or voltage collapse.</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In some cases, GIC flow in power transformers can cause increased transformer hot-spot heating,</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which can lead to equipment loss of life or damage. The science regarding the impacts of GMDs</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on electric power systems is still evolving, and much remains to be learned about the unique</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threat GMDs pose to the reliability of the Bulk-Power System. However, as the Commission</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 xml:space="preserve">noted in Order No. 779, “while there is an ongoing debate as to how a severe GMD event </w:t>
      </w:r>
      <w:r w:rsidRPr="00AF4B6E">
        <w:rPr>
          <w:rFonts w:ascii="Times New Roman" w:hAnsi="Times New Roman" w:cs="Times New Roman"/>
          <w:sz w:val="24"/>
          <w:szCs w:val="24"/>
        </w:rPr>
        <w:lastRenderedPageBreak/>
        <w:t>will</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most likely impact the Bulk-Power System, there is a general consensus that GMD events can</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cause wide-spread blackouts due to voltage instability and subsequent voltage collapse, thus</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disrupting the reliable operation of the Bulk-Power System.”</w:t>
      </w:r>
    </w:p>
    <w:p w14:paraId="0E7C5618" w14:textId="77777777" w:rsidR="000D2AF1" w:rsidRDefault="000D2AF1" w:rsidP="00AF4B6E">
      <w:pPr>
        <w:spacing w:after="0" w:line="240" w:lineRule="auto"/>
        <w:rPr>
          <w:rFonts w:ascii="Times New Roman" w:hAnsi="Times New Roman" w:cs="Times New Roman"/>
          <w:sz w:val="24"/>
          <w:szCs w:val="24"/>
        </w:rPr>
      </w:pPr>
    </w:p>
    <w:p w14:paraId="78A0CDCF" w14:textId="21ABF345" w:rsidR="00AF4B6E" w:rsidRPr="00AF4B6E" w:rsidRDefault="00AF4B6E" w:rsidP="006D15EC">
      <w:pPr>
        <w:spacing w:after="0" w:line="240" w:lineRule="auto"/>
        <w:ind w:left="720"/>
        <w:rPr>
          <w:rFonts w:ascii="Times New Roman" w:hAnsi="Times New Roman" w:cs="Times New Roman"/>
          <w:sz w:val="24"/>
          <w:szCs w:val="24"/>
        </w:rPr>
      </w:pPr>
      <w:r w:rsidRPr="00AF4B6E">
        <w:rPr>
          <w:rFonts w:ascii="Times New Roman" w:hAnsi="Times New Roman" w:cs="Times New Roman"/>
          <w:sz w:val="24"/>
          <w:szCs w:val="24"/>
        </w:rPr>
        <w:t>Reliability Standard TPL-007-1, together with Commission-approved</w:t>
      </w:r>
    </w:p>
    <w:p w14:paraId="464C49E9" w14:textId="0575E76C" w:rsidR="00AF4B6E" w:rsidRPr="00AF4B6E" w:rsidRDefault="00AF4B6E" w:rsidP="006D15EC">
      <w:pPr>
        <w:spacing w:after="0" w:line="240" w:lineRule="auto"/>
        <w:ind w:left="720"/>
        <w:rPr>
          <w:rFonts w:ascii="Times New Roman" w:hAnsi="Times New Roman" w:cs="Times New Roman"/>
          <w:sz w:val="24"/>
          <w:szCs w:val="24"/>
        </w:rPr>
      </w:pPr>
      <w:r w:rsidRPr="00AF4B6E">
        <w:rPr>
          <w:rFonts w:ascii="Times New Roman" w:hAnsi="Times New Roman" w:cs="Times New Roman"/>
          <w:sz w:val="24"/>
          <w:szCs w:val="24"/>
        </w:rPr>
        <w:t xml:space="preserve">Reliability Standard EOP-010-1, addresses the unique risks posed by a high-impact, </w:t>
      </w:r>
      <w:r>
        <w:rPr>
          <w:rFonts w:ascii="Times New Roman" w:hAnsi="Times New Roman" w:cs="Times New Roman"/>
          <w:sz w:val="24"/>
          <w:szCs w:val="24"/>
        </w:rPr>
        <w:t>l</w:t>
      </w:r>
      <w:r w:rsidRPr="00AF4B6E">
        <w:rPr>
          <w:rFonts w:ascii="Times New Roman" w:hAnsi="Times New Roman" w:cs="Times New Roman"/>
          <w:sz w:val="24"/>
          <w:szCs w:val="24"/>
        </w:rPr>
        <w:t>ow</w:t>
      </w:r>
      <w:r>
        <w:rPr>
          <w:rFonts w:ascii="Times New Roman" w:hAnsi="Times New Roman" w:cs="Times New Roman"/>
          <w:sz w:val="24"/>
          <w:szCs w:val="24"/>
        </w:rPr>
        <w:t xml:space="preserve"> </w:t>
      </w:r>
      <w:r w:rsidRPr="00AF4B6E">
        <w:rPr>
          <w:rFonts w:ascii="Times New Roman" w:hAnsi="Times New Roman" w:cs="Times New Roman"/>
          <w:sz w:val="24"/>
          <w:szCs w:val="24"/>
        </w:rPr>
        <w:t>frequency</w:t>
      </w:r>
      <w:r>
        <w:rPr>
          <w:rFonts w:ascii="Times New Roman" w:hAnsi="Times New Roman" w:cs="Times New Roman"/>
          <w:sz w:val="24"/>
          <w:szCs w:val="24"/>
        </w:rPr>
        <w:t xml:space="preserve"> </w:t>
      </w:r>
      <w:r w:rsidRPr="00AF4B6E">
        <w:rPr>
          <w:rFonts w:ascii="Times New Roman" w:hAnsi="Times New Roman" w:cs="Times New Roman"/>
          <w:sz w:val="24"/>
          <w:szCs w:val="24"/>
        </w:rPr>
        <w:t>GMD event on the reliable operation of the Bulk-Power System and is responsive to</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the Commission’s concerns articulated in Order No. 779. As the Commission established in</w:t>
      </w:r>
      <w:r w:rsidR="000D2AF1">
        <w:rPr>
          <w:rFonts w:ascii="Times New Roman" w:hAnsi="Times New Roman" w:cs="Times New Roman"/>
          <w:sz w:val="24"/>
          <w:szCs w:val="24"/>
        </w:rPr>
        <w:t xml:space="preserve"> </w:t>
      </w:r>
      <w:r w:rsidR="00326E9D">
        <w:rPr>
          <w:rFonts w:ascii="Times New Roman" w:hAnsi="Times New Roman" w:cs="Times New Roman"/>
          <w:sz w:val="24"/>
          <w:szCs w:val="24"/>
        </w:rPr>
        <w:t>Order No. 779, the</w:t>
      </w:r>
      <w:r w:rsidRPr="00AF4B6E">
        <w:rPr>
          <w:rFonts w:ascii="Times New Roman" w:hAnsi="Times New Roman" w:cs="Times New Roman"/>
          <w:sz w:val="24"/>
          <w:szCs w:val="24"/>
        </w:rPr>
        <w:t xml:space="preserve"> Reliability Standard "should include Requirements whose goal is to</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prevent instability, uncontrolled separation, or cascading failures of the Bulk-Power system</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when confronted with a benchmark GMD event."</w:t>
      </w:r>
      <w:r w:rsidR="000D2AF1">
        <w:rPr>
          <w:rFonts w:ascii="Times New Roman" w:hAnsi="Times New Roman" w:cs="Times New Roman"/>
          <w:sz w:val="24"/>
          <w:szCs w:val="24"/>
        </w:rPr>
        <w:t xml:space="preserve"> </w:t>
      </w:r>
      <w:r w:rsidR="00326E9D">
        <w:rPr>
          <w:rFonts w:ascii="Times New Roman" w:hAnsi="Times New Roman" w:cs="Times New Roman"/>
          <w:sz w:val="24"/>
          <w:szCs w:val="24"/>
        </w:rPr>
        <w:t xml:space="preserve"> The</w:t>
      </w:r>
      <w:r w:rsidRPr="00AF4B6E">
        <w:rPr>
          <w:rFonts w:ascii="Times New Roman" w:hAnsi="Times New Roman" w:cs="Times New Roman"/>
          <w:sz w:val="24"/>
          <w:szCs w:val="24"/>
        </w:rPr>
        <w:t xml:space="preserve"> standard is responsive to this</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directive by requiring owners and operators of the Bulk-Power System to conduct initial and ongoing</w:t>
      </w:r>
      <w:r>
        <w:rPr>
          <w:rFonts w:ascii="Times New Roman" w:hAnsi="Times New Roman" w:cs="Times New Roman"/>
          <w:sz w:val="24"/>
          <w:szCs w:val="24"/>
        </w:rPr>
        <w:t xml:space="preserve"> </w:t>
      </w:r>
      <w:r w:rsidRPr="00AF4B6E">
        <w:rPr>
          <w:rFonts w:ascii="Times New Roman" w:hAnsi="Times New Roman" w:cs="Times New Roman"/>
          <w:sz w:val="24"/>
          <w:szCs w:val="24"/>
        </w:rPr>
        <w:t>assessments of the potential impact of a defined GMD event (referred to herein as the</w:t>
      </w:r>
      <w:r>
        <w:rPr>
          <w:rFonts w:ascii="Times New Roman" w:hAnsi="Times New Roman" w:cs="Times New Roman"/>
          <w:sz w:val="24"/>
          <w:szCs w:val="24"/>
        </w:rPr>
        <w:t xml:space="preserve"> </w:t>
      </w:r>
      <w:r w:rsidRPr="00AF4B6E">
        <w:rPr>
          <w:rFonts w:ascii="Times New Roman" w:hAnsi="Times New Roman" w:cs="Times New Roman"/>
          <w:sz w:val="24"/>
          <w:szCs w:val="24"/>
        </w:rPr>
        <w:t>“Benchmark GMD Event”) on Bulk-Power System equipment and the Bulk-Power System as a</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whole. The Benchmark GMD Eve</w:t>
      </w:r>
      <w:r w:rsidR="00326E9D">
        <w:rPr>
          <w:rFonts w:ascii="Times New Roman" w:hAnsi="Times New Roman" w:cs="Times New Roman"/>
          <w:sz w:val="24"/>
          <w:szCs w:val="24"/>
        </w:rPr>
        <w:t xml:space="preserve">nt used to develop the </w:t>
      </w:r>
      <w:r w:rsidRPr="00AF4B6E">
        <w:rPr>
          <w:rFonts w:ascii="Times New Roman" w:hAnsi="Times New Roman" w:cs="Times New Roman"/>
          <w:sz w:val="24"/>
          <w:szCs w:val="24"/>
        </w:rPr>
        <w:t>standard is based on a 1-in-100 year frequency of occurrence, and is supported by rigorous technical analysis of modern</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measurement data and publicl</w:t>
      </w:r>
      <w:r w:rsidR="00326E9D">
        <w:rPr>
          <w:rFonts w:ascii="Times New Roman" w:hAnsi="Times New Roman" w:cs="Times New Roman"/>
          <w:sz w:val="24"/>
          <w:szCs w:val="24"/>
        </w:rPr>
        <w:t>y-available models. The</w:t>
      </w:r>
      <w:r w:rsidRPr="00AF4B6E">
        <w:rPr>
          <w:rFonts w:ascii="Times New Roman" w:hAnsi="Times New Roman" w:cs="Times New Roman"/>
          <w:sz w:val="24"/>
          <w:szCs w:val="24"/>
        </w:rPr>
        <w:t xml:space="preserve"> Benchmark GMD Event sets a</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high benchmark for reliability, as it represents the most severe GMD event expected in a 100-</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year period as determined by a statistical analysis of recorded geomagnetic data. Additionally,</w:t>
      </w:r>
      <w:r w:rsidR="000D2AF1">
        <w:rPr>
          <w:rFonts w:ascii="Times New Roman" w:hAnsi="Times New Roman" w:cs="Times New Roman"/>
          <w:sz w:val="24"/>
          <w:szCs w:val="24"/>
        </w:rPr>
        <w:t xml:space="preserve"> </w:t>
      </w:r>
      <w:r w:rsidR="00326E9D">
        <w:rPr>
          <w:rFonts w:ascii="Times New Roman" w:hAnsi="Times New Roman" w:cs="Times New Roman"/>
          <w:sz w:val="24"/>
          <w:szCs w:val="24"/>
        </w:rPr>
        <w:t>the approved</w:t>
      </w:r>
      <w:r w:rsidRPr="00AF4B6E">
        <w:rPr>
          <w:rFonts w:ascii="Times New Roman" w:hAnsi="Times New Roman" w:cs="Times New Roman"/>
          <w:sz w:val="24"/>
          <w:szCs w:val="24"/>
        </w:rPr>
        <w:t xml:space="preserve"> standard specifies parameters for assessments that will identify impacts from this</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Benchmark GMD Event and requires corrective action to protect against instability, uncontrolled</w:t>
      </w:r>
      <w:r w:rsidR="000D2AF1">
        <w:rPr>
          <w:rFonts w:ascii="Times New Roman" w:hAnsi="Times New Roman" w:cs="Times New Roman"/>
          <w:sz w:val="24"/>
          <w:szCs w:val="24"/>
        </w:rPr>
        <w:t xml:space="preserve"> </w:t>
      </w:r>
      <w:r w:rsidRPr="00AF4B6E">
        <w:rPr>
          <w:rFonts w:ascii="Times New Roman" w:hAnsi="Times New Roman" w:cs="Times New Roman"/>
          <w:sz w:val="24"/>
          <w:szCs w:val="24"/>
        </w:rPr>
        <w:t>separation, and cascading failures of the Bulk-Power System.</w:t>
      </w:r>
    </w:p>
    <w:p w14:paraId="52FF8506" w14:textId="77777777" w:rsidR="000D2AF1" w:rsidRDefault="000D2AF1" w:rsidP="00AF4B6E">
      <w:pPr>
        <w:spacing w:after="0" w:line="240" w:lineRule="auto"/>
        <w:rPr>
          <w:rFonts w:ascii="Times New Roman" w:hAnsi="Times New Roman" w:cs="Times New Roman"/>
          <w:sz w:val="24"/>
          <w:szCs w:val="24"/>
        </w:rPr>
      </w:pPr>
    </w:p>
    <w:p w14:paraId="08939EC9" w14:textId="3F479E83" w:rsidR="00AF4B6E" w:rsidRDefault="00326E9D" w:rsidP="006D15E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w:t>
      </w:r>
      <w:r w:rsidR="00AF4B6E" w:rsidRPr="00AF4B6E">
        <w:rPr>
          <w:rFonts w:ascii="Times New Roman" w:hAnsi="Times New Roman" w:cs="Times New Roman"/>
          <w:sz w:val="24"/>
          <w:szCs w:val="24"/>
        </w:rPr>
        <w:t xml:space="preserve"> Reliability Standard represents a significant milestone in NERC's ongoing</w:t>
      </w:r>
      <w:r w:rsidR="006D15EC">
        <w:rPr>
          <w:rFonts w:ascii="Times New Roman" w:hAnsi="Times New Roman" w:cs="Times New Roman"/>
          <w:sz w:val="24"/>
          <w:szCs w:val="24"/>
        </w:rPr>
        <w:t xml:space="preserve"> </w:t>
      </w:r>
      <w:r w:rsidR="00AF4B6E" w:rsidRPr="00AF4B6E">
        <w:rPr>
          <w:rFonts w:ascii="Times New Roman" w:hAnsi="Times New Roman" w:cs="Times New Roman"/>
          <w:sz w:val="24"/>
          <w:szCs w:val="24"/>
        </w:rPr>
        <w:t>efforts to understand and address the unique reliability risks that high-impact, low-frequency</w:t>
      </w:r>
      <w:r w:rsidR="006D15EC">
        <w:rPr>
          <w:rFonts w:ascii="Times New Roman" w:hAnsi="Times New Roman" w:cs="Times New Roman"/>
          <w:sz w:val="24"/>
          <w:szCs w:val="24"/>
        </w:rPr>
        <w:t xml:space="preserve"> </w:t>
      </w:r>
      <w:r w:rsidR="00AF4B6E" w:rsidRPr="00AF4B6E">
        <w:rPr>
          <w:rFonts w:ascii="Times New Roman" w:hAnsi="Times New Roman" w:cs="Times New Roman"/>
          <w:sz w:val="24"/>
          <w:szCs w:val="24"/>
        </w:rPr>
        <w:t xml:space="preserve">GMD events pose </w:t>
      </w:r>
      <w:r w:rsidR="00AF4B6E" w:rsidRPr="00AF4B6E">
        <w:rPr>
          <w:rFonts w:ascii="Times New Roman" w:hAnsi="Times New Roman" w:cs="Times New Roman"/>
          <w:sz w:val="24"/>
          <w:szCs w:val="24"/>
        </w:rPr>
        <w:lastRenderedPageBreak/>
        <w:t>to the Bulk-Power System. The assessments and other actions required by the</w:t>
      </w:r>
      <w:r w:rsidR="006D15EC">
        <w:rPr>
          <w:rFonts w:ascii="Times New Roman" w:hAnsi="Times New Roman" w:cs="Times New Roman"/>
          <w:sz w:val="24"/>
          <w:szCs w:val="24"/>
        </w:rPr>
        <w:t xml:space="preserve"> </w:t>
      </w:r>
      <w:r>
        <w:rPr>
          <w:rFonts w:ascii="Times New Roman" w:hAnsi="Times New Roman" w:cs="Times New Roman"/>
          <w:sz w:val="24"/>
          <w:szCs w:val="24"/>
        </w:rPr>
        <w:t xml:space="preserve">approved </w:t>
      </w:r>
      <w:r w:rsidR="00AF4B6E" w:rsidRPr="00AF4B6E">
        <w:rPr>
          <w:rFonts w:ascii="Times New Roman" w:hAnsi="Times New Roman" w:cs="Times New Roman"/>
          <w:sz w:val="24"/>
          <w:szCs w:val="24"/>
        </w:rPr>
        <w:t>standard complement the Operating Plans, Processes, and Procedures required in the</w:t>
      </w:r>
      <w:r w:rsidR="006D15EC">
        <w:rPr>
          <w:rFonts w:ascii="Times New Roman" w:hAnsi="Times New Roman" w:cs="Times New Roman"/>
          <w:sz w:val="24"/>
          <w:szCs w:val="24"/>
        </w:rPr>
        <w:t xml:space="preserve"> </w:t>
      </w:r>
      <w:r w:rsidR="00AF4B6E" w:rsidRPr="00AF4B6E">
        <w:rPr>
          <w:rFonts w:ascii="Times New Roman" w:hAnsi="Times New Roman" w:cs="Times New Roman"/>
          <w:sz w:val="24"/>
          <w:szCs w:val="24"/>
        </w:rPr>
        <w:t>Commission-approved EOP-010-1 Reliability Standard to address GMD impacts to the Bulk-Power System. Additionally</w:t>
      </w:r>
      <w:r>
        <w:rPr>
          <w:rFonts w:ascii="Times New Roman" w:hAnsi="Times New Roman" w:cs="Times New Roman"/>
          <w:sz w:val="24"/>
          <w:szCs w:val="24"/>
        </w:rPr>
        <w:t>, implementation of the approved</w:t>
      </w:r>
      <w:r w:rsidR="00AF4B6E" w:rsidRPr="00AF4B6E">
        <w:rPr>
          <w:rFonts w:ascii="Times New Roman" w:hAnsi="Times New Roman" w:cs="Times New Roman"/>
          <w:sz w:val="24"/>
          <w:szCs w:val="24"/>
        </w:rPr>
        <w:t xml:space="preserve"> Reliability Standard will provide</w:t>
      </w:r>
      <w:r w:rsidR="006D15EC">
        <w:rPr>
          <w:rFonts w:ascii="Times New Roman" w:hAnsi="Times New Roman" w:cs="Times New Roman"/>
          <w:sz w:val="24"/>
          <w:szCs w:val="24"/>
        </w:rPr>
        <w:t xml:space="preserve"> </w:t>
      </w:r>
      <w:r w:rsidR="00AF4B6E" w:rsidRPr="00AF4B6E">
        <w:rPr>
          <w:rFonts w:ascii="Times New Roman" w:hAnsi="Times New Roman" w:cs="Times New Roman"/>
          <w:sz w:val="24"/>
          <w:szCs w:val="24"/>
        </w:rPr>
        <w:t>opportunities to further mature the tools, models, and techniques for assessing potential impacts</w:t>
      </w:r>
      <w:r w:rsidR="006D15EC">
        <w:rPr>
          <w:rFonts w:ascii="Times New Roman" w:hAnsi="Times New Roman" w:cs="Times New Roman"/>
          <w:sz w:val="24"/>
          <w:szCs w:val="24"/>
        </w:rPr>
        <w:t xml:space="preserve"> </w:t>
      </w:r>
      <w:r w:rsidR="000D2AF1">
        <w:rPr>
          <w:rFonts w:ascii="Times New Roman" w:hAnsi="Times New Roman" w:cs="Times New Roman"/>
          <w:sz w:val="24"/>
          <w:szCs w:val="24"/>
        </w:rPr>
        <w:t>of GMDs.</w:t>
      </w:r>
      <w:r w:rsidR="007C7E1D">
        <w:rPr>
          <w:rFonts w:ascii="Times New Roman" w:hAnsi="Times New Roman" w:cs="Times New Roman"/>
          <w:sz w:val="24"/>
          <w:szCs w:val="24"/>
        </w:rPr>
        <w:t>”</w:t>
      </w:r>
      <w:bookmarkStart w:id="0" w:name="_GoBack"/>
      <w:bookmarkEnd w:id="0"/>
    </w:p>
    <w:p w14:paraId="33901A01" w14:textId="77777777" w:rsidR="00EE674C" w:rsidRDefault="00EE674C" w:rsidP="0092596C">
      <w:pPr>
        <w:spacing w:after="0" w:line="240" w:lineRule="auto"/>
        <w:rPr>
          <w:rFonts w:ascii="Times New Roman" w:hAnsi="Times New Roman" w:cs="Times New Roman"/>
          <w:sz w:val="24"/>
          <w:szCs w:val="24"/>
        </w:rPr>
      </w:pPr>
    </w:p>
    <w:p w14:paraId="62014575" w14:textId="21A0326B" w:rsidR="00177077" w:rsidRPr="00A93304" w:rsidRDefault="003B3018"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As described in the Ba</w:t>
      </w:r>
      <w:r w:rsidR="00EF5332">
        <w:rPr>
          <w:rFonts w:ascii="Times New Roman" w:hAnsi="Times New Roman" w:cs="Times New Roman"/>
          <w:sz w:val="24"/>
          <w:szCs w:val="24"/>
        </w:rPr>
        <w:t>ckground section of the approved</w:t>
      </w:r>
      <w:r>
        <w:rPr>
          <w:rFonts w:ascii="Times New Roman" w:hAnsi="Times New Roman" w:cs="Times New Roman"/>
          <w:sz w:val="24"/>
          <w:szCs w:val="24"/>
        </w:rPr>
        <w:t xml:space="preserve"> standard, “[d]</w:t>
      </w:r>
      <w:r w:rsidRPr="003B3018">
        <w:rPr>
          <w:rFonts w:ascii="Times New Roman" w:hAnsi="Times New Roman" w:cs="Times New Roman"/>
          <w:sz w:val="24"/>
          <w:szCs w:val="24"/>
        </w:rPr>
        <w:t>uring a GMD event, geomagnetically-induced currents (GIC) may cause transformer</w:t>
      </w:r>
      <w:r>
        <w:rPr>
          <w:rFonts w:ascii="Times New Roman" w:hAnsi="Times New Roman" w:cs="Times New Roman"/>
          <w:sz w:val="24"/>
          <w:szCs w:val="24"/>
        </w:rPr>
        <w:t xml:space="preserve"> </w:t>
      </w:r>
      <w:r w:rsidRPr="003B3018">
        <w:rPr>
          <w:rFonts w:ascii="Times New Roman" w:hAnsi="Times New Roman" w:cs="Times New Roman"/>
          <w:sz w:val="24"/>
          <w:szCs w:val="24"/>
        </w:rPr>
        <w:t>hot-spot heating or damage, loss of Reactive Power sources, increased Reactive Power</w:t>
      </w:r>
      <w:r>
        <w:rPr>
          <w:rFonts w:ascii="Times New Roman" w:hAnsi="Times New Roman" w:cs="Times New Roman"/>
          <w:sz w:val="24"/>
          <w:szCs w:val="24"/>
        </w:rPr>
        <w:t xml:space="preserve"> </w:t>
      </w:r>
      <w:r w:rsidRPr="003B3018">
        <w:rPr>
          <w:rFonts w:ascii="Times New Roman" w:hAnsi="Times New Roman" w:cs="Times New Roman"/>
          <w:sz w:val="24"/>
          <w:szCs w:val="24"/>
        </w:rPr>
        <w:t>demand, and Misoperation(s), the combination of which may result in voltage collapse</w:t>
      </w:r>
      <w:r>
        <w:rPr>
          <w:rFonts w:ascii="Times New Roman" w:hAnsi="Times New Roman" w:cs="Times New Roman"/>
          <w:sz w:val="24"/>
          <w:szCs w:val="24"/>
        </w:rPr>
        <w:t xml:space="preserve"> </w:t>
      </w:r>
      <w:r w:rsidRPr="003B3018">
        <w:rPr>
          <w:rFonts w:ascii="Times New Roman" w:hAnsi="Times New Roman" w:cs="Times New Roman"/>
          <w:sz w:val="24"/>
          <w:szCs w:val="24"/>
        </w:rPr>
        <w:t>and blackout.</w:t>
      </w:r>
      <w:r>
        <w:rPr>
          <w:rFonts w:ascii="Times New Roman" w:hAnsi="Times New Roman" w:cs="Times New Roman"/>
          <w:sz w:val="24"/>
          <w:szCs w:val="24"/>
        </w:rPr>
        <w:t xml:space="preserve">”  </w:t>
      </w:r>
      <w:r w:rsidR="00EE674C">
        <w:rPr>
          <w:rFonts w:ascii="Times New Roman" w:hAnsi="Times New Roman" w:cs="Times New Roman"/>
          <w:sz w:val="24"/>
          <w:szCs w:val="24"/>
        </w:rPr>
        <w:t>GMD</w:t>
      </w:r>
      <w:r w:rsidR="00EE674C" w:rsidRPr="00EE674C">
        <w:t xml:space="preserve"> </w:t>
      </w:r>
      <w:r w:rsidR="00EE674C" w:rsidRPr="00EE674C">
        <w:rPr>
          <w:rFonts w:ascii="Times New Roman" w:hAnsi="Times New Roman" w:cs="Times New Roman"/>
          <w:sz w:val="24"/>
          <w:szCs w:val="24"/>
        </w:rPr>
        <w:t>events could cause wide</w:t>
      </w:r>
      <w:r w:rsidR="00EE674C" w:rsidRPr="00A93304">
        <w:rPr>
          <w:rFonts w:ascii="Times New Roman" w:hAnsi="Times New Roman" w:cs="Times New Roman"/>
          <w:sz w:val="24"/>
          <w:szCs w:val="24"/>
        </w:rPr>
        <w:t xml:space="preserve">spread blackouts and cause damage to equipment that could result in sustained system outages. </w:t>
      </w:r>
      <w:r w:rsidR="00EE674C" w:rsidRPr="00A93304">
        <w:rPr>
          <w:rStyle w:val="FootnoteReference"/>
          <w:rFonts w:ascii="Times New Roman" w:hAnsi="Times New Roman" w:cs="Times New Roman"/>
          <w:sz w:val="24"/>
          <w:szCs w:val="24"/>
          <w:vertAlign w:val="superscript"/>
        </w:rPr>
        <w:footnoteReference w:id="7"/>
      </w:r>
      <w:r w:rsidR="006D3785">
        <w:rPr>
          <w:rFonts w:ascii="Times New Roman" w:hAnsi="Times New Roman" w:cs="Times New Roman"/>
          <w:sz w:val="24"/>
          <w:szCs w:val="24"/>
        </w:rPr>
        <w:t xml:space="preserve">  The GIC flow information will be used by the transmission owners and generation owners so that they can conduct thermal impact assessments on their equipment.  This will allow the equipment owners to take action to protect their equipment.   </w:t>
      </w:r>
    </w:p>
    <w:p w14:paraId="28488CB8" w14:textId="77777777" w:rsidR="003B064D" w:rsidRPr="00B16372" w:rsidRDefault="003B064D" w:rsidP="0092596C">
      <w:pPr>
        <w:spacing w:after="0" w:line="240" w:lineRule="auto"/>
        <w:rPr>
          <w:rFonts w:ascii="Times New Roman" w:hAnsi="Times New Roman" w:cs="Times New Roman"/>
          <w:sz w:val="24"/>
          <w:szCs w:val="24"/>
        </w:rPr>
      </w:pPr>
    </w:p>
    <w:p w14:paraId="75BE7A5A"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CONSIDERATION OF THE USE OF IMPROVED INFORMATION TECHNOLOGY TO REDUCE THE BURDEN AND TECHNICAL OR LEGAL OBSTACLES TO REDUCING BURDEN</w:t>
      </w:r>
    </w:p>
    <w:p w14:paraId="2768CDA0" w14:textId="77777777" w:rsidR="00EB3E6F" w:rsidRPr="00B16372" w:rsidRDefault="00EB3E6F" w:rsidP="0092596C">
      <w:pPr>
        <w:spacing w:after="0" w:line="240" w:lineRule="auto"/>
        <w:rPr>
          <w:rFonts w:ascii="Times New Roman" w:hAnsi="Times New Roman" w:cs="Times New Roman"/>
          <w:sz w:val="24"/>
          <w:szCs w:val="24"/>
        </w:rPr>
      </w:pPr>
    </w:p>
    <w:p w14:paraId="51B508E0" w14:textId="35FA2BFD" w:rsidR="00693371" w:rsidRPr="00693371" w:rsidRDefault="00693371" w:rsidP="00693371">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t xml:space="preserve">The use of current or improved technology is not covered in Reliability Standards, and is therefore left to the discretion of each reporting entity. We think that nearly all of the respondents are likely to make </w:t>
      </w:r>
      <w:r w:rsidRPr="00693371">
        <w:rPr>
          <w:rFonts w:ascii="Times New Roman" w:hAnsi="Times New Roman" w:cs="Times New Roman"/>
          <w:sz w:val="24"/>
          <w:szCs w:val="24"/>
        </w:rPr>
        <w:lastRenderedPageBreak/>
        <w:t>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29226A72" w14:textId="77777777" w:rsidR="00693371" w:rsidRPr="00693371" w:rsidRDefault="00693371" w:rsidP="00693371">
      <w:pPr>
        <w:spacing w:after="0" w:line="240" w:lineRule="auto"/>
        <w:rPr>
          <w:rFonts w:ascii="Times New Roman" w:hAnsi="Times New Roman" w:cs="Times New Roman"/>
          <w:sz w:val="24"/>
          <w:szCs w:val="24"/>
        </w:rPr>
      </w:pPr>
    </w:p>
    <w:p w14:paraId="30CBC552" w14:textId="4D1039E8" w:rsidR="00EB3E6F" w:rsidRDefault="00693371" w:rsidP="0092596C">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t>The submittals are not made to FERC.</w:t>
      </w:r>
    </w:p>
    <w:p w14:paraId="5A74C757" w14:textId="77777777" w:rsidR="00693371" w:rsidRPr="00B16372" w:rsidRDefault="00693371" w:rsidP="0092596C">
      <w:pPr>
        <w:spacing w:after="0" w:line="240" w:lineRule="auto"/>
        <w:rPr>
          <w:rFonts w:ascii="Times New Roman" w:hAnsi="Times New Roman" w:cs="Times New Roman"/>
          <w:sz w:val="24"/>
          <w:szCs w:val="24"/>
        </w:rPr>
      </w:pPr>
    </w:p>
    <w:p w14:paraId="145DA2A6"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IDENTIF</w:t>
      </w:r>
      <w:r w:rsidR="00E05FA3" w:rsidRPr="00B16372">
        <w:rPr>
          <w:rFonts w:ascii="Times New Roman" w:hAnsi="Times New Roman" w:cs="Times New Roman"/>
          <w:b/>
          <w:sz w:val="24"/>
          <w:szCs w:val="24"/>
        </w:rPr>
        <w:t>Y</w:t>
      </w:r>
      <w:r w:rsidRPr="00B16372">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7357532" w14:textId="77777777" w:rsidR="00EB3E6F" w:rsidRPr="00B16372" w:rsidRDefault="00EB3E6F" w:rsidP="0092596C">
      <w:pPr>
        <w:spacing w:after="0" w:line="240" w:lineRule="auto"/>
        <w:rPr>
          <w:rFonts w:ascii="Times New Roman" w:hAnsi="Times New Roman" w:cs="Times New Roman"/>
          <w:sz w:val="24"/>
          <w:szCs w:val="24"/>
        </w:rPr>
      </w:pPr>
    </w:p>
    <w:p w14:paraId="08DDF687" w14:textId="52663294" w:rsidR="00EB3E6F" w:rsidRPr="00693371" w:rsidRDefault="00C00D70" w:rsidP="0092596C">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t>The information collection requirements are unique to this reliability standard and to this information collection.  The Commission does not know of any duplication in the requirements.</w:t>
      </w:r>
      <w:r w:rsidR="00693371" w:rsidRPr="00693371">
        <w:rPr>
          <w:rFonts w:ascii="Times New Roman" w:hAnsi="Times New Roman" w:cs="Times New Roman"/>
          <w:sz w:val="24"/>
          <w:szCs w:val="24"/>
        </w:rPr>
        <w:t xml:space="preserve"> In addition, the standard-developing group (the ERO and various stakeholders) </w:t>
      </w:r>
      <w:r w:rsidR="00CE5550">
        <w:rPr>
          <w:rFonts w:ascii="Times New Roman" w:hAnsi="Times New Roman" w:cs="Times New Roman"/>
          <w:sz w:val="24"/>
          <w:szCs w:val="24"/>
        </w:rPr>
        <w:t xml:space="preserve">and the scientific community </w:t>
      </w:r>
      <w:r w:rsidR="00693371" w:rsidRPr="00693371">
        <w:rPr>
          <w:rFonts w:ascii="Times New Roman" w:hAnsi="Times New Roman" w:cs="Times New Roman"/>
          <w:sz w:val="24"/>
          <w:szCs w:val="24"/>
        </w:rPr>
        <w:t>think it needs to be addressed and documented, as indicated in the NERC petition.</w:t>
      </w:r>
    </w:p>
    <w:p w14:paraId="46475A15" w14:textId="77777777" w:rsidR="00C00D70" w:rsidRPr="00B16372" w:rsidRDefault="00C00D70" w:rsidP="0092596C">
      <w:pPr>
        <w:spacing w:after="0" w:line="240" w:lineRule="auto"/>
        <w:rPr>
          <w:rFonts w:ascii="Times New Roman" w:hAnsi="Times New Roman" w:cs="Times New Roman"/>
          <w:sz w:val="24"/>
          <w:szCs w:val="24"/>
        </w:rPr>
      </w:pPr>
    </w:p>
    <w:p w14:paraId="3A57A495" w14:textId="192AA93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METHODS USED TO MINIMIZE THE BURDEN IN COLLECTION OF INFORMATION INVOLVING SMALL ENTITIES</w:t>
      </w:r>
      <w:r w:rsidR="00854C4E" w:rsidRPr="003A3C84">
        <w:rPr>
          <w:rStyle w:val="FootnoteReference"/>
          <w:rFonts w:ascii="Times New Roman" w:hAnsi="Times New Roman" w:cs="Times New Roman"/>
          <w:sz w:val="24"/>
          <w:szCs w:val="24"/>
          <w:vertAlign w:val="superscript"/>
        </w:rPr>
        <w:footnoteReference w:id="8"/>
      </w:r>
    </w:p>
    <w:p w14:paraId="4F51B082" w14:textId="77777777" w:rsidR="00EB3E6F" w:rsidRPr="00B16372" w:rsidRDefault="00EB3E6F" w:rsidP="0092596C">
      <w:pPr>
        <w:spacing w:after="0" w:line="240" w:lineRule="auto"/>
        <w:rPr>
          <w:rFonts w:ascii="Times New Roman" w:hAnsi="Times New Roman" w:cs="Times New Roman"/>
          <w:sz w:val="24"/>
          <w:szCs w:val="24"/>
        </w:rPr>
      </w:pPr>
    </w:p>
    <w:p w14:paraId="637F3441" w14:textId="7C3E3A0D" w:rsidR="00693371" w:rsidRPr="00693371" w:rsidRDefault="00693371" w:rsidP="00693371">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lastRenderedPageBreak/>
        <w:t>Small entities generally can reduce their burden by taking part in a joint registration organization or a coordinated function registration.  These options allow an entity the ability to share its compliance burd</w:t>
      </w:r>
      <w:r w:rsidR="00EF5332">
        <w:rPr>
          <w:rFonts w:ascii="Times New Roman" w:hAnsi="Times New Roman" w:cs="Times New Roman"/>
          <w:sz w:val="24"/>
          <w:szCs w:val="24"/>
        </w:rPr>
        <w:t>en with other similar entities.</w:t>
      </w:r>
    </w:p>
    <w:p w14:paraId="22047C5B" w14:textId="77777777" w:rsidR="00693371" w:rsidRPr="00693371" w:rsidRDefault="00693371" w:rsidP="00693371">
      <w:pPr>
        <w:spacing w:after="0" w:line="240" w:lineRule="auto"/>
        <w:rPr>
          <w:rFonts w:ascii="Times New Roman" w:hAnsi="Times New Roman" w:cs="Times New Roman"/>
          <w:sz w:val="24"/>
          <w:szCs w:val="24"/>
        </w:rPr>
      </w:pPr>
    </w:p>
    <w:p w14:paraId="39BA6D31" w14:textId="6ABF0F46" w:rsidR="00EB3E6F" w:rsidRDefault="00693371" w:rsidP="0092596C">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t xml:space="preserve">Detailed information regarding these options </w:t>
      </w:r>
      <w:r w:rsidR="00A337D1">
        <w:rPr>
          <w:rFonts w:ascii="Times New Roman" w:hAnsi="Times New Roman" w:cs="Times New Roman"/>
          <w:sz w:val="24"/>
          <w:szCs w:val="24"/>
        </w:rPr>
        <w:t>is</w:t>
      </w:r>
      <w:r w:rsidR="00A337D1" w:rsidRPr="00693371">
        <w:rPr>
          <w:rFonts w:ascii="Times New Roman" w:hAnsi="Times New Roman" w:cs="Times New Roman"/>
          <w:sz w:val="24"/>
          <w:szCs w:val="24"/>
        </w:rPr>
        <w:t xml:space="preserve"> </w:t>
      </w:r>
      <w:r w:rsidRPr="00693371">
        <w:rPr>
          <w:rFonts w:ascii="Times New Roman" w:hAnsi="Times New Roman" w:cs="Times New Roman"/>
          <w:sz w:val="24"/>
          <w:szCs w:val="24"/>
        </w:rPr>
        <w:t>available in NERC’s Rules of Pro</w:t>
      </w:r>
      <w:r w:rsidR="00EF5332">
        <w:rPr>
          <w:rFonts w:ascii="Times New Roman" w:hAnsi="Times New Roman" w:cs="Times New Roman"/>
          <w:sz w:val="24"/>
          <w:szCs w:val="24"/>
        </w:rPr>
        <w:t>cedure at sections 507 and 508</w:t>
      </w:r>
      <w:r w:rsidRPr="00DE00F4">
        <w:rPr>
          <w:rStyle w:val="FootnoteReference"/>
          <w:rFonts w:ascii="Times New Roman" w:hAnsi="Times New Roman" w:cs="Times New Roman"/>
          <w:sz w:val="24"/>
          <w:szCs w:val="24"/>
          <w:vertAlign w:val="superscript"/>
        </w:rPr>
        <w:footnoteReference w:id="9"/>
      </w:r>
      <w:r w:rsidR="00EF5332">
        <w:rPr>
          <w:rFonts w:ascii="Times New Roman" w:hAnsi="Times New Roman" w:cs="Times New Roman"/>
          <w:sz w:val="24"/>
          <w:szCs w:val="24"/>
        </w:rPr>
        <w:t>.</w:t>
      </w:r>
    </w:p>
    <w:p w14:paraId="1D266F35" w14:textId="77777777" w:rsidR="00DE00F4" w:rsidRPr="00B16372" w:rsidRDefault="00DE00F4" w:rsidP="0092596C">
      <w:pPr>
        <w:spacing w:after="0" w:line="240" w:lineRule="auto"/>
        <w:rPr>
          <w:rFonts w:ascii="Times New Roman" w:hAnsi="Times New Roman" w:cs="Times New Roman"/>
          <w:sz w:val="24"/>
          <w:szCs w:val="24"/>
        </w:rPr>
      </w:pPr>
    </w:p>
    <w:p w14:paraId="3FFBC266"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CONSEQUENCE TO FEDERAL PROGRAM IF COLLECTION WERE CONDUCTED LESS FREQUENTLY</w:t>
      </w:r>
    </w:p>
    <w:p w14:paraId="385D957A" w14:textId="77777777" w:rsidR="00EB3E6F" w:rsidRPr="00B16372" w:rsidRDefault="00EB3E6F" w:rsidP="0092596C">
      <w:pPr>
        <w:spacing w:after="0" w:line="240" w:lineRule="auto"/>
        <w:rPr>
          <w:rFonts w:ascii="Times New Roman" w:hAnsi="Times New Roman" w:cs="Times New Roman"/>
          <w:sz w:val="24"/>
          <w:szCs w:val="24"/>
        </w:rPr>
      </w:pPr>
    </w:p>
    <w:p w14:paraId="793C3BAA" w14:textId="3BBE1196" w:rsidR="00EB3E6F" w:rsidRPr="00B16372" w:rsidRDefault="00B86284"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If this standard and the associated information collection requirements did not exist or were performed less frequently</w:t>
      </w:r>
      <w:r w:rsidR="004B01EE">
        <w:rPr>
          <w:rFonts w:ascii="Times New Roman" w:hAnsi="Times New Roman" w:cs="Times New Roman"/>
          <w:sz w:val="24"/>
          <w:szCs w:val="24"/>
        </w:rPr>
        <w:t>,</w:t>
      </w:r>
      <w:r w:rsidRPr="00B16372">
        <w:rPr>
          <w:rFonts w:ascii="Times New Roman" w:hAnsi="Times New Roman" w:cs="Times New Roman"/>
          <w:sz w:val="24"/>
          <w:szCs w:val="24"/>
        </w:rPr>
        <w:t xml:space="preserve"> the</w:t>
      </w:r>
      <w:r w:rsidR="004B01EE">
        <w:rPr>
          <w:rFonts w:ascii="Times New Roman" w:hAnsi="Times New Roman" w:cs="Times New Roman"/>
          <w:sz w:val="24"/>
          <w:szCs w:val="24"/>
        </w:rPr>
        <w:t xml:space="preserve"> reduction or elimination of </w:t>
      </w:r>
      <w:r w:rsidRPr="00B16372">
        <w:rPr>
          <w:rFonts w:ascii="Times New Roman" w:hAnsi="Times New Roman" w:cs="Times New Roman"/>
          <w:sz w:val="24"/>
          <w:szCs w:val="24"/>
        </w:rPr>
        <w:t xml:space="preserve">transmission </w:t>
      </w:r>
      <w:r w:rsidR="004B01EE">
        <w:rPr>
          <w:rFonts w:ascii="Times New Roman" w:hAnsi="Times New Roman" w:cs="Times New Roman"/>
          <w:sz w:val="24"/>
          <w:szCs w:val="24"/>
        </w:rPr>
        <w:t xml:space="preserve">system </w:t>
      </w:r>
      <w:r w:rsidRPr="00B16372">
        <w:rPr>
          <w:rFonts w:ascii="Times New Roman" w:hAnsi="Times New Roman" w:cs="Times New Roman"/>
          <w:sz w:val="24"/>
          <w:szCs w:val="24"/>
        </w:rPr>
        <w:t>planning</w:t>
      </w:r>
      <w:r w:rsidR="004B01EE">
        <w:rPr>
          <w:rFonts w:ascii="Times New Roman" w:hAnsi="Times New Roman" w:cs="Times New Roman"/>
          <w:sz w:val="24"/>
          <w:szCs w:val="24"/>
        </w:rPr>
        <w:t xml:space="preserve"> would likely</w:t>
      </w:r>
      <w:r w:rsidRPr="00B16372">
        <w:rPr>
          <w:rFonts w:ascii="Times New Roman" w:hAnsi="Times New Roman" w:cs="Times New Roman"/>
          <w:sz w:val="24"/>
          <w:szCs w:val="24"/>
        </w:rPr>
        <w:t xml:space="preserve"> lead to </w:t>
      </w:r>
      <w:r w:rsidR="004B01EE">
        <w:rPr>
          <w:rFonts w:ascii="Times New Roman" w:hAnsi="Times New Roman" w:cs="Times New Roman"/>
          <w:sz w:val="24"/>
          <w:szCs w:val="24"/>
        </w:rPr>
        <w:t>lower system reliability</w:t>
      </w:r>
      <w:r w:rsidR="00A337D1">
        <w:rPr>
          <w:rFonts w:ascii="Times New Roman" w:hAnsi="Times New Roman" w:cs="Times New Roman"/>
          <w:sz w:val="24"/>
          <w:szCs w:val="24"/>
        </w:rPr>
        <w:t xml:space="preserve"> and higher vulnerability and risk</w:t>
      </w:r>
      <w:r w:rsidR="00CA4F8C">
        <w:rPr>
          <w:rFonts w:ascii="Times New Roman" w:hAnsi="Times New Roman" w:cs="Times New Roman"/>
          <w:sz w:val="24"/>
          <w:szCs w:val="24"/>
        </w:rPr>
        <w:t>,</w:t>
      </w:r>
      <w:r w:rsidR="004B01EE">
        <w:rPr>
          <w:rFonts w:ascii="Times New Roman" w:hAnsi="Times New Roman" w:cs="Times New Roman"/>
          <w:sz w:val="24"/>
          <w:szCs w:val="24"/>
        </w:rPr>
        <w:t xml:space="preserve"> such as transmission system outages and loss of load</w:t>
      </w:r>
      <w:r w:rsidRPr="00B16372">
        <w:rPr>
          <w:rFonts w:ascii="Times New Roman" w:hAnsi="Times New Roman" w:cs="Times New Roman"/>
          <w:sz w:val="24"/>
          <w:szCs w:val="24"/>
        </w:rPr>
        <w:t>.</w:t>
      </w:r>
    </w:p>
    <w:p w14:paraId="16C9DA80" w14:textId="77777777" w:rsidR="00B86284" w:rsidRPr="00B16372" w:rsidRDefault="00B86284" w:rsidP="0092596C">
      <w:pPr>
        <w:spacing w:after="0" w:line="240" w:lineRule="auto"/>
        <w:rPr>
          <w:rFonts w:ascii="Times New Roman" w:hAnsi="Times New Roman" w:cs="Times New Roman"/>
          <w:sz w:val="24"/>
          <w:szCs w:val="24"/>
        </w:rPr>
      </w:pPr>
    </w:p>
    <w:p w14:paraId="58D02FFF"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SPECIAL CIRCUMSTANCES RELATING TO THE INFORMATION COLLECTION</w:t>
      </w:r>
    </w:p>
    <w:p w14:paraId="45CE3F20" w14:textId="77777777" w:rsidR="00EB3E6F" w:rsidRPr="00B16372" w:rsidRDefault="00EB3E6F" w:rsidP="0092596C">
      <w:pPr>
        <w:spacing w:after="0" w:line="240" w:lineRule="auto"/>
        <w:rPr>
          <w:rFonts w:ascii="Times New Roman" w:hAnsi="Times New Roman" w:cs="Times New Roman"/>
          <w:sz w:val="24"/>
          <w:szCs w:val="24"/>
        </w:rPr>
      </w:pPr>
    </w:p>
    <w:p w14:paraId="14588146" w14:textId="54A303A6" w:rsidR="00C60EDC" w:rsidRDefault="00C60EDC" w:rsidP="00C60EDC">
      <w:pPr>
        <w:spacing w:after="0" w:line="240" w:lineRule="auto"/>
        <w:rPr>
          <w:rFonts w:ascii="Times New Roman" w:hAnsi="Times New Roman"/>
          <w:sz w:val="24"/>
          <w:szCs w:val="24"/>
        </w:rPr>
      </w:pPr>
      <w:r w:rsidRPr="009468C0">
        <w:rPr>
          <w:rFonts w:ascii="Times New Roman" w:hAnsi="Times New Roman"/>
          <w:sz w:val="24"/>
          <w:szCs w:val="24"/>
        </w:rPr>
        <w:t>There are some special circumstances as described in 5 CFR 1320.5(d)(2) related to this information collection.</w:t>
      </w:r>
      <w:r w:rsidR="001F6FF8">
        <w:rPr>
          <w:rFonts w:ascii="Times New Roman" w:hAnsi="Times New Roman"/>
          <w:sz w:val="24"/>
          <w:szCs w:val="24"/>
        </w:rPr>
        <w:t xml:space="preserve">  </w:t>
      </w:r>
    </w:p>
    <w:p w14:paraId="5FB0D986" w14:textId="77777777" w:rsidR="000E18A0" w:rsidRDefault="000E18A0" w:rsidP="00C60EDC">
      <w:pPr>
        <w:spacing w:after="0" w:line="240" w:lineRule="auto"/>
        <w:rPr>
          <w:rFonts w:ascii="Times New Roman" w:hAnsi="Times New Roman"/>
          <w:sz w:val="24"/>
          <w:szCs w:val="24"/>
        </w:rPr>
      </w:pPr>
    </w:p>
    <w:p w14:paraId="7010EEB8" w14:textId="2BB1D738" w:rsidR="000E18A0" w:rsidRDefault="000E18A0" w:rsidP="00C60EDC">
      <w:pPr>
        <w:spacing w:after="0" w:line="240" w:lineRule="auto"/>
        <w:rPr>
          <w:rFonts w:ascii="Times New Roman" w:hAnsi="Times New Roman"/>
          <w:sz w:val="24"/>
          <w:szCs w:val="24"/>
        </w:rPr>
      </w:pPr>
      <w:r>
        <w:rPr>
          <w:rFonts w:ascii="Times New Roman" w:hAnsi="Times New Roman"/>
          <w:sz w:val="24"/>
          <w:szCs w:val="24"/>
        </w:rPr>
        <w:t>Some of the evidence must be retained for five years or until actions in the Corrective Action Plan are completed, as described below, in the Evidence R</w:t>
      </w:r>
      <w:r w:rsidR="00326E9D">
        <w:rPr>
          <w:rFonts w:ascii="Times New Roman" w:hAnsi="Times New Roman"/>
          <w:sz w:val="24"/>
          <w:szCs w:val="24"/>
        </w:rPr>
        <w:t>etention section of the approved</w:t>
      </w:r>
      <w:r>
        <w:rPr>
          <w:rFonts w:ascii="Times New Roman" w:hAnsi="Times New Roman"/>
          <w:sz w:val="24"/>
          <w:szCs w:val="24"/>
        </w:rPr>
        <w:t xml:space="preserve"> standard.</w:t>
      </w:r>
    </w:p>
    <w:p w14:paraId="300C2B9A" w14:textId="77777777" w:rsidR="000E18A0" w:rsidRPr="000E18A0" w:rsidRDefault="000E18A0" w:rsidP="000E18A0">
      <w:pPr>
        <w:spacing w:after="0" w:line="240" w:lineRule="auto"/>
        <w:ind w:left="720"/>
        <w:rPr>
          <w:rFonts w:ascii="Times New Roman" w:hAnsi="Times New Roman"/>
          <w:sz w:val="24"/>
          <w:szCs w:val="24"/>
        </w:rPr>
      </w:pPr>
      <w:r>
        <w:rPr>
          <w:rFonts w:ascii="Times New Roman" w:hAnsi="Times New Roman"/>
          <w:sz w:val="24"/>
          <w:szCs w:val="24"/>
        </w:rPr>
        <w:t>“</w:t>
      </w:r>
      <w:r w:rsidRPr="000E18A0">
        <w:rPr>
          <w:rFonts w:ascii="Times New Roman" w:hAnsi="Times New Roman"/>
          <w:sz w:val="24"/>
          <w:szCs w:val="24"/>
        </w:rPr>
        <w:t>1.2.      Evidence Retention</w:t>
      </w:r>
    </w:p>
    <w:p w14:paraId="5DF17927" w14:textId="77777777" w:rsidR="000E18A0" w:rsidRDefault="000E18A0" w:rsidP="000E18A0">
      <w:pPr>
        <w:spacing w:after="0" w:line="240" w:lineRule="auto"/>
        <w:ind w:left="720"/>
        <w:rPr>
          <w:rFonts w:ascii="Times New Roman" w:hAnsi="Times New Roman"/>
          <w:sz w:val="24"/>
          <w:szCs w:val="24"/>
        </w:rPr>
      </w:pPr>
      <w:r w:rsidRPr="000E18A0">
        <w:rPr>
          <w:rFonts w:ascii="Times New Roman" w:hAnsi="Times New Roman"/>
          <w:sz w:val="24"/>
          <w:szCs w:val="24"/>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w:t>
      </w:r>
      <w:r w:rsidRPr="000E18A0">
        <w:rPr>
          <w:rFonts w:ascii="Times New Roman" w:hAnsi="Times New Roman"/>
          <w:sz w:val="24"/>
          <w:szCs w:val="24"/>
        </w:rPr>
        <w:lastRenderedPageBreak/>
        <w:t>the CEA may ask an entity to provide other evidence to show that it was compliant for the full time period since the last audit.</w:t>
      </w:r>
    </w:p>
    <w:p w14:paraId="3547907D" w14:textId="77777777" w:rsidR="00326E9D" w:rsidRPr="000E18A0" w:rsidRDefault="00326E9D" w:rsidP="000E18A0">
      <w:pPr>
        <w:spacing w:after="0" w:line="240" w:lineRule="auto"/>
        <w:ind w:left="720"/>
        <w:rPr>
          <w:rFonts w:ascii="Times New Roman" w:hAnsi="Times New Roman"/>
          <w:sz w:val="24"/>
          <w:szCs w:val="24"/>
        </w:rPr>
      </w:pPr>
    </w:p>
    <w:p w14:paraId="0BD06978" w14:textId="77777777" w:rsidR="000E18A0" w:rsidRDefault="000E18A0" w:rsidP="000E18A0">
      <w:pPr>
        <w:spacing w:after="0" w:line="240" w:lineRule="auto"/>
        <w:ind w:left="720"/>
        <w:rPr>
          <w:rFonts w:ascii="Times New Roman" w:hAnsi="Times New Roman"/>
          <w:sz w:val="24"/>
          <w:szCs w:val="24"/>
        </w:rPr>
      </w:pPr>
      <w:r w:rsidRPr="000E18A0">
        <w:rPr>
          <w:rFonts w:ascii="Times New Roman" w:hAnsi="Times New Roman"/>
          <w:sz w:val="24"/>
          <w:szCs w:val="24"/>
        </w:rPr>
        <w:t>The Planning Coordinator, Transmission Planner, Transmission Owner, and Generator Owner shall keep data or evidence to show compliance as identified below unless directed by its Compliance Enforcement Authority to retain specific evidence for a longer period of time as part of an investigation:</w:t>
      </w:r>
    </w:p>
    <w:p w14:paraId="7B75B138" w14:textId="43C19D4F" w:rsidR="000E18A0" w:rsidRPr="000E18A0" w:rsidRDefault="00326E9D" w:rsidP="000E18A0">
      <w:pPr>
        <w:spacing w:after="0" w:line="240" w:lineRule="auto"/>
        <w:ind w:left="720"/>
        <w:rPr>
          <w:rFonts w:ascii="Times New Roman" w:hAnsi="Times New Roman"/>
          <w:sz w:val="24"/>
          <w:szCs w:val="24"/>
        </w:rPr>
      </w:pPr>
      <w:r>
        <w:rPr>
          <w:rFonts w:ascii="Times New Roman" w:hAnsi="Times New Roman"/>
          <w:sz w:val="24"/>
          <w:szCs w:val="24"/>
        </w:rPr>
        <w:tab/>
      </w:r>
      <w:r w:rsidR="000E18A0" w:rsidRPr="000E18A0">
        <w:rPr>
          <w:rFonts w:ascii="Times New Roman" w:hAnsi="Times New Roman"/>
          <w:sz w:val="24"/>
          <w:szCs w:val="24"/>
        </w:rPr>
        <w:t>For Requirements R1, R2, R3, R5, and R6, each responsible entity shall retain</w:t>
      </w:r>
    </w:p>
    <w:p w14:paraId="6D1CBC1C" w14:textId="61525565" w:rsidR="000E18A0" w:rsidRDefault="00326E9D" w:rsidP="000E18A0">
      <w:pPr>
        <w:spacing w:after="0" w:line="240" w:lineRule="auto"/>
        <w:ind w:left="720"/>
        <w:rPr>
          <w:rFonts w:ascii="Times New Roman" w:hAnsi="Times New Roman"/>
          <w:sz w:val="24"/>
          <w:szCs w:val="24"/>
        </w:rPr>
      </w:pPr>
      <w:r>
        <w:rPr>
          <w:rFonts w:ascii="Times New Roman" w:hAnsi="Times New Roman"/>
          <w:sz w:val="24"/>
          <w:szCs w:val="24"/>
        </w:rPr>
        <w:tab/>
      </w:r>
      <w:r w:rsidR="000E18A0" w:rsidRPr="000E18A0">
        <w:rPr>
          <w:rFonts w:ascii="Times New Roman" w:hAnsi="Times New Roman"/>
          <w:sz w:val="24"/>
          <w:szCs w:val="24"/>
        </w:rPr>
        <w:t>documentation as evidence for five years.</w:t>
      </w:r>
    </w:p>
    <w:p w14:paraId="75BCA6A7" w14:textId="77777777" w:rsidR="00326E9D" w:rsidRPr="000E18A0" w:rsidRDefault="00326E9D" w:rsidP="000E18A0">
      <w:pPr>
        <w:spacing w:after="0" w:line="240" w:lineRule="auto"/>
        <w:ind w:left="720"/>
        <w:rPr>
          <w:rFonts w:ascii="Times New Roman" w:hAnsi="Times New Roman"/>
          <w:sz w:val="24"/>
          <w:szCs w:val="24"/>
        </w:rPr>
      </w:pPr>
    </w:p>
    <w:p w14:paraId="0269674D" w14:textId="2EA2DFEE" w:rsidR="000E18A0" w:rsidRPr="000E18A0" w:rsidRDefault="00326E9D" w:rsidP="000E18A0">
      <w:pPr>
        <w:spacing w:after="0" w:line="240" w:lineRule="auto"/>
        <w:ind w:left="720"/>
        <w:rPr>
          <w:rFonts w:ascii="Times New Roman" w:hAnsi="Times New Roman"/>
          <w:sz w:val="24"/>
          <w:szCs w:val="24"/>
        </w:rPr>
      </w:pPr>
      <w:r>
        <w:rPr>
          <w:rFonts w:ascii="Times New Roman" w:hAnsi="Times New Roman"/>
          <w:sz w:val="24"/>
          <w:szCs w:val="24"/>
        </w:rPr>
        <w:tab/>
      </w:r>
      <w:r w:rsidR="000E18A0" w:rsidRPr="000E18A0">
        <w:rPr>
          <w:rFonts w:ascii="Times New Roman" w:hAnsi="Times New Roman"/>
          <w:sz w:val="24"/>
          <w:szCs w:val="24"/>
        </w:rPr>
        <w:t>For Requirement R4, each responsible entity shall retain documentation of the</w:t>
      </w:r>
    </w:p>
    <w:p w14:paraId="20ACA275" w14:textId="397577F1" w:rsidR="000E18A0" w:rsidRPr="000E18A0" w:rsidRDefault="00326E9D" w:rsidP="000E18A0">
      <w:pPr>
        <w:spacing w:after="0" w:line="240" w:lineRule="auto"/>
        <w:ind w:left="720"/>
        <w:rPr>
          <w:rFonts w:ascii="Times New Roman" w:hAnsi="Times New Roman"/>
          <w:sz w:val="24"/>
          <w:szCs w:val="24"/>
        </w:rPr>
      </w:pPr>
      <w:r>
        <w:rPr>
          <w:rFonts w:ascii="Times New Roman" w:hAnsi="Times New Roman"/>
          <w:sz w:val="24"/>
          <w:szCs w:val="24"/>
        </w:rPr>
        <w:tab/>
      </w:r>
      <w:r w:rsidR="000E18A0" w:rsidRPr="000E18A0">
        <w:rPr>
          <w:rFonts w:ascii="Times New Roman" w:hAnsi="Times New Roman"/>
          <w:sz w:val="24"/>
          <w:szCs w:val="24"/>
        </w:rPr>
        <w:t>current GMD Vulnerability Assessment and the preceding GMD Vulnerability</w:t>
      </w:r>
    </w:p>
    <w:p w14:paraId="19E11FCD" w14:textId="6A872127" w:rsidR="000E18A0" w:rsidRDefault="00326E9D" w:rsidP="000E18A0">
      <w:pPr>
        <w:spacing w:after="0" w:line="240" w:lineRule="auto"/>
        <w:ind w:left="720"/>
        <w:rPr>
          <w:rFonts w:ascii="Times New Roman" w:hAnsi="Times New Roman"/>
          <w:sz w:val="24"/>
          <w:szCs w:val="24"/>
        </w:rPr>
      </w:pPr>
      <w:r>
        <w:rPr>
          <w:rFonts w:ascii="Times New Roman" w:hAnsi="Times New Roman"/>
          <w:sz w:val="24"/>
          <w:szCs w:val="24"/>
        </w:rPr>
        <w:tab/>
      </w:r>
      <w:r w:rsidR="000E18A0" w:rsidRPr="000E18A0">
        <w:rPr>
          <w:rFonts w:ascii="Times New Roman" w:hAnsi="Times New Roman"/>
          <w:sz w:val="24"/>
          <w:szCs w:val="24"/>
        </w:rPr>
        <w:t>Assessment.</w:t>
      </w:r>
    </w:p>
    <w:p w14:paraId="5D0FD5BE" w14:textId="77777777" w:rsidR="00326E9D" w:rsidRPr="000E18A0" w:rsidRDefault="00326E9D" w:rsidP="000E18A0">
      <w:pPr>
        <w:spacing w:after="0" w:line="240" w:lineRule="auto"/>
        <w:ind w:left="720"/>
        <w:rPr>
          <w:rFonts w:ascii="Times New Roman" w:hAnsi="Times New Roman"/>
          <w:sz w:val="24"/>
          <w:szCs w:val="24"/>
        </w:rPr>
      </w:pPr>
    </w:p>
    <w:p w14:paraId="6C8DB5EA" w14:textId="4387CE89" w:rsidR="000E18A0" w:rsidRPr="000E18A0" w:rsidRDefault="00326E9D" w:rsidP="000E18A0">
      <w:pPr>
        <w:spacing w:after="0" w:line="240" w:lineRule="auto"/>
        <w:ind w:left="720"/>
        <w:rPr>
          <w:rFonts w:ascii="Times New Roman" w:hAnsi="Times New Roman"/>
          <w:sz w:val="24"/>
          <w:szCs w:val="24"/>
        </w:rPr>
      </w:pPr>
      <w:r>
        <w:rPr>
          <w:rFonts w:ascii="Times New Roman" w:hAnsi="Times New Roman"/>
          <w:sz w:val="24"/>
          <w:szCs w:val="24"/>
        </w:rPr>
        <w:tab/>
      </w:r>
      <w:r w:rsidR="000E18A0" w:rsidRPr="000E18A0">
        <w:rPr>
          <w:rFonts w:ascii="Times New Roman" w:hAnsi="Times New Roman"/>
          <w:sz w:val="24"/>
          <w:szCs w:val="24"/>
        </w:rPr>
        <w:t>For Requirement R7, each responsible entity shall retain documentation as</w:t>
      </w:r>
    </w:p>
    <w:p w14:paraId="1388C5ED" w14:textId="4C0B48EB" w:rsidR="000E18A0" w:rsidRPr="000E18A0" w:rsidRDefault="00326E9D" w:rsidP="000E18A0">
      <w:pPr>
        <w:spacing w:after="0" w:line="240" w:lineRule="auto"/>
        <w:ind w:left="720"/>
        <w:rPr>
          <w:rFonts w:ascii="Times New Roman" w:hAnsi="Times New Roman"/>
          <w:sz w:val="24"/>
          <w:szCs w:val="24"/>
        </w:rPr>
      </w:pPr>
      <w:r>
        <w:rPr>
          <w:rFonts w:ascii="Times New Roman" w:hAnsi="Times New Roman"/>
          <w:sz w:val="24"/>
          <w:szCs w:val="24"/>
        </w:rPr>
        <w:tab/>
      </w:r>
      <w:r w:rsidR="000E18A0" w:rsidRPr="000E18A0">
        <w:rPr>
          <w:rFonts w:ascii="Times New Roman" w:hAnsi="Times New Roman"/>
          <w:sz w:val="24"/>
          <w:szCs w:val="24"/>
        </w:rPr>
        <w:t>evidence for five years or until all actions in the Corrective Action Plan are</w:t>
      </w:r>
    </w:p>
    <w:p w14:paraId="011DC894" w14:textId="67F92F78" w:rsidR="000E18A0" w:rsidRPr="000E18A0" w:rsidRDefault="00326E9D" w:rsidP="000E18A0">
      <w:pPr>
        <w:spacing w:after="0" w:line="240" w:lineRule="auto"/>
        <w:ind w:left="720"/>
        <w:rPr>
          <w:rFonts w:ascii="Times New Roman" w:hAnsi="Times New Roman"/>
          <w:sz w:val="24"/>
          <w:szCs w:val="24"/>
        </w:rPr>
      </w:pPr>
      <w:r>
        <w:rPr>
          <w:rFonts w:ascii="Times New Roman" w:hAnsi="Times New Roman"/>
          <w:sz w:val="24"/>
          <w:szCs w:val="24"/>
        </w:rPr>
        <w:tab/>
      </w:r>
      <w:r w:rsidR="000E18A0" w:rsidRPr="000E18A0">
        <w:rPr>
          <w:rFonts w:ascii="Times New Roman" w:hAnsi="Times New Roman"/>
          <w:sz w:val="24"/>
          <w:szCs w:val="24"/>
        </w:rPr>
        <w:t>completed, whichever is later.</w:t>
      </w:r>
    </w:p>
    <w:p w14:paraId="5D9EEF1A" w14:textId="77777777" w:rsidR="00326E9D" w:rsidRDefault="00326E9D" w:rsidP="000E18A0">
      <w:pPr>
        <w:spacing w:after="0" w:line="240" w:lineRule="auto"/>
        <w:ind w:left="720"/>
        <w:rPr>
          <w:rFonts w:ascii="Times New Roman" w:hAnsi="Times New Roman"/>
          <w:sz w:val="24"/>
          <w:szCs w:val="24"/>
        </w:rPr>
      </w:pPr>
    </w:p>
    <w:p w14:paraId="6EA48112" w14:textId="77777777" w:rsidR="000E18A0" w:rsidRPr="000E18A0" w:rsidRDefault="000E18A0" w:rsidP="000E18A0">
      <w:pPr>
        <w:spacing w:after="0" w:line="240" w:lineRule="auto"/>
        <w:ind w:left="720"/>
        <w:rPr>
          <w:rFonts w:ascii="Times New Roman" w:hAnsi="Times New Roman"/>
          <w:sz w:val="24"/>
          <w:szCs w:val="24"/>
        </w:rPr>
      </w:pPr>
      <w:r w:rsidRPr="000E18A0">
        <w:rPr>
          <w:rFonts w:ascii="Times New Roman" w:hAnsi="Times New Roman"/>
          <w:sz w:val="24"/>
          <w:szCs w:val="24"/>
        </w:rPr>
        <w:t>If a Planning Coordinator, Transmission Planner, Transmission Owner, or</w:t>
      </w:r>
    </w:p>
    <w:p w14:paraId="37F88F4B" w14:textId="77777777" w:rsidR="000E18A0" w:rsidRPr="000E18A0" w:rsidRDefault="000E18A0" w:rsidP="000E18A0">
      <w:pPr>
        <w:spacing w:after="0" w:line="240" w:lineRule="auto"/>
        <w:ind w:left="720"/>
        <w:rPr>
          <w:rFonts w:ascii="Times New Roman" w:hAnsi="Times New Roman"/>
          <w:sz w:val="24"/>
          <w:szCs w:val="24"/>
        </w:rPr>
      </w:pPr>
      <w:r w:rsidRPr="000E18A0">
        <w:rPr>
          <w:rFonts w:ascii="Times New Roman" w:hAnsi="Times New Roman"/>
          <w:sz w:val="24"/>
          <w:szCs w:val="24"/>
        </w:rPr>
        <w:t>Generator Owner is found non-compliant it shall keep information related to the</w:t>
      </w:r>
    </w:p>
    <w:p w14:paraId="559E09EF" w14:textId="77777777" w:rsidR="000E18A0" w:rsidRPr="000E18A0" w:rsidRDefault="000E18A0" w:rsidP="000E18A0">
      <w:pPr>
        <w:spacing w:after="0" w:line="240" w:lineRule="auto"/>
        <w:ind w:left="720"/>
        <w:rPr>
          <w:rFonts w:ascii="Times New Roman" w:hAnsi="Times New Roman"/>
          <w:sz w:val="24"/>
          <w:szCs w:val="24"/>
        </w:rPr>
      </w:pPr>
      <w:r w:rsidRPr="000E18A0">
        <w:rPr>
          <w:rFonts w:ascii="Times New Roman" w:hAnsi="Times New Roman"/>
          <w:sz w:val="24"/>
          <w:szCs w:val="24"/>
        </w:rPr>
        <w:t>non-compliance until mitigation is complete and approved or for the time</w:t>
      </w:r>
    </w:p>
    <w:p w14:paraId="2AEFFFED" w14:textId="77777777" w:rsidR="000E18A0" w:rsidRDefault="000E18A0" w:rsidP="000E18A0">
      <w:pPr>
        <w:spacing w:after="0" w:line="240" w:lineRule="auto"/>
        <w:ind w:left="720"/>
        <w:rPr>
          <w:rFonts w:ascii="Times New Roman" w:hAnsi="Times New Roman"/>
          <w:sz w:val="24"/>
          <w:szCs w:val="24"/>
        </w:rPr>
      </w:pPr>
      <w:r w:rsidRPr="000E18A0">
        <w:rPr>
          <w:rFonts w:ascii="Times New Roman" w:hAnsi="Times New Roman"/>
          <w:sz w:val="24"/>
          <w:szCs w:val="24"/>
        </w:rPr>
        <w:t>specified above, whichever is longer.</w:t>
      </w:r>
    </w:p>
    <w:p w14:paraId="157ECF4C" w14:textId="77777777" w:rsidR="00326E9D" w:rsidRPr="000E18A0" w:rsidRDefault="00326E9D" w:rsidP="000E18A0">
      <w:pPr>
        <w:spacing w:after="0" w:line="240" w:lineRule="auto"/>
        <w:ind w:left="720"/>
        <w:rPr>
          <w:rFonts w:ascii="Times New Roman" w:hAnsi="Times New Roman"/>
          <w:sz w:val="24"/>
          <w:szCs w:val="24"/>
        </w:rPr>
      </w:pPr>
    </w:p>
    <w:p w14:paraId="5439E25D" w14:textId="77777777" w:rsidR="000E18A0" w:rsidRPr="000E18A0" w:rsidRDefault="000E18A0" w:rsidP="000E18A0">
      <w:pPr>
        <w:spacing w:after="0" w:line="240" w:lineRule="auto"/>
        <w:ind w:left="720"/>
        <w:rPr>
          <w:rFonts w:ascii="Times New Roman" w:hAnsi="Times New Roman"/>
          <w:sz w:val="24"/>
          <w:szCs w:val="24"/>
        </w:rPr>
      </w:pPr>
      <w:r w:rsidRPr="000E18A0">
        <w:rPr>
          <w:rFonts w:ascii="Times New Roman" w:hAnsi="Times New Roman"/>
          <w:sz w:val="24"/>
          <w:szCs w:val="24"/>
        </w:rPr>
        <w:t>The Compliance Enforcement Authority shall keep the last audit records and all</w:t>
      </w:r>
    </w:p>
    <w:p w14:paraId="4EF62B38" w14:textId="05A5AECB" w:rsidR="000E18A0" w:rsidRPr="009468C0" w:rsidRDefault="000E18A0" w:rsidP="000E18A0">
      <w:pPr>
        <w:spacing w:after="0" w:line="240" w:lineRule="auto"/>
        <w:ind w:left="720"/>
        <w:rPr>
          <w:rFonts w:ascii="Times New Roman" w:hAnsi="Times New Roman"/>
          <w:sz w:val="24"/>
          <w:szCs w:val="24"/>
        </w:rPr>
      </w:pPr>
      <w:r w:rsidRPr="000E18A0">
        <w:rPr>
          <w:rFonts w:ascii="Times New Roman" w:hAnsi="Times New Roman"/>
          <w:sz w:val="24"/>
          <w:szCs w:val="24"/>
        </w:rPr>
        <w:t>requested and submitted subsequent audit records.</w:t>
      </w:r>
      <w:r>
        <w:rPr>
          <w:rFonts w:ascii="Times New Roman" w:hAnsi="Times New Roman"/>
          <w:sz w:val="24"/>
          <w:szCs w:val="24"/>
        </w:rPr>
        <w:t>”</w:t>
      </w:r>
    </w:p>
    <w:p w14:paraId="5096E33D" w14:textId="59F9C451" w:rsidR="00670E40" w:rsidRPr="002B2D91" w:rsidRDefault="00670E40" w:rsidP="00C60EDC">
      <w:pPr>
        <w:spacing w:after="0" w:line="240" w:lineRule="auto"/>
        <w:rPr>
          <w:rFonts w:ascii="Times New Roman" w:hAnsi="Times New Roman"/>
          <w:sz w:val="24"/>
          <w:szCs w:val="24"/>
        </w:rPr>
      </w:pPr>
    </w:p>
    <w:p w14:paraId="47986890" w14:textId="7C7F9D79" w:rsidR="00C60EDC" w:rsidRPr="002B2D91" w:rsidRDefault="00C60EDC" w:rsidP="00C60EDC">
      <w:pPr>
        <w:spacing w:after="0" w:line="240" w:lineRule="auto"/>
        <w:rPr>
          <w:rFonts w:ascii="Times New Roman" w:hAnsi="Times New Roman"/>
          <w:sz w:val="24"/>
          <w:szCs w:val="24"/>
          <w:highlight w:val="yellow"/>
        </w:rPr>
      </w:pPr>
      <w:r w:rsidRPr="002B2D91">
        <w:rPr>
          <w:rFonts w:ascii="Times New Roman" w:hAnsi="Times New Roman"/>
          <w:sz w:val="24"/>
          <w:szCs w:val="24"/>
        </w:rPr>
        <w:t>These special circumstances are necessary for reliability purposes.</w:t>
      </w:r>
      <w:r w:rsidR="00632E66">
        <w:rPr>
          <w:rFonts w:ascii="Times New Roman" w:hAnsi="Times New Roman"/>
          <w:sz w:val="24"/>
          <w:szCs w:val="24"/>
        </w:rPr>
        <w:t xml:space="preserve">  </w:t>
      </w:r>
      <w:r w:rsidR="00632E66" w:rsidRPr="00632E66">
        <w:rPr>
          <w:rFonts w:ascii="Times New Roman" w:hAnsi="Times New Roman"/>
          <w:sz w:val="24"/>
          <w:szCs w:val="24"/>
        </w:rPr>
        <w:t xml:space="preserve">The schedule for revisiting the GMD vulnerability assessments and corrective action plans is every 60 months (see </w:t>
      </w:r>
      <w:r w:rsidR="00EF5332">
        <w:rPr>
          <w:rFonts w:ascii="Times New Roman" w:hAnsi="Times New Roman"/>
          <w:sz w:val="24"/>
          <w:szCs w:val="24"/>
        </w:rPr>
        <w:t>Requirement R4).  The</w:t>
      </w:r>
      <w:r w:rsidR="00632E66" w:rsidRPr="00632E66">
        <w:rPr>
          <w:rFonts w:ascii="Times New Roman" w:hAnsi="Times New Roman"/>
          <w:sz w:val="24"/>
          <w:szCs w:val="24"/>
        </w:rPr>
        <w:t xml:space="preserve"> retention periods essentially require evidence to be retained until updated assessments are performed.   The updates would incorporate such things as better scientific or engineering tools, changes to the electric grid topology and resources, and better mitigation measures.</w:t>
      </w:r>
    </w:p>
    <w:p w14:paraId="3CF02824" w14:textId="77777777" w:rsidR="00EB3E6F" w:rsidRPr="00B16372" w:rsidRDefault="00EB3E6F" w:rsidP="0092596C">
      <w:pPr>
        <w:spacing w:after="0" w:line="240" w:lineRule="auto"/>
        <w:rPr>
          <w:rFonts w:ascii="Times New Roman" w:hAnsi="Times New Roman" w:cs="Times New Roman"/>
          <w:sz w:val="24"/>
          <w:szCs w:val="24"/>
        </w:rPr>
      </w:pPr>
    </w:p>
    <w:p w14:paraId="6440C006"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CONSULT OUTSIDE THE AGENCY: SUMMARIZE PUBLIC COMMENTS AND THE AGENCY’S RESPONSE</w:t>
      </w:r>
    </w:p>
    <w:p w14:paraId="231382F1" w14:textId="77777777" w:rsidR="00EB3E6F" w:rsidRPr="00B16372" w:rsidRDefault="00EB3E6F" w:rsidP="0092596C">
      <w:pPr>
        <w:spacing w:after="0" w:line="240" w:lineRule="auto"/>
        <w:rPr>
          <w:rFonts w:ascii="Times New Roman" w:hAnsi="Times New Roman" w:cs="Times New Roman"/>
          <w:sz w:val="24"/>
          <w:szCs w:val="24"/>
        </w:rPr>
      </w:pPr>
    </w:p>
    <w:p w14:paraId="55B7229A" w14:textId="11FD99E1" w:rsidR="00797FBB" w:rsidRDefault="00B96E74" w:rsidP="0092596C">
      <w:pPr>
        <w:spacing w:after="0" w:line="240" w:lineRule="auto"/>
        <w:rPr>
          <w:rFonts w:ascii="Times New Roman" w:hAnsi="Times New Roman"/>
          <w:bCs/>
          <w:sz w:val="24"/>
          <w:szCs w:val="24"/>
        </w:rPr>
      </w:pPr>
      <w:r>
        <w:rPr>
          <w:rFonts w:ascii="Times New Roman" w:hAnsi="Times New Roman"/>
          <w:bCs/>
          <w:sz w:val="24"/>
          <w:szCs w:val="24"/>
        </w:rPr>
        <w:t>The Commission published the NOPR in Docket RM15-11-000 on 5/26/2016</w:t>
      </w:r>
      <w:r w:rsidRPr="007C7E1D">
        <w:rPr>
          <w:rStyle w:val="FootnoteReference"/>
          <w:rFonts w:ascii="Times New Roman" w:hAnsi="Times New Roman"/>
          <w:bCs/>
          <w:sz w:val="24"/>
          <w:szCs w:val="24"/>
          <w:vertAlign w:val="superscript"/>
        </w:rPr>
        <w:footnoteReference w:id="10"/>
      </w:r>
      <w:r>
        <w:rPr>
          <w:rFonts w:ascii="Times New Roman" w:hAnsi="Times New Roman"/>
          <w:bCs/>
          <w:sz w:val="24"/>
          <w:szCs w:val="24"/>
        </w:rPr>
        <w:t xml:space="preserve"> </w:t>
      </w:r>
      <w:r>
        <w:rPr>
          <w:rFonts w:ascii="Times New Roman" w:hAnsi="Times New Roman"/>
          <w:bCs/>
          <w:sz w:val="24"/>
          <w:szCs w:val="24"/>
        </w:rPr>
        <w:t>giving interested members of the public, industry, and government an opportunity to comment.</w:t>
      </w:r>
      <w:r>
        <w:rPr>
          <w:rFonts w:ascii="Times New Roman" w:hAnsi="Times New Roman"/>
          <w:bCs/>
          <w:sz w:val="24"/>
          <w:szCs w:val="24"/>
        </w:rPr>
        <w:t xml:space="preserve">  </w:t>
      </w:r>
      <w:r w:rsidR="00EF5332">
        <w:rPr>
          <w:rFonts w:ascii="Times New Roman" w:hAnsi="Times New Roman"/>
          <w:bCs/>
          <w:sz w:val="24"/>
          <w:szCs w:val="24"/>
        </w:rPr>
        <w:t xml:space="preserve">The Commission published the Final Rule in </w:t>
      </w:r>
      <w:r>
        <w:rPr>
          <w:rFonts w:ascii="Times New Roman" w:hAnsi="Times New Roman"/>
          <w:bCs/>
          <w:sz w:val="24"/>
          <w:szCs w:val="24"/>
        </w:rPr>
        <w:t>the same docket</w:t>
      </w:r>
      <w:r w:rsidR="00797FBB">
        <w:rPr>
          <w:rFonts w:ascii="Times New Roman" w:hAnsi="Times New Roman"/>
          <w:bCs/>
          <w:sz w:val="24"/>
          <w:szCs w:val="24"/>
        </w:rPr>
        <w:t xml:space="preserve"> in </w:t>
      </w:r>
      <w:r w:rsidR="006F75DB">
        <w:rPr>
          <w:rFonts w:ascii="Times New Roman" w:hAnsi="Times New Roman"/>
          <w:bCs/>
          <w:sz w:val="24"/>
          <w:szCs w:val="24"/>
        </w:rPr>
        <w:t>the Federal Register (81 FR 67120, 9/30</w:t>
      </w:r>
      <w:r w:rsidR="00797FBB">
        <w:rPr>
          <w:rFonts w:ascii="Times New Roman" w:hAnsi="Times New Roman"/>
          <w:bCs/>
          <w:sz w:val="24"/>
          <w:szCs w:val="24"/>
        </w:rPr>
        <w:t>/2016)</w:t>
      </w:r>
      <w:r>
        <w:rPr>
          <w:rFonts w:ascii="Times New Roman" w:hAnsi="Times New Roman"/>
          <w:bCs/>
          <w:sz w:val="24"/>
          <w:szCs w:val="24"/>
        </w:rPr>
        <w:t>.</w:t>
      </w:r>
    </w:p>
    <w:p w14:paraId="2F9C69E7" w14:textId="77777777" w:rsidR="00797FBB" w:rsidRDefault="00797FBB" w:rsidP="0092596C">
      <w:pPr>
        <w:spacing w:after="0" w:line="240" w:lineRule="auto"/>
        <w:rPr>
          <w:rFonts w:ascii="Times New Roman" w:hAnsi="Times New Roman"/>
          <w:bCs/>
          <w:sz w:val="24"/>
          <w:szCs w:val="24"/>
        </w:rPr>
      </w:pPr>
    </w:p>
    <w:p w14:paraId="3E932C72" w14:textId="195B3BF9" w:rsidR="0072126E" w:rsidRDefault="0072126E" w:rsidP="0092596C">
      <w:pPr>
        <w:spacing w:after="0" w:line="240" w:lineRule="auto"/>
        <w:rPr>
          <w:rFonts w:ascii="Times New Roman" w:hAnsi="Times New Roman"/>
          <w:bCs/>
          <w:sz w:val="24"/>
          <w:szCs w:val="24"/>
        </w:rPr>
      </w:pPr>
      <w:r w:rsidRPr="00B16372">
        <w:rPr>
          <w:rFonts w:ascii="Times New Roman" w:hAnsi="Times New Roman"/>
          <w:bCs/>
          <w:sz w:val="24"/>
          <w:szCs w:val="24"/>
        </w:rPr>
        <w:t>The ERO process to establish Reliability Standards is a collaborative process with the ERO, Regional Entities and other stakeholders developing and reviewing drafts, and providing c</w:t>
      </w:r>
      <w:r w:rsidR="00326E9D">
        <w:rPr>
          <w:rFonts w:ascii="Times New Roman" w:hAnsi="Times New Roman"/>
          <w:bCs/>
          <w:sz w:val="24"/>
          <w:szCs w:val="24"/>
        </w:rPr>
        <w:t>omments, with the final</w:t>
      </w:r>
      <w:r w:rsidRPr="00B16372">
        <w:rPr>
          <w:rFonts w:ascii="Times New Roman" w:hAnsi="Times New Roman"/>
          <w:bCs/>
          <w:sz w:val="24"/>
          <w:szCs w:val="24"/>
        </w:rPr>
        <w:t xml:space="preserve"> standard submitted to the FERC for review and approval.</w:t>
      </w:r>
      <w:r w:rsidRPr="00B16372">
        <w:rPr>
          <w:rFonts w:ascii="Times New Roman" w:hAnsi="Times New Roman"/>
          <w:b/>
          <w:bCs/>
          <w:sz w:val="24"/>
          <w:szCs w:val="24"/>
          <w:vertAlign w:val="superscript"/>
        </w:rPr>
        <w:footnoteReference w:id="11"/>
      </w:r>
      <w:r w:rsidRPr="00B16372">
        <w:rPr>
          <w:rFonts w:ascii="Times New Roman" w:hAnsi="Times New Roman"/>
          <w:bCs/>
          <w:sz w:val="24"/>
          <w:szCs w:val="24"/>
        </w:rPr>
        <w:t xml:space="preserve">  In addition, each FERC rulemaking (both proposed and final rules) is published in the </w:t>
      </w:r>
      <w:r w:rsidRPr="00797FBB">
        <w:rPr>
          <w:rFonts w:ascii="Times New Roman" w:hAnsi="Times New Roman"/>
          <w:bCs/>
          <w:sz w:val="24"/>
          <w:szCs w:val="24"/>
        </w:rPr>
        <w:t>Federal Register</w:t>
      </w:r>
      <w:r w:rsidRPr="00B16372">
        <w:rPr>
          <w:rFonts w:ascii="Times New Roman" w:hAnsi="Times New Roman"/>
          <w:bCs/>
          <w:sz w:val="24"/>
          <w:szCs w:val="24"/>
        </w:rPr>
        <w:t>, thereby providing public utilities and licensees, state commissions, Federal agencies, and other interested parties an opportunity to submit data, views, comments or suggestions concerning t</w:t>
      </w:r>
      <w:r w:rsidR="00326E9D">
        <w:rPr>
          <w:rFonts w:ascii="Times New Roman" w:hAnsi="Times New Roman"/>
          <w:bCs/>
          <w:sz w:val="24"/>
          <w:szCs w:val="24"/>
        </w:rPr>
        <w:t>he approved</w:t>
      </w:r>
      <w:r w:rsidR="00797FBB">
        <w:rPr>
          <w:rFonts w:ascii="Times New Roman" w:hAnsi="Times New Roman"/>
          <w:bCs/>
          <w:sz w:val="24"/>
          <w:szCs w:val="24"/>
        </w:rPr>
        <w:t xml:space="preserve"> collection of data.</w:t>
      </w:r>
    </w:p>
    <w:p w14:paraId="72CF0663" w14:textId="77777777" w:rsidR="00973C3A" w:rsidRDefault="00973C3A" w:rsidP="0092596C">
      <w:pPr>
        <w:spacing w:after="0" w:line="240" w:lineRule="auto"/>
        <w:rPr>
          <w:rFonts w:ascii="Times New Roman" w:hAnsi="Times New Roman"/>
          <w:bCs/>
          <w:sz w:val="24"/>
          <w:szCs w:val="24"/>
        </w:rPr>
      </w:pPr>
    </w:p>
    <w:p w14:paraId="4B839766" w14:textId="5E166EFF" w:rsidR="00973C3A" w:rsidRDefault="00973C3A" w:rsidP="0092596C">
      <w:pPr>
        <w:spacing w:after="0" w:line="240" w:lineRule="auto"/>
        <w:rPr>
          <w:rFonts w:ascii="Times New Roman" w:hAnsi="Times New Roman"/>
          <w:sz w:val="24"/>
          <w:szCs w:val="24"/>
        </w:rPr>
      </w:pPr>
      <w:r w:rsidRPr="00973C3A">
        <w:rPr>
          <w:rFonts w:ascii="Times New Roman" w:hAnsi="Times New Roman"/>
          <w:sz w:val="24"/>
          <w:szCs w:val="24"/>
        </w:rPr>
        <w:t xml:space="preserve">The Commission received initial and supplemental comments from 28 entities in response to the Notice of Proposed Rulemaking.  Commenters generally supported the Commission’s proposal to approve Reliability Standard TPL-007-1, although some commenters did not support </w:t>
      </w:r>
      <w:r w:rsidRPr="00973C3A">
        <w:rPr>
          <w:rFonts w:ascii="Times New Roman" w:hAnsi="Times New Roman"/>
          <w:sz w:val="24"/>
          <w:szCs w:val="24"/>
        </w:rPr>
        <w:lastRenderedPageBreak/>
        <w:t>approval of the Reliability Standard as filed by NERC.  With respect to the directives proposed by the Commission (i.e., for NERC to develop revisions to Reliability Standard TPL-007-1 and conduct additional research), the comments variously supported the Commission’s proposals, stated that the proposals were unnecessary, or that proposals did not go far enough to address alleged weaknesses with Reliability Standard TPL-007-1.  The comments did not raise concerns with the Commission’s estimates in the section of the Notice of Proposed Rulemaking addressing t</w:t>
      </w:r>
      <w:r w:rsidR="006F75DB">
        <w:rPr>
          <w:rFonts w:ascii="Times New Roman" w:hAnsi="Times New Roman"/>
          <w:sz w:val="24"/>
          <w:szCs w:val="24"/>
        </w:rPr>
        <w:t>he Paperwork Reduction Act.</w:t>
      </w:r>
    </w:p>
    <w:p w14:paraId="5AFA0870" w14:textId="34E6542F" w:rsidR="005462C0" w:rsidRPr="00B16372" w:rsidRDefault="005462C0" w:rsidP="0092596C">
      <w:pPr>
        <w:spacing w:after="0" w:line="240" w:lineRule="auto"/>
        <w:rPr>
          <w:rFonts w:ascii="Times New Roman" w:hAnsi="Times New Roman" w:cs="Times New Roman"/>
          <w:sz w:val="24"/>
          <w:szCs w:val="24"/>
        </w:rPr>
      </w:pPr>
    </w:p>
    <w:p w14:paraId="4522982A" w14:textId="77777777" w:rsidR="00EB3E6F"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PAYMENT OR GIFTS TO RESPONDENTS</w:t>
      </w:r>
    </w:p>
    <w:p w14:paraId="5B34572D" w14:textId="77777777" w:rsidR="00D80FBD" w:rsidRPr="00B16372" w:rsidRDefault="00D80FBD" w:rsidP="0092596C">
      <w:pPr>
        <w:spacing w:after="0" w:line="240" w:lineRule="auto"/>
        <w:rPr>
          <w:rFonts w:ascii="Times New Roman" w:hAnsi="Times New Roman" w:cs="Times New Roman"/>
          <w:sz w:val="24"/>
          <w:szCs w:val="24"/>
        </w:rPr>
      </w:pPr>
    </w:p>
    <w:p w14:paraId="020143FA" w14:textId="77777777" w:rsidR="0072126E" w:rsidRPr="00B16372" w:rsidRDefault="0072126E" w:rsidP="0092596C">
      <w:pPr>
        <w:spacing w:after="0" w:line="240" w:lineRule="auto"/>
        <w:rPr>
          <w:rFonts w:ascii="Times New Roman" w:hAnsi="Times New Roman"/>
          <w:sz w:val="24"/>
          <w:szCs w:val="24"/>
        </w:rPr>
      </w:pPr>
      <w:r w:rsidRPr="00B16372">
        <w:rPr>
          <w:rFonts w:ascii="Times New Roman" w:hAnsi="Times New Roman"/>
          <w:sz w:val="24"/>
          <w:szCs w:val="24"/>
        </w:rPr>
        <w:t>The Commission does not make payments or provide gifts for respondents related to this collection.</w:t>
      </w:r>
    </w:p>
    <w:p w14:paraId="05996D25" w14:textId="77777777" w:rsidR="00D80FBD" w:rsidRPr="00B16372" w:rsidRDefault="00D80FBD" w:rsidP="0092596C">
      <w:pPr>
        <w:spacing w:after="0" w:line="240" w:lineRule="auto"/>
        <w:rPr>
          <w:rFonts w:ascii="Times New Roman" w:hAnsi="Times New Roman" w:cs="Times New Roman"/>
          <w:sz w:val="24"/>
          <w:szCs w:val="24"/>
        </w:rPr>
      </w:pPr>
    </w:p>
    <w:p w14:paraId="69FCD512" w14:textId="77777777"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ASSURANCE OF CONFIDENTIALITY PROVIDED TO RESPONDENTS</w:t>
      </w:r>
    </w:p>
    <w:p w14:paraId="2386FFF5" w14:textId="77777777" w:rsidR="00DF19E8" w:rsidRDefault="00DF19E8" w:rsidP="0092596C">
      <w:pPr>
        <w:spacing w:after="0" w:line="240" w:lineRule="auto"/>
        <w:rPr>
          <w:rFonts w:ascii="Times New Roman" w:hAnsi="Times New Roman" w:cs="Times New Roman"/>
          <w:sz w:val="24"/>
          <w:szCs w:val="24"/>
        </w:rPr>
      </w:pPr>
    </w:p>
    <w:p w14:paraId="4E1368AE" w14:textId="5E976FF0" w:rsidR="00E7335D" w:rsidRPr="00E7335D" w:rsidRDefault="00E7335D" w:rsidP="00E7335D">
      <w:pPr>
        <w:spacing w:after="0" w:line="240" w:lineRule="auto"/>
        <w:rPr>
          <w:rFonts w:ascii="Times New Roman" w:hAnsi="Times New Roman" w:cs="Times New Roman"/>
          <w:sz w:val="24"/>
          <w:szCs w:val="24"/>
        </w:rPr>
      </w:pPr>
      <w:r w:rsidRPr="00E7335D">
        <w:rPr>
          <w:rFonts w:ascii="Times New Roman" w:hAnsi="Times New Roman" w:cs="Times New Roman"/>
          <w:sz w:val="24"/>
          <w:szCs w:val="24"/>
        </w:rPr>
        <w:t>According to t</w:t>
      </w:r>
      <w:r w:rsidR="007C0DC7">
        <w:rPr>
          <w:rFonts w:ascii="Times New Roman" w:hAnsi="Times New Roman" w:cs="Times New Roman"/>
          <w:sz w:val="24"/>
          <w:szCs w:val="24"/>
        </w:rPr>
        <w:t>he NERC Rule of Procedure 1502,</w:t>
      </w:r>
      <w:r w:rsidRPr="00E7335D">
        <w:rPr>
          <w:rFonts w:ascii="Times New Roman" w:hAnsi="Times New Roman" w:cs="Times New Roman"/>
          <w:sz w:val="24"/>
          <w:szCs w:val="24"/>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59A3BC51" w14:textId="77777777" w:rsidR="00E7335D" w:rsidRPr="00E7335D" w:rsidRDefault="00E7335D" w:rsidP="00E7335D">
      <w:pPr>
        <w:spacing w:after="0" w:line="240" w:lineRule="auto"/>
        <w:rPr>
          <w:rFonts w:ascii="Times New Roman" w:hAnsi="Times New Roman" w:cs="Times New Roman"/>
          <w:sz w:val="24"/>
          <w:szCs w:val="24"/>
        </w:rPr>
      </w:pPr>
    </w:p>
    <w:p w14:paraId="25B62F54" w14:textId="45AD9003" w:rsidR="00D80FBD" w:rsidRDefault="00E7335D" w:rsidP="0092596C">
      <w:pPr>
        <w:spacing w:after="0" w:line="240" w:lineRule="auto"/>
        <w:rPr>
          <w:rFonts w:ascii="Times New Roman" w:hAnsi="Times New Roman" w:cs="Times New Roman"/>
          <w:sz w:val="24"/>
          <w:szCs w:val="24"/>
        </w:rPr>
      </w:pPr>
      <w:r w:rsidRPr="00E7335D">
        <w:rPr>
          <w:rFonts w:ascii="Times New Roman" w:hAnsi="Times New Roman" w:cs="Times New Roman"/>
          <w:sz w:val="24"/>
          <w:szCs w:val="24"/>
        </w:rPr>
        <w:t xml:space="preserve">Responding entities do not submit the information collected under the approved Reliability Standards to FERC.  Rather, they maintain it internally.  Since there are no submissions made to FERC, FERC provides no specific provisions in order to protect confidentiality unless and until any such information is submitted to FERC as part of an enforcement action or other compliance review. </w:t>
      </w:r>
    </w:p>
    <w:p w14:paraId="7E88157E" w14:textId="77777777" w:rsidR="00E7335D" w:rsidRPr="00B16372" w:rsidRDefault="00E7335D" w:rsidP="0092596C">
      <w:pPr>
        <w:spacing w:after="0" w:line="240" w:lineRule="auto"/>
        <w:rPr>
          <w:rFonts w:ascii="Times New Roman" w:hAnsi="Times New Roman" w:cs="Times New Roman"/>
          <w:sz w:val="24"/>
          <w:szCs w:val="24"/>
        </w:rPr>
      </w:pPr>
    </w:p>
    <w:p w14:paraId="59425FEA" w14:textId="0137683A" w:rsidR="00D80FBD" w:rsidRPr="00B16372" w:rsidRDefault="007C7E1D" w:rsidP="0092596C">
      <w:pPr>
        <w:pStyle w:val="ListParagraph"/>
        <w:numPr>
          <w:ilvl w:val="0"/>
          <w:numId w:val="1"/>
        </w:numPr>
        <w:spacing w:after="0" w:line="240" w:lineRule="auto"/>
        <w:ind w:left="360"/>
        <w:rPr>
          <w:rFonts w:ascii="Times New Roman" w:hAnsi="Times New Roman" w:cs="Times New Roman"/>
          <w:b/>
          <w:sz w:val="24"/>
          <w:szCs w:val="24"/>
        </w:rPr>
      </w:pPr>
      <w:r w:rsidRPr="00517450">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14:paraId="626668E6" w14:textId="77777777" w:rsidR="00D80FBD" w:rsidRPr="00B16372" w:rsidRDefault="00D80FBD" w:rsidP="0092596C">
      <w:pPr>
        <w:spacing w:after="0" w:line="240" w:lineRule="auto"/>
        <w:rPr>
          <w:rFonts w:ascii="Times New Roman" w:hAnsi="Times New Roman" w:cs="Times New Roman"/>
          <w:sz w:val="24"/>
          <w:szCs w:val="24"/>
        </w:rPr>
      </w:pPr>
    </w:p>
    <w:p w14:paraId="0DD3380B" w14:textId="77777777" w:rsidR="00A4336A" w:rsidRPr="00B16372" w:rsidRDefault="00A4336A" w:rsidP="0092596C">
      <w:pPr>
        <w:spacing w:after="0" w:line="240" w:lineRule="auto"/>
        <w:rPr>
          <w:rFonts w:ascii="Times New Roman" w:hAnsi="Times New Roman"/>
          <w:sz w:val="24"/>
          <w:szCs w:val="24"/>
        </w:rPr>
      </w:pPr>
      <w:r w:rsidRPr="00B16372">
        <w:rPr>
          <w:rFonts w:ascii="Times New Roman" w:hAnsi="Times New Roman"/>
          <w:sz w:val="24"/>
          <w:szCs w:val="24"/>
        </w:rPr>
        <w:lastRenderedPageBreak/>
        <w:t>This collection does not include any questions of a sensitive nature.</w:t>
      </w:r>
    </w:p>
    <w:p w14:paraId="7B19B477" w14:textId="77777777" w:rsidR="00D80FBD" w:rsidRPr="00B16372" w:rsidRDefault="00D80FBD" w:rsidP="0092596C">
      <w:pPr>
        <w:spacing w:after="0" w:line="240" w:lineRule="auto"/>
        <w:rPr>
          <w:rFonts w:ascii="Times New Roman" w:hAnsi="Times New Roman" w:cs="Times New Roman"/>
          <w:sz w:val="24"/>
          <w:szCs w:val="24"/>
        </w:rPr>
      </w:pPr>
    </w:p>
    <w:p w14:paraId="242D3B75" w14:textId="77777777"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BURDEN OF COLLECTION OF INFORMATION</w:t>
      </w:r>
    </w:p>
    <w:p w14:paraId="764EC580" w14:textId="77777777" w:rsidR="00A4336A" w:rsidRPr="00B16372" w:rsidRDefault="00A4336A" w:rsidP="0092596C">
      <w:pPr>
        <w:spacing w:after="0" w:line="240" w:lineRule="auto"/>
        <w:rPr>
          <w:rFonts w:ascii="Times New Roman" w:hAnsi="Times New Roman" w:cs="Times New Roman"/>
          <w:sz w:val="24"/>
          <w:szCs w:val="24"/>
        </w:rPr>
      </w:pPr>
    </w:p>
    <w:p w14:paraId="72F9A6CC" w14:textId="4DB348D4" w:rsidR="00D80FBD" w:rsidRDefault="0073268A" w:rsidP="0092596C">
      <w:pPr>
        <w:spacing w:after="0" w:line="240" w:lineRule="auto"/>
        <w:rPr>
          <w:rFonts w:ascii="Times New Roman" w:hAnsi="Times New Roman" w:cs="Times New Roman"/>
          <w:sz w:val="24"/>
          <w:szCs w:val="24"/>
        </w:rPr>
      </w:pPr>
      <w:r w:rsidRPr="0073268A">
        <w:rPr>
          <w:rFonts w:ascii="Times New Roman" w:hAnsi="Times New Roman" w:cs="Times New Roman"/>
          <w:sz w:val="24"/>
          <w:szCs w:val="24"/>
        </w:rPr>
        <w:t>The Commission estimates the Public Reporting Burden for this information collection as:</w:t>
      </w:r>
    </w:p>
    <w:p w14:paraId="71FDC07C" w14:textId="77777777" w:rsidR="0073268A" w:rsidRDefault="0073268A" w:rsidP="0092596C">
      <w:pPr>
        <w:spacing w:after="0" w:line="240" w:lineRule="auto"/>
        <w:rPr>
          <w:rFonts w:ascii="Times New Roman" w:hAnsi="Times New Roman" w:cs="Times New Roman"/>
          <w:sz w:val="24"/>
          <w:szCs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1392"/>
        <w:gridCol w:w="1307"/>
        <w:gridCol w:w="1201"/>
        <w:gridCol w:w="1283"/>
        <w:gridCol w:w="1529"/>
        <w:gridCol w:w="1307"/>
      </w:tblGrid>
      <w:tr w:rsidR="0058558B" w:rsidRPr="0058558B" w14:paraId="71E67916" w14:textId="77777777" w:rsidTr="00C53CB0">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48F81FBD" w14:textId="75C7152C" w:rsidR="0058558B" w:rsidRPr="0058558B" w:rsidRDefault="0058558B" w:rsidP="00C53CB0">
            <w:pPr>
              <w:pStyle w:val="FERCparanumber"/>
              <w:numPr>
                <w:ilvl w:val="0"/>
                <w:numId w:val="0"/>
              </w:numPr>
              <w:tabs>
                <w:tab w:val="left" w:pos="720"/>
              </w:tabs>
              <w:spacing w:line="240" w:lineRule="auto"/>
              <w:jc w:val="center"/>
              <w:rPr>
                <w:rFonts w:eastAsia="Calibri"/>
                <w:b/>
                <w:sz w:val="22"/>
                <w:szCs w:val="22"/>
                <w:lang w:bidi="he-IL"/>
              </w:rPr>
            </w:pPr>
            <w:r w:rsidRPr="0058558B">
              <w:rPr>
                <w:sz w:val="22"/>
                <w:szCs w:val="22"/>
              </w:rPr>
              <w:br w:type="page"/>
            </w:r>
            <w:r w:rsidRPr="0058558B">
              <w:rPr>
                <w:b/>
                <w:sz w:val="22"/>
                <w:szCs w:val="22"/>
                <w:lang w:bidi="he-IL"/>
              </w:rPr>
              <w:t>FERC-725N, as modified by the</w:t>
            </w:r>
            <w:r w:rsidR="007C7E1D">
              <w:rPr>
                <w:b/>
                <w:sz w:val="22"/>
                <w:szCs w:val="22"/>
                <w:lang w:bidi="he-IL"/>
              </w:rPr>
              <w:t xml:space="preserve"> Final Rule</w:t>
            </w:r>
            <w:r w:rsidRPr="0058558B">
              <w:rPr>
                <w:b/>
                <w:sz w:val="22"/>
                <w:szCs w:val="22"/>
                <w:lang w:bidi="he-IL"/>
              </w:rPr>
              <w:t xml:space="preserve"> in Docket No. </w:t>
            </w:r>
            <w:r w:rsidRPr="0058558B">
              <w:rPr>
                <w:rFonts w:eastAsia="Calibri"/>
                <w:b/>
                <w:sz w:val="22"/>
                <w:szCs w:val="22"/>
                <w:lang w:bidi="he-IL"/>
              </w:rPr>
              <w:t>RM15-11-000 (TPL-007-1 Reliability Standard for Transmission System Planned Performance for Geomagnetic Disturbance Events)</w:t>
            </w:r>
            <w:r w:rsidRPr="0058558B">
              <w:rPr>
                <w:rFonts w:eastAsia="Calibri"/>
                <w:b/>
                <w:sz w:val="22"/>
                <w:szCs w:val="22"/>
                <w:vertAlign w:val="superscript"/>
                <w:lang w:bidi="he-IL"/>
              </w:rPr>
              <w:footnoteReference w:id="12"/>
            </w:r>
          </w:p>
        </w:tc>
      </w:tr>
      <w:tr w:rsidR="0058558B" w:rsidRPr="0058558B" w14:paraId="0EB59B83" w14:textId="77777777" w:rsidTr="00C53CB0">
        <w:trPr>
          <w:cantSplit/>
        </w:trPr>
        <w:tc>
          <w:tcPr>
            <w:tcW w:w="937" w:type="pct"/>
            <w:tcBorders>
              <w:top w:val="single" w:sz="4" w:space="0" w:color="auto"/>
              <w:left w:val="single" w:sz="4" w:space="0" w:color="auto"/>
              <w:bottom w:val="single" w:sz="4" w:space="0" w:color="auto"/>
              <w:right w:val="single" w:sz="4" w:space="0" w:color="auto"/>
            </w:tcBorders>
            <w:shd w:val="clear" w:color="auto" w:fill="D9D9D9"/>
          </w:tcPr>
          <w:p w14:paraId="31C0429F" w14:textId="77777777" w:rsidR="0058558B" w:rsidRPr="0058558B" w:rsidRDefault="0058558B" w:rsidP="00C53CB0">
            <w:pPr>
              <w:widowControl w:val="0"/>
              <w:autoSpaceDE w:val="0"/>
              <w:autoSpaceDN w:val="0"/>
              <w:adjustRightInd w:val="0"/>
              <w:spacing w:after="0" w:line="240" w:lineRule="auto"/>
              <w:jc w:val="center"/>
              <w:rPr>
                <w:rFonts w:ascii="Times New Roman" w:eastAsia="Calibri" w:hAnsi="Times New Roman" w:cs="Times New Roman"/>
                <w:b/>
                <w:lang w:bidi="he-IL"/>
              </w:rPr>
            </w:pPr>
          </w:p>
        </w:tc>
        <w:tc>
          <w:tcPr>
            <w:tcW w:w="70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7C88A88" w14:textId="77777777" w:rsidR="0058558B" w:rsidRPr="0058558B" w:rsidRDefault="0058558B" w:rsidP="00C53CB0">
            <w:pPr>
              <w:widowControl w:val="0"/>
              <w:autoSpaceDE w:val="0"/>
              <w:autoSpaceDN w:val="0"/>
              <w:adjustRightInd w:val="0"/>
              <w:spacing w:after="0" w:line="240" w:lineRule="auto"/>
              <w:jc w:val="center"/>
              <w:rPr>
                <w:rFonts w:ascii="Times New Roman" w:eastAsia="Calibri" w:hAnsi="Times New Roman" w:cs="Times New Roman"/>
                <w:b/>
                <w:lang w:bidi="he-IL"/>
              </w:rPr>
            </w:pPr>
            <w:r w:rsidRPr="0058558B">
              <w:rPr>
                <w:rFonts w:ascii="Times New Roman" w:eastAsia="Calibri" w:hAnsi="Times New Roman" w:cs="Times New Roman"/>
                <w:b/>
                <w:lang w:bidi="he-IL"/>
              </w:rPr>
              <w:t>Number of Respondents</w:t>
            </w:r>
            <w:r w:rsidRPr="0058558B">
              <w:rPr>
                <w:rFonts w:ascii="Times New Roman" w:eastAsia="Calibri" w:hAnsi="Times New Roman" w:cs="Times New Roman"/>
                <w:b/>
                <w:lang w:bidi="he-IL"/>
              </w:rPr>
              <w:br/>
              <w:t>(1)</w:t>
            </w:r>
          </w:p>
        </w:tc>
        <w:tc>
          <w:tcPr>
            <w:tcW w:w="6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37742CC" w14:textId="77777777" w:rsidR="0058558B" w:rsidRPr="0058558B" w:rsidRDefault="0058558B" w:rsidP="00C53CB0">
            <w:pPr>
              <w:widowControl w:val="0"/>
              <w:autoSpaceDE w:val="0"/>
              <w:autoSpaceDN w:val="0"/>
              <w:adjustRightInd w:val="0"/>
              <w:spacing w:after="0" w:line="240" w:lineRule="auto"/>
              <w:jc w:val="center"/>
              <w:rPr>
                <w:rFonts w:ascii="Times New Roman" w:eastAsia="Calibri" w:hAnsi="Times New Roman" w:cs="Times New Roman"/>
                <w:b/>
                <w:lang w:bidi="he-IL"/>
              </w:rPr>
            </w:pPr>
            <w:r w:rsidRPr="0058558B">
              <w:rPr>
                <w:rFonts w:ascii="Times New Roman" w:eastAsia="Calibri" w:hAnsi="Times New Roman" w:cs="Times New Roman"/>
                <w:b/>
                <w:lang w:bidi="he-IL"/>
              </w:rPr>
              <w:t>Annual Number of Responses per Respondent</w:t>
            </w:r>
          </w:p>
          <w:p w14:paraId="314A5936" w14:textId="77777777" w:rsidR="0058558B" w:rsidRPr="0058558B" w:rsidRDefault="0058558B" w:rsidP="00C53CB0">
            <w:pPr>
              <w:widowControl w:val="0"/>
              <w:autoSpaceDE w:val="0"/>
              <w:autoSpaceDN w:val="0"/>
              <w:adjustRightInd w:val="0"/>
              <w:spacing w:after="0" w:line="240" w:lineRule="auto"/>
              <w:jc w:val="center"/>
              <w:rPr>
                <w:rFonts w:ascii="Times New Roman" w:eastAsia="Calibri" w:hAnsi="Times New Roman" w:cs="Times New Roman"/>
                <w:b/>
                <w:lang w:bidi="he-IL"/>
              </w:rPr>
            </w:pPr>
            <w:r w:rsidRPr="0058558B">
              <w:rPr>
                <w:rFonts w:ascii="Times New Roman" w:eastAsia="Calibri" w:hAnsi="Times New Roman" w:cs="Times New Roman"/>
                <w:b/>
                <w:lang w:bidi="he-IL"/>
              </w:rPr>
              <w:t>(2)</w:t>
            </w:r>
          </w:p>
        </w:tc>
        <w:tc>
          <w:tcPr>
            <w:tcW w:w="67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C4D42F0" w14:textId="77777777" w:rsidR="0058558B" w:rsidRPr="0058558B" w:rsidRDefault="0058558B" w:rsidP="00C53CB0">
            <w:pPr>
              <w:widowControl w:val="0"/>
              <w:autoSpaceDE w:val="0"/>
              <w:autoSpaceDN w:val="0"/>
              <w:adjustRightInd w:val="0"/>
              <w:spacing w:after="0" w:line="240" w:lineRule="auto"/>
              <w:jc w:val="center"/>
              <w:rPr>
                <w:rFonts w:ascii="Times New Roman" w:eastAsia="Calibri" w:hAnsi="Times New Roman" w:cs="Times New Roman"/>
                <w:b/>
                <w:lang w:bidi="he-IL"/>
              </w:rPr>
            </w:pPr>
            <w:r w:rsidRPr="0058558B">
              <w:rPr>
                <w:rFonts w:ascii="Times New Roman" w:eastAsia="Calibri" w:hAnsi="Times New Roman" w:cs="Times New Roman"/>
                <w:b/>
                <w:lang w:bidi="he-IL"/>
              </w:rPr>
              <w:t>Total Number of Responses (1)*(2)=(3)</w:t>
            </w:r>
          </w:p>
        </w:tc>
        <w:tc>
          <w:tcPr>
            <w:tcW w:w="69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B0DAE42" w14:textId="77777777" w:rsidR="0058558B" w:rsidRPr="0058558B" w:rsidRDefault="0058558B" w:rsidP="00C53CB0">
            <w:pPr>
              <w:widowControl w:val="0"/>
              <w:autoSpaceDE w:val="0"/>
              <w:autoSpaceDN w:val="0"/>
              <w:adjustRightInd w:val="0"/>
              <w:spacing w:after="0" w:line="240" w:lineRule="auto"/>
              <w:jc w:val="center"/>
              <w:rPr>
                <w:rFonts w:ascii="Times New Roman" w:eastAsia="Calibri" w:hAnsi="Times New Roman" w:cs="Times New Roman"/>
                <w:b/>
                <w:lang w:bidi="he-IL"/>
              </w:rPr>
            </w:pPr>
            <w:r w:rsidRPr="0058558B">
              <w:rPr>
                <w:rFonts w:ascii="Times New Roman" w:eastAsia="Calibri" w:hAnsi="Times New Roman" w:cs="Times New Roman"/>
                <w:b/>
                <w:lang w:bidi="he-IL"/>
              </w:rPr>
              <w:t>Average Burden Hours &amp; Cost Per Response</w:t>
            </w:r>
            <w:r w:rsidRPr="0058558B">
              <w:rPr>
                <w:rFonts w:ascii="Times New Roman" w:eastAsia="Calibri" w:hAnsi="Times New Roman" w:cs="Times New Roman"/>
                <w:b/>
                <w:vertAlign w:val="superscript"/>
                <w:lang w:bidi="he-IL"/>
              </w:rPr>
              <w:footnoteReference w:id="13"/>
            </w:r>
          </w:p>
          <w:p w14:paraId="26E2CEE1" w14:textId="77777777" w:rsidR="0058558B" w:rsidRPr="0058558B" w:rsidRDefault="0058558B" w:rsidP="00C53CB0">
            <w:pPr>
              <w:widowControl w:val="0"/>
              <w:autoSpaceDE w:val="0"/>
              <w:autoSpaceDN w:val="0"/>
              <w:adjustRightInd w:val="0"/>
              <w:spacing w:after="0" w:line="240" w:lineRule="auto"/>
              <w:jc w:val="center"/>
              <w:rPr>
                <w:rFonts w:ascii="Times New Roman" w:eastAsia="Calibri" w:hAnsi="Times New Roman" w:cs="Times New Roman"/>
                <w:b/>
                <w:lang w:bidi="he-IL"/>
              </w:rPr>
            </w:pPr>
            <w:r w:rsidRPr="0058558B">
              <w:rPr>
                <w:rFonts w:ascii="Times New Roman" w:eastAsia="Calibri" w:hAnsi="Times New Roman" w:cs="Times New Roman"/>
                <w:b/>
                <w:lang w:bidi="he-IL"/>
              </w:rPr>
              <w:t>(4)</w:t>
            </w:r>
          </w:p>
        </w:tc>
        <w:tc>
          <w:tcPr>
            <w:tcW w:w="76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6274A5A" w14:textId="77777777" w:rsidR="0058558B" w:rsidRPr="0058558B" w:rsidRDefault="0058558B" w:rsidP="00C53CB0">
            <w:pPr>
              <w:widowControl w:val="0"/>
              <w:autoSpaceDE w:val="0"/>
              <w:autoSpaceDN w:val="0"/>
              <w:adjustRightInd w:val="0"/>
              <w:spacing w:after="0" w:line="240" w:lineRule="auto"/>
              <w:jc w:val="center"/>
              <w:rPr>
                <w:rFonts w:ascii="Times New Roman" w:eastAsia="Calibri" w:hAnsi="Times New Roman" w:cs="Times New Roman"/>
                <w:b/>
                <w:lang w:bidi="he-IL"/>
              </w:rPr>
            </w:pPr>
            <w:r w:rsidRPr="0058558B">
              <w:rPr>
                <w:rFonts w:ascii="Times New Roman" w:eastAsia="Calibri" w:hAnsi="Times New Roman" w:cs="Times New Roman"/>
                <w:b/>
                <w:lang w:bidi="he-IL"/>
              </w:rPr>
              <w:t>Total Annual Burden Hours &amp; Total Annual Cost</w:t>
            </w:r>
          </w:p>
          <w:p w14:paraId="0C5C5CE1" w14:textId="77777777" w:rsidR="0058558B" w:rsidRPr="0058558B" w:rsidRDefault="0058558B" w:rsidP="00C53CB0">
            <w:pPr>
              <w:widowControl w:val="0"/>
              <w:autoSpaceDE w:val="0"/>
              <w:autoSpaceDN w:val="0"/>
              <w:adjustRightInd w:val="0"/>
              <w:spacing w:after="0" w:line="240" w:lineRule="auto"/>
              <w:jc w:val="center"/>
              <w:rPr>
                <w:rFonts w:ascii="Times New Roman" w:eastAsia="Calibri" w:hAnsi="Times New Roman" w:cs="Times New Roman"/>
                <w:b/>
                <w:lang w:bidi="he-IL"/>
              </w:rPr>
            </w:pPr>
            <w:r w:rsidRPr="0058558B">
              <w:rPr>
                <w:rFonts w:ascii="Times New Roman" w:eastAsia="Calibri" w:hAnsi="Times New Roman" w:cs="Times New Roman"/>
                <w:b/>
                <w:lang w:bidi="he-IL"/>
              </w:rPr>
              <w:t>(3)*(4)=(5)</w:t>
            </w:r>
          </w:p>
        </w:tc>
        <w:tc>
          <w:tcPr>
            <w:tcW w:w="56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E63D2B8" w14:textId="77777777" w:rsidR="0058558B" w:rsidRPr="0058558B" w:rsidRDefault="0058558B" w:rsidP="00C53CB0">
            <w:pPr>
              <w:widowControl w:val="0"/>
              <w:autoSpaceDE w:val="0"/>
              <w:autoSpaceDN w:val="0"/>
              <w:adjustRightInd w:val="0"/>
              <w:spacing w:after="0" w:line="240" w:lineRule="auto"/>
              <w:jc w:val="center"/>
              <w:rPr>
                <w:rFonts w:ascii="Times New Roman" w:eastAsia="Calibri" w:hAnsi="Times New Roman" w:cs="Times New Roman"/>
                <w:b/>
                <w:lang w:bidi="he-IL"/>
              </w:rPr>
            </w:pPr>
            <w:r w:rsidRPr="0058558B">
              <w:rPr>
                <w:rFonts w:ascii="Times New Roman" w:eastAsia="Calibri" w:hAnsi="Times New Roman" w:cs="Times New Roman"/>
                <w:b/>
                <w:lang w:bidi="he-IL"/>
              </w:rPr>
              <w:t>Cost per Respondent</w:t>
            </w:r>
          </w:p>
          <w:p w14:paraId="6697B269" w14:textId="77777777" w:rsidR="0058558B" w:rsidRPr="0058558B" w:rsidRDefault="0058558B" w:rsidP="00C53CB0">
            <w:pPr>
              <w:widowControl w:val="0"/>
              <w:autoSpaceDE w:val="0"/>
              <w:autoSpaceDN w:val="0"/>
              <w:adjustRightInd w:val="0"/>
              <w:spacing w:after="0" w:line="240" w:lineRule="auto"/>
              <w:jc w:val="center"/>
              <w:rPr>
                <w:rFonts w:ascii="Times New Roman" w:eastAsia="Calibri" w:hAnsi="Times New Roman" w:cs="Times New Roman"/>
                <w:b/>
                <w:lang w:bidi="he-IL"/>
              </w:rPr>
            </w:pPr>
            <w:r w:rsidRPr="0058558B">
              <w:rPr>
                <w:rFonts w:ascii="Times New Roman" w:eastAsia="Calibri" w:hAnsi="Times New Roman" w:cs="Times New Roman"/>
                <w:b/>
                <w:lang w:bidi="he-IL"/>
              </w:rPr>
              <w:t xml:space="preserve"> ($)</w:t>
            </w:r>
          </w:p>
          <w:p w14:paraId="64A4509E" w14:textId="77777777" w:rsidR="0058558B" w:rsidRPr="0058558B" w:rsidRDefault="0058558B" w:rsidP="00C53CB0">
            <w:pPr>
              <w:widowControl w:val="0"/>
              <w:autoSpaceDE w:val="0"/>
              <w:autoSpaceDN w:val="0"/>
              <w:adjustRightInd w:val="0"/>
              <w:spacing w:after="0" w:line="240" w:lineRule="auto"/>
              <w:jc w:val="center"/>
              <w:rPr>
                <w:rFonts w:ascii="Times New Roman" w:eastAsia="Calibri" w:hAnsi="Times New Roman" w:cs="Times New Roman"/>
                <w:b/>
                <w:lang w:bidi="he-IL"/>
              </w:rPr>
            </w:pPr>
            <w:r w:rsidRPr="0058558B">
              <w:rPr>
                <w:rFonts w:ascii="Times New Roman" w:eastAsia="Calibri" w:hAnsi="Times New Roman" w:cs="Times New Roman"/>
                <w:b/>
                <w:lang w:bidi="he-IL"/>
              </w:rPr>
              <w:t>(5)÷(1)</w:t>
            </w:r>
          </w:p>
        </w:tc>
      </w:tr>
      <w:tr w:rsidR="0058558B" w:rsidRPr="0058558B" w14:paraId="2CE4EC90" w14:textId="77777777" w:rsidTr="00C53CB0">
        <w:trPr>
          <w:cantSplit/>
        </w:trPr>
        <w:tc>
          <w:tcPr>
            <w:tcW w:w="937" w:type="pct"/>
            <w:tcBorders>
              <w:top w:val="single" w:sz="4" w:space="0" w:color="auto"/>
              <w:left w:val="single" w:sz="4" w:space="0" w:color="auto"/>
              <w:bottom w:val="single" w:sz="4" w:space="0" w:color="auto"/>
              <w:right w:val="single" w:sz="4" w:space="0" w:color="auto"/>
            </w:tcBorders>
            <w:hideMark/>
          </w:tcPr>
          <w:p w14:paraId="681BA975" w14:textId="77777777" w:rsidR="0058558B" w:rsidRPr="0058558B" w:rsidRDefault="0058558B" w:rsidP="00C53CB0">
            <w:pPr>
              <w:widowControl w:val="0"/>
              <w:autoSpaceDE w:val="0"/>
              <w:autoSpaceDN w:val="0"/>
              <w:adjustRightInd w:val="0"/>
              <w:spacing w:after="0" w:line="240" w:lineRule="auto"/>
              <w:rPr>
                <w:rFonts w:ascii="Times New Roman" w:eastAsia="Calibri" w:hAnsi="Times New Roman" w:cs="Times New Roman"/>
                <w:lang w:bidi="he-IL"/>
              </w:rPr>
            </w:pPr>
            <w:r w:rsidRPr="0058558B">
              <w:rPr>
                <w:rFonts w:ascii="Times New Roman" w:eastAsia="Calibri" w:hAnsi="Times New Roman" w:cs="Times New Roman"/>
                <w:lang w:bidi="he-IL"/>
              </w:rPr>
              <w:t xml:space="preserve">(One-time) Requirement 1 </w:t>
            </w:r>
          </w:p>
        </w:tc>
        <w:tc>
          <w:tcPr>
            <w:tcW w:w="705" w:type="pct"/>
            <w:tcBorders>
              <w:top w:val="single" w:sz="4" w:space="0" w:color="auto"/>
              <w:left w:val="single" w:sz="4" w:space="0" w:color="auto"/>
              <w:bottom w:val="single" w:sz="4" w:space="0" w:color="auto"/>
              <w:right w:val="single" w:sz="4" w:space="0" w:color="auto"/>
            </w:tcBorders>
            <w:hideMark/>
          </w:tcPr>
          <w:p w14:paraId="0840E88A"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 (PC &amp; TP)</w:t>
            </w:r>
          </w:p>
        </w:tc>
        <w:tc>
          <w:tcPr>
            <w:tcW w:w="660" w:type="pct"/>
            <w:tcBorders>
              <w:top w:val="single" w:sz="4" w:space="0" w:color="auto"/>
              <w:left w:val="single" w:sz="4" w:space="0" w:color="auto"/>
              <w:bottom w:val="single" w:sz="4" w:space="0" w:color="auto"/>
              <w:right w:val="single" w:sz="4" w:space="0" w:color="auto"/>
            </w:tcBorders>
            <w:hideMark/>
          </w:tcPr>
          <w:p w14:paraId="3D25B35A"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w:t>
            </w:r>
          </w:p>
        </w:tc>
        <w:tc>
          <w:tcPr>
            <w:tcW w:w="673" w:type="pct"/>
            <w:tcBorders>
              <w:top w:val="single" w:sz="4" w:space="0" w:color="auto"/>
              <w:left w:val="single" w:sz="4" w:space="0" w:color="auto"/>
              <w:bottom w:val="single" w:sz="4" w:space="0" w:color="auto"/>
              <w:right w:val="single" w:sz="4" w:space="0" w:color="auto"/>
            </w:tcBorders>
            <w:hideMark/>
          </w:tcPr>
          <w:p w14:paraId="6A5E4687"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w:t>
            </w:r>
          </w:p>
        </w:tc>
        <w:tc>
          <w:tcPr>
            <w:tcW w:w="694" w:type="pct"/>
            <w:tcBorders>
              <w:top w:val="single" w:sz="4" w:space="0" w:color="auto"/>
              <w:left w:val="single" w:sz="4" w:space="0" w:color="auto"/>
              <w:bottom w:val="single" w:sz="4" w:space="0" w:color="auto"/>
              <w:right w:val="single" w:sz="4" w:space="0" w:color="auto"/>
            </w:tcBorders>
            <w:hideMark/>
          </w:tcPr>
          <w:p w14:paraId="3DC4AA25"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 xml:space="preserve">Eng. 5 hrs. ($331.75); RK 4 hrs. ($149.80) </w:t>
            </w:r>
          </w:p>
        </w:tc>
        <w:tc>
          <w:tcPr>
            <w:tcW w:w="765" w:type="pct"/>
            <w:tcBorders>
              <w:top w:val="single" w:sz="4" w:space="0" w:color="auto"/>
              <w:left w:val="single" w:sz="4" w:space="0" w:color="auto"/>
              <w:bottom w:val="single" w:sz="4" w:space="0" w:color="auto"/>
              <w:right w:val="single" w:sz="4" w:space="0" w:color="auto"/>
            </w:tcBorders>
          </w:tcPr>
          <w:p w14:paraId="3CC02602" w14:textId="77777777" w:rsidR="0058558B" w:rsidRPr="0058558B" w:rsidRDefault="0058558B" w:rsidP="00C53CB0">
            <w:pPr>
              <w:widowControl w:val="0"/>
              <w:autoSpaceDE w:val="0"/>
              <w:autoSpaceDN w:val="0"/>
              <w:adjustRightInd w:val="0"/>
              <w:spacing w:after="0" w:line="240" w:lineRule="auto"/>
              <w:jc w:val="right"/>
              <w:rPr>
                <w:rFonts w:ascii="Times New Roman" w:eastAsia="Times New Roman" w:hAnsi="Times New Roman" w:cs="Times New Roman"/>
                <w:lang w:bidi="he-IL"/>
              </w:rPr>
            </w:pPr>
            <w:r w:rsidRPr="0058558B">
              <w:rPr>
                <w:rFonts w:ascii="Times New Roman" w:eastAsia="Times New Roman" w:hAnsi="Times New Roman" w:cs="Times New Roman"/>
                <w:lang w:bidi="he-IL"/>
              </w:rPr>
              <w:t xml:space="preserve">1,089 hrs. (605 Eng., 484 RK); $58,267.55  ($40,141.75 Eng., $18,125.80 RK) </w:t>
            </w:r>
          </w:p>
          <w:p w14:paraId="327EE907"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p>
        </w:tc>
        <w:tc>
          <w:tcPr>
            <w:tcW w:w="566" w:type="pct"/>
            <w:tcBorders>
              <w:top w:val="single" w:sz="4" w:space="0" w:color="auto"/>
              <w:left w:val="single" w:sz="4" w:space="0" w:color="auto"/>
              <w:bottom w:val="single" w:sz="4" w:space="0" w:color="auto"/>
              <w:right w:val="single" w:sz="4" w:space="0" w:color="auto"/>
            </w:tcBorders>
            <w:hideMark/>
          </w:tcPr>
          <w:p w14:paraId="49BE8443"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$481.55</w:t>
            </w:r>
          </w:p>
        </w:tc>
      </w:tr>
      <w:tr w:rsidR="0058558B" w:rsidRPr="0058558B" w14:paraId="5D0FB25D" w14:textId="77777777" w:rsidTr="00C53CB0">
        <w:trPr>
          <w:cantSplit/>
        </w:trPr>
        <w:tc>
          <w:tcPr>
            <w:tcW w:w="937" w:type="pct"/>
            <w:tcBorders>
              <w:top w:val="single" w:sz="4" w:space="0" w:color="auto"/>
              <w:left w:val="single" w:sz="4" w:space="0" w:color="auto"/>
              <w:bottom w:val="single" w:sz="4" w:space="0" w:color="auto"/>
              <w:right w:val="single" w:sz="4" w:space="0" w:color="auto"/>
            </w:tcBorders>
            <w:hideMark/>
          </w:tcPr>
          <w:p w14:paraId="65540B34" w14:textId="77777777" w:rsidR="0058558B" w:rsidRPr="0058558B" w:rsidRDefault="0058558B" w:rsidP="00C53CB0">
            <w:pPr>
              <w:widowControl w:val="0"/>
              <w:autoSpaceDE w:val="0"/>
              <w:autoSpaceDN w:val="0"/>
              <w:adjustRightInd w:val="0"/>
              <w:spacing w:after="0" w:line="240" w:lineRule="auto"/>
              <w:rPr>
                <w:rFonts w:ascii="Times New Roman" w:eastAsia="Calibri" w:hAnsi="Times New Roman" w:cs="Times New Roman"/>
                <w:lang w:bidi="he-IL"/>
              </w:rPr>
            </w:pPr>
            <w:r w:rsidRPr="0058558B">
              <w:rPr>
                <w:rFonts w:ascii="Times New Roman" w:eastAsia="Calibri" w:hAnsi="Times New Roman" w:cs="Times New Roman"/>
                <w:lang w:bidi="he-IL"/>
              </w:rPr>
              <w:t>(On-going) Requirement 1</w:t>
            </w:r>
          </w:p>
        </w:tc>
        <w:tc>
          <w:tcPr>
            <w:tcW w:w="705" w:type="pct"/>
            <w:tcBorders>
              <w:top w:val="single" w:sz="4" w:space="0" w:color="auto"/>
              <w:left w:val="single" w:sz="4" w:space="0" w:color="auto"/>
              <w:bottom w:val="single" w:sz="4" w:space="0" w:color="auto"/>
              <w:right w:val="single" w:sz="4" w:space="0" w:color="auto"/>
            </w:tcBorders>
            <w:hideMark/>
          </w:tcPr>
          <w:p w14:paraId="643EC140"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 (PC &amp; TP)</w:t>
            </w:r>
          </w:p>
        </w:tc>
        <w:tc>
          <w:tcPr>
            <w:tcW w:w="660" w:type="pct"/>
            <w:tcBorders>
              <w:top w:val="single" w:sz="4" w:space="0" w:color="auto"/>
              <w:left w:val="single" w:sz="4" w:space="0" w:color="auto"/>
              <w:bottom w:val="single" w:sz="4" w:space="0" w:color="auto"/>
              <w:right w:val="single" w:sz="4" w:space="0" w:color="auto"/>
            </w:tcBorders>
            <w:hideMark/>
          </w:tcPr>
          <w:p w14:paraId="56889BA6"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w:t>
            </w:r>
          </w:p>
        </w:tc>
        <w:tc>
          <w:tcPr>
            <w:tcW w:w="673" w:type="pct"/>
            <w:tcBorders>
              <w:top w:val="single" w:sz="4" w:space="0" w:color="auto"/>
              <w:left w:val="single" w:sz="4" w:space="0" w:color="auto"/>
              <w:bottom w:val="single" w:sz="4" w:space="0" w:color="auto"/>
              <w:right w:val="single" w:sz="4" w:space="0" w:color="auto"/>
            </w:tcBorders>
            <w:hideMark/>
          </w:tcPr>
          <w:p w14:paraId="51C8229E"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w:t>
            </w:r>
          </w:p>
        </w:tc>
        <w:tc>
          <w:tcPr>
            <w:tcW w:w="694" w:type="pct"/>
            <w:tcBorders>
              <w:top w:val="single" w:sz="4" w:space="0" w:color="auto"/>
              <w:left w:val="single" w:sz="4" w:space="0" w:color="auto"/>
              <w:bottom w:val="single" w:sz="4" w:space="0" w:color="auto"/>
              <w:right w:val="single" w:sz="4" w:space="0" w:color="auto"/>
            </w:tcBorders>
            <w:hideMark/>
          </w:tcPr>
          <w:p w14:paraId="05E4F625"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Eng. 3 hrs. ($199.05); RK 2 hrs. ($74.90)</w:t>
            </w:r>
          </w:p>
        </w:tc>
        <w:tc>
          <w:tcPr>
            <w:tcW w:w="765" w:type="pct"/>
            <w:tcBorders>
              <w:top w:val="single" w:sz="4" w:space="0" w:color="auto"/>
              <w:left w:val="single" w:sz="4" w:space="0" w:color="auto"/>
              <w:bottom w:val="single" w:sz="4" w:space="0" w:color="auto"/>
              <w:right w:val="single" w:sz="4" w:space="0" w:color="auto"/>
            </w:tcBorders>
            <w:hideMark/>
          </w:tcPr>
          <w:p w14:paraId="3BC3AEC0"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 xml:space="preserve">605 hrs. (363 Eng., 242 RK); $33,147.95 ($24,085.05 Eng., $9,062.90 RK) </w:t>
            </w:r>
          </w:p>
        </w:tc>
        <w:tc>
          <w:tcPr>
            <w:tcW w:w="566" w:type="pct"/>
            <w:tcBorders>
              <w:top w:val="single" w:sz="4" w:space="0" w:color="auto"/>
              <w:left w:val="single" w:sz="4" w:space="0" w:color="auto"/>
              <w:bottom w:val="single" w:sz="4" w:space="0" w:color="auto"/>
              <w:right w:val="single" w:sz="4" w:space="0" w:color="auto"/>
            </w:tcBorders>
            <w:hideMark/>
          </w:tcPr>
          <w:p w14:paraId="5D13D643"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$273.95</w:t>
            </w:r>
          </w:p>
        </w:tc>
      </w:tr>
      <w:tr w:rsidR="0058558B" w:rsidRPr="0058558B" w14:paraId="2B6887A1" w14:textId="77777777" w:rsidTr="00C53CB0">
        <w:trPr>
          <w:cantSplit/>
        </w:trPr>
        <w:tc>
          <w:tcPr>
            <w:tcW w:w="937" w:type="pct"/>
            <w:tcBorders>
              <w:top w:val="single" w:sz="4" w:space="0" w:color="auto"/>
              <w:left w:val="single" w:sz="4" w:space="0" w:color="auto"/>
              <w:bottom w:val="single" w:sz="4" w:space="0" w:color="auto"/>
              <w:right w:val="single" w:sz="4" w:space="0" w:color="auto"/>
            </w:tcBorders>
            <w:hideMark/>
          </w:tcPr>
          <w:p w14:paraId="3E3A7473" w14:textId="77777777" w:rsidR="0058558B" w:rsidRPr="0058558B" w:rsidRDefault="0058558B" w:rsidP="00C53CB0">
            <w:pPr>
              <w:widowControl w:val="0"/>
              <w:autoSpaceDE w:val="0"/>
              <w:autoSpaceDN w:val="0"/>
              <w:adjustRightInd w:val="0"/>
              <w:spacing w:after="0" w:line="240" w:lineRule="auto"/>
              <w:rPr>
                <w:rFonts w:ascii="Times New Roman" w:eastAsia="Calibri" w:hAnsi="Times New Roman" w:cs="Times New Roman"/>
                <w:lang w:bidi="he-IL"/>
              </w:rPr>
            </w:pPr>
            <w:r w:rsidRPr="0058558B">
              <w:rPr>
                <w:rFonts w:ascii="Times New Roman" w:eastAsia="Calibri" w:hAnsi="Times New Roman" w:cs="Times New Roman"/>
                <w:lang w:bidi="he-IL"/>
              </w:rPr>
              <w:lastRenderedPageBreak/>
              <w:t>(One-time) Requirement 2</w:t>
            </w:r>
          </w:p>
        </w:tc>
        <w:tc>
          <w:tcPr>
            <w:tcW w:w="705" w:type="pct"/>
            <w:tcBorders>
              <w:top w:val="single" w:sz="4" w:space="0" w:color="auto"/>
              <w:left w:val="single" w:sz="4" w:space="0" w:color="auto"/>
              <w:bottom w:val="single" w:sz="4" w:space="0" w:color="auto"/>
              <w:right w:val="single" w:sz="4" w:space="0" w:color="auto"/>
            </w:tcBorders>
            <w:hideMark/>
          </w:tcPr>
          <w:p w14:paraId="6392315F"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 (PC &amp; TP)</w:t>
            </w:r>
          </w:p>
        </w:tc>
        <w:tc>
          <w:tcPr>
            <w:tcW w:w="660" w:type="pct"/>
            <w:tcBorders>
              <w:top w:val="single" w:sz="4" w:space="0" w:color="auto"/>
              <w:left w:val="single" w:sz="4" w:space="0" w:color="auto"/>
              <w:bottom w:val="single" w:sz="4" w:space="0" w:color="auto"/>
              <w:right w:val="single" w:sz="4" w:space="0" w:color="auto"/>
            </w:tcBorders>
            <w:hideMark/>
          </w:tcPr>
          <w:p w14:paraId="7A7D024B"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w:t>
            </w:r>
          </w:p>
        </w:tc>
        <w:tc>
          <w:tcPr>
            <w:tcW w:w="673" w:type="pct"/>
            <w:tcBorders>
              <w:top w:val="single" w:sz="4" w:space="0" w:color="auto"/>
              <w:left w:val="single" w:sz="4" w:space="0" w:color="auto"/>
              <w:bottom w:val="single" w:sz="4" w:space="0" w:color="auto"/>
              <w:right w:val="single" w:sz="4" w:space="0" w:color="auto"/>
            </w:tcBorders>
            <w:hideMark/>
          </w:tcPr>
          <w:p w14:paraId="28CDEFF5"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w:t>
            </w:r>
          </w:p>
        </w:tc>
        <w:tc>
          <w:tcPr>
            <w:tcW w:w="694" w:type="pct"/>
            <w:tcBorders>
              <w:top w:val="single" w:sz="4" w:space="0" w:color="auto"/>
              <w:left w:val="single" w:sz="4" w:space="0" w:color="auto"/>
              <w:bottom w:val="single" w:sz="4" w:space="0" w:color="auto"/>
              <w:right w:val="single" w:sz="4" w:space="0" w:color="auto"/>
            </w:tcBorders>
            <w:hideMark/>
          </w:tcPr>
          <w:p w14:paraId="7F7B5574"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Eng. 22 hrs. ($1,459.70); RK 18 hrs. ($674.10)</w:t>
            </w:r>
          </w:p>
        </w:tc>
        <w:tc>
          <w:tcPr>
            <w:tcW w:w="765" w:type="pct"/>
            <w:tcBorders>
              <w:top w:val="single" w:sz="4" w:space="0" w:color="auto"/>
              <w:left w:val="single" w:sz="4" w:space="0" w:color="auto"/>
              <w:bottom w:val="single" w:sz="4" w:space="0" w:color="auto"/>
              <w:right w:val="single" w:sz="4" w:space="0" w:color="auto"/>
            </w:tcBorders>
            <w:hideMark/>
          </w:tcPr>
          <w:p w14:paraId="398A3FF9"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4840 hrs. (2,662 Eng., 2,178 RK); $258,189.80     ($176,623.70 Eng., $81,566.10 RK)</w:t>
            </w:r>
          </w:p>
        </w:tc>
        <w:tc>
          <w:tcPr>
            <w:tcW w:w="566" w:type="pct"/>
            <w:tcBorders>
              <w:top w:val="single" w:sz="4" w:space="0" w:color="auto"/>
              <w:left w:val="single" w:sz="4" w:space="0" w:color="auto"/>
              <w:bottom w:val="single" w:sz="4" w:space="0" w:color="auto"/>
              <w:right w:val="single" w:sz="4" w:space="0" w:color="auto"/>
            </w:tcBorders>
            <w:hideMark/>
          </w:tcPr>
          <w:p w14:paraId="07C4FE9D"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$2,133.80</w:t>
            </w:r>
          </w:p>
        </w:tc>
      </w:tr>
      <w:tr w:rsidR="0058558B" w:rsidRPr="0058558B" w14:paraId="02D73CFA" w14:textId="77777777" w:rsidTr="00C53CB0">
        <w:trPr>
          <w:cantSplit/>
        </w:trPr>
        <w:tc>
          <w:tcPr>
            <w:tcW w:w="937" w:type="pct"/>
            <w:tcBorders>
              <w:top w:val="single" w:sz="4" w:space="0" w:color="auto"/>
              <w:left w:val="single" w:sz="4" w:space="0" w:color="auto"/>
              <w:bottom w:val="single" w:sz="4" w:space="0" w:color="auto"/>
              <w:right w:val="single" w:sz="4" w:space="0" w:color="auto"/>
            </w:tcBorders>
            <w:hideMark/>
          </w:tcPr>
          <w:p w14:paraId="642806F9" w14:textId="77777777" w:rsidR="0058558B" w:rsidRPr="0058558B" w:rsidRDefault="0058558B" w:rsidP="00C53CB0">
            <w:pPr>
              <w:widowControl w:val="0"/>
              <w:autoSpaceDE w:val="0"/>
              <w:autoSpaceDN w:val="0"/>
              <w:adjustRightInd w:val="0"/>
              <w:spacing w:after="0" w:line="240" w:lineRule="auto"/>
              <w:rPr>
                <w:rFonts w:ascii="Times New Roman" w:eastAsia="Calibri" w:hAnsi="Times New Roman" w:cs="Times New Roman"/>
                <w:lang w:bidi="he-IL"/>
              </w:rPr>
            </w:pPr>
            <w:r w:rsidRPr="0058558B">
              <w:rPr>
                <w:rFonts w:ascii="Times New Roman" w:eastAsia="Calibri" w:hAnsi="Times New Roman" w:cs="Times New Roman"/>
                <w:lang w:bidi="he-IL"/>
              </w:rPr>
              <w:t>(On-going) Requirement 2</w:t>
            </w:r>
          </w:p>
        </w:tc>
        <w:tc>
          <w:tcPr>
            <w:tcW w:w="705" w:type="pct"/>
            <w:tcBorders>
              <w:top w:val="single" w:sz="4" w:space="0" w:color="auto"/>
              <w:left w:val="single" w:sz="4" w:space="0" w:color="auto"/>
              <w:bottom w:val="single" w:sz="4" w:space="0" w:color="auto"/>
              <w:right w:val="single" w:sz="4" w:space="0" w:color="auto"/>
            </w:tcBorders>
            <w:hideMark/>
          </w:tcPr>
          <w:p w14:paraId="6EA07657"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 (PC &amp; TP)</w:t>
            </w:r>
          </w:p>
        </w:tc>
        <w:tc>
          <w:tcPr>
            <w:tcW w:w="660" w:type="pct"/>
            <w:tcBorders>
              <w:top w:val="single" w:sz="4" w:space="0" w:color="auto"/>
              <w:left w:val="single" w:sz="4" w:space="0" w:color="auto"/>
              <w:bottom w:val="single" w:sz="4" w:space="0" w:color="auto"/>
              <w:right w:val="single" w:sz="4" w:space="0" w:color="auto"/>
            </w:tcBorders>
            <w:hideMark/>
          </w:tcPr>
          <w:p w14:paraId="1CE8D96D"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w:t>
            </w:r>
          </w:p>
        </w:tc>
        <w:tc>
          <w:tcPr>
            <w:tcW w:w="673" w:type="pct"/>
            <w:tcBorders>
              <w:top w:val="single" w:sz="4" w:space="0" w:color="auto"/>
              <w:left w:val="single" w:sz="4" w:space="0" w:color="auto"/>
              <w:bottom w:val="single" w:sz="4" w:space="0" w:color="auto"/>
              <w:right w:val="single" w:sz="4" w:space="0" w:color="auto"/>
            </w:tcBorders>
            <w:hideMark/>
          </w:tcPr>
          <w:p w14:paraId="2BE9DAC7"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w:t>
            </w:r>
          </w:p>
        </w:tc>
        <w:tc>
          <w:tcPr>
            <w:tcW w:w="694" w:type="pct"/>
            <w:tcBorders>
              <w:top w:val="single" w:sz="4" w:space="0" w:color="auto"/>
              <w:left w:val="single" w:sz="4" w:space="0" w:color="auto"/>
              <w:bottom w:val="single" w:sz="4" w:space="0" w:color="auto"/>
              <w:right w:val="single" w:sz="4" w:space="0" w:color="auto"/>
            </w:tcBorders>
            <w:hideMark/>
          </w:tcPr>
          <w:p w14:paraId="457AD644"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 xml:space="preserve"> Eng. 5 hrs. ($331.75); RK 3 hrs.  ($112.35) </w:t>
            </w:r>
          </w:p>
        </w:tc>
        <w:tc>
          <w:tcPr>
            <w:tcW w:w="765" w:type="pct"/>
            <w:tcBorders>
              <w:top w:val="single" w:sz="4" w:space="0" w:color="auto"/>
              <w:left w:val="single" w:sz="4" w:space="0" w:color="auto"/>
              <w:bottom w:val="single" w:sz="4" w:space="0" w:color="auto"/>
              <w:right w:val="single" w:sz="4" w:space="0" w:color="auto"/>
            </w:tcBorders>
            <w:hideMark/>
          </w:tcPr>
          <w:p w14:paraId="147ABD9B"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 xml:space="preserve">968 hrs. (605 Eng., 363 RK); $53,736.10 ($40,141.75 Eng., $13,594.35 RK)  </w:t>
            </w:r>
          </w:p>
        </w:tc>
        <w:tc>
          <w:tcPr>
            <w:tcW w:w="566" w:type="pct"/>
            <w:tcBorders>
              <w:top w:val="single" w:sz="4" w:space="0" w:color="auto"/>
              <w:left w:val="single" w:sz="4" w:space="0" w:color="auto"/>
              <w:bottom w:val="single" w:sz="4" w:space="0" w:color="auto"/>
              <w:right w:val="single" w:sz="4" w:space="0" w:color="auto"/>
            </w:tcBorders>
            <w:hideMark/>
          </w:tcPr>
          <w:p w14:paraId="43C8A10D"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$444.10</w:t>
            </w:r>
          </w:p>
        </w:tc>
      </w:tr>
      <w:tr w:rsidR="0058558B" w:rsidRPr="0058558B" w14:paraId="363CF63B" w14:textId="77777777" w:rsidTr="00C53CB0">
        <w:trPr>
          <w:cantSplit/>
        </w:trPr>
        <w:tc>
          <w:tcPr>
            <w:tcW w:w="937" w:type="pct"/>
            <w:tcBorders>
              <w:top w:val="single" w:sz="4" w:space="0" w:color="auto"/>
              <w:left w:val="single" w:sz="4" w:space="0" w:color="auto"/>
              <w:bottom w:val="single" w:sz="4" w:space="0" w:color="auto"/>
              <w:right w:val="single" w:sz="4" w:space="0" w:color="auto"/>
            </w:tcBorders>
            <w:hideMark/>
          </w:tcPr>
          <w:p w14:paraId="164B00B7" w14:textId="77777777" w:rsidR="0058558B" w:rsidRPr="0058558B" w:rsidRDefault="0058558B" w:rsidP="00C53CB0">
            <w:pPr>
              <w:widowControl w:val="0"/>
              <w:autoSpaceDE w:val="0"/>
              <w:autoSpaceDN w:val="0"/>
              <w:adjustRightInd w:val="0"/>
              <w:spacing w:after="0" w:line="240" w:lineRule="auto"/>
              <w:rPr>
                <w:rFonts w:ascii="Times New Roman" w:eastAsia="Calibri" w:hAnsi="Times New Roman" w:cs="Times New Roman"/>
                <w:lang w:bidi="he-IL"/>
              </w:rPr>
            </w:pPr>
            <w:r w:rsidRPr="0058558B">
              <w:rPr>
                <w:rFonts w:ascii="Times New Roman" w:eastAsia="Calibri" w:hAnsi="Times New Roman" w:cs="Times New Roman"/>
                <w:lang w:bidi="he-IL"/>
              </w:rPr>
              <w:t>(One-time) Requirement 3</w:t>
            </w:r>
          </w:p>
        </w:tc>
        <w:tc>
          <w:tcPr>
            <w:tcW w:w="705" w:type="pct"/>
            <w:tcBorders>
              <w:top w:val="single" w:sz="4" w:space="0" w:color="auto"/>
              <w:left w:val="single" w:sz="4" w:space="0" w:color="auto"/>
              <w:bottom w:val="single" w:sz="4" w:space="0" w:color="auto"/>
              <w:right w:val="single" w:sz="4" w:space="0" w:color="auto"/>
            </w:tcBorders>
            <w:hideMark/>
          </w:tcPr>
          <w:p w14:paraId="5667214E"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 (PC &amp; TP)</w:t>
            </w:r>
          </w:p>
        </w:tc>
        <w:tc>
          <w:tcPr>
            <w:tcW w:w="660" w:type="pct"/>
            <w:tcBorders>
              <w:top w:val="single" w:sz="4" w:space="0" w:color="auto"/>
              <w:left w:val="single" w:sz="4" w:space="0" w:color="auto"/>
              <w:bottom w:val="single" w:sz="4" w:space="0" w:color="auto"/>
              <w:right w:val="single" w:sz="4" w:space="0" w:color="auto"/>
            </w:tcBorders>
            <w:hideMark/>
          </w:tcPr>
          <w:p w14:paraId="4D75A05A"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w:t>
            </w:r>
          </w:p>
        </w:tc>
        <w:tc>
          <w:tcPr>
            <w:tcW w:w="673" w:type="pct"/>
            <w:tcBorders>
              <w:top w:val="single" w:sz="4" w:space="0" w:color="auto"/>
              <w:left w:val="single" w:sz="4" w:space="0" w:color="auto"/>
              <w:bottom w:val="single" w:sz="4" w:space="0" w:color="auto"/>
              <w:right w:val="single" w:sz="4" w:space="0" w:color="auto"/>
            </w:tcBorders>
            <w:hideMark/>
          </w:tcPr>
          <w:p w14:paraId="34956F91"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w:t>
            </w:r>
          </w:p>
        </w:tc>
        <w:tc>
          <w:tcPr>
            <w:tcW w:w="694" w:type="pct"/>
            <w:tcBorders>
              <w:top w:val="single" w:sz="4" w:space="0" w:color="auto"/>
              <w:left w:val="single" w:sz="4" w:space="0" w:color="auto"/>
              <w:bottom w:val="single" w:sz="4" w:space="0" w:color="auto"/>
              <w:right w:val="single" w:sz="4" w:space="0" w:color="auto"/>
            </w:tcBorders>
            <w:hideMark/>
          </w:tcPr>
          <w:p w14:paraId="63E5E378"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Eng. 5 hrs. ($331.75); RK 3 hrs. ($112.35)</w:t>
            </w:r>
          </w:p>
        </w:tc>
        <w:tc>
          <w:tcPr>
            <w:tcW w:w="765" w:type="pct"/>
            <w:tcBorders>
              <w:top w:val="single" w:sz="4" w:space="0" w:color="auto"/>
              <w:left w:val="single" w:sz="4" w:space="0" w:color="auto"/>
              <w:bottom w:val="single" w:sz="4" w:space="0" w:color="auto"/>
              <w:right w:val="single" w:sz="4" w:space="0" w:color="auto"/>
            </w:tcBorders>
            <w:hideMark/>
          </w:tcPr>
          <w:p w14:paraId="05544B9D"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 xml:space="preserve">968 hrs. (605 Eng., 363 RK); $53,736.10 ($40,141.75 Eng., $13,594.35 RK)  </w:t>
            </w:r>
          </w:p>
        </w:tc>
        <w:tc>
          <w:tcPr>
            <w:tcW w:w="566" w:type="pct"/>
            <w:tcBorders>
              <w:top w:val="single" w:sz="4" w:space="0" w:color="auto"/>
              <w:left w:val="single" w:sz="4" w:space="0" w:color="auto"/>
              <w:bottom w:val="single" w:sz="4" w:space="0" w:color="auto"/>
              <w:right w:val="single" w:sz="4" w:space="0" w:color="auto"/>
            </w:tcBorders>
            <w:hideMark/>
          </w:tcPr>
          <w:p w14:paraId="0DE5716C"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$444.10</w:t>
            </w:r>
          </w:p>
        </w:tc>
      </w:tr>
      <w:tr w:rsidR="0058558B" w:rsidRPr="0058558B" w14:paraId="2337EDE8" w14:textId="77777777" w:rsidTr="00C53CB0">
        <w:trPr>
          <w:cantSplit/>
        </w:trPr>
        <w:tc>
          <w:tcPr>
            <w:tcW w:w="937" w:type="pct"/>
            <w:tcBorders>
              <w:top w:val="single" w:sz="4" w:space="0" w:color="auto"/>
              <w:left w:val="single" w:sz="4" w:space="0" w:color="auto"/>
              <w:bottom w:val="single" w:sz="4" w:space="0" w:color="auto"/>
              <w:right w:val="single" w:sz="4" w:space="0" w:color="auto"/>
            </w:tcBorders>
            <w:hideMark/>
          </w:tcPr>
          <w:p w14:paraId="5BBEFF89" w14:textId="77777777" w:rsidR="0058558B" w:rsidRPr="0058558B" w:rsidRDefault="0058558B" w:rsidP="00C53CB0">
            <w:pPr>
              <w:widowControl w:val="0"/>
              <w:autoSpaceDE w:val="0"/>
              <w:autoSpaceDN w:val="0"/>
              <w:adjustRightInd w:val="0"/>
              <w:spacing w:after="0" w:line="240" w:lineRule="auto"/>
              <w:rPr>
                <w:rFonts w:ascii="Times New Roman" w:eastAsia="Calibri" w:hAnsi="Times New Roman" w:cs="Times New Roman"/>
                <w:lang w:bidi="he-IL"/>
              </w:rPr>
            </w:pPr>
            <w:r w:rsidRPr="0058558B">
              <w:rPr>
                <w:rFonts w:ascii="Times New Roman" w:eastAsia="Calibri" w:hAnsi="Times New Roman" w:cs="Times New Roman"/>
                <w:lang w:bidi="he-IL"/>
              </w:rPr>
              <w:t>(On-going)</w:t>
            </w:r>
          </w:p>
          <w:p w14:paraId="495E1D42" w14:textId="77777777" w:rsidR="0058558B" w:rsidRPr="0058558B" w:rsidRDefault="0058558B" w:rsidP="00C53CB0">
            <w:pPr>
              <w:widowControl w:val="0"/>
              <w:autoSpaceDE w:val="0"/>
              <w:autoSpaceDN w:val="0"/>
              <w:adjustRightInd w:val="0"/>
              <w:spacing w:after="0" w:line="240" w:lineRule="auto"/>
              <w:rPr>
                <w:rFonts w:ascii="Times New Roman" w:eastAsia="Calibri" w:hAnsi="Times New Roman" w:cs="Times New Roman"/>
                <w:lang w:bidi="he-IL"/>
              </w:rPr>
            </w:pPr>
            <w:r w:rsidRPr="0058558B">
              <w:rPr>
                <w:rFonts w:ascii="Times New Roman" w:eastAsia="Calibri" w:hAnsi="Times New Roman" w:cs="Times New Roman"/>
                <w:lang w:bidi="he-IL"/>
              </w:rPr>
              <w:t>Requirement 3</w:t>
            </w:r>
          </w:p>
        </w:tc>
        <w:tc>
          <w:tcPr>
            <w:tcW w:w="705" w:type="pct"/>
            <w:tcBorders>
              <w:top w:val="single" w:sz="4" w:space="0" w:color="auto"/>
              <w:left w:val="single" w:sz="4" w:space="0" w:color="auto"/>
              <w:bottom w:val="single" w:sz="4" w:space="0" w:color="auto"/>
              <w:right w:val="single" w:sz="4" w:space="0" w:color="auto"/>
            </w:tcBorders>
            <w:hideMark/>
          </w:tcPr>
          <w:p w14:paraId="3A955BCC"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 (PC &amp; TP)</w:t>
            </w:r>
          </w:p>
        </w:tc>
        <w:tc>
          <w:tcPr>
            <w:tcW w:w="660" w:type="pct"/>
            <w:tcBorders>
              <w:top w:val="single" w:sz="4" w:space="0" w:color="auto"/>
              <w:left w:val="single" w:sz="4" w:space="0" w:color="auto"/>
              <w:bottom w:val="single" w:sz="4" w:space="0" w:color="auto"/>
              <w:right w:val="single" w:sz="4" w:space="0" w:color="auto"/>
            </w:tcBorders>
            <w:hideMark/>
          </w:tcPr>
          <w:p w14:paraId="0EEF6D64"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w:t>
            </w:r>
          </w:p>
        </w:tc>
        <w:tc>
          <w:tcPr>
            <w:tcW w:w="673" w:type="pct"/>
            <w:tcBorders>
              <w:top w:val="single" w:sz="4" w:space="0" w:color="auto"/>
              <w:left w:val="single" w:sz="4" w:space="0" w:color="auto"/>
              <w:bottom w:val="single" w:sz="4" w:space="0" w:color="auto"/>
              <w:right w:val="single" w:sz="4" w:space="0" w:color="auto"/>
            </w:tcBorders>
            <w:hideMark/>
          </w:tcPr>
          <w:p w14:paraId="1244455C"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w:t>
            </w:r>
          </w:p>
        </w:tc>
        <w:tc>
          <w:tcPr>
            <w:tcW w:w="694" w:type="pct"/>
            <w:tcBorders>
              <w:top w:val="single" w:sz="4" w:space="0" w:color="auto"/>
              <w:left w:val="single" w:sz="4" w:space="0" w:color="auto"/>
              <w:bottom w:val="single" w:sz="4" w:space="0" w:color="auto"/>
              <w:right w:val="single" w:sz="4" w:space="0" w:color="auto"/>
            </w:tcBorders>
            <w:hideMark/>
          </w:tcPr>
          <w:p w14:paraId="60259E75"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 xml:space="preserve"> Eng. 1 hrs. ($66.35);  RK 1 hrs. ($37.45)  </w:t>
            </w:r>
          </w:p>
        </w:tc>
        <w:tc>
          <w:tcPr>
            <w:tcW w:w="765" w:type="pct"/>
            <w:tcBorders>
              <w:top w:val="single" w:sz="4" w:space="0" w:color="auto"/>
              <w:left w:val="single" w:sz="4" w:space="0" w:color="auto"/>
              <w:bottom w:val="single" w:sz="4" w:space="0" w:color="auto"/>
              <w:right w:val="single" w:sz="4" w:space="0" w:color="auto"/>
            </w:tcBorders>
            <w:hideMark/>
          </w:tcPr>
          <w:p w14:paraId="1E3CC5A6"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242 hrs. (121 Eng., 121 RK); $12,559.80 ($8,028.35 Eng., $4,531.45 RK)</w:t>
            </w:r>
          </w:p>
        </w:tc>
        <w:tc>
          <w:tcPr>
            <w:tcW w:w="566" w:type="pct"/>
            <w:tcBorders>
              <w:top w:val="single" w:sz="4" w:space="0" w:color="auto"/>
              <w:left w:val="single" w:sz="4" w:space="0" w:color="auto"/>
              <w:bottom w:val="single" w:sz="4" w:space="0" w:color="auto"/>
              <w:right w:val="single" w:sz="4" w:space="0" w:color="auto"/>
            </w:tcBorders>
            <w:hideMark/>
          </w:tcPr>
          <w:p w14:paraId="1C772E4C"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$103.80</w:t>
            </w:r>
          </w:p>
        </w:tc>
      </w:tr>
      <w:tr w:rsidR="0058558B" w:rsidRPr="0058558B" w14:paraId="4EC47AB5" w14:textId="77777777" w:rsidTr="00C53CB0">
        <w:trPr>
          <w:cantSplit/>
        </w:trPr>
        <w:tc>
          <w:tcPr>
            <w:tcW w:w="937" w:type="pct"/>
            <w:tcBorders>
              <w:top w:val="single" w:sz="4" w:space="0" w:color="auto"/>
              <w:left w:val="single" w:sz="4" w:space="0" w:color="auto"/>
              <w:bottom w:val="single" w:sz="4" w:space="0" w:color="auto"/>
              <w:right w:val="single" w:sz="4" w:space="0" w:color="auto"/>
            </w:tcBorders>
            <w:hideMark/>
          </w:tcPr>
          <w:p w14:paraId="33AE9E05" w14:textId="77777777" w:rsidR="0058558B" w:rsidRPr="0058558B" w:rsidRDefault="0058558B" w:rsidP="00C53CB0">
            <w:pPr>
              <w:widowControl w:val="0"/>
              <w:autoSpaceDE w:val="0"/>
              <w:autoSpaceDN w:val="0"/>
              <w:adjustRightInd w:val="0"/>
              <w:spacing w:after="0" w:line="240" w:lineRule="auto"/>
              <w:rPr>
                <w:rFonts w:ascii="Times New Roman" w:eastAsia="Calibri" w:hAnsi="Times New Roman" w:cs="Times New Roman"/>
                <w:lang w:bidi="he-IL"/>
              </w:rPr>
            </w:pPr>
            <w:r w:rsidRPr="0058558B">
              <w:rPr>
                <w:rFonts w:ascii="Times New Roman" w:eastAsia="Calibri" w:hAnsi="Times New Roman" w:cs="Times New Roman"/>
                <w:lang w:bidi="he-IL"/>
              </w:rPr>
              <w:t>(On-going) Requirement 4</w:t>
            </w:r>
          </w:p>
        </w:tc>
        <w:tc>
          <w:tcPr>
            <w:tcW w:w="705" w:type="pct"/>
            <w:tcBorders>
              <w:top w:val="single" w:sz="4" w:space="0" w:color="auto"/>
              <w:left w:val="single" w:sz="4" w:space="0" w:color="auto"/>
              <w:bottom w:val="single" w:sz="4" w:space="0" w:color="auto"/>
              <w:right w:val="single" w:sz="4" w:space="0" w:color="auto"/>
            </w:tcBorders>
            <w:hideMark/>
          </w:tcPr>
          <w:p w14:paraId="4CF0FD42"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 (PC &amp; TP)</w:t>
            </w:r>
          </w:p>
        </w:tc>
        <w:tc>
          <w:tcPr>
            <w:tcW w:w="660" w:type="pct"/>
            <w:tcBorders>
              <w:top w:val="single" w:sz="4" w:space="0" w:color="auto"/>
              <w:left w:val="single" w:sz="4" w:space="0" w:color="auto"/>
              <w:bottom w:val="single" w:sz="4" w:space="0" w:color="auto"/>
              <w:right w:val="single" w:sz="4" w:space="0" w:color="auto"/>
            </w:tcBorders>
            <w:hideMark/>
          </w:tcPr>
          <w:p w14:paraId="5430A5D7"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w:t>
            </w:r>
          </w:p>
        </w:tc>
        <w:tc>
          <w:tcPr>
            <w:tcW w:w="673" w:type="pct"/>
            <w:tcBorders>
              <w:top w:val="single" w:sz="4" w:space="0" w:color="auto"/>
              <w:left w:val="single" w:sz="4" w:space="0" w:color="auto"/>
              <w:bottom w:val="single" w:sz="4" w:space="0" w:color="auto"/>
              <w:right w:val="single" w:sz="4" w:space="0" w:color="auto"/>
            </w:tcBorders>
            <w:hideMark/>
          </w:tcPr>
          <w:p w14:paraId="69571347"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w:t>
            </w:r>
          </w:p>
        </w:tc>
        <w:tc>
          <w:tcPr>
            <w:tcW w:w="694" w:type="pct"/>
            <w:tcBorders>
              <w:top w:val="single" w:sz="4" w:space="0" w:color="auto"/>
              <w:left w:val="single" w:sz="4" w:space="0" w:color="auto"/>
              <w:bottom w:val="single" w:sz="4" w:space="0" w:color="auto"/>
              <w:right w:val="single" w:sz="4" w:space="0" w:color="auto"/>
            </w:tcBorders>
            <w:hideMark/>
          </w:tcPr>
          <w:p w14:paraId="4C8B7364"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 xml:space="preserve">Eng. 27 hrs. ($1,791.45); RK 21 hrs. ($786.45) </w:t>
            </w:r>
          </w:p>
        </w:tc>
        <w:tc>
          <w:tcPr>
            <w:tcW w:w="765" w:type="pct"/>
            <w:tcBorders>
              <w:top w:val="single" w:sz="4" w:space="0" w:color="auto"/>
              <w:left w:val="single" w:sz="4" w:space="0" w:color="auto"/>
              <w:bottom w:val="single" w:sz="4" w:space="0" w:color="auto"/>
              <w:right w:val="single" w:sz="4" w:space="0" w:color="auto"/>
            </w:tcBorders>
            <w:hideMark/>
          </w:tcPr>
          <w:p w14:paraId="1CD6B30C"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5,808 hrs. (3,267 Eng., 2,541 RK); $311,919.85 ($216,765.45 Eng., $95,154.40 RK)</w:t>
            </w:r>
          </w:p>
        </w:tc>
        <w:tc>
          <w:tcPr>
            <w:tcW w:w="566" w:type="pct"/>
            <w:tcBorders>
              <w:top w:val="single" w:sz="4" w:space="0" w:color="auto"/>
              <w:left w:val="single" w:sz="4" w:space="0" w:color="auto"/>
              <w:bottom w:val="single" w:sz="4" w:space="0" w:color="auto"/>
              <w:right w:val="single" w:sz="4" w:space="0" w:color="auto"/>
            </w:tcBorders>
            <w:hideMark/>
          </w:tcPr>
          <w:p w14:paraId="739FA687"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$2,277.85</w:t>
            </w:r>
          </w:p>
        </w:tc>
      </w:tr>
      <w:tr w:rsidR="0058558B" w:rsidRPr="0058558B" w14:paraId="7E9B6597" w14:textId="77777777" w:rsidTr="00C53CB0">
        <w:trPr>
          <w:cantSplit/>
        </w:trPr>
        <w:tc>
          <w:tcPr>
            <w:tcW w:w="937" w:type="pct"/>
            <w:tcBorders>
              <w:top w:val="single" w:sz="4" w:space="0" w:color="auto"/>
              <w:left w:val="single" w:sz="4" w:space="0" w:color="auto"/>
              <w:bottom w:val="single" w:sz="4" w:space="0" w:color="auto"/>
              <w:right w:val="single" w:sz="4" w:space="0" w:color="auto"/>
            </w:tcBorders>
            <w:hideMark/>
          </w:tcPr>
          <w:p w14:paraId="62A460B9" w14:textId="77777777" w:rsidR="0058558B" w:rsidRPr="0058558B" w:rsidRDefault="0058558B" w:rsidP="00C53CB0">
            <w:pPr>
              <w:widowControl w:val="0"/>
              <w:autoSpaceDE w:val="0"/>
              <w:autoSpaceDN w:val="0"/>
              <w:adjustRightInd w:val="0"/>
              <w:spacing w:after="0" w:line="240" w:lineRule="auto"/>
              <w:rPr>
                <w:rFonts w:ascii="Times New Roman" w:eastAsia="Calibri" w:hAnsi="Times New Roman" w:cs="Times New Roman"/>
                <w:lang w:bidi="he-IL"/>
              </w:rPr>
            </w:pPr>
            <w:r w:rsidRPr="0058558B">
              <w:rPr>
                <w:rFonts w:ascii="Times New Roman" w:eastAsia="Calibri" w:hAnsi="Times New Roman" w:cs="Times New Roman"/>
                <w:lang w:bidi="he-IL"/>
              </w:rPr>
              <w:t>(On-going) Requirement 5</w:t>
            </w:r>
          </w:p>
        </w:tc>
        <w:tc>
          <w:tcPr>
            <w:tcW w:w="705" w:type="pct"/>
            <w:tcBorders>
              <w:top w:val="single" w:sz="4" w:space="0" w:color="auto"/>
              <w:left w:val="single" w:sz="4" w:space="0" w:color="auto"/>
              <w:bottom w:val="single" w:sz="4" w:space="0" w:color="auto"/>
              <w:right w:val="single" w:sz="4" w:space="0" w:color="auto"/>
            </w:tcBorders>
            <w:hideMark/>
          </w:tcPr>
          <w:p w14:paraId="571F736B"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 (PC &amp; TP)</w:t>
            </w:r>
          </w:p>
        </w:tc>
        <w:tc>
          <w:tcPr>
            <w:tcW w:w="660" w:type="pct"/>
            <w:tcBorders>
              <w:top w:val="single" w:sz="4" w:space="0" w:color="auto"/>
              <w:left w:val="single" w:sz="4" w:space="0" w:color="auto"/>
              <w:bottom w:val="single" w:sz="4" w:space="0" w:color="auto"/>
              <w:right w:val="single" w:sz="4" w:space="0" w:color="auto"/>
            </w:tcBorders>
            <w:hideMark/>
          </w:tcPr>
          <w:p w14:paraId="6C9BC462"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w:t>
            </w:r>
          </w:p>
        </w:tc>
        <w:tc>
          <w:tcPr>
            <w:tcW w:w="673" w:type="pct"/>
            <w:tcBorders>
              <w:top w:val="single" w:sz="4" w:space="0" w:color="auto"/>
              <w:left w:val="single" w:sz="4" w:space="0" w:color="auto"/>
              <w:bottom w:val="single" w:sz="4" w:space="0" w:color="auto"/>
              <w:right w:val="single" w:sz="4" w:space="0" w:color="auto"/>
            </w:tcBorders>
            <w:hideMark/>
          </w:tcPr>
          <w:p w14:paraId="2EC9CEC0"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w:t>
            </w:r>
          </w:p>
        </w:tc>
        <w:tc>
          <w:tcPr>
            <w:tcW w:w="694" w:type="pct"/>
            <w:tcBorders>
              <w:top w:val="single" w:sz="4" w:space="0" w:color="auto"/>
              <w:left w:val="single" w:sz="4" w:space="0" w:color="auto"/>
              <w:bottom w:val="single" w:sz="4" w:space="0" w:color="auto"/>
              <w:right w:val="single" w:sz="4" w:space="0" w:color="auto"/>
            </w:tcBorders>
            <w:hideMark/>
          </w:tcPr>
          <w:p w14:paraId="0F0D6C00"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 xml:space="preserve">Eng. 9 hrs. ($597.15); RK 7 hrs. ($262.15) </w:t>
            </w:r>
          </w:p>
        </w:tc>
        <w:tc>
          <w:tcPr>
            <w:tcW w:w="765" w:type="pct"/>
            <w:tcBorders>
              <w:top w:val="single" w:sz="4" w:space="0" w:color="auto"/>
              <w:left w:val="single" w:sz="4" w:space="0" w:color="auto"/>
              <w:bottom w:val="single" w:sz="4" w:space="0" w:color="auto"/>
              <w:right w:val="single" w:sz="4" w:space="0" w:color="auto"/>
            </w:tcBorders>
            <w:hideMark/>
          </w:tcPr>
          <w:p w14:paraId="10F50416"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 xml:space="preserve">1936 hrs. (1,089 Eng., 847 RK); $103,975.30 ($72,255.15 Eng., $31,720.15 RK) </w:t>
            </w:r>
          </w:p>
        </w:tc>
        <w:tc>
          <w:tcPr>
            <w:tcW w:w="566" w:type="pct"/>
            <w:tcBorders>
              <w:top w:val="single" w:sz="4" w:space="0" w:color="auto"/>
              <w:left w:val="single" w:sz="4" w:space="0" w:color="auto"/>
              <w:bottom w:val="single" w:sz="4" w:space="0" w:color="auto"/>
              <w:right w:val="single" w:sz="4" w:space="0" w:color="auto"/>
            </w:tcBorders>
            <w:hideMark/>
          </w:tcPr>
          <w:p w14:paraId="22AA696E"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$859.30</w:t>
            </w:r>
          </w:p>
        </w:tc>
      </w:tr>
      <w:tr w:rsidR="0058558B" w:rsidRPr="0058558B" w14:paraId="5163FEFF" w14:textId="77777777" w:rsidTr="00C53CB0">
        <w:trPr>
          <w:cantSplit/>
        </w:trPr>
        <w:tc>
          <w:tcPr>
            <w:tcW w:w="937" w:type="pct"/>
            <w:tcBorders>
              <w:top w:val="single" w:sz="4" w:space="0" w:color="auto"/>
              <w:left w:val="single" w:sz="4" w:space="0" w:color="auto"/>
              <w:bottom w:val="single" w:sz="4" w:space="0" w:color="auto"/>
              <w:right w:val="single" w:sz="4" w:space="0" w:color="auto"/>
            </w:tcBorders>
            <w:hideMark/>
          </w:tcPr>
          <w:p w14:paraId="2A9560BF" w14:textId="77777777" w:rsidR="0058558B" w:rsidRPr="0058558B" w:rsidRDefault="0058558B" w:rsidP="00C53CB0">
            <w:pPr>
              <w:widowControl w:val="0"/>
              <w:autoSpaceDE w:val="0"/>
              <w:autoSpaceDN w:val="0"/>
              <w:adjustRightInd w:val="0"/>
              <w:spacing w:after="0" w:line="240" w:lineRule="auto"/>
              <w:rPr>
                <w:rFonts w:ascii="Times New Roman" w:eastAsia="Calibri" w:hAnsi="Times New Roman" w:cs="Times New Roman"/>
                <w:lang w:bidi="he-IL"/>
              </w:rPr>
            </w:pPr>
            <w:r w:rsidRPr="0058558B">
              <w:rPr>
                <w:rFonts w:ascii="Times New Roman" w:eastAsia="Calibri" w:hAnsi="Times New Roman" w:cs="Times New Roman"/>
                <w:lang w:bidi="he-IL"/>
              </w:rPr>
              <w:t xml:space="preserve">(One-time) Requirement 6 </w:t>
            </w:r>
          </w:p>
        </w:tc>
        <w:tc>
          <w:tcPr>
            <w:tcW w:w="705" w:type="pct"/>
            <w:tcBorders>
              <w:top w:val="single" w:sz="4" w:space="0" w:color="auto"/>
              <w:left w:val="single" w:sz="4" w:space="0" w:color="auto"/>
              <w:bottom w:val="single" w:sz="4" w:space="0" w:color="auto"/>
              <w:right w:val="single" w:sz="4" w:space="0" w:color="auto"/>
            </w:tcBorders>
            <w:hideMark/>
          </w:tcPr>
          <w:p w14:paraId="3FAD41D9"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881 (TO &amp; GO)</w:t>
            </w:r>
          </w:p>
        </w:tc>
        <w:tc>
          <w:tcPr>
            <w:tcW w:w="660" w:type="pct"/>
            <w:tcBorders>
              <w:top w:val="single" w:sz="4" w:space="0" w:color="auto"/>
              <w:left w:val="single" w:sz="4" w:space="0" w:color="auto"/>
              <w:bottom w:val="single" w:sz="4" w:space="0" w:color="auto"/>
              <w:right w:val="single" w:sz="4" w:space="0" w:color="auto"/>
            </w:tcBorders>
            <w:hideMark/>
          </w:tcPr>
          <w:p w14:paraId="74C40017"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w:t>
            </w:r>
          </w:p>
        </w:tc>
        <w:tc>
          <w:tcPr>
            <w:tcW w:w="673" w:type="pct"/>
            <w:tcBorders>
              <w:top w:val="single" w:sz="4" w:space="0" w:color="auto"/>
              <w:left w:val="single" w:sz="4" w:space="0" w:color="auto"/>
              <w:bottom w:val="single" w:sz="4" w:space="0" w:color="auto"/>
              <w:right w:val="single" w:sz="4" w:space="0" w:color="auto"/>
            </w:tcBorders>
            <w:hideMark/>
          </w:tcPr>
          <w:p w14:paraId="1E445F87"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881</w:t>
            </w:r>
          </w:p>
        </w:tc>
        <w:tc>
          <w:tcPr>
            <w:tcW w:w="694" w:type="pct"/>
            <w:tcBorders>
              <w:top w:val="single" w:sz="4" w:space="0" w:color="auto"/>
              <w:left w:val="single" w:sz="4" w:space="0" w:color="auto"/>
              <w:bottom w:val="single" w:sz="4" w:space="0" w:color="auto"/>
              <w:right w:val="single" w:sz="4" w:space="0" w:color="auto"/>
            </w:tcBorders>
            <w:hideMark/>
          </w:tcPr>
          <w:p w14:paraId="40118A8C"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Eng. 22 hrs. ($1,459.70)</w:t>
            </w:r>
            <w:r w:rsidRPr="0058558B">
              <w:rPr>
                <w:rFonts w:ascii="Times New Roman" w:eastAsia="Calibri" w:hAnsi="Times New Roman" w:cs="Times New Roman"/>
                <w:lang w:bidi="he-IL"/>
              </w:rPr>
              <w:lastRenderedPageBreak/>
              <w:t xml:space="preserve">; RK 18 hrs. ($674.19) </w:t>
            </w:r>
          </w:p>
        </w:tc>
        <w:tc>
          <w:tcPr>
            <w:tcW w:w="765" w:type="pct"/>
            <w:tcBorders>
              <w:top w:val="single" w:sz="4" w:space="0" w:color="auto"/>
              <w:left w:val="single" w:sz="4" w:space="0" w:color="auto"/>
              <w:bottom w:val="single" w:sz="4" w:space="0" w:color="auto"/>
              <w:right w:val="single" w:sz="4" w:space="0" w:color="auto"/>
            </w:tcBorders>
            <w:hideMark/>
          </w:tcPr>
          <w:p w14:paraId="7BFCE1CA"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lastRenderedPageBreak/>
              <w:t xml:space="preserve">35,240 hrs. (19,382 Eng., 15,858 RK); </w:t>
            </w:r>
            <w:r w:rsidRPr="0058558B">
              <w:rPr>
                <w:rFonts w:ascii="Times New Roman" w:eastAsia="Calibri" w:hAnsi="Times New Roman" w:cs="Times New Roman"/>
                <w:lang w:bidi="he-IL"/>
              </w:rPr>
              <w:lastRenderedPageBreak/>
              <w:t xml:space="preserve">$1,879,957.09 ($1,285,995.70 Eng., $593,961.39 RK) </w:t>
            </w:r>
          </w:p>
        </w:tc>
        <w:tc>
          <w:tcPr>
            <w:tcW w:w="566" w:type="pct"/>
            <w:tcBorders>
              <w:top w:val="single" w:sz="4" w:space="0" w:color="auto"/>
              <w:left w:val="single" w:sz="4" w:space="0" w:color="auto"/>
              <w:bottom w:val="single" w:sz="4" w:space="0" w:color="auto"/>
              <w:right w:val="single" w:sz="4" w:space="0" w:color="auto"/>
            </w:tcBorders>
            <w:hideMark/>
          </w:tcPr>
          <w:p w14:paraId="2F6F06C8"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lastRenderedPageBreak/>
              <w:t>$2,133.89</w:t>
            </w:r>
          </w:p>
        </w:tc>
      </w:tr>
      <w:tr w:rsidR="0058558B" w:rsidRPr="0058558B" w14:paraId="27B1C0A3" w14:textId="77777777" w:rsidTr="00C53CB0">
        <w:trPr>
          <w:cantSplit/>
          <w:trHeight w:val="512"/>
        </w:trPr>
        <w:tc>
          <w:tcPr>
            <w:tcW w:w="937" w:type="pct"/>
            <w:tcBorders>
              <w:top w:val="single" w:sz="4" w:space="0" w:color="auto"/>
              <w:left w:val="single" w:sz="4" w:space="0" w:color="auto"/>
              <w:bottom w:val="single" w:sz="4" w:space="0" w:color="auto"/>
              <w:right w:val="single" w:sz="4" w:space="0" w:color="auto"/>
            </w:tcBorders>
            <w:hideMark/>
          </w:tcPr>
          <w:p w14:paraId="043A5C66" w14:textId="77777777" w:rsidR="0058558B" w:rsidRPr="0058558B" w:rsidRDefault="0058558B" w:rsidP="00C53CB0">
            <w:pPr>
              <w:widowControl w:val="0"/>
              <w:autoSpaceDE w:val="0"/>
              <w:autoSpaceDN w:val="0"/>
              <w:adjustRightInd w:val="0"/>
              <w:spacing w:after="0" w:line="240" w:lineRule="auto"/>
              <w:rPr>
                <w:rFonts w:ascii="Times New Roman" w:eastAsia="Calibri" w:hAnsi="Times New Roman" w:cs="Times New Roman"/>
                <w:lang w:bidi="he-IL"/>
              </w:rPr>
            </w:pPr>
            <w:r w:rsidRPr="0058558B">
              <w:rPr>
                <w:rFonts w:ascii="Times New Roman" w:eastAsia="Calibri" w:hAnsi="Times New Roman" w:cs="Times New Roman"/>
                <w:lang w:bidi="he-IL"/>
              </w:rPr>
              <w:lastRenderedPageBreak/>
              <w:t xml:space="preserve">(On-going) Requirement 6 </w:t>
            </w:r>
          </w:p>
        </w:tc>
        <w:tc>
          <w:tcPr>
            <w:tcW w:w="705" w:type="pct"/>
            <w:tcBorders>
              <w:top w:val="single" w:sz="4" w:space="0" w:color="auto"/>
              <w:left w:val="single" w:sz="4" w:space="0" w:color="auto"/>
              <w:bottom w:val="single" w:sz="4" w:space="0" w:color="auto"/>
              <w:right w:val="single" w:sz="4" w:space="0" w:color="auto"/>
            </w:tcBorders>
            <w:hideMark/>
          </w:tcPr>
          <w:p w14:paraId="4DF76DC6"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881 (TO &amp; GO)</w:t>
            </w:r>
          </w:p>
        </w:tc>
        <w:tc>
          <w:tcPr>
            <w:tcW w:w="660" w:type="pct"/>
            <w:tcBorders>
              <w:top w:val="single" w:sz="4" w:space="0" w:color="auto"/>
              <w:left w:val="single" w:sz="4" w:space="0" w:color="auto"/>
              <w:bottom w:val="single" w:sz="4" w:space="0" w:color="auto"/>
              <w:right w:val="single" w:sz="4" w:space="0" w:color="auto"/>
            </w:tcBorders>
            <w:hideMark/>
          </w:tcPr>
          <w:p w14:paraId="283B3207"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w:t>
            </w:r>
          </w:p>
        </w:tc>
        <w:tc>
          <w:tcPr>
            <w:tcW w:w="673" w:type="pct"/>
            <w:tcBorders>
              <w:top w:val="single" w:sz="4" w:space="0" w:color="auto"/>
              <w:left w:val="single" w:sz="4" w:space="0" w:color="auto"/>
              <w:bottom w:val="single" w:sz="4" w:space="0" w:color="auto"/>
              <w:right w:val="single" w:sz="4" w:space="0" w:color="auto"/>
            </w:tcBorders>
            <w:hideMark/>
          </w:tcPr>
          <w:p w14:paraId="01FAFC01"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881</w:t>
            </w:r>
          </w:p>
        </w:tc>
        <w:tc>
          <w:tcPr>
            <w:tcW w:w="694" w:type="pct"/>
            <w:tcBorders>
              <w:top w:val="single" w:sz="4" w:space="0" w:color="auto"/>
              <w:left w:val="single" w:sz="4" w:space="0" w:color="auto"/>
              <w:bottom w:val="single" w:sz="4" w:space="0" w:color="auto"/>
              <w:right w:val="single" w:sz="4" w:space="0" w:color="auto"/>
            </w:tcBorders>
            <w:hideMark/>
          </w:tcPr>
          <w:p w14:paraId="14A27474"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 xml:space="preserve"> Eng. 2 hrs. ($132.70); RK 2 hrs. ($74.90) </w:t>
            </w:r>
          </w:p>
        </w:tc>
        <w:tc>
          <w:tcPr>
            <w:tcW w:w="765" w:type="pct"/>
            <w:tcBorders>
              <w:top w:val="single" w:sz="4" w:space="0" w:color="auto"/>
              <w:left w:val="single" w:sz="4" w:space="0" w:color="auto"/>
              <w:bottom w:val="single" w:sz="4" w:space="0" w:color="auto"/>
              <w:right w:val="single" w:sz="4" w:space="0" w:color="auto"/>
            </w:tcBorders>
            <w:hideMark/>
          </w:tcPr>
          <w:p w14:paraId="375A4190"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3,524 hrs. (1,762 Eng., 1762 RK); $182,895.60 ($116,908.70 Eng., $65,986.90 RK)</w:t>
            </w:r>
          </w:p>
        </w:tc>
        <w:tc>
          <w:tcPr>
            <w:tcW w:w="566" w:type="pct"/>
            <w:tcBorders>
              <w:top w:val="single" w:sz="4" w:space="0" w:color="auto"/>
              <w:left w:val="single" w:sz="4" w:space="0" w:color="auto"/>
              <w:bottom w:val="single" w:sz="4" w:space="0" w:color="auto"/>
              <w:right w:val="single" w:sz="4" w:space="0" w:color="auto"/>
            </w:tcBorders>
            <w:hideMark/>
          </w:tcPr>
          <w:p w14:paraId="1C91FD5E"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$207.60</w:t>
            </w:r>
          </w:p>
        </w:tc>
      </w:tr>
      <w:tr w:rsidR="0058558B" w:rsidRPr="0058558B" w14:paraId="1C711391" w14:textId="77777777" w:rsidTr="00C53CB0">
        <w:trPr>
          <w:cantSplit/>
        </w:trPr>
        <w:tc>
          <w:tcPr>
            <w:tcW w:w="937" w:type="pct"/>
            <w:tcBorders>
              <w:top w:val="single" w:sz="4" w:space="0" w:color="auto"/>
              <w:left w:val="single" w:sz="4" w:space="0" w:color="auto"/>
              <w:bottom w:val="single" w:sz="4" w:space="0" w:color="auto"/>
              <w:right w:val="single" w:sz="4" w:space="0" w:color="auto"/>
            </w:tcBorders>
            <w:hideMark/>
          </w:tcPr>
          <w:p w14:paraId="6937FD9C" w14:textId="77777777" w:rsidR="0058558B" w:rsidRPr="0058558B" w:rsidRDefault="0058558B" w:rsidP="00C53CB0">
            <w:pPr>
              <w:widowControl w:val="0"/>
              <w:autoSpaceDE w:val="0"/>
              <w:autoSpaceDN w:val="0"/>
              <w:adjustRightInd w:val="0"/>
              <w:spacing w:after="0" w:line="240" w:lineRule="auto"/>
              <w:rPr>
                <w:rFonts w:ascii="Times New Roman" w:eastAsia="Calibri" w:hAnsi="Times New Roman" w:cs="Times New Roman"/>
                <w:lang w:bidi="he-IL"/>
              </w:rPr>
            </w:pPr>
            <w:r w:rsidRPr="0058558B">
              <w:rPr>
                <w:rFonts w:ascii="Times New Roman" w:eastAsia="Calibri" w:hAnsi="Times New Roman" w:cs="Times New Roman"/>
                <w:lang w:bidi="he-IL"/>
              </w:rPr>
              <w:t>(On-going) Requirement 7</w:t>
            </w:r>
          </w:p>
        </w:tc>
        <w:tc>
          <w:tcPr>
            <w:tcW w:w="705" w:type="pct"/>
            <w:tcBorders>
              <w:top w:val="single" w:sz="4" w:space="0" w:color="auto"/>
              <w:left w:val="single" w:sz="4" w:space="0" w:color="auto"/>
              <w:bottom w:val="single" w:sz="4" w:space="0" w:color="auto"/>
              <w:right w:val="single" w:sz="4" w:space="0" w:color="auto"/>
            </w:tcBorders>
            <w:hideMark/>
          </w:tcPr>
          <w:p w14:paraId="2409460E"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 (PC &amp; TP)</w:t>
            </w:r>
          </w:p>
        </w:tc>
        <w:tc>
          <w:tcPr>
            <w:tcW w:w="660" w:type="pct"/>
            <w:tcBorders>
              <w:top w:val="single" w:sz="4" w:space="0" w:color="auto"/>
              <w:left w:val="single" w:sz="4" w:space="0" w:color="auto"/>
              <w:bottom w:val="single" w:sz="4" w:space="0" w:color="auto"/>
              <w:right w:val="single" w:sz="4" w:space="0" w:color="auto"/>
            </w:tcBorders>
            <w:hideMark/>
          </w:tcPr>
          <w:p w14:paraId="12D14EA5"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w:t>
            </w:r>
          </w:p>
        </w:tc>
        <w:tc>
          <w:tcPr>
            <w:tcW w:w="673" w:type="pct"/>
            <w:tcBorders>
              <w:top w:val="single" w:sz="4" w:space="0" w:color="auto"/>
              <w:left w:val="single" w:sz="4" w:space="0" w:color="auto"/>
              <w:bottom w:val="single" w:sz="4" w:space="0" w:color="auto"/>
              <w:right w:val="single" w:sz="4" w:space="0" w:color="auto"/>
            </w:tcBorders>
            <w:hideMark/>
          </w:tcPr>
          <w:p w14:paraId="02C2D554"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121</w:t>
            </w:r>
          </w:p>
        </w:tc>
        <w:tc>
          <w:tcPr>
            <w:tcW w:w="694" w:type="pct"/>
            <w:tcBorders>
              <w:top w:val="single" w:sz="4" w:space="0" w:color="auto"/>
              <w:left w:val="single" w:sz="4" w:space="0" w:color="auto"/>
              <w:bottom w:val="single" w:sz="4" w:space="0" w:color="auto"/>
              <w:right w:val="single" w:sz="4" w:space="0" w:color="auto"/>
            </w:tcBorders>
            <w:hideMark/>
          </w:tcPr>
          <w:p w14:paraId="077EB2A3"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Eng. 11 hrs. ($729.85); RK 9 hrs. ($337.05)</w:t>
            </w:r>
          </w:p>
        </w:tc>
        <w:tc>
          <w:tcPr>
            <w:tcW w:w="765" w:type="pct"/>
            <w:tcBorders>
              <w:top w:val="single" w:sz="4" w:space="0" w:color="auto"/>
              <w:left w:val="single" w:sz="4" w:space="0" w:color="auto"/>
              <w:bottom w:val="single" w:sz="4" w:space="0" w:color="auto"/>
              <w:right w:val="single" w:sz="4" w:space="0" w:color="auto"/>
            </w:tcBorders>
            <w:hideMark/>
          </w:tcPr>
          <w:p w14:paraId="2297D6C2"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2,420 hrs. (1,331 Eng., 1,089 RK); $129,094.90 ($88,311.85 Eng., $40,783.05 RK)</w:t>
            </w:r>
          </w:p>
        </w:tc>
        <w:tc>
          <w:tcPr>
            <w:tcW w:w="566" w:type="pct"/>
            <w:tcBorders>
              <w:top w:val="single" w:sz="4" w:space="0" w:color="auto"/>
              <w:left w:val="single" w:sz="4" w:space="0" w:color="auto"/>
              <w:bottom w:val="single" w:sz="4" w:space="0" w:color="auto"/>
              <w:right w:val="single" w:sz="4" w:space="0" w:color="auto"/>
            </w:tcBorders>
            <w:hideMark/>
          </w:tcPr>
          <w:p w14:paraId="36169C25"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r w:rsidRPr="0058558B">
              <w:rPr>
                <w:rFonts w:ascii="Times New Roman" w:eastAsia="Calibri" w:hAnsi="Times New Roman" w:cs="Times New Roman"/>
                <w:lang w:bidi="he-IL"/>
              </w:rPr>
              <w:t>$1,066.90</w:t>
            </w:r>
          </w:p>
        </w:tc>
      </w:tr>
      <w:tr w:rsidR="0058558B" w:rsidRPr="0058558B" w14:paraId="33654A22" w14:textId="77777777" w:rsidTr="00C53CB0">
        <w:trPr>
          <w:cantSplit/>
          <w:trHeight w:val="485"/>
        </w:trPr>
        <w:tc>
          <w:tcPr>
            <w:tcW w:w="937" w:type="pct"/>
            <w:tcBorders>
              <w:top w:val="single" w:sz="4" w:space="0" w:color="auto"/>
              <w:left w:val="single" w:sz="4" w:space="0" w:color="auto"/>
              <w:bottom w:val="single" w:sz="4" w:space="0" w:color="auto"/>
              <w:right w:val="single" w:sz="4" w:space="0" w:color="auto"/>
            </w:tcBorders>
            <w:hideMark/>
          </w:tcPr>
          <w:p w14:paraId="390874D9" w14:textId="77777777" w:rsidR="0058558B" w:rsidRPr="0058558B" w:rsidRDefault="0058558B" w:rsidP="00C53CB0">
            <w:pPr>
              <w:widowControl w:val="0"/>
              <w:autoSpaceDE w:val="0"/>
              <w:autoSpaceDN w:val="0"/>
              <w:adjustRightInd w:val="0"/>
              <w:spacing w:after="0" w:line="240" w:lineRule="auto"/>
              <w:rPr>
                <w:rFonts w:ascii="Times New Roman" w:eastAsia="Calibri" w:hAnsi="Times New Roman" w:cs="Times New Roman"/>
                <w:b/>
                <w:lang w:bidi="he-IL"/>
              </w:rPr>
            </w:pPr>
            <w:r w:rsidRPr="0058558B">
              <w:rPr>
                <w:rFonts w:ascii="Times New Roman" w:eastAsia="Calibri" w:hAnsi="Times New Roman" w:cs="Times New Roman"/>
                <w:b/>
                <w:lang w:bidi="he-IL"/>
              </w:rPr>
              <w:t>TOTAL</w:t>
            </w:r>
          </w:p>
        </w:tc>
        <w:tc>
          <w:tcPr>
            <w:tcW w:w="1365" w:type="pct"/>
            <w:gridSpan w:val="2"/>
            <w:tcBorders>
              <w:top w:val="single" w:sz="4" w:space="0" w:color="auto"/>
              <w:left w:val="single" w:sz="4" w:space="0" w:color="auto"/>
              <w:bottom w:val="single" w:sz="4" w:space="0" w:color="auto"/>
              <w:right w:val="single" w:sz="4" w:space="0" w:color="auto"/>
            </w:tcBorders>
            <w:shd w:val="clear" w:color="auto" w:fill="BFBFBF"/>
          </w:tcPr>
          <w:p w14:paraId="14777423"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p>
        </w:tc>
        <w:tc>
          <w:tcPr>
            <w:tcW w:w="673" w:type="pct"/>
            <w:tcBorders>
              <w:top w:val="single" w:sz="4" w:space="0" w:color="auto"/>
              <w:left w:val="single" w:sz="4" w:space="0" w:color="auto"/>
              <w:bottom w:val="single" w:sz="4" w:space="0" w:color="auto"/>
              <w:right w:val="single" w:sz="4" w:space="0" w:color="auto"/>
            </w:tcBorders>
            <w:hideMark/>
          </w:tcPr>
          <w:p w14:paraId="45AF2B3F"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b/>
                <w:lang w:bidi="he-IL"/>
              </w:rPr>
            </w:pPr>
            <w:r w:rsidRPr="0058558B">
              <w:rPr>
                <w:rFonts w:ascii="Times New Roman" w:eastAsia="Calibri" w:hAnsi="Times New Roman" w:cs="Times New Roman"/>
                <w:b/>
                <w:lang w:bidi="he-IL"/>
              </w:rPr>
              <w:t>2,851</w:t>
            </w:r>
          </w:p>
        </w:tc>
        <w:tc>
          <w:tcPr>
            <w:tcW w:w="694" w:type="pct"/>
            <w:tcBorders>
              <w:top w:val="single" w:sz="4" w:space="0" w:color="auto"/>
              <w:left w:val="single" w:sz="4" w:space="0" w:color="auto"/>
              <w:bottom w:val="single" w:sz="4" w:space="0" w:color="auto"/>
              <w:right w:val="single" w:sz="4" w:space="0" w:color="auto"/>
            </w:tcBorders>
            <w:shd w:val="clear" w:color="auto" w:fill="BFBFBF"/>
          </w:tcPr>
          <w:p w14:paraId="6C1AE321"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lang w:bidi="he-IL"/>
              </w:rPr>
            </w:pPr>
          </w:p>
        </w:tc>
        <w:tc>
          <w:tcPr>
            <w:tcW w:w="765" w:type="pct"/>
            <w:tcBorders>
              <w:top w:val="single" w:sz="4" w:space="0" w:color="auto"/>
              <w:left w:val="single" w:sz="4" w:space="0" w:color="auto"/>
              <w:bottom w:val="single" w:sz="4" w:space="0" w:color="auto"/>
              <w:right w:val="single" w:sz="4" w:space="0" w:color="auto"/>
            </w:tcBorders>
            <w:hideMark/>
          </w:tcPr>
          <w:p w14:paraId="5E88619F"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b/>
                <w:lang w:bidi="he-IL"/>
              </w:rPr>
            </w:pPr>
            <w:r w:rsidRPr="0058558B">
              <w:rPr>
                <w:rFonts w:ascii="Times New Roman" w:eastAsia="Calibri" w:hAnsi="Times New Roman" w:cs="Times New Roman"/>
                <w:b/>
                <w:lang w:bidi="he-IL"/>
              </w:rPr>
              <w:t>57,640</w:t>
            </w:r>
            <w:r w:rsidRPr="0058558B">
              <w:rPr>
                <w:rFonts w:ascii="Times New Roman" w:eastAsia="Calibri" w:hAnsi="Times New Roman" w:cs="Times New Roman"/>
                <w:vertAlign w:val="superscript"/>
                <w:lang w:bidi="he-IL"/>
              </w:rPr>
              <w:footnoteReference w:id="14"/>
            </w:r>
            <w:r w:rsidRPr="0058558B">
              <w:rPr>
                <w:rFonts w:ascii="Times New Roman" w:eastAsia="Calibri" w:hAnsi="Times New Roman" w:cs="Times New Roman"/>
                <w:b/>
                <w:lang w:bidi="he-IL"/>
              </w:rPr>
              <w:t xml:space="preserve"> hrs. (31,792 Eng., 25,848 RK); $3,077,480.04 ($2,109,399.20 Eng., $968,080.84 RK)  </w:t>
            </w:r>
          </w:p>
        </w:tc>
        <w:tc>
          <w:tcPr>
            <w:tcW w:w="566" w:type="pct"/>
            <w:tcBorders>
              <w:top w:val="single" w:sz="4" w:space="0" w:color="auto"/>
              <w:left w:val="single" w:sz="4" w:space="0" w:color="auto"/>
              <w:bottom w:val="single" w:sz="4" w:space="0" w:color="auto"/>
              <w:right w:val="single" w:sz="4" w:space="0" w:color="auto"/>
            </w:tcBorders>
            <w:shd w:val="clear" w:color="auto" w:fill="BFBFBF"/>
          </w:tcPr>
          <w:p w14:paraId="3115FBB0" w14:textId="77777777" w:rsidR="0058558B" w:rsidRPr="0058558B" w:rsidRDefault="0058558B" w:rsidP="00C53CB0">
            <w:pPr>
              <w:widowControl w:val="0"/>
              <w:autoSpaceDE w:val="0"/>
              <w:autoSpaceDN w:val="0"/>
              <w:adjustRightInd w:val="0"/>
              <w:spacing w:after="0" w:line="240" w:lineRule="auto"/>
              <w:jc w:val="right"/>
              <w:rPr>
                <w:rFonts w:ascii="Times New Roman" w:eastAsia="Calibri" w:hAnsi="Times New Roman" w:cs="Times New Roman"/>
                <w:b/>
                <w:lang w:bidi="he-IL"/>
              </w:rPr>
            </w:pPr>
          </w:p>
        </w:tc>
      </w:tr>
    </w:tbl>
    <w:p w14:paraId="7FA43B98" w14:textId="77777777" w:rsidR="0058558B" w:rsidRDefault="0058558B" w:rsidP="0092596C">
      <w:pPr>
        <w:spacing w:after="0" w:line="240" w:lineRule="auto"/>
        <w:rPr>
          <w:rFonts w:ascii="Times New Roman" w:hAnsi="Times New Roman" w:cs="Times New Roman"/>
          <w:sz w:val="24"/>
          <w:szCs w:val="24"/>
        </w:rPr>
      </w:pPr>
    </w:p>
    <w:p w14:paraId="05D5F246" w14:textId="6EC3A64E" w:rsidR="00341FC3" w:rsidRDefault="00341FC3" w:rsidP="00341FC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Averaging One-Time Burden and Responses (due to the </w:t>
      </w:r>
      <w:r>
        <w:rPr>
          <w:rFonts w:ascii="Times New Roman" w:hAnsi="Times New Roman" w:cs="Times New Roman"/>
          <w:b/>
          <w:sz w:val="24"/>
          <w:szCs w:val="24"/>
        </w:rPr>
        <w:t>Final Rule</w:t>
      </w:r>
      <w:r>
        <w:rPr>
          <w:rFonts w:ascii="Times New Roman" w:hAnsi="Times New Roman" w:cs="Times New Roman"/>
          <w:b/>
          <w:sz w:val="24"/>
          <w:szCs w:val="24"/>
        </w:rPr>
        <w:t xml:space="preserve"> in RM15-11</w:t>
      </w:r>
      <w:r>
        <w:rPr>
          <w:rFonts w:ascii="Times New Roman" w:hAnsi="Times New Roman" w:cs="Times New Roman"/>
          <w:b/>
          <w:sz w:val="24"/>
          <w:szCs w:val="24"/>
        </w:rPr>
        <w:t>-000</w:t>
      </w:r>
      <w:r>
        <w:rPr>
          <w:rFonts w:ascii="Times New Roman" w:hAnsi="Times New Roman" w:cs="Times New Roman"/>
          <w:b/>
          <w:sz w:val="24"/>
          <w:szCs w:val="24"/>
        </w:rPr>
        <w:t xml:space="preserve">) over Years 1-3.  </w:t>
      </w:r>
      <w:r w:rsidRPr="003443B0">
        <w:rPr>
          <w:rFonts w:ascii="Times New Roman" w:hAnsi="Times New Roman" w:cs="Times New Roman"/>
          <w:sz w:val="24"/>
          <w:szCs w:val="24"/>
        </w:rPr>
        <w:t>Of the 57,640 total burden hours, 42</w:t>
      </w:r>
      <w:r w:rsidRPr="003D4247">
        <w:rPr>
          <w:rFonts w:ascii="Times New Roman" w:hAnsi="Times New Roman" w:cs="Times New Roman"/>
          <w:sz w:val="24"/>
          <w:szCs w:val="24"/>
        </w:rPr>
        <w:t>,137 hours are one</w:t>
      </w:r>
      <w:r>
        <w:rPr>
          <w:rFonts w:ascii="Times New Roman" w:hAnsi="Times New Roman" w:cs="Times New Roman"/>
          <w:sz w:val="24"/>
          <w:szCs w:val="24"/>
        </w:rPr>
        <w:t>-</w:t>
      </w:r>
      <w:r w:rsidRPr="003D4247">
        <w:rPr>
          <w:rFonts w:ascii="Times New Roman" w:hAnsi="Times New Roman" w:cs="Times New Roman"/>
          <w:sz w:val="24"/>
          <w:szCs w:val="24"/>
        </w:rPr>
        <w:t xml:space="preserve">time burden hours, and 15,503 hours are on-going annual burden hours.  </w:t>
      </w:r>
      <w:r w:rsidRPr="00C41A65">
        <w:rPr>
          <w:rFonts w:ascii="Times New Roman" w:hAnsi="Times New Roman" w:cs="Times New Roman"/>
          <w:sz w:val="24"/>
          <w:szCs w:val="24"/>
        </w:rPr>
        <w:t xml:space="preserve">For purposes of this OMB clearance, the </w:t>
      </w:r>
      <w:r w:rsidRPr="003D4247">
        <w:rPr>
          <w:rFonts w:ascii="Times New Roman" w:hAnsi="Times New Roman" w:cs="Times New Roman"/>
          <w:sz w:val="24"/>
          <w:szCs w:val="24"/>
        </w:rPr>
        <w:t xml:space="preserve">42,137 </w:t>
      </w:r>
      <w:r w:rsidRPr="00C41A65">
        <w:rPr>
          <w:rFonts w:ascii="Times New Roman" w:hAnsi="Times New Roman" w:cs="Times New Roman"/>
          <w:sz w:val="24"/>
          <w:szCs w:val="24"/>
        </w:rPr>
        <w:t xml:space="preserve">one-time burden hrs. (some of which will not be </w:t>
      </w:r>
      <w:r>
        <w:rPr>
          <w:rFonts w:ascii="Times New Roman" w:hAnsi="Times New Roman" w:cs="Times New Roman"/>
          <w:sz w:val="24"/>
          <w:szCs w:val="24"/>
        </w:rPr>
        <w:t>complet</w:t>
      </w:r>
      <w:r w:rsidRPr="00C41A65">
        <w:rPr>
          <w:rFonts w:ascii="Times New Roman" w:hAnsi="Times New Roman" w:cs="Times New Roman"/>
          <w:sz w:val="24"/>
          <w:szCs w:val="24"/>
        </w:rPr>
        <w:t>ed for 5 years) will be averaged over Years 1-3.  After Year 3, the one-time burden hours will then be removed from the inventory.</w:t>
      </w:r>
      <w:r>
        <w:rPr>
          <w:rFonts w:ascii="Times New Roman" w:hAnsi="Times New Roman" w:cs="Times New Roman"/>
          <w:sz w:val="24"/>
          <w:szCs w:val="24"/>
        </w:rPr>
        <w:t xml:space="preserve">  The estimated additional burden due to this </w:t>
      </w:r>
      <w:r w:rsidR="00B96E74">
        <w:rPr>
          <w:rFonts w:ascii="Times New Roman" w:hAnsi="Times New Roman" w:cs="Times New Roman"/>
          <w:sz w:val="24"/>
          <w:szCs w:val="24"/>
        </w:rPr>
        <w:t>Final Rule</w:t>
      </w:r>
      <w:r>
        <w:rPr>
          <w:rFonts w:ascii="Times New Roman" w:hAnsi="Times New Roman" w:cs="Times New Roman"/>
          <w:sz w:val="24"/>
          <w:szCs w:val="24"/>
        </w:rPr>
        <w:t xml:space="preserve"> is 29,548.67</w:t>
      </w:r>
      <w:r w:rsidR="00B96E74">
        <w:rPr>
          <w:rFonts w:ascii="Times New Roman" w:hAnsi="Times New Roman" w:cs="Times New Roman"/>
          <w:sz w:val="24"/>
          <w:szCs w:val="24"/>
        </w:rPr>
        <w:t xml:space="preserve"> (rounded to 29,549)</w:t>
      </w:r>
      <w:r>
        <w:rPr>
          <w:rFonts w:ascii="Times New Roman" w:hAnsi="Times New Roman" w:cs="Times New Roman"/>
          <w:sz w:val="24"/>
          <w:szCs w:val="24"/>
        </w:rPr>
        <w:t xml:space="preserve"> hours [consisting of (42,137/3) +15,503].  </w:t>
      </w:r>
    </w:p>
    <w:p w14:paraId="7BBC1415" w14:textId="77777777" w:rsidR="00341FC3" w:rsidRDefault="00341FC3" w:rsidP="00341FC3">
      <w:pPr>
        <w:spacing w:after="0" w:line="240" w:lineRule="auto"/>
        <w:rPr>
          <w:rFonts w:ascii="Times New Roman" w:hAnsi="Times New Roman" w:cs="Times New Roman"/>
          <w:sz w:val="24"/>
          <w:szCs w:val="24"/>
        </w:rPr>
      </w:pPr>
    </w:p>
    <w:p w14:paraId="795B73B8" w14:textId="7EDD9CF4" w:rsidR="00341FC3" w:rsidRDefault="00341FC3" w:rsidP="00341FC3">
      <w:pPr>
        <w:spacing w:after="0" w:line="240" w:lineRule="auto"/>
        <w:rPr>
          <w:rFonts w:ascii="Times New Roman" w:hAnsi="Times New Roman" w:cs="Times New Roman"/>
          <w:sz w:val="24"/>
          <w:szCs w:val="24"/>
        </w:rPr>
      </w:pPr>
      <w:r>
        <w:rPr>
          <w:rFonts w:ascii="Times New Roman" w:hAnsi="Times New Roman" w:cs="Times New Roman"/>
          <w:sz w:val="24"/>
          <w:szCs w:val="24"/>
        </w:rPr>
        <w:t>Similarly, the 1,244 one-time responses will be averaged over years 1-3, giving an average of an additional 414.67</w:t>
      </w:r>
      <w:r w:rsidR="00B96E74">
        <w:rPr>
          <w:rFonts w:ascii="Times New Roman" w:hAnsi="Times New Roman" w:cs="Times New Roman"/>
          <w:sz w:val="24"/>
          <w:szCs w:val="24"/>
        </w:rPr>
        <w:t xml:space="preserve"> (rounded to 415)</w:t>
      </w:r>
      <w:r>
        <w:rPr>
          <w:rFonts w:ascii="Times New Roman" w:hAnsi="Times New Roman" w:cs="Times New Roman"/>
          <w:sz w:val="24"/>
          <w:szCs w:val="24"/>
        </w:rPr>
        <w:t xml:space="preserve"> one-time responses each year.  That 415 estimate will be added to the additional ongoing 1,607 annual responses, giving 2,022 additional responses per year.</w:t>
      </w:r>
    </w:p>
    <w:p w14:paraId="6247664B" w14:textId="77777777" w:rsidR="00341FC3" w:rsidRDefault="00341FC3" w:rsidP="0092596C">
      <w:pPr>
        <w:spacing w:after="0" w:line="240" w:lineRule="auto"/>
        <w:rPr>
          <w:rFonts w:ascii="Times New Roman" w:hAnsi="Times New Roman" w:cs="Times New Roman"/>
          <w:sz w:val="24"/>
          <w:szCs w:val="24"/>
        </w:rPr>
      </w:pPr>
    </w:p>
    <w:p w14:paraId="5A8F33DF" w14:textId="77777777" w:rsidR="0058558B" w:rsidRPr="00B16372" w:rsidRDefault="0058558B" w:rsidP="0092596C">
      <w:pPr>
        <w:spacing w:after="0" w:line="240" w:lineRule="auto"/>
        <w:rPr>
          <w:rFonts w:ascii="Times New Roman" w:hAnsi="Times New Roman" w:cs="Times New Roman"/>
          <w:sz w:val="24"/>
          <w:szCs w:val="24"/>
        </w:rPr>
      </w:pPr>
    </w:p>
    <w:p w14:paraId="28488CF0" w14:textId="774F08BB" w:rsidR="00462F59" w:rsidRPr="00462F59" w:rsidRDefault="00E636D7" w:rsidP="00462F59">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 OF THE TOTAL ANNUAL COST BURDEN TO RESPONDENTS</w:t>
      </w:r>
    </w:p>
    <w:p w14:paraId="0A4292E7" w14:textId="6913664D" w:rsidR="00462F59" w:rsidRPr="00462F59" w:rsidRDefault="00462F59" w:rsidP="00462F59">
      <w:pPr>
        <w:spacing w:after="0" w:line="240" w:lineRule="auto"/>
        <w:rPr>
          <w:rFonts w:ascii="Times New Roman" w:hAnsi="Times New Roman" w:cs="Times New Roman"/>
          <w:sz w:val="24"/>
          <w:szCs w:val="24"/>
        </w:rPr>
      </w:pPr>
      <w:r w:rsidRPr="00462F59">
        <w:rPr>
          <w:rFonts w:ascii="Times New Roman" w:hAnsi="Times New Roman" w:cs="Times New Roman"/>
          <w:sz w:val="24"/>
          <w:szCs w:val="24"/>
        </w:rPr>
        <w:t>There are no non-labor costs currently associated with the FERC-725</w:t>
      </w:r>
      <w:r>
        <w:rPr>
          <w:rFonts w:ascii="Times New Roman" w:hAnsi="Times New Roman" w:cs="Times New Roman"/>
          <w:sz w:val="24"/>
          <w:szCs w:val="24"/>
        </w:rPr>
        <w:t>N</w:t>
      </w:r>
      <w:r w:rsidRPr="00462F59">
        <w:rPr>
          <w:rFonts w:ascii="Times New Roman" w:hAnsi="Times New Roman" w:cs="Times New Roman"/>
          <w:sz w:val="24"/>
          <w:szCs w:val="24"/>
        </w:rPr>
        <w:t>.</w:t>
      </w:r>
    </w:p>
    <w:p w14:paraId="370A4B36" w14:textId="77777777" w:rsidR="00462F59" w:rsidRPr="00462F59" w:rsidRDefault="00462F59" w:rsidP="00462F59">
      <w:pPr>
        <w:spacing w:after="0" w:line="240" w:lineRule="auto"/>
        <w:rPr>
          <w:rFonts w:ascii="Times New Roman" w:hAnsi="Times New Roman" w:cs="Times New Roman"/>
          <w:sz w:val="24"/>
          <w:szCs w:val="24"/>
        </w:rPr>
      </w:pPr>
    </w:p>
    <w:p w14:paraId="7319A2D4" w14:textId="1398F414" w:rsidR="00E636D7" w:rsidRDefault="006F75DB"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All of the costs in the final</w:t>
      </w:r>
      <w:r w:rsidR="00462F59" w:rsidRPr="00462F59">
        <w:rPr>
          <w:rFonts w:ascii="Times New Roman" w:hAnsi="Times New Roman" w:cs="Times New Roman"/>
          <w:sz w:val="24"/>
          <w:szCs w:val="24"/>
        </w:rPr>
        <w:t xml:space="preserve"> rule </w:t>
      </w:r>
      <w:r w:rsidR="00051011">
        <w:rPr>
          <w:rFonts w:ascii="Times New Roman" w:hAnsi="Times New Roman" w:cs="Times New Roman"/>
          <w:sz w:val="24"/>
          <w:szCs w:val="24"/>
        </w:rPr>
        <w:t xml:space="preserve">in RM15-11 </w:t>
      </w:r>
      <w:r w:rsidR="00462F59" w:rsidRPr="00462F59">
        <w:rPr>
          <w:rFonts w:ascii="Times New Roman" w:hAnsi="Times New Roman" w:cs="Times New Roman"/>
          <w:sz w:val="24"/>
          <w:szCs w:val="24"/>
        </w:rPr>
        <w:t>are associated with burden hours (labor) and described in #12 and 15.</w:t>
      </w:r>
    </w:p>
    <w:p w14:paraId="2BDF3360" w14:textId="77777777" w:rsidR="00462F59" w:rsidRPr="00B16372" w:rsidRDefault="00462F59" w:rsidP="0092596C">
      <w:pPr>
        <w:spacing w:after="0" w:line="240" w:lineRule="auto"/>
        <w:rPr>
          <w:rFonts w:ascii="Times New Roman" w:hAnsi="Times New Roman" w:cs="Times New Roman"/>
          <w:sz w:val="24"/>
          <w:szCs w:val="24"/>
        </w:rPr>
      </w:pPr>
    </w:p>
    <w:p w14:paraId="39889A6C" w14:textId="77777777" w:rsidR="00E636D7" w:rsidRPr="00B1637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ANNUALIZED COST TO FEDERAL GOVERNMENT</w:t>
      </w:r>
    </w:p>
    <w:p w14:paraId="4899015E" w14:textId="77777777" w:rsidR="00A276F5" w:rsidRPr="00B16372" w:rsidRDefault="00A276F5" w:rsidP="0092596C">
      <w:pPr>
        <w:spacing w:after="0" w:line="240" w:lineRule="auto"/>
        <w:rPr>
          <w:rFonts w:ascii="Times New Roman" w:hAnsi="Times New Roman" w:cs="Times New Roman"/>
          <w:sz w:val="24"/>
          <w:szCs w:val="24"/>
        </w:rPr>
      </w:pPr>
    </w:p>
    <w:p w14:paraId="30FDB1CE" w14:textId="1C6F57B9" w:rsidR="00C61BCC" w:rsidRPr="00C61BCC" w:rsidRDefault="00C61BCC" w:rsidP="00C61BCC">
      <w:pPr>
        <w:spacing w:after="0" w:line="240" w:lineRule="auto"/>
        <w:rPr>
          <w:rFonts w:ascii="Times New Roman" w:eastAsia="Calibri" w:hAnsi="Times New Roman" w:cs="Times New Roman"/>
          <w:sz w:val="24"/>
          <w:szCs w:val="24"/>
        </w:rPr>
      </w:pPr>
      <w:r w:rsidRPr="00C61BCC">
        <w:rPr>
          <w:rFonts w:ascii="Times New Roman" w:eastAsia="Calibri" w:hAnsi="Times New Roman" w:cs="Times New Roman"/>
          <w:sz w:val="24"/>
          <w:szCs w:val="24"/>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14:paraId="0F9B0873" w14:textId="77777777" w:rsidR="00C61BCC" w:rsidRDefault="00C61BCC" w:rsidP="00C61BCC">
      <w:pPr>
        <w:spacing w:after="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2965"/>
      </w:tblGrid>
      <w:tr w:rsidR="0073268A" w:rsidRPr="0073268A" w14:paraId="33FF1A89" w14:textId="77777777" w:rsidTr="00C53CB0">
        <w:tc>
          <w:tcPr>
            <w:tcW w:w="2938" w:type="dxa"/>
            <w:shd w:val="clear" w:color="auto" w:fill="CCCCCC"/>
          </w:tcPr>
          <w:p w14:paraId="766F02F3" w14:textId="66F92E7B" w:rsidR="0073268A" w:rsidRPr="0073268A" w:rsidRDefault="0073268A" w:rsidP="0073268A">
            <w:pPr>
              <w:widowControl w:val="0"/>
              <w:autoSpaceDE w:val="0"/>
              <w:autoSpaceDN w:val="0"/>
              <w:adjustRightInd w:val="0"/>
              <w:spacing w:after="0" w:line="240" w:lineRule="auto"/>
              <w:rPr>
                <w:rFonts w:ascii="Times New Roman" w:eastAsia="Times New Roman" w:hAnsi="Times New Roman" w:cs="Times New Roman"/>
                <w:b/>
                <w:sz w:val="24"/>
                <w:szCs w:val="24"/>
              </w:rPr>
            </w:pPr>
            <w:r w:rsidRPr="0073268A">
              <w:rPr>
                <w:rFonts w:ascii="Times New Roman" w:eastAsia="Times New Roman" w:hAnsi="Times New Roman" w:cs="Times New Roman"/>
                <w:b/>
                <w:sz w:val="24"/>
                <w:szCs w:val="24"/>
              </w:rPr>
              <w:t>FERC-725N</w:t>
            </w:r>
          </w:p>
        </w:tc>
        <w:tc>
          <w:tcPr>
            <w:tcW w:w="2953" w:type="dxa"/>
            <w:shd w:val="clear" w:color="auto" w:fill="CCCCCC"/>
          </w:tcPr>
          <w:p w14:paraId="1BD11ABE" w14:textId="77777777" w:rsidR="0073268A" w:rsidRPr="0073268A" w:rsidRDefault="0073268A" w:rsidP="0073268A">
            <w:pPr>
              <w:widowControl w:val="0"/>
              <w:autoSpaceDE w:val="0"/>
              <w:autoSpaceDN w:val="0"/>
              <w:adjustRightInd w:val="0"/>
              <w:spacing w:after="0" w:line="240" w:lineRule="auto"/>
              <w:rPr>
                <w:rFonts w:ascii="Times New Roman" w:eastAsia="Times New Roman" w:hAnsi="Times New Roman" w:cs="Times New Roman"/>
                <w:b/>
                <w:sz w:val="24"/>
                <w:szCs w:val="24"/>
              </w:rPr>
            </w:pPr>
            <w:r w:rsidRPr="0073268A">
              <w:rPr>
                <w:rFonts w:ascii="Times New Roman" w:eastAsia="Times New Roman" w:hAnsi="Times New Roman" w:cs="Times New Roman"/>
                <w:b/>
                <w:sz w:val="24"/>
                <w:szCs w:val="24"/>
              </w:rPr>
              <w:t>Number of Employees (FTEs)</w:t>
            </w:r>
          </w:p>
        </w:tc>
        <w:tc>
          <w:tcPr>
            <w:tcW w:w="2965" w:type="dxa"/>
            <w:shd w:val="clear" w:color="auto" w:fill="CCCCCC"/>
          </w:tcPr>
          <w:p w14:paraId="3FFBA53E" w14:textId="77777777" w:rsidR="0073268A" w:rsidRPr="0073268A" w:rsidRDefault="0073268A" w:rsidP="0073268A">
            <w:pPr>
              <w:widowControl w:val="0"/>
              <w:autoSpaceDE w:val="0"/>
              <w:autoSpaceDN w:val="0"/>
              <w:adjustRightInd w:val="0"/>
              <w:spacing w:after="0" w:line="240" w:lineRule="auto"/>
              <w:rPr>
                <w:rFonts w:ascii="Times New Roman" w:eastAsia="Times New Roman" w:hAnsi="Times New Roman" w:cs="Times New Roman"/>
                <w:b/>
                <w:sz w:val="24"/>
                <w:szCs w:val="24"/>
              </w:rPr>
            </w:pPr>
            <w:r w:rsidRPr="0073268A">
              <w:rPr>
                <w:rFonts w:ascii="Times New Roman" w:eastAsia="Times New Roman" w:hAnsi="Times New Roman" w:cs="Times New Roman"/>
                <w:b/>
                <w:sz w:val="24"/>
                <w:szCs w:val="24"/>
              </w:rPr>
              <w:t>Estimated Annual Federal Cost</w:t>
            </w:r>
          </w:p>
        </w:tc>
      </w:tr>
      <w:tr w:rsidR="0073268A" w:rsidRPr="0073268A" w14:paraId="10A7372A" w14:textId="77777777" w:rsidTr="00C53CB0">
        <w:tc>
          <w:tcPr>
            <w:tcW w:w="2938" w:type="dxa"/>
            <w:shd w:val="clear" w:color="auto" w:fill="auto"/>
          </w:tcPr>
          <w:p w14:paraId="5CA9B988" w14:textId="77777777" w:rsidR="0073268A" w:rsidRPr="0073268A" w:rsidRDefault="0073268A" w:rsidP="0073268A">
            <w:pPr>
              <w:widowControl w:val="0"/>
              <w:autoSpaceDE w:val="0"/>
              <w:autoSpaceDN w:val="0"/>
              <w:adjustRightInd w:val="0"/>
              <w:spacing w:after="0" w:line="240" w:lineRule="auto"/>
              <w:rPr>
                <w:rFonts w:ascii="Times New Roman" w:eastAsia="Times New Roman" w:hAnsi="Times New Roman" w:cs="Times New Roman"/>
                <w:sz w:val="24"/>
                <w:szCs w:val="24"/>
              </w:rPr>
            </w:pPr>
            <w:r w:rsidRPr="0073268A">
              <w:rPr>
                <w:rFonts w:ascii="Times New Roman" w:eastAsia="Times New Roman" w:hAnsi="Times New Roman" w:cs="Times New Roman"/>
                <w:sz w:val="24"/>
                <w:szCs w:val="26"/>
              </w:rPr>
              <w:t>PRA</w:t>
            </w:r>
            <w:r w:rsidRPr="0073268A">
              <w:rPr>
                <w:rFonts w:ascii="Times New Roman" w:eastAsia="Times New Roman" w:hAnsi="Times New Roman" w:cs="Times New Roman"/>
                <w:sz w:val="26"/>
                <w:szCs w:val="26"/>
                <w:vertAlign w:val="superscript"/>
              </w:rPr>
              <w:footnoteReference w:id="15"/>
            </w:r>
            <w:r w:rsidRPr="0073268A">
              <w:rPr>
                <w:rFonts w:ascii="Times New Roman" w:eastAsia="Times New Roman" w:hAnsi="Times New Roman" w:cs="Times New Roman"/>
                <w:sz w:val="24"/>
                <w:szCs w:val="26"/>
              </w:rPr>
              <w:t xml:space="preserve"> Administration Cost</w:t>
            </w:r>
            <w:r w:rsidRPr="0073268A">
              <w:rPr>
                <w:rFonts w:ascii="Times New Roman" w:eastAsia="Times New Roman" w:hAnsi="Times New Roman" w:cs="Times New Roman"/>
                <w:sz w:val="24"/>
                <w:szCs w:val="26"/>
                <w:vertAlign w:val="superscript"/>
              </w:rPr>
              <w:footnoteReference w:id="16"/>
            </w:r>
            <w:r w:rsidRPr="0073268A">
              <w:rPr>
                <w:rFonts w:ascii="Times New Roman" w:eastAsia="Times New Roman" w:hAnsi="Times New Roman" w:cs="Times New Roman"/>
                <w:sz w:val="24"/>
                <w:szCs w:val="26"/>
              </w:rPr>
              <w:t xml:space="preserve"> </w:t>
            </w:r>
          </w:p>
        </w:tc>
        <w:tc>
          <w:tcPr>
            <w:tcW w:w="2953" w:type="dxa"/>
            <w:shd w:val="clear" w:color="auto" w:fill="auto"/>
          </w:tcPr>
          <w:p w14:paraId="763F8659" w14:textId="77777777" w:rsidR="0073268A" w:rsidRPr="0073268A" w:rsidRDefault="0073268A" w:rsidP="0073268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2965" w:type="dxa"/>
            <w:shd w:val="clear" w:color="auto" w:fill="auto"/>
          </w:tcPr>
          <w:p w14:paraId="7E11EC67" w14:textId="1A4ACCEF" w:rsidR="0073268A" w:rsidRPr="0073268A" w:rsidRDefault="0073268A" w:rsidP="0073268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3268A">
              <w:rPr>
                <w:rFonts w:ascii="Times New Roman" w:eastAsia="Times New Roman" w:hAnsi="Times New Roman" w:cs="Times New Roman"/>
                <w:sz w:val="24"/>
                <w:szCs w:val="24"/>
              </w:rPr>
              <w:t>$</w:t>
            </w:r>
            <w:r>
              <w:rPr>
                <w:rFonts w:ascii="Times New Roman" w:eastAsia="Times New Roman" w:hAnsi="Times New Roman" w:cs="Times New Roman"/>
                <w:sz w:val="24"/>
                <w:szCs w:val="24"/>
              </w:rPr>
              <w:t>5,481</w:t>
            </w:r>
          </w:p>
        </w:tc>
      </w:tr>
      <w:tr w:rsidR="0073268A" w:rsidRPr="0073268A" w14:paraId="26C9C389" w14:textId="77777777" w:rsidTr="00C53CB0">
        <w:tc>
          <w:tcPr>
            <w:tcW w:w="2938" w:type="dxa"/>
            <w:shd w:val="clear" w:color="auto" w:fill="auto"/>
          </w:tcPr>
          <w:p w14:paraId="79FBF097" w14:textId="77777777" w:rsidR="0073268A" w:rsidRPr="0073268A" w:rsidRDefault="0073268A" w:rsidP="0073268A">
            <w:pPr>
              <w:widowControl w:val="0"/>
              <w:autoSpaceDE w:val="0"/>
              <w:autoSpaceDN w:val="0"/>
              <w:adjustRightInd w:val="0"/>
              <w:spacing w:after="0" w:line="240" w:lineRule="auto"/>
              <w:rPr>
                <w:rFonts w:ascii="Times New Roman" w:eastAsia="Times New Roman" w:hAnsi="Times New Roman" w:cs="Times New Roman"/>
                <w:sz w:val="24"/>
                <w:szCs w:val="26"/>
              </w:rPr>
            </w:pPr>
            <w:r w:rsidRPr="0073268A">
              <w:rPr>
                <w:rFonts w:ascii="Times New Roman" w:eastAsia="Times New Roman" w:hAnsi="Times New Roman" w:cs="Times New Roman"/>
                <w:sz w:val="24"/>
                <w:szCs w:val="26"/>
              </w:rPr>
              <w:t>Data Processing and Analysis</w:t>
            </w:r>
            <w:r w:rsidRPr="0073268A">
              <w:rPr>
                <w:rFonts w:ascii="Times New Roman" w:eastAsia="Times New Roman" w:hAnsi="Times New Roman" w:cs="Times New Roman"/>
                <w:sz w:val="26"/>
                <w:szCs w:val="26"/>
                <w:vertAlign w:val="superscript"/>
              </w:rPr>
              <w:footnoteReference w:id="17"/>
            </w:r>
          </w:p>
        </w:tc>
        <w:tc>
          <w:tcPr>
            <w:tcW w:w="2953" w:type="dxa"/>
            <w:shd w:val="clear" w:color="auto" w:fill="auto"/>
          </w:tcPr>
          <w:p w14:paraId="5149C2BF" w14:textId="29B7CBEC" w:rsidR="0073268A" w:rsidRPr="0073268A" w:rsidRDefault="0073268A" w:rsidP="0073268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65" w:type="dxa"/>
            <w:shd w:val="clear" w:color="auto" w:fill="auto"/>
          </w:tcPr>
          <w:p w14:paraId="15C0F6D3" w14:textId="08CDB04C" w:rsidR="0073268A" w:rsidRPr="0073268A" w:rsidRDefault="0073268A" w:rsidP="0073268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3268A">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r>
      <w:tr w:rsidR="0073268A" w:rsidRPr="0073268A" w14:paraId="52344535" w14:textId="77777777" w:rsidTr="00C53CB0">
        <w:tc>
          <w:tcPr>
            <w:tcW w:w="2938" w:type="dxa"/>
            <w:shd w:val="clear" w:color="auto" w:fill="auto"/>
          </w:tcPr>
          <w:p w14:paraId="255F322B" w14:textId="77777777" w:rsidR="0073268A" w:rsidRPr="0073268A" w:rsidRDefault="0073268A" w:rsidP="0073268A">
            <w:pPr>
              <w:widowControl w:val="0"/>
              <w:autoSpaceDE w:val="0"/>
              <w:autoSpaceDN w:val="0"/>
              <w:adjustRightInd w:val="0"/>
              <w:spacing w:after="0" w:line="240" w:lineRule="auto"/>
              <w:rPr>
                <w:rFonts w:ascii="Times New Roman" w:eastAsia="Times New Roman" w:hAnsi="Times New Roman" w:cs="Times New Roman"/>
                <w:sz w:val="24"/>
                <w:szCs w:val="26"/>
              </w:rPr>
            </w:pPr>
            <w:r w:rsidRPr="0073268A">
              <w:rPr>
                <w:rFonts w:ascii="Times New Roman" w:eastAsia="Times New Roman" w:hAnsi="Times New Roman" w:cs="Times New Roman"/>
                <w:sz w:val="24"/>
                <w:szCs w:val="26"/>
              </w:rPr>
              <w:t>FERC Total</w:t>
            </w:r>
          </w:p>
        </w:tc>
        <w:tc>
          <w:tcPr>
            <w:tcW w:w="2953" w:type="dxa"/>
            <w:tcBorders>
              <w:bottom w:val="single" w:sz="4" w:space="0" w:color="auto"/>
            </w:tcBorders>
            <w:shd w:val="clear" w:color="auto" w:fill="BFBFBF"/>
          </w:tcPr>
          <w:p w14:paraId="50145577" w14:textId="77777777" w:rsidR="0073268A" w:rsidRPr="0073268A" w:rsidRDefault="0073268A" w:rsidP="0073268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2965" w:type="dxa"/>
            <w:shd w:val="clear" w:color="auto" w:fill="auto"/>
          </w:tcPr>
          <w:p w14:paraId="371F98C3" w14:textId="43B73857" w:rsidR="0073268A" w:rsidRPr="0073268A" w:rsidRDefault="0073268A" w:rsidP="0073268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$5,481</w:t>
            </w:r>
          </w:p>
        </w:tc>
      </w:tr>
    </w:tbl>
    <w:p w14:paraId="52E49934" w14:textId="778E2E00" w:rsidR="00A276F5" w:rsidRPr="00B16372" w:rsidRDefault="00A276F5" w:rsidP="0092596C">
      <w:pPr>
        <w:spacing w:after="0" w:line="240" w:lineRule="auto"/>
        <w:rPr>
          <w:rFonts w:ascii="Times New Roman" w:hAnsi="Times New Roman" w:cs="Times New Roman"/>
          <w:sz w:val="24"/>
          <w:szCs w:val="24"/>
        </w:rPr>
      </w:pPr>
    </w:p>
    <w:p w14:paraId="26D64DBD" w14:textId="77777777" w:rsidR="00A276F5" w:rsidRPr="00DB14A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REASONS FOR CHANGES IN BURDEN INCLUDING THE NEED FOR ANY INCREASE</w:t>
      </w:r>
    </w:p>
    <w:p w14:paraId="06710A14" w14:textId="77777777" w:rsidR="00DB14A2" w:rsidRPr="00DB14A2" w:rsidRDefault="00DB14A2" w:rsidP="00DB14A2">
      <w:pPr>
        <w:spacing w:after="0" w:line="240" w:lineRule="auto"/>
        <w:rPr>
          <w:rFonts w:ascii="Times New Roman" w:hAnsi="Times New Roman" w:cs="Times New Roman"/>
          <w:sz w:val="24"/>
          <w:szCs w:val="24"/>
          <w:u w:val="single"/>
        </w:rPr>
      </w:pPr>
    </w:p>
    <w:p w14:paraId="1DE8F477" w14:textId="37DAA4E5" w:rsidR="00C068E0" w:rsidRDefault="0058558B"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w:t>
      </w:r>
      <w:r w:rsidR="00BD6EEC" w:rsidRPr="00BD6EEC">
        <w:rPr>
          <w:rFonts w:ascii="Times New Roman" w:hAnsi="Times New Roman" w:cs="Times New Roman"/>
          <w:sz w:val="24"/>
          <w:szCs w:val="24"/>
        </w:rPr>
        <w:t xml:space="preserve"> approve</w:t>
      </w:r>
      <w:r>
        <w:rPr>
          <w:rFonts w:ascii="Times New Roman" w:hAnsi="Times New Roman" w:cs="Times New Roman"/>
          <w:sz w:val="24"/>
          <w:szCs w:val="24"/>
        </w:rPr>
        <w:t>s</w:t>
      </w:r>
      <w:r w:rsidR="00BD6EEC" w:rsidRPr="00BD6EEC">
        <w:rPr>
          <w:rFonts w:ascii="Times New Roman" w:hAnsi="Times New Roman" w:cs="Times New Roman"/>
          <w:sz w:val="24"/>
          <w:szCs w:val="24"/>
        </w:rPr>
        <w:t xml:space="preserve"> Reliability Standard TPL-007-1 and the associated implementation plan, violation severity levels, and violation risk factors</w:t>
      </w:r>
      <w:r>
        <w:rPr>
          <w:rFonts w:ascii="Times New Roman" w:hAnsi="Times New Roman" w:cs="Times New Roman"/>
          <w:sz w:val="24"/>
          <w:szCs w:val="24"/>
        </w:rPr>
        <w:t xml:space="preserve">, as discussed above.  </w:t>
      </w:r>
      <w:r w:rsidR="00BD6EEC" w:rsidRPr="00BD6EEC">
        <w:rPr>
          <w:rFonts w:ascii="Times New Roman" w:hAnsi="Times New Roman" w:cs="Times New Roman"/>
          <w:sz w:val="24"/>
          <w:szCs w:val="24"/>
        </w:rPr>
        <w:t xml:space="preserve">Reliability Standard TPL-007-1 will impose new requirements for transmission planners, planning coordinators, transmission owners, and generator owners.  </w:t>
      </w:r>
    </w:p>
    <w:p w14:paraId="71DCA497" w14:textId="59F4B1B1" w:rsidR="00C068E0" w:rsidRDefault="00BD6EEC" w:rsidP="004A40DB">
      <w:pPr>
        <w:pStyle w:val="ListParagraph"/>
        <w:numPr>
          <w:ilvl w:val="0"/>
          <w:numId w:val="24"/>
        </w:numPr>
        <w:spacing w:after="0" w:line="240" w:lineRule="auto"/>
        <w:rPr>
          <w:rFonts w:ascii="Times New Roman" w:hAnsi="Times New Roman" w:cs="Times New Roman"/>
          <w:sz w:val="24"/>
          <w:szCs w:val="24"/>
        </w:rPr>
      </w:pPr>
      <w:r w:rsidRPr="004A40DB">
        <w:rPr>
          <w:rFonts w:ascii="Times New Roman" w:hAnsi="Times New Roman" w:cs="Times New Roman"/>
          <w:sz w:val="24"/>
          <w:szCs w:val="24"/>
        </w:rPr>
        <w:t xml:space="preserve">Reliability Standard TPL-007-1, Requirement R1 requires planning coordinators, in conjunction with transmission planner, to identify the responsibilities of the planning coordinator and transmission planner in the planning coordinator’s planning area for maintaining models and performing the study or studies needed to complete GMD Vulnerability Assessments.  </w:t>
      </w:r>
    </w:p>
    <w:p w14:paraId="67C4575E" w14:textId="32093364" w:rsidR="00C068E0" w:rsidRDefault="00BD6EEC" w:rsidP="004A40DB">
      <w:pPr>
        <w:pStyle w:val="ListParagraph"/>
        <w:numPr>
          <w:ilvl w:val="0"/>
          <w:numId w:val="24"/>
        </w:numPr>
        <w:spacing w:after="0" w:line="240" w:lineRule="auto"/>
        <w:rPr>
          <w:rFonts w:ascii="Times New Roman" w:hAnsi="Times New Roman" w:cs="Times New Roman"/>
          <w:sz w:val="24"/>
          <w:szCs w:val="24"/>
        </w:rPr>
      </w:pPr>
      <w:r w:rsidRPr="004A40DB">
        <w:rPr>
          <w:rFonts w:ascii="Times New Roman" w:hAnsi="Times New Roman" w:cs="Times New Roman"/>
          <w:sz w:val="24"/>
          <w:szCs w:val="24"/>
        </w:rPr>
        <w:lastRenderedPageBreak/>
        <w:t>Requirements R2, R3, R4, R5, and R7 refer to the “responsible entity, as determined by Requirement R1,” when identifying which applicable planning coordinators or transmission planners are responsible for maintaining models and performing t</w:t>
      </w:r>
      <w:r w:rsidR="004A4457">
        <w:rPr>
          <w:rFonts w:ascii="Times New Roman" w:hAnsi="Times New Roman" w:cs="Times New Roman"/>
          <w:sz w:val="24"/>
          <w:szCs w:val="24"/>
        </w:rPr>
        <w:t>he necessary study or studies.</w:t>
      </w:r>
    </w:p>
    <w:p w14:paraId="4C87DEAC" w14:textId="76665A06" w:rsidR="00C068E0" w:rsidRDefault="00BD6EEC" w:rsidP="004A40DB">
      <w:pPr>
        <w:pStyle w:val="ListParagraph"/>
        <w:numPr>
          <w:ilvl w:val="0"/>
          <w:numId w:val="24"/>
        </w:numPr>
        <w:spacing w:after="0" w:line="240" w:lineRule="auto"/>
        <w:rPr>
          <w:rFonts w:ascii="Times New Roman" w:hAnsi="Times New Roman" w:cs="Times New Roman"/>
          <w:sz w:val="24"/>
          <w:szCs w:val="24"/>
        </w:rPr>
      </w:pPr>
      <w:r w:rsidRPr="004A40DB">
        <w:rPr>
          <w:rFonts w:ascii="Times New Roman" w:hAnsi="Times New Roman" w:cs="Times New Roman"/>
          <w:sz w:val="24"/>
          <w:szCs w:val="24"/>
        </w:rPr>
        <w:t>Requirement R2 requires that the responsible entities maintain models for performing the studies needed to complete GMD Vulnerability Asse</w:t>
      </w:r>
      <w:r w:rsidR="0058558B">
        <w:rPr>
          <w:rFonts w:ascii="Times New Roman" w:hAnsi="Times New Roman" w:cs="Times New Roman"/>
          <w:sz w:val="24"/>
          <w:szCs w:val="24"/>
        </w:rPr>
        <w:t>ssments, as required in</w:t>
      </w:r>
      <w:r w:rsidRPr="004A40DB">
        <w:rPr>
          <w:rFonts w:ascii="Times New Roman" w:hAnsi="Times New Roman" w:cs="Times New Roman"/>
          <w:sz w:val="24"/>
          <w:szCs w:val="24"/>
        </w:rPr>
        <w:t xml:space="preserve"> Requirement R4.  </w:t>
      </w:r>
    </w:p>
    <w:p w14:paraId="3D465AE0" w14:textId="55BB72AA" w:rsidR="00C068E0" w:rsidRDefault="00BD6EEC" w:rsidP="004A40DB">
      <w:pPr>
        <w:pStyle w:val="ListParagraph"/>
        <w:numPr>
          <w:ilvl w:val="0"/>
          <w:numId w:val="24"/>
        </w:numPr>
        <w:spacing w:after="0" w:line="240" w:lineRule="auto"/>
        <w:rPr>
          <w:rFonts w:ascii="Times New Roman" w:hAnsi="Times New Roman" w:cs="Times New Roman"/>
          <w:sz w:val="24"/>
          <w:szCs w:val="24"/>
        </w:rPr>
      </w:pPr>
      <w:r w:rsidRPr="004A40DB">
        <w:rPr>
          <w:rFonts w:ascii="Times New Roman" w:hAnsi="Times New Roman" w:cs="Times New Roman"/>
          <w:sz w:val="24"/>
          <w:szCs w:val="24"/>
        </w:rPr>
        <w:t xml:space="preserve">Requirement R3 requires responsible entities to have criteria for acceptable system steady state voltage performance during a benchmark GMD event.  </w:t>
      </w:r>
    </w:p>
    <w:p w14:paraId="0F213413" w14:textId="132ABC8D" w:rsidR="00C068E0" w:rsidRDefault="00BD6EEC" w:rsidP="004A40DB">
      <w:pPr>
        <w:pStyle w:val="ListParagraph"/>
        <w:numPr>
          <w:ilvl w:val="0"/>
          <w:numId w:val="24"/>
        </w:numPr>
        <w:spacing w:after="0" w:line="240" w:lineRule="auto"/>
        <w:rPr>
          <w:rFonts w:ascii="Times New Roman" w:hAnsi="Times New Roman" w:cs="Times New Roman"/>
          <w:sz w:val="24"/>
          <w:szCs w:val="24"/>
        </w:rPr>
      </w:pPr>
      <w:r w:rsidRPr="004A40DB">
        <w:rPr>
          <w:rFonts w:ascii="Times New Roman" w:hAnsi="Times New Roman" w:cs="Times New Roman"/>
          <w:sz w:val="24"/>
          <w:szCs w:val="24"/>
        </w:rPr>
        <w:t xml:space="preserve">Requirement R4 requires responsible entities to complete a GMD Vulnerability Assessment of the near-term transmission planning horizon once every 60 calendar months.  </w:t>
      </w:r>
    </w:p>
    <w:p w14:paraId="6DA05AAF" w14:textId="280188A1" w:rsidR="00C068E0" w:rsidRDefault="00BD6EEC" w:rsidP="004A40DB">
      <w:pPr>
        <w:pStyle w:val="ListParagraph"/>
        <w:numPr>
          <w:ilvl w:val="0"/>
          <w:numId w:val="24"/>
        </w:numPr>
        <w:spacing w:after="0" w:line="240" w:lineRule="auto"/>
        <w:rPr>
          <w:rFonts w:ascii="Times New Roman" w:hAnsi="Times New Roman" w:cs="Times New Roman"/>
          <w:sz w:val="24"/>
          <w:szCs w:val="24"/>
        </w:rPr>
      </w:pPr>
      <w:r w:rsidRPr="004A40DB">
        <w:rPr>
          <w:rFonts w:ascii="Times New Roman" w:hAnsi="Times New Roman" w:cs="Times New Roman"/>
          <w:sz w:val="24"/>
          <w:szCs w:val="24"/>
        </w:rPr>
        <w:t xml:space="preserve">Requirement R5 requires responsible entities to provide GIC flow information to transmission owners and generator owners that own an applicable bulk electric system power transformer in the planning area.  This information is necessary for applicable transmission owners and generator owners to conduct the thermal impact </w:t>
      </w:r>
      <w:r w:rsidR="0058558B">
        <w:rPr>
          <w:rFonts w:ascii="Times New Roman" w:hAnsi="Times New Roman" w:cs="Times New Roman"/>
          <w:sz w:val="24"/>
          <w:szCs w:val="24"/>
        </w:rPr>
        <w:t>assessments required by</w:t>
      </w:r>
      <w:r w:rsidRPr="004A40DB">
        <w:rPr>
          <w:rFonts w:ascii="Times New Roman" w:hAnsi="Times New Roman" w:cs="Times New Roman"/>
          <w:sz w:val="24"/>
          <w:szCs w:val="24"/>
        </w:rPr>
        <w:t xml:space="preserve"> Requirement R6.  </w:t>
      </w:r>
    </w:p>
    <w:p w14:paraId="66C2FCD4" w14:textId="2213EB36" w:rsidR="00C068E0" w:rsidRDefault="00BD6EEC" w:rsidP="004A40DB">
      <w:pPr>
        <w:pStyle w:val="ListParagraph"/>
        <w:numPr>
          <w:ilvl w:val="0"/>
          <w:numId w:val="24"/>
        </w:numPr>
        <w:spacing w:after="0" w:line="240" w:lineRule="auto"/>
        <w:rPr>
          <w:rFonts w:ascii="Times New Roman" w:hAnsi="Times New Roman" w:cs="Times New Roman"/>
          <w:sz w:val="24"/>
          <w:szCs w:val="24"/>
        </w:rPr>
      </w:pPr>
      <w:r w:rsidRPr="004A40DB">
        <w:rPr>
          <w:rFonts w:ascii="Times New Roman" w:hAnsi="Times New Roman" w:cs="Times New Roman"/>
          <w:sz w:val="24"/>
          <w:szCs w:val="24"/>
        </w:rPr>
        <w:t>Requirement R6 requires applicable transmission owners and generator owners to conduct thermal impact assessments where the maximum effectiv</w:t>
      </w:r>
      <w:r w:rsidR="006F75DB">
        <w:rPr>
          <w:rFonts w:ascii="Times New Roman" w:hAnsi="Times New Roman" w:cs="Times New Roman"/>
          <w:sz w:val="24"/>
          <w:szCs w:val="24"/>
        </w:rPr>
        <w:t>e GIC value provided in</w:t>
      </w:r>
      <w:r w:rsidRPr="004A40DB">
        <w:rPr>
          <w:rFonts w:ascii="Times New Roman" w:hAnsi="Times New Roman" w:cs="Times New Roman"/>
          <w:sz w:val="24"/>
          <w:szCs w:val="24"/>
        </w:rPr>
        <w:t xml:space="preserve"> Requirement R5, Part 5.1 is 75 A/phase or greater.  </w:t>
      </w:r>
    </w:p>
    <w:p w14:paraId="7E3B6324" w14:textId="7355E070" w:rsidR="0058558B" w:rsidRDefault="00BD6EEC" w:rsidP="0058558B">
      <w:pPr>
        <w:pStyle w:val="ListParagraph"/>
        <w:numPr>
          <w:ilvl w:val="0"/>
          <w:numId w:val="24"/>
        </w:numPr>
        <w:spacing w:after="0" w:line="240" w:lineRule="auto"/>
        <w:rPr>
          <w:rFonts w:ascii="Times New Roman" w:hAnsi="Times New Roman" w:cs="Times New Roman"/>
          <w:sz w:val="24"/>
          <w:szCs w:val="24"/>
        </w:rPr>
      </w:pPr>
      <w:r w:rsidRPr="004A40DB">
        <w:rPr>
          <w:rFonts w:ascii="Times New Roman" w:hAnsi="Times New Roman" w:cs="Times New Roman"/>
          <w:sz w:val="24"/>
          <w:szCs w:val="24"/>
        </w:rPr>
        <w:t xml:space="preserve">Requirement R7 requires responsible entities to develop a corrective action plan when its GMD Vulnerability Assessment indicates that its system does not meet the performance requirements of Table 1 – Steady State Planning Events.  The corrective action plan must address how the performance requirements will be met, must list the specific deficiencies and associated actions that are necessary to achieve performance, and must set forth a timetable for completion.  </w:t>
      </w:r>
    </w:p>
    <w:p w14:paraId="6F3B7F2D" w14:textId="77777777" w:rsidR="0073268A" w:rsidRDefault="0073268A" w:rsidP="0073268A">
      <w:pPr>
        <w:pStyle w:val="ListParagraph"/>
        <w:spacing w:after="0" w:line="240" w:lineRule="auto"/>
        <w:rPr>
          <w:rFonts w:ascii="Times New Roman" w:hAnsi="Times New Roman" w:cs="Times New Roman"/>
          <w:sz w:val="24"/>
          <w:szCs w:val="24"/>
        </w:rPr>
      </w:pPr>
    </w:p>
    <w:p w14:paraId="5ED68325" w14:textId="5E80C37E" w:rsidR="0092596C" w:rsidRDefault="0073268A" w:rsidP="0092596C">
      <w:pPr>
        <w:spacing w:after="0" w:line="240" w:lineRule="auto"/>
        <w:rPr>
          <w:rFonts w:ascii="Times New Roman" w:hAnsi="Times New Roman" w:cs="Times New Roman"/>
          <w:sz w:val="24"/>
          <w:szCs w:val="24"/>
        </w:rPr>
      </w:pPr>
      <w:r w:rsidRPr="0073268A">
        <w:rPr>
          <w:rFonts w:ascii="Times New Roman" w:hAnsi="Times New Roman" w:cs="Times New Roman"/>
          <w:sz w:val="24"/>
          <w:szCs w:val="24"/>
        </w:rPr>
        <w:t xml:space="preserve">The following table shows the total burden of the collection of information.  The format, labels, and definitions of the table follow the </w:t>
      </w:r>
      <w:r w:rsidRPr="0073268A">
        <w:rPr>
          <w:rFonts w:ascii="Times New Roman" w:hAnsi="Times New Roman" w:cs="Times New Roman"/>
          <w:sz w:val="24"/>
          <w:szCs w:val="24"/>
        </w:rPr>
        <w:lastRenderedPageBreak/>
        <w:t>ROCIS submission system’s “Information Collection Request Summary of Burden” for the metadata</w:t>
      </w:r>
      <w:r>
        <w:rPr>
          <w:rFonts w:ascii="Times New Roman" w:hAnsi="Times New Roman" w:cs="Times New Roman"/>
          <w:sz w:val="24"/>
          <w:szCs w:val="24"/>
        </w:rPr>
        <w:t>.</w:t>
      </w:r>
    </w:p>
    <w:p w14:paraId="588AC3A7" w14:textId="77777777" w:rsidR="0073268A" w:rsidRDefault="0073268A"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73268A" w14:paraId="203AEC17" w14:textId="77777777" w:rsidTr="0092596C">
        <w:trPr>
          <w:trHeight w:val="870"/>
        </w:trPr>
        <w:tc>
          <w:tcPr>
            <w:tcW w:w="2679" w:type="dxa"/>
            <w:shd w:val="clear" w:color="auto" w:fill="D9D9D9"/>
            <w:vAlign w:val="bottom"/>
          </w:tcPr>
          <w:p w14:paraId="667204BF"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FERC-725</w:t>
            </w:r>
            <w:r w:rsidR="00CE34E4" w:rsidRPr="0073268A">
              <w:rPr>
                <w:rFonts w:ascii="Times New Roman" w:hAnsi="Times New Roman"/>
                <w:b/>
                <w:sz w:val="24"/>
                <w:szCs w:val="24"/>
              </w:rPr>
              <w:t>N</w:t>
            </w:r>
          </w:p>
        </w:tc>
        <w:tc>
          <w:tcPr>
            <w:tcW w:w="1461" w:type="dxa"/>
            <w:shd w:val="clear" w:color="auto" w:fill="D9D9D9"/>
            <w:vAlign w:val="bottom"/>
          </w:tcPr>
          <w:p w14:paraId="3F2CF937"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Total Request</w:t>
            </w:r>
          </w:p>
        </w:tc>
        <w:tc>
          <w:tcPr>
            <w:tcW w:w="1620" w:type="dxa"/>
            <w:shd w:val="clear" w:color="auto" w:fill="D9D9D9"/>
            <w:vAlign w:val="bottom"/>
          </w:tcPr>
          <w:p w14:paraId="3B61870D"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Previously Approved</w:t>
            </w:r>
          </w:p>
        </w:tc>
        <w:tc>
          <w:tcPr>
            <w:tcW w:w="1800" w:type="dxa"/>
            <w:shd w:val="clear" w:color="auto" w:fill="D9D9D9"/>
            <w:vAlign w:val="bottom"/>
          </w:tcPr>
          <w:p w14:paraId="2786CFEC"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Change due to Adjustment in Estimate</w:t>
            </w:r>
          </w:p>
        </w:tc>
        <w:tc>
          <w:tcPr>
            <w:tcW w:w="1800" w:type="dxa"/>
            <w:shd w:val="clear" w:color="auto" w:fill="D9D9D9"/>
            <w:vAlign w:val="bottom"/>
          </w:tcPr>
          <w:p w14:paraId="79E34E2C"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Change Due to Agency Discretion</w:t>
            </w:r>
          </w:p>
        </w:tc>
      </w:tr>
      <w:tr w:rsidR="00BD6EEC" w:rsidRPr="0073268A" w14:paraId="042C8985" w14:textId="77777777" w:rsidTr="0092596C">
        <w:trPr>
          <w:trHeight w:val="591"/>
        </w:trPr>
        <w:tc>
          <w:tcPr>
            <w:tcW w:w="2679" w:type="dxa"/>
          </w:tcPr>
          <w:p w14:paraId="0F7FFCCF" w14:textId="77777777" w:rsidR="00BD6EEC" w:rsidRPr="0073268A" w:rsidRDefault="00BD6EEC" w:rsidP="0092596C">
            <w:pPr>
              <w:spacing w:after="0" w:line="240" w:lineRule="auto"/>
              <w:jc w:val="center"/>
              <w:rPr>
                <w:rFonts w:ascii="Times New Roman" w:hAnsi="Times New Roman"/>
                <w:sz w:val="24"/>
                <w:szCs w:val="24"/>
              </w:rPr>
            </w:pPr>
            <w:r w:rsidRPr="0073268A">
              <w:rPr>
                <w:rFonts w:ascii="Times New Roman" w:hAnsi="Times New Roman"/>
                <w:sz w:val="24"/>
                <w:szCs w:val="24"/>
              </w:rPr>
              <w:t>Annual Number of Responses</w:t>
            </w:r>
          </w:p>
        </w:tc>
        <w:tc>
          <w:tcPr>
            <w:tcW w:w="1461" w:type="dxa"/>
            <w:vAlign w:val="center"/>
          </w:tcPr>
          <w:p w14:paraId="3C124B7E" w14:textId="39E68DB0" w:rsidR="00BD6EEC" w:rsidRPr="0073268A" w:rsidRDefault="00B96E74" w:rsidP="0092596C">
            <w:pPr>
              <w:spacing w:after="0" w:line="240" w:lineRule="auto"/>
              <w:jc w:val="right"/>
              <w:rPr>
                <w:rFonts w:ascii="Times New Roman" w:hAnsi="Times New Roman"/>
                <w:sz w:val="24"/>
                <w:szCs w:val="24"/>
              </w:rPr>
            </w:pPr>
            <w:r>
              <w:rPr>
                <w:rFonts w:ascii="Times New Roman" w:hAnsi="Times New Roman"/>
                <w:sz w:val="24"/>
                <w:szCs w:val="24"/>
              </w:rPr>
              <w:t>2,205</w:t>
            </w:r>
          </w:p>
        </w:tc>
        <w:tc>
          <w:tcPr>
            <w:tcW w:w="1620" w:type="dxa"/>
            <w:vAlign w:val="center"/>
          </w:tcPr>
          <w:p w14:paraId="24E706C1" w14:textId="53804AA9" w:rsidR="00BD6EEC" w:rsidRPr="0073268A" w:rsidRDefault="00BD6EEC" w:rsidP="0092596C">
            <w:pPr>
              <w:spacing w:after="0" w:line="240" w:lineRule="auto"/>
              <w:jc w:val="right"/>
              <w:rPr>
                <w:rFonts w:ascii="Times New Roman" w:hAnsi="Times New Roman"/>
                <w:sz w:val="24"/>
                <w:szCs w:val="24"/>
              </w:rPr>
            </w:pPr>
            <w:r w:rsidRPr="0073268A">
              <w:rPr>
                <w:rFonts w:ascii="Times New Roman" w:hAnsi="Times New Roman"/>
                <w:sz w:val="24"/>
                <w:szCs w:val="24"/>
              </w:rPr>
              <w:t>183</w:t>
            </w:r>
          </w:p>
        </w:tc>
        <w:tc>
          <w:tcPr>
            <w:tcW w:w="1800" w:type="dxa"/>
            <w:vAlign w:val="center"/>
          </w:tcPr>
          <w:p w14:paraId="4DFAD5C1" w14:textId="7A35A8A3" w:rsidR="00BD6EEC" w:rsidRPr="0073268A" w:rsidRDefault="0058558B" w:rsidP="0092596C">
            <w:pPr>
              <w:spacing w:after="0" w:line="240" w:lineRule="auto"/>
              <w:jc w:val="right"/>
              <w:rPr>
                <w:rFonts w:ascii="Times New Roman" w:hAnsi="Times New Roman"/>
                <w:sz w:val="24"/>
                <w:szCs w:val="24"/>
              </w:rPr>
            </w:pPr>
            <w:r w:rsidRPr="0073268A">
              <w:rPr>
                <w:rFonts w:ascii="Times New Roman" w:hAnsi="Times New Roman"/>
                <w:sz w:val="24"/>
                <w:szCs w:val="24"/>
              </w:rPr>
              <w:t>0</w:t>
            </w:r>
          </w:p>
        </w:tc>
        <w:tc>
          <w:tcPr>
            <w:tcW w:w="1800" w:type="dxa"/>
            <w:vAlign w:val="center"/>
          </w:tcPr>
          <w:p w14:paraId="2AE73D6F" w14:textId="2660779C" w:rsidR="00BD6EEC" w:rsidRPr="0073268A" w:rsidRDefault="00B96E74" w:rsidP="00212A8F">
            <w:pPr>
              <w:spacing w:after="0" w:line="240" w:lineRule="auto"/>
              <w:jc w:val="right"/>
              <w:rPr>
                <w:rFonts w:ascii="Times New Roman" w:hAnsi="Times New Roman"/>
                <w:sz w:val="24"/>
                <w:szCs w:val="24"/>
              </w:rPr>
            </w:pPr>
            <w:r>
              <w:rPr>
                <w:rFonts w:ascii="Times New Roman" w:hAnsi="Times New Roman"/>
                <w:sz w:val="24"/>
                <w:szCs w:val="24"/>
              </w:rPr>
              <w:t>2,022</w:t>
            </w:r>
          </w:p>
        </w:tc>
      </w:tr>
      <w:tr w:rsidR="00BD6EEC" w:rsidRPr="0073268A" w14:paraId="384A505A" w14:textId="77777777" w:rsidTr="0092596C">
        <w:trPr>
          <w:trHeight w:val="575"/>
        </w:trPr>
        <w:tc>
          <w:tcPr>
            <w:tcW w:w="2679" w:type="dxa"/>
          </w:tcPr>
          <w:p w14:paraId="3BA45DA7" w14:textId="77777777" w:rsidR="00BD6EEC" w:rsidRPr="0073268A" w:rsidRDefault="00BD6EEC" w:rsidP="0092596C">
            <w:pPr>
              <w:spacing w:after="0" w:line="240" w:lineRule="auto"/>
              <w:jc w:val="center"/>
              <w:rPr>
                <w:rFonts w:ascii="Times New Roman" w:hAnsi="Times New Roman"/>
                <w:sz w:val="24"/>
                <w:szCs w:val="24"/>
              </w:rPr>
            </w:pPr>
            <w:r w:rsidRPr="0073268A">
              <w:rPr>
                <w:rFonts w:ascii="Times New Roman" w:hAnsi="Times New Roman"/>
                <w:sz w:val="24"/>
                <w:szCs w:val="24"/>
              </w:rPr>
              <w:t>Annual Time Burden (Hr)</w:t>
            </w:r>
          </w:p>
        </w:tc>
        <w:tc>
          <w:tcPr>
            <w:tcW w:w="1461" w:type="dxa"/>
            <w:vAlign w:val="center"/>
          </w:tcPr>
          <w:p w14:paraId="2BA99B32" w14:textId="5DD96553" w:rsidR="00BD6EEC" w:rsidRPr="0073268A" w:rsidRDefault="00B96E74" w:rsidP="0092596C">
            <w:pPr>
              <w:spacing w:after="0" w:line="240" w:lineRule="auto"/>
              <w:jc w:val="right"/>
              <w:rPr>
                <w:rFonts w:ascii="Times New Roman" w:hAnsi="Times New Roman"/>
                <w:sz w:val="24"/>
                <w:szCs w:val="24"/>
              </w:rPr>
            </w:pPr>
            <w:r>
              <w:rPr>
                <w:rFonts w:ascii="Times New Roman" w:hAnsi="Times New Roman"/>
                <w:sz w:val="24"/>
                <w:szCs w:val="24"/>
              </w:rPr>
              <w:t>45,020</w:t>
            </w:r>
          </w:p>
        </w:tc>
        <w:tc>
          <w:tcPr>
            <w:tcW w:w="1620" w:type="dxa"/>
            <w:vAlign w:val="center"/>
          </w:tcPr>
          <w:p w14:paraId="24B3AA9A" w14:textId="323A9CEF" w:rsidR="00BD6EEC" w:rsidRPr="0073268A" w:rsidRDefault="00BD6EEC" w:rsidP="0092596C">
            <w:pPr>
              <w:spacing w:after="0" w:line="240" w:lineRule="auto"/>
              <w:jc w:val="right"/>
              <w:rPr>
                <w:rFonts w:ascii="Times New Roman" w:hAnsi="Times New Roman"/>
                <w:sz w:val="24"/>
                <w:szCs w:val="24"/>
              </w:rPr>
            </w:pPr>
            <w:r w:rsidRPr="0073268A">
              <w:rPr>
                <w:rFonts w:ascii="Times New Roman" w:hAnsi="Times New Roman"/>
                <w:sz w:val="24"/>
                <w:szCs w:val="24"/>
              </w:rPr>
              <w:t>15,471</w:t>
            </w:r>
          </w:p>
        </w:tc>
        <w:tc>
          <w:tcPr>
            <w:tcW w:w="1800" w:type="dxa"/>
            <w:vAlign w:val="center"/>
          </w:tcPr>
          <w:p w14:paraId="1BA49CD4" w14:textId="172D8AC3" w:rsidR="00BD6EEC" w:rsidRPr="0073268A" w:rsidRDefault="0058558B" w:rsidP="0092596C">
            <w:pPr>
              <w:spacing w:after="0" w:line="240" w:lineRule="auto"/>
              <w:jc w:val="right"/>
              <w:rPr>
                <w:rFonts w:ascii="Times New Roman" w:hAnsi="Times New Roman"/>
                <w:sz w:val="24"/>
                <w:szCs w:val="24"/>
              </w:rPr>
            </w:pPr>
            <w:r w:rsidRPr="0073268A">
              <w:rPr>
                <w:rFonts w:ascii="Times New Roman" w:hAnsi="Times New Roman"/>
                <w:sz w:val="24"/>
                <w:szCs w:val="24"/>
              </w:rPr>
              <w:t>0</w:t>
            </w:r>
          </w:p>
        </w:tc>
        <w:tc>
          <w:tcPr>
            <w:tcW w:w="1800" w:type="dxa"/>
            <w:vAlign w:val="center"/>
          </w:tcPr>
          <w:p w14:paraId="1521446A" w14:textId="78111031" w:rsidR="00BD6EEC" w:rsidRPr="0073268A" w:rsidRDefault="00B96E74" w:rsidP="0092596C">
            <w:pPr>
              <w:spacing w:after="0" w:line="240" w:lineRule="auto"/>
              <w:jc w:val="right"/>
              <w:rPr>
                <w:rFonts w:ascii="Times New Roman" w:hAnsi="Times New Roman"/>
                <w:sz w:val="24"/>
                <w:szCs w:val="24"/>
              </w:rPr>
            </w:pPr>
            <w:r>
              <w:rPr>
                <w:rFonts w:ascii="Times New Roman" w:hAnsi="Times New Roman" w:cs="Times New Roman"/>
                <w:sz w:val="24"/>
                <w:szCs w:val="24"/>
              </w:rPr>
              <w:t>29,549</w:t>
            </w:r>
          </w:p>
        </w:tc>
      </w:tr>
      <w:tr w:rsidR="0092596C" w:rsidRPr="0073268A" w14:paraId="2500CEFC" w14:textId="77777777" w:rsidTr="0092596C">
        <w:trPr>
          <w:trHeight w:val="295"/>
        </w:trPr>
        <w:tc>
          <w:tcPr>
            <w:tcW w:w="2679" w:type="dxa"/>
          </w:tcPr>
          <w:p w14:paraId="15F96F3B" w14:textId="77777777" w:rsidR="0092596C" w:rsidRPr="0073268A" w:rsidRDefault="0092596C" w:rsidP="0092596C">
            <w:pPr>
              <w:spacing w:after="0" w:line="240" w:lineRule="auto"/>
              <w:jc w:val="center"/>
              <w:rPr>
                <w:rFonts w:ascii="Times New Roman" w:hAnsi="Times New Roman"/>
                <w:sz w:val="24"/>
                <w:szCs w:val="24"/>
              </w:rPr>
            </w:pPr>
            <w:r w:rsidRPr="0073268A">
              <w:rPr>
                <w:rFonts w:ascii="Times New Roman" w:hAnsi="Times New Roman"/>
                <w:sz w:val="24"/>
                <w:szCs w:val="24"/>
              </w:rPr>
              <w:t>Annual Cost Burden ($)</w:t>
            </w:r>
          </w:p>
        </w:tc>
        <w:tc>
          <w:tcPr>
            <w:tcW w:w="1461" w:type="dxa"/>
            <w:vAlign w:val="center"/>
          </w:tcPr>
          <w:p w14:paraId="1D2CD871" w14:textId="4B2A0CFE" w:rsidR="0092596C" w:rsidRPr="0073268A" w:rsidRDefault="00BD6EEC" w:rsidP="0092596C">
            <w:pPr>
              <w:spacing w:after="0" w:line="240" w:lineRule="auto"/>
              <w:jc w:val="right"/>
              <w:rPr>
                <w:rFonts w:ascii="Times New Roman" w:hAnsi="Times New Roman"/>
                <w:sz w:val="24"/>
                <w:szCs w:val="24"/>
              </w:rPr>
            </w:pPr>
            <w:r w:rsidRPr="0073268A">
              <w:rPr>
                <w:rFonts w:ascii="Times New Roman" w:hAnsi="Times New Roman"/>
                <w:sz w:val="24"/>
                <w:szCs w:val="24"/>
              </w:rPr>
              <w:t>0</w:t>
            </w:r>
          </w:p>
        </w:tc>
        <w:tc>
          <w:tcPr>
            <w:tcW w:w="1620" w:type="dxa"/>
            <w:vAlign w:val="center"/>
          </w:tcPr>
          <w:p w14:paraId="5C782EC1" w14:textId="27415A6B" w:rsidR="0092596C" w:rsidRPr="0073268A" w:rsidRDefault="00BD6EEC" w:rsidP="0092596C">
            <w:pPr>
              <w:spacing w:after="0" w:line="240" w:lineRule="auto"/>
              <w:jc w:val="right"/>
              <w:rPr>
                <w:rFonts w:ascii="Times New Roman" w:hAnsi="Times New Roman"/>
                <w:sz w:val="24"/>
                <w:szCs w:val="24"/>
              </w:rPr>
            </w:pPr>
            <w:r w:rsidRPr="0073268A">
              <w:rPr>
                <w:rFonts w:ascii="Times New Roman" w:hAnsi="Times New Roman"/>
                <w:sz w:val="24"/>
                <w:szCs w:val="24"/>
              </w:rPr>
              <w:t>0</w:t>
            </w:r>
          </w:p>
        </w:tc>
        <w:tc>
          <w:tcPr>
            <w:tcW w:w="1800" w:type="dxa"/>
            <w:vAlign w:val="center"/>
          </w:tcPr>
          <w:p w14:paraId="09A69BCD" w14:textId="1136952A" w:rsidR="0092596C" w:rsidRPr="0073268A" w:rsidRDefault="00BD6EEC" w:rsidP="0092596C">
            <w:pPr>
              <w:spacing w:after="0" w:line="240" w:lineRule="auto"/>
              <w:jc w:val="right"/>
              <w:rPr>
                <w:rFonts w:ascii="Times New Roman" w:hAnsi="Times New Roman"/>
                <w:sz w:val="24"/>
                <w:szCs w:val="24"/>
              </w:rPr>
            </w:pPr>
            <w:r w:rsidRPr="0073268A">
              <w:rPr>
                <w:rFonts w:ascii="Times New Roman" w:hAnsi="Times New Roman"/>
                <w:sz w:val="24"/>
                <w:szCs w:val="24"/>
              </w:rPr>
              <w:t>0</w:t>
            </w:r>
          </w:p>
        </w:tc>
        <w:tc>
          <w:tcPr>
            <w:tcW w:w="1800" w:type="dxa"/>
            <w:vAlign w:val="center"/>
          </w:tcPr>
          <w:p w14:paraId="57B3BA59" w14:textId="76051B03" w:rsidR="0092596C" w:rsidRPr="0073268A" w:rsidRDefault="00BD6EEC" w:rsidP="00BD6EEC">
            <w:pPr>
              <w:spacing w:after="0" w:line="240" w:lineRule="auto"/>
              <w:jc w:val="right"/>
              <w:rPr>
                <w:rFonts w:ascii="Times New Roman" w:hAnsi="Times New Roman"/>
                <w:sz w:val="24"/>
                <w:szCs w:val="24"/>
              </w:rPr>
            </w:pPr>
            <w:r w:rsidRPr="0073268A">
              <w:rPr>
                <w:rFonts w:ascii="Times New Roman" w:hAnsi="Times New Roman"/>
                <w:sz w:val="24"/>
                <w:szCs w:val="24"/>
              </w:rPr>
              <w:t>0</w:t>
            </w:r>
          </w:p>
        </w:tc>
      </w:tr>
    </w:tbl>
    <w:p w14:paraId="2B116D8B" w14:textId="77777777" w:rsidR="0092596C" w:rsidRPr="0092596C" w:rsidRDefault="0092596C" w:rsidP="0092596C">
      <w:pPr>
        <w:spacing w:after="0" w:line="240" w:lineRule="auto"/>
        <w:rPr>
          <w:rFonts w:ascii="Times New Roman" w:hAnsi="Times New Roman" w:cs="Times New Roman"/>
          <w:sz w:val="24"/>
          <w:szCs w:val="24"/>
        </w:rPr>
      </w:pPr>
    </w:p>
    <w:p w14:paraId="56A438B9" w14:textId="77777777" w:rsidR="00970FE4" w:rsidRPr="00B16372" w:rsidRDefault="00970FE4" w:rsidP="0092596C">
      <w:pPr>
        <w:spacing w:after="0" w:line="240" w:lineRule="auto"/>
        <w:rPr>
          <w:rFonts w:ascii="Times New Roman" w:hAnsi="Times New Roman" w:cs="Times New Roman"/>
          <w:sz w:val="24"/>
          <w:szCs w:val="24"/>
        </w:rPr>
      </w:pPr>
    </w:p>
    <w:p w14:paraId="7520F921" w14:textId="77777777" w:rsidR="00A276F5"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TIME SCHEDULE FOR PUBLICATION OF DATA</w:t>
      </w:r>
    </w:p>
    <w:p w14:paraId="0D0264B9" w14:textId="77777777" w:rsidR="00826750" w:rsidRPr="00B16372" w:rsidRDefault="00826750" w:rsidP="0092596C">
      <w:pPr>
        <w:spacing w:after="0" w:line="240" w:lineRule="auto"/>
        <w:rPr>
          <w:rFonts w:ascii="Times New Roman" w:hAnsi="Times New Roman" w:cs="Times New Roman"/>
          <w:sz w:val="24"/>
          <w:szCs w:val="24"/>
        </w:rPr>
      </w:pPr>
    </w:p>
    <w:p w14:paraId="2FDEB8BE" w14:textId="77777777" w:rsidR="00414F32" w:rsidRPr="00B16372" w:rsidRDefault="0082675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There are no data publications as part of this collection</w:t>
      </w:r>
    </w:p>
    <w:p w14:paraId="0E6218F5" w14:textId="77777777" w:rsidR="00414F32" w:rsidRPr="00B16372" w:rsidRDefault="00414F32" w:rsidP="0092596C">
      <w:pPr>
        <w:spacing w:after="0" w:line="240" w:lineRule="auto"/>
        <w:rPr>
          <w:rFonts w:ascii="Times New Roman" w:hAnsi="Times New Roman" w:cs="Times New Roman"/>
          <w:sz w:val="24"/>
          <w:szCs w:val="24"/>
        </w:rPr>
      </w:pPr>
    </w:p>
    <w:p w14:paraId="646430DD" w14:textId="77777777"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DISPLAY OF EXPIRATION DATE</w:t>
      </w:r>
    </w:p>
    <w:p w14:paraId="72B38186" w14:textId="77777777" w:rsidR="00414F32" w:rsidRPr="00B16372" w:rsidRDefault="00414F32" w:rsidP="0092596C">
      <w:pPr>
        <w:spacing w:after="0" w:line="240" w:lineRule="auto"/>
        <w:rPr>
          <w:rFonts w:ascii="Times New Roman" w:hAnsi="Times New Roman" w:cs="Times New Roman"/>
          <w:sz w:val="24"/>
          <w:szCs w:val="24"/>
        </w:rPr>
      </w:pPr>
    </w:p>
    <w:p w14:paraId="2FAF2703" w14:textId="6711E45E" w:rsidR="00414F32" w:rsidRDefault="00C61BCC" w:rsidP="0092596C">
      <w:pPr>
        <w:spacing w:after="0" w:line="240" w:lineRule="auto"/>
        <w:rPr>
          <w:rFonts w:ascii="Times New Roman" w:hAnsi="Times New Roman" w:cs="Times New Roman"/>
          <w:sz w:val="24"/>
          <w:szCs w:val="24"/>
        </w:rPr>
      </w:pPr>
      <w:r w:rsidRPr="00C61BCC">
        <w:rPr>
          <w:rFonts w:ascii="Times New Roman" w:hAnsi="Times New Roman" w:cs="Times New Roman"/>
          <w:sz w:val="24"/>
          <w:szCs w:val="24"/>
        </w:rPr>
        <w:t xml:space="preserve">The expiration date is displayed in a table posted on ferc.gov at </w:t>
      </w:r>
      <w:hyperlink r:id="rId12" w:history="1">
        <w:r w:rsidRPr="0051581F">
          <w:rPr>
            <w:rStyle w:val="Hyperlink"/>
            <w:rFonts w:ascii="Times New Roman" w:hAnsi="Times New Roman"/>
            <w:sz w:val="24"/>
            <w:szCs w:val="24"/>
          </w:rPr>
          <w:t>http://www.ferc.gov/docs-filing/info-collections.asp</w:t>
        </w:r>
      </w:hyperlink>
      <w:r w:rsidRPr="00C61BCC">
        <w:rPr>
          <w:rFonts w:ascii="Times New Roman" w:hAnsi="Times New Roman" w:cs="Times New Roman"/>
          <w:sz w:val="24"/>
          <w:szCs w:val="24"/>
        </w:rPr>
        <w:t>.</w:t>
      </w:r>
    </w:p>
    <w:p w14:paraId="54D67751" w14:textId="77777777" w:rsidR="00C61BCC" w:rsidRPr="00B16372" w:rsidRDefault="00C61BCC" w:rsidP="0092596C">
      <w:pPr>
        <w:spacing w:after="0" w:line="240" w:lineRule="auto"/>
        <w:rPr>
          <w:rFonts w:ascii="Times New Roman" w:hAnsi="Times New Roman" w:cs="Times New Roman"/>
          <w:sz w:val="24"/>
          <w:szCs w:val="24"/>
        </w:rPr>
      </w:pPr>
    </w:p>
    <w:p w14:paraId="6D7858E8" w14:textId="77777777"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EXCEPTIONS TO THE CERTIFICATION STATEMENT</w:t>
      </w:r>
    </w:p>
    <w:p w14:paraId="3CF7ACAD" w14:textId="77777777" w:rsidR="0057700F" w:rsidRPr="00B16372" w:rsidRDefault="0057700F" w:rsidP="0092596C">
      <w:pPr>
        <w:spacing w:after="0" w:line="240" w:lineRule="auto"/>
        <w:rPr>
          <w:rFonts w:ascii="Times New Roman" w:hAnsi="Times New Roman" w:cs="Times New Roman"/>
          <w:b/>
          <w:sz w:val="24"/>
          <w:szCs w:val="24"/>
        </w:rPr>
      </w:pPr>
    </w:p>
    <w:p w14:paraId="04A82E03" w14:textId="77777777" w:rsidR="00B16372" w:rsidRPr="00B16372" w:rsidRDefault="00B16372" w:rsidP="0092596C">
      <w:pPr>
        <w:spacing w:after="0" w:line="240" w:lineRule="auto"/>
        <w:rPr>
          <w:rFonts w:ascii="Times New Roman" w:hAnsi="Times New Roman" w:cs="Times New Roman"/>
          <w:b/>
          <w:sz w:val="24"/>
          <w:szCs w:val="24"/>
        </w:rPr>
      </w:pPr>
      <w:r w:rsidRPr="00B16372">
        <w:rPr>
          <w:rFonts w:ascii="Times New Roman" w:eastAsia="Calibri" w:hAnsi="Times New Roman" w:cs="Times New Roman"/>
          <w:sz w:val="24"/>
          <w:szCs w:val="24"/>
        </w:rPr>
        <w:t>The Commission does not use statistical methods for this collection.  Therefore the Commission does not certify that the collection uses statistical methods.</w:t>
      </w:r>
    </w:p>
    <w:p w14:paraId="42F9CF4E" w14:textId="77777777" w:rsidR="00970FE4" w:rsidRPr="00B16372" w:rsidRDefault="00970FE4" w:rsidP="0092596C">
      <w:pPr>
        <w:spacing w:after="0" w:line="240" w:lineRule="auto"/>
        <w:rPr>
          <w:rFonts w:ascii="Times New Roman" w:hAnsi="Times New Roman" w:cs="Times New Roman"/>
          <w:sz w:val="24"/>
          <w:szCs w:val="24"/>
        </w:rPr>
      </w:pPr>
    </w:p>
    <w:p w14:paraId="0492AF3E" w14:textId="4E84F433" w:rsidR="00AD7B67" w:rsidRDefault="00AD7B67" w:rsidP="0092596C">
      <w:pPr>
        <w:spacing w:after="0" w:line="240" w:lineRule="auto"/>
        <w:rPr>
          <w:rFonts w:ascii="Times New Roman" w:hAnsi="Times New Roman" w:cs="Times New Roman"/>
          <w:sz w:val="24"/>
          <w:szCs w:val="24"/>
        </w:rPr>
      </w:pPr>
    </w:p>
    <w:p w14:paraId="560027F4" w14:textId="3362425A" w:rsidR="00AD7B67" w:rsidRPr="00914DD7" w:rsidRDefault="00AD7B67" w:rsidP="00914DD7">
      <w:pPr>
        <w:rPr>
          <w:rFonts w:ascii="Times New Roman" w:hAnsi="Times New Roman" w:cs="Times New Roman"/>
          <w:sz w:val="24"/>
          <w:szCs w:val="24"/>
        </w:rPr>
      </w:pPr>
    </w:p>
    <w:sectPr w:rsidR="00AD7B67" w:rsidRPr="00914DD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6D69A" w14:textId="77777777" w:rsidR="0014646E" w:rsidRDefault="0014646E" w:rsidP="00FD66F1">
      <w:pPr>
        <w:spacing w:after="0" w:line="240" w:lineRule="auto"/>
      </w:pPr>
      <w:r>
        <w:separator/>
      </w:r>
    </w:p>
  </w:endnote>
  <w:endnote w:type="continuationSeparator" w:id="0">
    <w:p w14:paraId="14DFC2E8" w14:textId="77777777" w:rsidR="0014646E" w:rsidRDefault="0014646E"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27B8E56E" w14:textId="77777777" w:rsidR="00430B5F" w:rsidRPr="009C3453" w:rsidRDefault="00430B5F">
        <w:pPr>
          <w:pStyle w:val="Footer"/>
          <w:jc w:val="right"/>
          <w:rPr>
            <w:rFonts w:ascii="Times New Roman" w:hAnsi="Times New Roman" w:cs="Times New Roman"/>
          </w:rPr>
        </w:pPr>
        <w:r w:rsidRPr="009C3453">
          <w:rPr>
            <w:rFonts w:ascii="Times New Roman" w:hAnsi="Times New Roman" w:cs="Times New Roman"/>
          </w:rPr>
          <w:fldChar w:fldCharType="begin"/>
        </w:r>
        <w:r w:rsidRPr="009C3453">
          <w:rPr>
            <w:rFonts w:ascii="Times New Roman" w:hAnsi="Times New Roman" w:cs="Times New Roman"/>
          </w:rPr>
          <w:instrText xml:space="preserve"> PAGE   \* MERGEFORMAT </w:instrText>
        </w:r>
        <w:r w:rsidRPr="009C3453">
          <w:rPr>
            <w:rFonts w:ascii="Times New Roman" w:hAnsi="Times New Roman" w:cs="Times New Roman"/>
          </w:rPr>
          <w:fldChar w:fldCharType="separate"/>
        </w:r>
        <w:r w:rsidR="00D35E27">
          <w:rPr>
            <w:rFonts w:ascii="Times New Roman" w:hAnsi="Times New Roman" w:cs="Times New Roman"/>
            <w:noProof/>
          </w:rPr>
          <w:t>12</w:t>
        </w:r>
        <w:r w:rsidRPr="009C3453">
          <w:rPr>
            <w:rFonts w:ascii="Times New Roman" w:hAnsi="Times New Roman" w:cs="Times New Roman"/>
            <w:noProof/>
          </w:rPr>
          <w:fldChar w:fldCharType="end"/>
        </w:r>
      </w:p>
    </w:sdtContent>
  </w:sdt>
  <w:p w14:paraId="7B466C59" w14:textId="77777777" w:rsidR="00430B5F" w:rsidRDefault="00430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538F1" w14:textId="77777777" w:rsidR="0014646E" w:rsidRDefault="0014646E" w:rsidP="00FD66F1">
      <w:pPr>
        <w:spacing w:after="0" w:line="240" w:lineRule="auto"/>
      </w:pPr>
      <w:r>
        <w:separator/>
      </w:r>
    </w:p>
  </w:footnote>
  <w:footnote w:type="continuationSeparator" w:id="0">
    <w:p w14:paraId="26B109AF" w14:textId="77777777" w:rsidR="0014646E" w:rsidRDefault="0014646E" w:rsidP="00FD66F1">
      <w:pPr>
        <w:spacing w:after="0" w:line="240" w:lineRule="auto"/>
      </w:pPr>
      <w:r>
        <w:continuationSeparator/>
      </w:r>
    </w:p>
  </w:footnote>
  <w:footnote w:id="1">
    <w:p w14:paraId="6ED0D01E" w14:textId="52CDBEC4" w:rsidR="00430B5F" w:rsidRPr="00F15484" w:rsidRDefault="00430B5F" w:rsidP="00F15484">
      <w:pPr>
        <w:pStyle w:val="FootnoteText"/>
      </w:pPr>
      <w:r w:rsidRPr="00F15484">
        <w:rPr>
          <w:rStyle w:val="FootnoteReference"/>
          <w:vertAlign w:val="superscript"/>
        </w:rPr>
        <w:footnoteRef/>
      </w:r>
      <w:r w:rsidRPr="00F15484">
        <w:t xml:space="preserve"> TPL stands for Transmission Planning </w:t>
      </w:r>
    </w:p>
  </w:footnote>
  <w:footnote w:id="2">
    <w:p w14:paraId="71BDE034" w14:textId="39845C61" w:rsidR="00430B5F" w:rsidRPr="00F15484" w:rsidRDefault="00430B5F" w:rsidP="00F15484">
      <w:pPr>
        <w:pStyle w:val="FootnoteText"/>
      </w:pPr>
      <w:r w:rsidRPr="00F15484">
        <w:rPr>
          <w:rStyle w:val="FootnoteReference"/>
          <w:vertAlign w:val="superscript"/>
        </w:rPr>
        <w:footnoteRef/>
      </w:r>
      <w:r w:rsidRPr="00F15484">
        <w:rPr>
          <w:vertAlign w:val="superscript"/>
        </w:rPr>
        <w:t xml:space="preserve"> </w:t>
      </w:r>
      <w:r w:rsidRPr="00F15484">
        <w:t xml:space="preserve">FERC’s </w:t>
      </w:r>
      <w:r w:rsidR="00326E9D">
        <w:t>Final Rule</w:t>
      </w:r>
      <w:r w:rsidRPr="00F15484">
        <w:t xml:space="preserve"> i</w:t>
      </w:r>
      <w:r w:rsidR="00326E9D">
        <w:t xml:space="preserve">s posted in FERC’s eLibrary at </w:t>
      </w:r>
      <w:hyperlink r:id="rId1" w:history="1">
        <w:r w:rsidR="00326E9D" w:rsidRPr="003028E7">
          <w:rPr>
            <w:rStyle w:val="Hyperlink"/>
          </w:rPr>
          <w:t>http://elibrary.ferc.gov/idmws/common/OpenNat.asp?fileID=14360208</w:t>
        </w:r>
      </w:hyperlink>
      <w:r w:rsidRPr="00F15484">
        <w:t xml:space="preserve">; the associated News Release is posted at </w:t>
      </w:r>
      <w:hyperlink r:id="rId2" w:history="1">
        <w:r w:rsidRPr="00F15484">
          <w:rPr>
            <w:rStyle w:val="Hyperlink"/>
          </w:rPr>
          <w:t>http://elibrary.ferc.gov/idmws/common/OpenNat.asp?fileID=13875403</w:t>
        </w:r>
      </w:hyperlink>
      <w:r w:rsidRPr="00F15484">
        <w:t>.</w:t>
      </w:r>
    </w:p>
  </w:footnote>
  <w:footnote w:id="3">
    <w:p w14:paraId="5D4387E8" w14:textId="0CD93834" w:rsidR="00430B5F" w:rsidRPr="00F15484" w:rsidRDefault="00430B5F" w:rsidP="00F15484">
      <w:pPr>
        <w:pStyle w:val="FootnoteText"/>
      </w:pPr>
      <w:r w:rsidRPr="00F15484">
        <w:rPr>
          <w:rStyle w:val="FootnoteReference"/>
          <w:vertAlign w:val="superscript"/>
        </w:rPr>
        <w:footnoteRef/>
      </w:r>
      <w:r w:rsidRPr="00F15484">
        <w:rPr>
          <w:vertAlign w:val="superscript"/>
        </w:rPr>
        <w:t xml:space="preserve"> </w:t>
      </w:r>
      <w:r w:rsidRPr="00F15484">
        <w:t xml:space="preserve">The information collection requirements in the Reliability Standards (TPL-001-0 through TPL-004-0) are approved by OMB under FERC-725A (OMB Control No.1902-0244), with TPL-001-4 contained in FERC-725N (from the final rule in Dockets RM12-1 and RM13-9).   </w:t>
      </w:r>
    </w:p>
  </w:footnote>
  <w:footnote w:id="4">
    <w:p w14:paraId="36C1BA1D" w14:textId="77777777" w:rsidR="00430B5F" w:rsidRPr="00F15484" w:rsidRDefault="00430B5F" w:rsidP="00F15484">
      <w:pPr>
        <w:pStyle w:val="FootnoteText"/>
      </w:pPr>
      <w:r w:rsidRPr="00F15484">
        <w:rPr>
          <w:rStyle w:val="FootnoteReference"/>
          <w:vertAlign w:val="superscript"/>
        </w:rPr>
        <w:footnoteRef/>
      </w:r>
      <w:r w:rsidRPr="00F15484">
        <w:t xml:space="preserve"> The Energy Policy Act of 2005, Pub. L. No 109-58, Title XII, Subtitle A, 119 Stat. 594, 941 (2005), codified at 16 U.S.C. 824o (2000).</w:t>
      </w:r>
    </w:p>
  </w:footnote>
  <w:footnote w:id="5">
    <w:p w14:paraId="410DC892" w14:textId="77777777" w:rsidR="00430B5F" w:rsidRPr="00F15484" w:rsidRDefault="00430B5F" w:rsidP="00F15484">
      <w:pPr>
        <w:pStyle w:val="FootnoteText"/>
      </w:pPr>
      <w:r w:rsidRPr="00F15484">
        <w:rPr>
          <w:rStyle w:val="FootnoteReference"/>
          <w:vertAlign w:val="superscript"/>
        </w:rPr>
        <w:footnoteRef/>
      </w:r>
      <w:r w:rsidRPr="00F15484">
        <w:t xml:space="preserve">  </w:t>
      </w:r>
      <w:r w:rsidRPr="00F15484">
        <w:rPr>
          <w:i/>
        </w:rPr>
        <w:t>Mandatory Reliability Standards for the Bulk-Power System</w:t>
      </w:r>
      <w:r w:rsidRPr="00F15484">
        <w:t>,</w:t>
      </w:r>
      <w:r w:rsidRPr="00F15484">
        <w:rPr>
          <w:i/>
        </w:rPr>
        <w:t xml:space="preserve"> </w:t>
      </w:r>
      <w:r w:rsidRPr="00F15484">
        <w:t xml:space="preserve">Order No. 693, FERC Stats. &amp; Regs. ¶ 31,242 at PP 1840, 1845, </w:t>
      </w:r>
      <w:r w:rsidRPr="00F15484">
        <w:rPr>
          <w:i/>
        </w:rPr>
        <w:t>order on reh’g</w:t>
      </w:r>
      <w:r w:rsidRPr="00F15484">
        <w:t xml:space="preserve">, Order No. 693-A, 120 FERC ¶ 61,053 (2007).  The currently-effective versions of the TPL Reliability Standards are as follows:  TPL-001-0.1, TPL-002-0b, TPL-003-0a, and TPL-004-0.   </w:t>
      </w:r>
    </w:p>
  </w:footnote>
  <w:footnote w:id="6">
    <w:p w14:paraId="48D4614E" w14:textId="77777777" w:rsidR="00430B5F" w:rsidRPr="00F15484" w:rsidRDefault="00430B5F" w:rsidP="00F15484">
      <w:pPr>
        <w:pStyle w:val="FootnoteText"/>
      </w:pPr>
      <w:r w:rsidRPr="00F15484">
        <w:rPr>
          <w:rStyle w:val="FootnoteReference"/>
          <w:vertAlign w:val="superscript"/>
        </w:rPr>
        <w:footnoteRef/>
      </w:r>
      <w:r w:rsidRPr="00F15484">
        <w:rPr>
          <w:vertAlign w:val="superscript"/>
        </w:rPr>
        <w:t xml:space="preserve"> </w:t>
      </w:r>
      <w:r w:rsidRPr="00F15484">
        <w:t xml:space="preserve"> </w:t>
      </w:r>
      <w:r w:rsidRPr="00F15484">
        <w:rPr>
          <w:u w:val="single"/>
        </w:rPr>
        <w:t xml:space="preserve">Id. </w:t>
      </w:r>
      <w:r w:rsidRPr="00F15484">
        <w:t>at P 431</w:t>
      </w:r>
    </w:p>
  </w:footnote>
  <w:footnote w:id="7">
    <w:p w14:paraId="23866826" w14:textId="42F97C67" w:rsidR="00430B5F" w:rsidRPr="00F15484" w:rsidRDefault="00430B5F" w:rsidP="00F15484">
      <w:pPr>
        <w:pStyle w:val="FootnoteText"/>
      </w:pPr>
      <w:r w:rsidRPr="00F15484">
        <w:rPr>
          <w:rStyle w:val="FootnoteReference"/>
          <w:vertAlign w:val="superscript"/>
        </w:rPr>
        <w:footnoteRef/>
      </w:r>
      <w:r w:rsidRPr="00F15484">
        <w:t xml:space="preserve"> </w:t>
      </w:r>
      <w:r w:rsidRPr="00F15484">
        <w:rPr>
          <w:i/>
        </w:rPr>
        <w:t>Id.</w:t>
      </w:r>
      <w:r w:rsidRPr="00F15484">
        <w:t xml:space="preserve"> PP 3, 16 (citing NERC 2012 Special Reliability Assessment Interim Report: Effects of Geomagnetic Disturbances on the Bulk Power System at 69 (February 2012) (GMD Interim Report); Oak Ridge National Laboratory, Electromagnetic Pulse: Effects on the U.S. Power Grid: Meta-R-319 at page 1-14, Tables 4-1, 4-2, 4-3 (discussing at-risk transformers) (January 2010)).</w:t>
      </w:r>
    </w:p>
  </w:footnote>
  <w:footnote w:id="8">
    <w:p w14:paraId="14AA4F31" w14:textId="0942474E" w:rsidR="00854C4E" w:rsidRPr="00F15484" w:rsidRDefault="00854C4E" w:rsidP="00F15484">
      <w:pPr>
        <w:pStyle w:val="FootnoteText"/>
      </w:pPr>
      <w:r w:rsidRPr="00F15484">
        <w:rPr>
          <w:rStyle w:val="FootnoteReference"/>
          <w:vertAlign w:val="superscript"/>
        </w:rPr>
        <w:footnoteRef/>
      </w:r>
      <w:r w:rsidRPr="00F15484">
        <w:rPr>
          <w:vertAlign w:val="superscript"/>
        </w:rPr>
        <w:t xml:space="preserve"> </w:t>
      </w:r>
      <w:r w:rsidRPr="00F15484">
        <w:t>In the OMB approval for FERC-725N dated 1/10/2014, OMB’s Terms of Clearance said “[w]hen FERC considers approval of the next version of Reliability Standard TPL-001-0 through TPL-PRC-005, they should consider small entity impacts and potential options for reducing their recordkeeping and reporting burden.”  The</w:t>
      </w:r>
      <w:r w:rsidR="00326E9D">
        <w:t xml:space="preserve"> Final Rule</w:t>
      </w:r>
      <w:r w:rsidRPr="00F15484">
        <w:t xml:space="preserve"> in RM15-11 and this corresponding suppo</w:t>
      </w:r>
      <w:r w:rsidR="00326E9D">
        <w:t>rting statement address</w:t>
      </w:r>
      <w:r w:rsidRPr="00F15484">
        <w:t xml:space="preserve"> Standard TPL-007-1 and do not affect TPL-001-0 through TPL-PRC-005.</w:t>
      </w:r>
    </w:p>
  </w:footnote>
  <w:footnote w:id="9">
    <w:p w14:paraId="6D13B8E8" w14:textId="53879D34" w:rsidR="00326E9D" w:rsidRPr="00F15484" w:rsidRDefault="00430B5F" w:rsidP="00F15484">
      <w:pPr>
        <w:pStyle w:val="FootnoteText"/>
      </w:pPr>
      <w:r w:rsidRPr="00F15484">
        <w:rPr>
          <w:rStyle w:val="FootnoteReference"/>
          <w:vertAlign w:val="superscript"/>
        </w:rPr>
        <w:footnoteRef/>
      </w:r>
      <w:r w:rsidRPr="00F15484">
        <w:rPr>
          <w:vertAlign w:val="superscript"/>
        </w:rPr>
        <w:t xml:space="preserve"> </w:t>
      </w:r>
      <w:r w:rsidRPr="00F15484">
        <w:t xml:space="preserve">Details of the current ERO Reliability Standard processes are available on the NERC website at </w:t>
      </w:r>
      <w:hyperlink r:id="rId3" w:history="1">
        <w:r w:rsidR="00326E9D" w:rsidRPr="003028E7">
          <w:rPr>
            <w:rStyle w:val="Hyperlink"/>
          </w:rPr>
          <w:t>http://www.nerc.com/pa/Stand/Resources/Documents/Appendix3AStandardsProcessesManual.pdf</w:t>
        </w:r>
      </w:hyperlink>
      <w:r w:rsidR="00326E9D">
        <w:t>.</w:t>
      </w:r>
    </w:p>
  </w:footnote>
  <w:footnote w:id="10">
    <w:p w14:paraId="30B3EC40" w14:textId="7F242476" w:rsidR="00B96E74" w:rsidRDefault="00B96E74">
      <w:pPr>
        <w:pStyle w:val="FootnoteText"/>
      </w:pPr>
      <w:r w:rsidRPr="007C7E1D">
        <w:rPr>
          <w:rStyle w:val="FootnoteReference"/>
          <w:vertAlign w:val="superscript"/>
        </w:rPr>
        <w:footnoteRef/>
      </w:r>
      <w:r>
        <w:t xml:space="preserve"> 80 FR 29990</w:t>
      </w:r>
    </w:p>
  </w:footnote>
  <w:footnote w:id="11">
    <w:p w14:paraId="70AE9CD4" w14:textId="01608407" w:rsidR="00430B5F" w:rsidRPr="00F15484" w:rsidRDefault="00430B5F" w:rsidP="00F15484">
      <w:pPr>
        <w:pStyle w:val="FootnoteText"/>
      </w:pPr>
      <w:r w:rsidRPr="007C0DC7">
        <w:rPr>
          <w:rStyle w:val="FootnoteReference"/>
          <w:vertAlign w:val="superscript"/>
        </w:rPr>
        <w:footnoteRef/>
      </w:r>
      <w:r w:rsidRPr="00F15484">
        <w:t xml:space="preserve"> Details of the current ERO Reliability Standard processes are available on the NERC website at </w:t>
      </w:r>
      <w:hyperlink r:id="rId4" w:history="1">
        <w:r w:rsidRPr="00F15484">
          <w:rPr>
            <w:rStyle w:val="Hyperlink"/>
          </w:rPr>
          <w:t>http://www.nerc.com</w:t>
        </w:r>
      </w:hyperlink>
      <w:r w:rsidRPr="00F15484">
        <w:t xml:space="preserve"> .</w:t>
      </w:r>
    </w:p>
  </w:footnote>
  <w:footnote w:id="12">
    <w:p w14:paraId="4FD9C0DC" w14:textId="35B37B57" w:rsidR="0058558B" w:rsidRPr="00F15484" w:rsidRDefault="0058558B" w:rsidP="00F15484">
      <w:pPr>
        <w:pStyle w:val="FootnoteText"/>
      </w:pPr>
      <w:r w:rsidRPr="00F15484">
        <w:rPr>
          <w:rStyle w:val="FootnoteReference"/>
          <w:vertAlign w:val="superscript"/>
        </w:rPr>
        <w:footnoteRef/>
      </w:r>
      <w:r w:rsidRPr="00F15484">
        <w:rPr>
          <w:vertAlign w:val="superscript"/>
        </w:rPr>
        <w:t xml:space="preserve"> </w:t>
      </w:r>
      <w:r w:rsidRPr="00F15484">
        <w:t>Eng.=</w:t>
      </w:r>
      <w:r w:rsidR="0073268A" w:rsidRPr="00F15484">
        <w:t xml:space="preserve"> </w:t>
      </w:r>
      <w:r w:rsidRPr="00F15484">
        <w:t>engineer; RK =</w:t>
      </w:r>
      <w:r w:rsidR="0073268A" w:rsidRPr="00F15484">
        <w:t xml:space="preserve"> </w:t>
      </w:r>
      <w:r w:rsidRPr="00F15484">
        <w:t>recordkeeping (record clerk); PC</w:t>
      </w:r>
      <w:r w:rsidR="0073268A" w:rsidRPr="00F15484">
        <w:t xml:space="preserve"> </w:t>
      </w:r>
      <w:r w:rsidRPr="00F15484">
        <w:t>=</w:t>
      </w:r>
      <w:r w:rsidR="0073268A" w:rsidRPr="00F15484">
        <w:t xml:space="preserve"> </w:t>
      </w:r>
      <w:r w:rsidRPr="00F15484">
        <w:t>planning coordinator; TP</w:t>
      </w:r>
      <w:r w:rsidR="0073268A" w:rsidRPr="00F15484">
        <w:t xml:space="preserve"> </w:t>
      </w:r>
      <w:r w:rsidRPr="00F15484">
        <w:t>=</w:t>
      </w:r>
      <w:r w:rsidR="0073268A" w:rsidRPr="00F15484">
        <w:t xml:space="preserve"> </w:t>
      </w:r>
      <w:r w:rsidRPr="00F15484">
        <w:t>transmission planner; TO</w:t>
      </w:r>
      <w:r w:rsidR="0073268A" w:rsidRPr="00F15484">
        <w:t xml:space="preserve"> </w:t>
      </w:r>
      <w:r w:rsidRPr="00F15484">
        <w:t>=</w:t>
      </w:r>
      <w:r w:rsidR="0073268A" w:rsidRPr="00F15484">
        <w:t xml:space="preserve"> </w:t>
      </w:r>
      <w:r w:rsidRPr="00F15484">
        <w:t>transmission owner; and GO</w:t>
      </w:r>
      <w:r w:rsidR="0073268A" w:rsidRPr="00F15484">
        <w:t xml:space="preserve"> </w:t>
      </w:r>
      <w:r w:rsidRPr="00F15484">
        <w:t>=</w:t>
      </w:r>
      <w:r w:rsidR="0073268A" w:rsidRPr="00F15484">
        <w:t xml:space="preserve"> </w:t>
      </w:r>
      <w:r w:rsidRPr="00F15484">
        <w:t>generator owner.</w:t>
      </w:r>
    </w:p>
  </w:footnote>
  <w:footnote w:id="13">
    <w:p w14:paraId="6FC88ED6" w14:textId="77777777" w:rsidR="0058558B" w:rsidRPr="00F15484" w:rsidRDefault="0058558B" w:rsidP="00F15484">
      <w:pPr>
        <w:pStyle w:val="FootnoteText"/>
      </w:pPr>
      <w:r w:rsidRPr="00F15484">
        <w:rPr>
          <w:rStyle w:val="FootnoteReference"/>
          <w:vertAlign w:val="superscript"/>
        </w:rPr>
        <w:footnoteRef/>
      </w:r>
      <w:r w:rsidRPr="00F15484">
        <w:rPr>
          <w:b/>
          <w:vertAlign w:val="superscript"/>
        </w:rPr>
        <w:t xml:space="preserve"> </w:t>
      </w:r>
      <w:r w:rsidRPr="00F15484">
        <w:t xml:space="preserve">The estimates for cost per response are derived using the following formula: Burden Hours per Response * $/hour = Cost per Response.  The $66.35/hour figure for an engineer and the $37.45/hour figure for a record clerk are based on data on the average salary plus benefits from the Bureau of Labor Statistics obtainable at </w:t>
      </w:r>
      <w:hyperlink r:id="rId5" w:history="1">
        <w:r w:rsidRPr="00F15484">
          <w:rPr>
            <w:rStyle w:val="Hyperlink"/>
          </w:rPr>
          <w:t>http://www.bls.gov/oes/current/naics2_22.htm</w:t>
        </w:r>
      </w:hyperlink>
      <w:r w:rsidRPr="00F15484">
        <w:t xml:space="preserve"> </w:t>
      </w:r>
      <w:r w:rsidRPr="00F15484">
        <w:rPr>
          <w:rStyle w:val="Hyperlink"/>
          <w:u w:val="none"/>
        </w:rPr>
        <w:t>and</w:t>
      </w:r>
      <w:r w:rsidRPr="00F15484">
        <w:rPr>
          <w:rStyle w:val="Hyperlink"/>
        </w:rPr>
        <w:t xml:space="preserve"> </w:t>
      </w:r>
      <w:hyperlink r:id="rId6" w:history="1">
        <w:r w:rsidRPr="00F15484">
          <w:rPr>
            <w:rStyle w:val="Hyperlink"/>
          </w:rPr>
          <w:t>http://www.bls.gov/news.release/ecec.nr0.htm</w:t>
        </w:r>
      </w:hyperlink>
      <w:r w:rsidRPr="00F15484">
        <w:t xml:space="preserve">.  </w:t>
      </w:r>
    </w:p>
  </w:footnote>
  <w:footnote w:id="14">
    <w:p w14:paraId="7C1C9C8D" w14:textId="77777777" w:rsidR="0058558B" w:rsidRPr="00F15484" w:rsidRDefault="0058558B" w:rsidP="00F15484">
      <w:pPr>
        <w:pStyle w:val="FootnoteText"/>
      </w:pPr>
      <w:r w:rsidRPr="00F15484">
        <w:rPr>
          <w:rStyle w:val="FootnoteReference"/>
          <w:vertAlign w:val="superscript"/>
        </w:rPr>
        <w:footnoteRef/>
      </w:r>
      <w:r w:rsidRPr="00F15484">
        <w:rPr>
          <w:vertAlign w:val="superscript"/>
        </w:rPr>
        <w:t xml:space="preserve"> </w:t>
      </w:r>
      <w:r w:rsidRPr="00F15484">
        <w:t>Of the 57,640 total burden hours, 42,137 hours are one time burden hours, and 15,503 hours are on-going annual burden hours.</w:t>
      </w:r>
    </w:p>
  </w:footnote>
  <w:footnote w:id="15">
    <w:p w14:paraId="3A4FF053" w14:textId="77777777" w:rsidR="0073268A" w:rsidRPr="00F15484" w:rsidRDefault="0073268A" w:rsidP="00F15484">
      <w:pPr>
        <w:pStyle w:val="FootnoteText"/>
      </w:pPr>
      <w:r w:rsidRPr="007C0DC7">
        <w:rPr>
          <w:rStyle w:val="FootnoteReference"/>
          <w:vertAlign w:val="superscript"/>
        </w:rPr>
        <w:footnoteRef/>
      </w:r>
      <w:r w:rsidRPr="00F15484">
        <w:t xml:space="preserve"> Paperwork Reduction Act of 1995 (PRA).</w:t>
      </w:r>
    </w:p>
  </w:footnote>
  <w:footnote w:id="16">
    <w:p w14:paraId="27C37379" w14:textId="430B2A3C" w:rsidR="0073268A" w:rsidRPr="00F15484" w:rsidRDefault="0073268A" w:rsidP="00F15484">
      <w:pPr>
        <w:pStyle w:val="FootnoteText"/>
      </w:pPr>
      <w:r w:rsidRPr="007C0DC7">
        <w:rPr>
          <w:rStyle w:val="FootnoteReference"/>
          <w:vertAlign w:val="superscript"/>
        </w:rPr>
        <w:footnoteRef/>
      </w:r>
      <w:r w:rsidRPr="00F15484">
        <w:t xml:space="preserve"> The P</w:t>
      </w:r>
      <w:r w:rsidR="007C0DC7">
        <w:t>RA Administration Cost is $5,481</w:t>
      </w:r>
      <w:r w:rsidRPr="00F15484">
        <w:t>, and includes preparing supporting statements, notices, and other activities associated with Paperwork Reduction Act compliance.</w:t>
      </w:r>
    </w:p>
  </w:footnote>
  <w:footnote w:id="17">
    <w:p w14:paraId="1031C233" w14:textId="24924A09" w:rsidR="0073268A" w:rsidRPr="00F15484" w:rsidRDefault="0073268A" w:rsidP="00F15484">
      <w:pPr>
        <w:pStyle w:val="FootnoteText"/>
      </w:pPr>
      <w:r w:rsidRPr="007C0DC7">
        <w:rPr>
          <w:rStyle w:val="FootnoteReference"/>
          <w:vertAlign w:val="superscript"/>
        </w:rPr>
        <w:footnoteRef/>
      </w:r>
      <w:r w:rsidRPr="00F15484">
        <w:t xml:space="preserve"> The “Estimated An</w:t>
      </w:r>
      <w:r w:rsidR="007C0DC7">
        <w:t>nual Federal Cost” uses the 2016</w:t>
      </w:r>
      <w:r w:rsidRPr="00F15484">
        <w:t xml:space="preserve"> average annual cost (salary plus benefits) of one FERC FTE (Full Ti</w:t>
      </w:r>
      <w:r w:rsidR="007C0DC7">
        <w:t>me Equivalent) which is $154,647</w:t>
      </w:r>
      <w:r w:rsidRPr="00F1548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DB3A" w14:textId="43968C99" w:rsidR="00430B5F" w:rsidRDefault="00430B5F" w:rsidP="00B3407F">
    <w:pPr>
      <w:pStyle w:val="Header"/>
      <w:rPr>
        <w:rFonts w:ascii="Times New Roman" w:hAnsi="Times New Roman"/>
        <w:sz w:val="24"/>
        <w:szCs w:val="24"/>
      </w:rPr>
    </w:pPr>
    <w:r>
      <w:rPr>
        <w:rFonts w:ascii="Times New Roman" w:hAnsi="Times New Roman"/>
        <w:sz w:val="24"/>
        <w:szCs w:val="24"/>
      </w:rPr>
      <w:t>FERC-725N (OMB Control No.: 1902-0264</w:t>
    </w:r>
    <w:r w:rsidRPr="00FA4A60">
      <w:rPr>
        <w:rFonts w:ascii="Times New Roman" w:hAnsi="Times New Roman"/>
        <w:sz w:val="24"/>
        <w:szCs w:val="24"/>
      </w:rPr>
      <w:t>)</w:t>
    </w:r>
    <w:r w:rsidRPr="00FA4A60">
      <w:rPr>
        <w:rFonts w:ascii="Times New Roman" w:hAnsi="Times New Roman"/>
        <w:b/>
        <w:sz w:val="24"/>
        <w:szCs w:val="24"/>
      </w:rPr>
      <w:t xml:space="preserve"> </w:t>
    </w:r>
  </w:p>
  <w:p w14:paraId="08CDEE28" w14:textId="5AC23C23" w:rsidR="00430B5F" w:rsidRDefault="000A3DF1" w:rsidP="00B3407F">
    <w:pPr>
      <w:pStyle w:val="Header"/>
      <w:rPr>
        <w:rFonts w:ascii="Times New Roman" w:hAnsi="Times New Roman"/>
        <w:sz w:val="24"/>
        <w:szCs w:val="24"/>
      </w:rPr>
    </w:pPr>
    <w:r>
      <w:rPr>
        <w:rFonts w:ascii="Times New Roman" w:hAnsi="Times New Roman"/>
        <w:sz w:val="24"/>
        <w:szCs w:val="24"/>
      </w:rPr>
      <w:t>Docket No. RM15-11-000, Final Rule</w:t>
    </w:r>
    <w:r w:rsidR="00430B5F">
      <w:rPr>
        <w:rFonts w:ascii="Times New Roman" w:hAnsi="Times New Roman"/>
        <w:sz w:val="24"/>
        <w:szCs w:val="24"/>
      </w:rPr>
      <w:t xml:space="preserve"> </w:t>
    </w:r>
    <w:r w:rsidR="00430B5F" w:rsidRPr="00B91FA9">
      <w:rPr>
        <w:rFonts w:ascii="Times New Roman" w:hAnsi="Times New Roman"/>
        <w:sz w:val="24"/>
        <w:szCs w:val="24"/>
      </w:rPr>
      <w:t xml:space="preserve">issued </w:t>
    </w:r>
    <w:r>
      <w:rPr>
        <w:rFonts w:ascii="Times New Roman" w:hAnsi="Times New Roman"/>
        <w:sz w:val="24"/>
        <w:szCs w:val="24"/>
      </w:rPr>
      <w:t>9/22/2016</w:t>
    </w:r>
  </w:p>
  <w:p w14:paraId="5F361CD7" w14:textId="04F56869" w:rsidR="00430B5F" w:rsidRDefault="00430B5F" w:rsidP="00B3407F">
    <w:pPr>
      <w:pStyle w:val="Header"/>
      <w:rPr>
        <w:rFonts w:ascii="Times New Roman" w:hAnsi="Times New Roman"/>
        <w:sz w:val="24"/>
        <w:szCs w:val="24"/>
      </w:rPr>
    </w:pPr>
    <w:r w:rsidRPr="009A2394">
      <w:rPr>
        <w:rFonts w:ascii="Times New Roman" w:hAnsi="Times New Roman"/>
        <w:sz w:val="24"/>
        <w:szCs w:val="24"/>
      </w:rPr>
      <w:t xml:space="preserve">RIN: </w:t>
    </w:r>
    <w:r w:rsidRPr="00C37770">
      <w:rPr>
        <w:rFonts w:ascii="Times New Roman" w:hAnsi="Times New Roman"/>
        <w:sz w:val="24"/>
        <w:szCs w:val="24"/>
      </w:rPr>
      <w:t>1902-AF04</w:t>
    </w:r>
  </w:p>
  <w:p w14:paraId="39FD59AB" w14:textId="77777777" w:rsidR="00430B5F" w:rsidRDefault="00430B5F"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15:restartNumberingAfterBreak="0">
    <w:nsid w:val="267174C2"/>
    <w:multiLevelType w:val="hybridMultilevel"/>
    <w:tmpl w:val="337C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D7AD3"/>
    <w:multiLevelType w:val="hybridMultilevel"/>
    <w:tmpl w:val="9434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481F1306"/>
    <w:multiLevelType w:val="hybridMultilevel"/>
    <w:tmpl w:val="64FE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0" w15:restartNumberingAfterBreak="0">
    <w:nsid w:val="7C646418"/>
    <w:multiLevelType w:val="hybridMultilevel"/>
    <w:tmpl w:val="6C382824"/>
    <w:lvl w:ilvl="0" w:tplc="C2BE6C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3"/>
  </w:num>
  <w:num w:numId="3">
    <w:abstractNumId w:val="16"/>
  </w:num>
  <w:num w:numId="4">
    <w:abstractNumId w:val="18"/>
  </w:num>
  <w:num w:numId="5">
    <w:abstractNumId w:val="21"/>
  </w:num>
  <w:num w:numId="6">
    <w:abstractNumId w:val="19"/>
  </w:num>
  <w:num w:numId="7">
    <w:abstractNumId w:val="10"/>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1"/>
    <w:lvlOverride w:ilvl="0">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1E9B"/>
    <w:rsid w:val="000042C0"/>
    <w:rsid w:val="00005EA6"/>
    <w:rsid w:val="00014184"/>
    <w:rsid w:val="0002242D"/>
    <w:rsid w:val="00035845"/>
    <w:rsid w:val="00044D1D"/>
    <w:rsid w:val="00051011"/>
    <w:rsid w:val="00052F06"/>
    <w:rsid w:val="00066DA6"/>
    <w:rsid w:val="00071E8E"/>
    <w:rsid w:val="00072C72"/>
    <w:rsid w:val="0008601A"/>
    <w:rsid w:val="00094281"/>
    <w:rsid w:val="000968A1"/>
    <w:rsid w:val="000A3DF1"/>
    <w:rsid w:val="000B0C37"/>
    <w:rsid w:val="000D2AF1"/>
    <w:rsid w:val="000E18A0"/>
    <w:rsid w:val="000E4604"/>
    <w:rsid w:val="000E7187"/>
    <w:rsid w:val="000F13C5"/>
    <w:rsid w:val="00100A8D"/>
    <w:rsid w:val="00110157"/>
    <w:rsid w:val="00143103"/>
    <w:rsid w:val="00144CE2"/>
    <w:rsid w:val="0014646E"/>
    <w:rsid w:val="00177077"/>
    <w:rsid w:val="0017787C"/>
    <w:rsid w:val="00181727"/>
    <w:rsid w:val="00185730"/>
    <w:rsid w:val="00186AD0"/>
    <w:rsid w:val="001B6724"/>
    <w:rsid w:val="001C300E"/>
    <w:rsid w:val="001C388B"/>
    <w:rsid w:val="001D3121"/>
    <w:rsid w:val="001D7E0A"/>
    <w:rsid w:val="001F1AD2"/>
    <w:rsid w:val="001F6FF8"/>
    <w:rsid w:val="00212A8F"/>
    <w:rsid w:val="00212FCA"/>
    <w:rsid w:val="002249B4"/>
    <w:rsid w:val="00231EBD"/>
    <w:rsid w:val="002441B8"/>
    <w:rsid w:val="00253694"/>
    <w:rsid w:val="00255F31"/>
    <w:rsid w:val="0026674D"/>
    <w:rsid w:val="002800F3"/>
    <w:rsid w:val="0028162C"/>
    <w:rsid w:val="00283DDE"/>
    <w:rsid w:val="0028412B"/>
    <w:rsid w:val="00295AAF"/>
    <w:rsid w:val="002B13E2"/>
    <w:rsid w:val="002B2D91"/>
    <w:rsid w:val="002D5B8B"/>
    <w:rsid w:val="002E6793"/>
    <w:rsid w:val="00301A61"/>
    <w:rsid w:val="00324D7D"/>
    <w:rsid w:val="00326E9D"/>
    <w:rsid w:val="00333EE2"/>
    <w:rsid w:val="00341FC3"/>
    <w:rsid w:val="003443B0"/>
    <w:rsid w:val="00350FC4"/>
    <w:rsid w:val="0035456D"/>
    <w:rsid w:val="003729A3"/>
    <w:rsid w:val="00381926"/>
    <w:rsid w:val="00381D71"/>
    <w:rsid w:val="0038697C"/>
    <w:rsid w:val="00390F6F"/>
    <w:rsid w:val="00391952"/>
    <w:rsid w:val="00392C99"/>
    <w:rsid w:val="003972EB"/>
    <w:rsid w:val="003A3C84"/>
    <w:rsid w:val="003B064D"/>
    <w:rsid w:val="003B25DD"/>
    <w:rsid w:val="003B3018"/>
    <w:rsid w:val="003D1CAB"/>
    <w:rsid w:val="003D4247"/>
    <w:rsid w:val="003F5663"/>
    <w:rsid w:val="003F56FD"/>
    <w:rsid w:val="00414F32"/>
    <w:rsid w:val="00415C53"/>
    <w:rsid w:val="00422546"/>
    <w:rsid w:val="00430B5F"/>
    <w:rsid w:val="00432D3A"/>
    <w:rsid w:val="004552E9"/>
    <w:rsid w:val="00462F59"/>
    <w:rsid w:val="004779B9"/>
    <w:rsid w:val="00483A59"/>
    <w:rsid w:val="004A1C23"/>
    <w:rsid w:val="004A40DB"/>
    <w:rsid w:val="004A4457"/>
    <w:rsid w:val="004B01EE"/>
    <w:rsid w:val="004C4C89"/>
    <w:rsid w:val="004C5674"/>
    <w:rsid w:val="004F0F04"/>
    <w:rsid w:val="004F6977"/>
    <w:rsid w:val="00500F75"/>
    <w:rsid w:val="005013F0"/>
    <w:rsid w:val="00504E92"/>
    <w:rsid w:val="00522F69"/>
    <w:rsid w:val="00530462"/>
    <w:rsid w:val="0053287C"/>
    <w:rsid w:val="005335A7"/>
    <w:rsid w:val="00534362"/>
    <w:rsid w:val="005462C0"/>
    <w:rsid w:val="00571C5E"/>
    <w:rsid w:val="0057700F"/>
    <w:rsid w:val="00580974"/>
    <w:rsid w:val="0058558B"/>
    <w:rsid w:val="005A2792"/>
    <w:rsid w:val="005B4642"/>
    <w:rsid w:val="005B77CE"/>
    <w:rsid w:val="005E7290"/>
    <w:rsid w:val="005F1C3C"/>
    <w:rsid w:val="006166FA"/>
    <w:rsid w:val="00632E66"/>
    <w:rsid w:val="006369D7"/>
    <w:rsid w:val="00652A58"/>
    <w:rsid w:val="00653BD5"/>
    <w:rsid w:val="00664BC0"/>
    <w:rsid w:val="00670E40"/>
    <w:rsid w:val="006738A3"/>
    <w:rsid w:val="006835EB"/>
    <w:rsid w:val="006867FE"/>
    <w:rsid w:val="0068765C"/>
    <w:rsid w:val="00690136"/>
    <w:rsid w:val="00693106"/>
    <w:rsid w:val="00693371"/>
    <w:rsid w:val="006A01B9"/>
    <w:rsid w:val="006A1DBE"/>
    <w:rsid w:val="006A7291"/>
    <w:rsid w:val="006B1C0C"/>
    <w:rsid w:val="006C2F74"/>
    <w:rsid w:val="006D15EC"/>
    <w:rsid w:val="006D3785"/>
    <w:rsid w:val="006E33D4"/>
    <w:rsid w:val="006E6BF1"/>
    <w:rsid w:val="006F18E9"/>
    <w:rsid w:val="006F5785"/>
    <w:rsid w:val="006F75DB"/>
    <w:rsid w:val="007023B0"/>
    <w:rsid w:val="0070490D"/>
    <w:rsid w:val="0071460E"/>
    <w:rsid w:val="0072126E"/>
    <w:rsid w:val="00730307"/>
    <w:rsid w:val="0073268A"/>
    <w:rsid w:val="00734692"/>
    <w:rsid w:val="0075655F"/>
    <w:rsid w:val="00763EAE"/>
    <w:rsid w:val="00764D4D"/>
    <w:rsid w:val="00773AEB"/>
    <w:rsid w:val="00787670"/>
    <w:rsid w:val="00797FBB"/>
    <w:rsid w:val="007A2F92"/>
    <w:rsid w:val="007B6ADD"/>
    <w:rsid w:val="007C0DC7"/>
    <w:rsid w:val="007C7E1D"/>
    <w:rsid w:val="007E7C0F"/>
    <w:rsid w:val="007F2CD9"/>
    <w:rsid w:val="0081469B"/>
    <w:rsid w:val="00826750"/>
    <w:rsid w:val="00846003"/>
    <w:rsid w:val="00847897"/>
    <w:rsid w:val="00854C4E"/>
    <w:rsid w:val="008619E1"/>
    <w:rsid w:val="0087477C"/>
    <w:rsid w:val="00876154"/>
    <w:rsid w:val="00876F75"/>
    <w:rsid w:val="00883F19"/>
    <w:rsid w:val="008844F3"/>
    <w:rsid w:val="00887E7E"/>
    <w:rsid w:val="008A21A4"/>
    <w:rsid w:val="008A3C25"/>
    <w:rsid w:val="008B703B"/>
    <w:rsid w:val="008C288D"/>
    <w:rsid w:val="008D1162"/>
    <w:rsid w:val="008E70CD"/>
    <w:rsid w:val="009009B7"/>
    <w:rsid w:val="00913A8B"/>
    <w:rsid w:val="00914DD7"/>
    <w:rsid w:val="00923694"/>
    <w:rsid w:val="0092596C"/>
    <w:rsid w:val="00926C24"/>
    <w:rsid w:val="00933B30"/>
    <w:rsid w:val="009367D6"/>
    <w:rsid w:val="0093752E"/>
    <w:rsid w:val="00970FE4"/>
    <w:rsid w:val="00973C3A"/>
    <w:rsid w:val="00976E96"/>
    <w:rsid w:val="0098144A"/>
    <w:rsid w:val="009A2394"/>
    <w:rsid w:val="009C16AD"/>
    <w:rsid w:val="009C3453"/>
    <w:rsid w:val="009C5135"/>
    <w:rsid w:val="009E1190"/>
    <w:rsid w:val="009E68B7"/>
    <w:rsid w:val="009F358B"/>
    <w:rsid w:val="00A10D1A"/>
    <w:rsid w:val="00A23E95"/>
    <w:rsid w:val="00A276F5"/>
    <w:rsid w:val="00A306DF"/>
    <w:rsid w:val="00A337D1"/>
    <w:rsid w:val="00A3517E"/>
    <w:rsid w:val="00A36E03"/>
    <w:rsid w:val="00A4336A"/>
    <w:rsid w:val="00A548BE"/>
    <w:rsid w:val="00A57401"/>
    <w:rsid w:val="00A6524A"/>
    <w:rsid w:val="00A72E7B"/>
    <w:rsid w:val="00A800B2"/>
    <w:rsid w:val="00A93304"/>
    <w:rsid w:val="00A94DB1"/>
    <w:rsid w:val="00A968FB"/>
    <w:rsid w:val="00A96B65"/>
    <w:rsid w:val="00AA7559"/>
    <w:rsid w:val="00AC503F"/>
    <w:rsid w:val="00AD3DE5"/>
    <w:rsid w:val="00AD7B67"/>
    <w:rsid w:val="00AF32F2"/>
    <w:rsid w:val="00AF4B6E"/>
    <w:rsid w:val="00B018E3"/>
    <w:rsid w:val="00B1381C"/>
    <w:rsid w:val="00B1422D"/>
    <w:rsid w:val="00B16372"/>
    <w:rsid w:val="00B3407F"/>
    <w:rsid w:val="00B41267"/>
    <w:rsid w:val="00B41F71"/>
    <w:rsid w:val="00B5301A"/>
    <w:rsid w:val="00B554AF"/>
    <w:rsid w:val="00B63139"/>
    <w:rsid w:val="00B86284"/>
    <w:rsid w:val="00B91FA9"/>
    <w:rsid w:val="00B96E74"/>
    <w:rsid w:val="00BA1C7D"/>
    <w:rsid w:val="00BA5743"/>
    <w:rsid w:val="00BA7C56"/>
    <w:rsid w:val="00BC302C"/>
    <w:rsid w:val="00BC77EF"/>
    <w:rsid w:val="00BD488B"/>
    <w:rsid w:val="00BD6EEC"/>
    <w:rsid w:val="00C00D70"/>
    <w:rsid w:val="00C01698"/>
    <w:rsid w:val="00C068E0"/>
    <w:rsid w:val="00C06913"/>
    <w:rsid w:val="00C126B9"/>
    <w:rsid w:val="00C256AC"/>
    <w:rsid w:val="00C37770"/>
    <w:rsid w:val="00C41A65"/>
    <w:rsid w:val="00C47083"/>
    <w:rsid w:val="00C510DD"/>
    <w:rsid w:val="00C55853"/>
    <w:rsid w:val="00C57485"/>
    <w:rsid w:val="00C60EDC"/>
    <w:rsid w:val="00C61BCC"/>
    <w:rsid w:val="00C71122"/>
    <w:rsid w:val="00C867EB"/>
    <w:rsid w:val="00CA495F"/>
    <w:rsid w:val="00CA4F8C"/>
    <w:rsid w:val="00CA59C3"/>
    <w:rsid w:val="00CB42C4"/>
    <w:rsid w:val="00CB5C60"/>
    <w:rsid w:val="00CB75A8"/>
    <w:rsid w:val="00CC366F"/>
    <w:rsid w:val="00CC376A"/>
    <w:rsid w:val="00CD061C"/>
    <w:rsid w:val="00CD7DBB"/>
    <w:rsid w:val="00CE34E4"/>
    <w:rsid w:val="00CE5550"/>
    <w:rsid w:val="00CF511E"/>
    <w:rsid w:val="00CF734E"/>
    <w:rsid w:val="00CF793D"/>
    <w:rsid w:val="00D009B9"/>
    <w:rsid w:val="00D018D3"/>
    <w:rsid w:val="00D037AB"/>
    <w:rsid w:val="00D05A7F"/>
    <w:rsid w:val="00D20588"/>
    <w:rsid w:val="00D25C92"/>
    <w:rsid w:val="00D31FF3"/>
    <w:rsid w:val="00D3369F"/>
    <w:rsid w:val="00D34087"/>
    <w:rsid w:val="00D35E27"/>
    <w:rsid w:val="00D40D3F"/>
    <w:rsid w:val="00D430F7"/>
    <w:rsid w:val="00D72E0B"/>
    <w:rsid w:val="00D734E6"/>
    <w:rsid w:val="00D80FBD"/>
    <w:rsid w:val="00D925EA"/>
    <w:rsid w:val="00DA5A72"/>
    <w:rsid w:val="00DB14A2"/>
    <w:rsid w:val="00DC385C"/>
    <w:rsid w:val="00DC4E36"/>
    <w:rsid w:val="00DE00F4"/>
    <w:rsid w:val="00DF19E8"/>
    <w:rsid w:val="00DF401D"/>
    <w:rsid w:val="00DF56DA"/>
    <w:rsid w:val="00DF739D"/>
    <w:rsid w:val="00E05FA3"/>
    <w:rsid w:val="00E11CA6"/>
    <w:rsid w:val="00E14565"/>
    <w:rsid w:val="00E14BA3"/>
    <w:rsid w:val="00E20612"/>
    <w:rsid w:val="00E20D62"/>
    <w:rsid w:val="00E21C81"/>
    <w:rsid w:val="00E4319E"/>
    <w:rsid w:val="00E57AAC"/>
    <w:rsid w:val="00E636D7"/>
    <w:rsid w:val="00E70827"/>
    <w:rsid w:val="00E72069"/>
    <w:rsid w:val="00E7335D"/>
    <w:rsid w:val="00E77D58"/>
    <w:rsid w:val="00E87A4F"/>
    <w:rsid w:val="00EA242E"/>
    <w:rsid w:val="00EB1FF5"/>
    <w:rsid w:val="00EB3E6F"/>
    <w:rsid w:val="00EC0232"/>
    <w:rsid w:val="00ED5560"/>
    <w:rsid w:val="00EE674C"/>
    <w:rsid w:val="00EF5332"/>
    <w:rsid w:val="00EF7683"/>
    <w:rsid w:val="00F12DC2"/>
    <w:rsid w:val="00F152DF"/>
    <w:rsid w:val="00F15484"/>
    <w:rsid w:val="00F421CB"/>
    <w:rsid w:val="00F436F8"/>
    <w:rsid w:val="00F63298"/>
    <w:rsid w:val="00F65BD2"/>
    <w:rsid w:val="00FA3DDA"/>
    <w:rsid w:val="00FA4A60"/>
    <w:rsid w:val="00FB0BA8"/>
    <w:rsid w:val="00FB16E6"/>
    <w:rsid w:val="00FB44C6"/>
    <w:rsid w:val="00FC1142"/>
    <w:rsid w:val="00FD1DF0"/>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F1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qFormat/>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6B1C0C"/>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2483">
      <w:bodyDiv w:val="1"/>
      <w:marLeft w:val="0"/>
      <w:marRight w:val="0"/>
      <w:marTop w:val="0"/>
      <w:marBottom w:val="0"/>
      <w:divBdr>
        <w:top w:val="none" w:sz="0" w:space="0" w:color="auto"/>
        <w:left w:val="none" w:sz="0" w:space="0" w:color="auto"/>
        <w:bottom w:val="none" w:sz="0" w:space="0" w:color="auto"/>
        <w:right w:val="none" w:sz="0" w:space="0" w:color="auto"/>
      </w:divBdr>
    </w:div>
    <w:div w:id="270867530">
      <w:bodyDiv w:val="1"/>
      <w:marLeft w:val="0"/>
      <w:marRight w:val="0"/>
      <w:marTop w:val="0"/>
      <w:marBottom w:val="0"/>
      <w:divBdr>
        <w:top w:val="none" w:sz="0" w:space="0" w:color="auto"/>
        <w:left w:val="none" w:sz="0" w:space="0" w:color="auto"/>
        <w:bottom w:val="none" w:sz="0" w:space="0" w:color="auto"/>
        <w:right w:val="none" w:sz="0" w:space="0" w:color="auto"/>
      </w:divBdr>
    </w:div>
    <w:div w:id="633489383">
      <w:bodyDiv w:val="1"/>
      <w:marLeft w:val="0"/>
      <w:marRight w:val="0"/>
      <w:marTop w:val="0"/>
      <w:marBottom w:val="0"/>
      <w:divBdr>
        <w:top w:val="none" w:sz="0" w:space="0" w:color="auto"/>
        <w:left w:val="none" w:sz="0" w:space="0" w:color="auto"/>
        <w:bottom w:val="none" w:sz="0" w:space="0" w:color="auto"/>
        <w:right w:val="none" w:sz="0" w:space="0" w:color="auto"/>
      </w:divBdr>
    </w:div>
    <w:div w:id="1175533537">
      <w:bodyDiv w:val="1"/>
      <w:marLeft w:val="0"/>
      <w:marRight w:val="0"/>
      <w:marTop w:val="0"/>
      <w:marBottom w:val="0"/>
      <w:divBdr>
        <w:top w:val="none" w:sz="0" w:space="0" w:color="auto"/>
        <w:left w:val="none" w:sz="0" w:space="0" w:color="auto"/>
        <w:bottom w:val="none" w:sz="0" w:space="0" w:color="auto"/>
        <w:right w:val="none" w:sz="0" w:space="0" w:color="auto"/>
      </w:divBdr>
    </w:div>
    <w:div w:id="1375235784">
      <w:bodyDiv w:val="1"/>
      <w:marLeft w:val="0"/>
      <w:marRight w:val="0"/>
      <w:marTop w:val="0"/>
      <w:marBottom w:val="0"/>
      <w:divBdr>
        <w:top w:val="none" w:sz="0" w:space="0" w:color="auto"/>
        <w:left w:val="none" w:sz="0" w:space="0" w:color="auto"/>
        <w:bottom w:val="none" w:sz="0" w:space="0" w:color="auto"/>
        <w:right w:val="none" w:sz="0" w:space="0" w:color="auto"/>
      </w:divBdr>
    </w:div>
    <w:div w:id="2088067485">
      <w:bodyDiv w:val="1"/>
      <w:marLeft w:val="0"/>
      <w:marRight w:val="0"/>
      <w:marTop w:val="0"/>
      <w:marBottom w:val="0"/>
      <w:divBdr>
        <w:top w:val="none" w:sz="0" w:space="0" w:color="auto"/>
        <w:left w:val="none" w:sz="0" w:space="0" w:color="auto"/>
        <w:bottom w:val="none" w:sz="0" w:space="0" w:color="auto"/>
        <w:right w:val="none" w:sz="0" w:space="0" w:color="auto"/>
      </w:divBdr>
    </w:div>
    <w:div w:id="213505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pa/Stand/Resources/Documents/Appendix3AStandardsProcessesManual.pdf" TargetMode="External"/><Relationship Id="rId2" Type="http://schemas.openxmlformats.org/officeDocument/2006/relationships/hyperlink" Target="http://elibrary.ferc.gov/idmws/common/OpenNat.asp?fileID=13875403" TargetMode="External"/><Relationship Id="rId1" Type="http://schemas.openxmlformats.org/officeDocument/2006/relationships/hyperlink" Target="http://elibrary.ferc.gov/idmws/common/OpenNat.asp?fileID=14360208" TargetMode="External"/><Relationship Id="rId6" Type="http://schemas.openxmlformats.org/officeDocument/2006/relationships/hyperlink" Target="http://www.bls.gov/news.release/ecec.nr0.htm" TargetMode="External"/><Relationship Id="rId5" Type="http://schemas.openxmlformats.org/officeDocument/2006/relationships/hyperlink" Target="http://www.bls.gov/oes/current/naics2_22.htm" TargetMode="External"/><Relationship Id="rId4" Type="http://schemas.openxmlformats.org/officeDocument/2006/relationships/hyperlink" Target="http://www.ne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725N</_x0031__x002e__x0020_Collection_x0020_Number>
    <Date xmlns="d6eefc7d-9817-4fa6-84d5-3bc009be21b8">2016-10-05T00:00:00-04:00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RM15-11</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88CC6-4B3C-4F46-A507-85E12A375553}">
  <ds:schemaRefs>
    <ds:schemaRef ds:uri="http://schemas.microsoft.com/office/2006/metadata/customXsn"/>
  </ds:schemaRefs>
</ds:datastoreItem>
</file>

<file path=customXml/itemProps2.xml><?xml version="1.0" encoding="utf-8"?>
<ds:datastoreItem xmlns:ds="http://schemas.openxmlformats.org/officeDocument/2006/customXml" ds:itemID="{09AC96BB-788A-4436-9F20-3C2CCEF5FD5E}">
  <ds:schemaRefs>
    <ds:schemaRef ds:uri="http://schemas.microsoft.com/sharepoint/v3/contenttype/forms"/>
  </ds:schemaRefs>
</ds:datastoreItem>
</file>

<file path=customXml/itemProps3.xml><?xml version="1.0" encoding="utf-8"?>
<ds:datastoreItem xmlns:ds="http://schemas.openxmlformats.org/officeDocument/2006/customXml" ds:itemID="{D195CB2A-8010-4082-A8E8-764905A58D25}">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 ds:uri="http://purl.org/dc/dcmitype/"/>
    <ds:schemaRef ds:uri="d6eefc7d-9817-4fa6-84d5-3bc009be21b8"/>
    <ds:schemaRef ds:uri="http://purl.org/dc/terms/"/>
  </ds:schemaRefs>
</ds:datastoreItem>
</file>

<file path=customXml/itemProps4.xml><?xml version="1.0" encoding="utf-8"?>
<ds:datastoreItem xmlns:ds="http://schemas.openxmlformats.org/officeDocument/2006/customXml" ds:itemID="{4ECC3E51-C8B3-4EFB-B940-C70B42BC4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FA855A-E6FB-4918-BE7A-0DE81EC4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RM15-11 supporting statement</vt:lpstr>
    </vt:vector>
  </TitlesOfParts>
  <LinksUpToDate>false</LinksUpToDate>
  <CharactersWithSpaces>23376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RM15-11 supporting statement</dc:title>
  <dc:creator/>
  <cp:lastModifiedBy/>
  <cp:revision>1</cp:revision>
  <dcterms:created xsi:type="dcterms:W3CDTF">2016-10-05T19:39:00Z</dcterms:created>
  <dcterms:modified xsi:type="dcterms:W3CDTF">2016-10-05T19:39:00Z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