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3443459D" w14:textId="6FA5968F" w:rsidR="009D6B6D" w:rsidRPr="001D2EC1" w:rsidRDefault="00785BAA" w:rsidP="001D2EC1">
      <w:pPr>
        <w:widowControl/>
        <w:tabs>
          <w:tab w:val="center" w:pos="5040"/>
        </w:tabs>
        <w:jc w:val="center"/>
        <w:rPr>
          <w:b/>
        </w:rPr>
      </w:pPr>
      <w:r>
        <w:rPr>
          <w:b/>
          <w:bCs/>
        </w:rPr>
        <w:t>FERC Form 80</w:t>
      </w:r>
      <w:r w:rsidR="009D6B6D" w:rsidRPr="001D2EC1">
        <w:rPr>
          <w:b/>
          <w:bCs/>
        </w:rPr>
        <w:t xml:space="preserve">, </w:t>
      </w:r>
      <w:r>
        <w:rPr>
          <w:b/>
          <w:bCs/>
        </w:rPr>
        <w:t>Licensed Hydropower Development Recreation Report</w:t>
      </w:r>
    </w:p>
    <w:p w14:paraId="13D26165" w14:textId="77777777" w:rsidR="009D6B6D" w:rsidRPr="001D2EC1" w:rsidRDefault="009D6B6D" w:rsidP="001D2EC1">
      <w:pPr>
        <w:widowControl/>
        <w:tabs>
          <w:tab w:val="center" w:pos="5040"/>
        </w:tabs>
        <w:jc w:val="center"/>
      </w:pPr>
    </w:p>
    <w:p w14:paraId="08EF0C81" w14:textId="71037D3D" w:rsidR="009D6B6D" w:rsidRPr="00CC615D" w:rsidRDefault="009D6B6D" w:rsidP="001F3ADE">
      <w:pPr>
        <w:widowControl/>
        <w:tabs>
          <w:tab w:val="center" w:pos="5040"/>
        </w:tabs>
        <w:rPr>
          <w:b/>
        </w:rPr>
      </w:pPr>
      <w:r w:rsidRPr="001D2EC1">
        <w:rPr>
          <w:bCs/>
        </w:rPr>
        <w:t xml:space="preserve">The Federal Energy Regulatory Commission (Commission or FERC) requests that the Office of Management and Budget (OMB) review and approve </w:t>
      </w:r>
      <w:r w:rsidR="00785BAA">
        <w:rPr>
          <w:b/>
          <w:bCs/>
        </w:rPr>
        <w:t>FERC Form 80</w:t>
      </w:r>
      <w:r w:rsidR="0021208A" w:rsidRPr="001D2EC1">
        <w:rPr>
          <w:b/>
          <w:bCs/>
        </w:rPr>
        <w:t xml:space="preserve">, </w:t>
      </w:r>
      <w:r w:rsidR="00785BAA">
        <w:rPr>
          <w:b/>
        </w:rPr>
        <w:t xml:space="preserve">Licensed Hydropower Development Recreation Report </w:t>
      </w:r>
      <w:r w:rsidR="0035481D" w:rsidRPr="001D2EC1">
        <w:rPr>
          <w:bCs/>
        </w:rPr>
        <w:t>(</w:t>
      </w:r>
      <w:r w:rsidR="00785BAA">
        <w:rPr>
          <w:bCs/>
        </w:rPr>
        <w:t>OMB Control No. 1902-0106</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r w:rsidR="0021208A">
        <w:rPr>
          <w:bCs/>
        </w:rPr>
        <w:t>FERC-</w:t>
      </w:r>
      <w:r w:rsidR="007D3EF2">
        <w:rPr>
          <w:bCs/>
        </w:rPr>
        <w:t>80</w:t>
      </w:r>
      <w:r w:rsidR="007D3EF2">
        <w:t xml:space="preserve"> </w:t>
      </w:r>
      <w:r w:rsidR="00CC615D">
        <w:t xml:space="preserve">is an existing data collection with </w:t>
      </w:r>
      <w:r w:rsidRPr="001D2EC1">
        <w:t xml:space="preserve">reporting requirement in 18 Code of Federal Regulations (CFR) </w:t>
      </w:r>
      <w:r w:rsidR="00785BAA">
        <w:t xml:space="preserve">Section 8.11 and </w:t>
      </w:r>
      <w:r w:rsidR="007D3EF2">
        <w:t>141.14</w:t>
      </w:r>
      <w:r w:rsidR="0021208A">
        <w:t>.</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7BE89E10" w14:textId="77777777" w:rsidR="00785BAA" w:rsidRPr="009C6485" w:rsidRDefault="00785BAA" w:rsidP="00785BAA">
      <w:r w:rsidRPr="009C6485">
        <w:t xml:space="preserve">The </w:t>
      </w:r>
      <w:r>
        <w:t xml:space="preserve">Commission uses the </w:t>
      </w:r>
      <w:r w:rsidRPr="009C6485">
        <w:t>i</w:t>
      </w:r>
      <w:r>
        <w:t xml:space="preserve">nformation collected on FERC </w:t>
      </w:r>
      <w:r w:rsidRPr="009C6485">
        <w:t>Form 80 to implement statutory provisions of Sections 4(g), 10, 304, 309, and 311 of the Federal Power Act (FPA)</w:t>
      </w:r>
      <w:r>
        <w:t>.</w:t>
      </w:r>
      <w:r w:rsidRPr="009C6485">
        <w:rPr>
          <w:rStyle w:val="FootnoteReference"/>
          <w:vertAlign w:val="superscript"/>
        </w:rPr>
        <w:footnoteReference w:id="1"/>
      </w:r>
      <w:r w:rsidRPr="009C6485">
        <w:t xml:space="preserve">  The Commission has </w:t>
      </w:r>
      <w:r>
        <w:t xml:space="preserve">collected FERC </w:t>
      </w:r>
      <w:r w:rsidRPr="009C6485">
        <w:t xml:space="preserve">Form 80 data since 1966. </w:t>
      </w:r>
      <w:r>
        <w:t xml:space="preserve"> </w:t>
      </w:r>
      <w:r w:rsidRPr="009C6485">
        <w:t xml:space="preserve">Presently, </w:t>
      </w:r>
      <w:r>
        <w:t>the Commission collects the data</w:t>
      </w:r>
      <w:r w:rsidRPr="009C6485">
        <w:t xml:space="preserve"> every six </w:t>
      </w:r>
      <w:r>
        <w:t>years as directed by 18 Code of Federal Regulations (CF</w:t>
      </w:r>
      <w:r w:rsidRPr="009C6485">
        <w:t>R</w:t>
      </w:r>
      <w:r>
        <w:t xml:space="preserve">) </w:t>
      </w:r>
      <w:r w:rsidRPr="009C6485">
        <w:t>8</w:t>
      </w:r>
      <w:r>
        <w:t>.11</w:t>
      </w:r>
      <w:r w:rsidRPr="009C6485">
        <w:t xml:space="preserve"> and 141.14. </w:t>
      </w:r>
    </w:p>
    <w:p w14:paraId="2604C160" w14:textId="77777777" w:rsidR="00785BAA" w:rsidRPr="009C6485" w:rsidRDefault="00785BAA" w:rsidP="00785BAA"/>
    <w:p w14:paraId="23AF5D4C" w14:textId="1F7B5991" w:rsidR="0021208A" w:rsidRPr="0007578B" w:rsidRDefault="00785BAA" w:rsidP="00785BAA">
      <w:r w:rsidRPr="009C6485">
        <w:t xml:space="preserve">The authority for the Commission to collect this information comes from Section 10(a) of the FPA which requires the Commission to be responsible for ensuring that hydro projects subject to its jurisdiction are consistent with the comprehensive development of the nation’s waterway for recreation and other beneficial public uses.  In the interest of fulfilling these objectives, the Commission expects its licensees, over whom it may exercise direct regulatory control, to </w:t>
      </w:r>
      <w:r>
        <w:t>recognize the resources</w:t>
      </w:r>
      <w:r w:rsidRPr="009C6485">
        <w:t xml:space="preserve"> affected by their activities and to play a role in </w:t>
      </w:r>
      <w:r>
        <w:t xml:space="preserve">the </w:t>
      </w:r>
      <w:r w:rsidRPr="009C6485">
        <w:t>protection of such resources</w:t>
      </w:r>
      <w:r>
        <w:t xml:space="preserve">.  </w:t>
      </w:r>
      <w:r w:rsidRPr="009C6485">
        <w:t>18</w:t>
      </w:r>
      <w:r>
        <w:t xml:space="preserve"> </w:t>
      </w:r>
      <w:r w:rsidRPr="009C6485">
        <w:t>CFR 8.11 and 141.14</w:t>
      </w:r>
      <w:r>
        <w:t xml:space="preserve"> specifies the data required and on the form</w:t>
      </w:r>
      <w:r w:rsidR="0021208A" w:rsidRPr="0007578B">
        <w:rPr>
          <w:sz w:val="26"/>
          <w:szCs w:val="26"/>
        </w:rPr>
        <w:t>.</w:t>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544C7BD7" w14:textId="77777777" w:rsidR="00785BAA" w:rsidRDefault="00785BAA" w:rsidP="00785BAA">
      <w:r>
        <w:t xml:space="preserve">FERC collects information from hydropower project owners on the use and development of recreational facilities.  Commission staff uses the data to analyze the adequacy of existing public recreational facilities.  </w:t>
      </w:r>
      <w:r w:rsidRPr="00722727">
        <w:t>Applications for licenses, amendments to licenses, and/or changes in land rights frequently involve changes in resources available for recreation.</w:t>
      </w:r>
      <w:r>
        <w:t xml:space="preserve">  Commission staff uses the data during the amendment review process to help determine the impact of such changes.   </w:t>
      </w:r>
    </w:p>
    <w:p w14:paraId="1537D421" w14:textId="77777777" w:rsidR="00785BAA" w:rsidRDefault="00785BAA" w:rsidP="00785BAA"/>
    <w:p w14:paraId="19D1B47B" w14:textId="77777777" w:rsidR="00785BAA" w:rsidRDefault="00785BAA" w:rsidP="00785BAA">
      <w:r>
        <w:t>The Commission’s regional office staff conducts inspections of licensed projects to evaluate compliance with various license conditions, including those related to recreation.  The FERC Form 80 data assists the inspectors in identifying recreational facilities at hydropower projects.</w:t>
      </w:r>
    </w:p>
    <w:p w14:paraId="1D0598E5" w14:textId="7D95394E" w:rsidR="00785BAA" w:rsidRDefault="00DE6B6F" w:rsidP="00DE6B6F">
      <w:pPr>
        <w:tabs>
          <w:tab w:val="left" w:pos="960"/>
        </w:tabs>
      </w:pPr>
      <w:r>
        <w:tab/>
      </w:r>
    </w:p>
    <w:p w14:paraId="597CEEF6" w14:textId="6ACDC190" w:rsidR="008060D2" w:rsidRPr="00FC04B5" w:rsidRDefault="002B0890" w:rsidP="00785BAA">
      <w:r>
        <w:t xml:space="preserve">Without the FERC </w:t>
      </w:r>
      <w:r w:rsidR="00785BAA" w:rsidRPr="00A9428C">
        <w:t>Form 80 data, the Commission would not have the requisite information available to conduct reviews of recreation and public use of facilities as mandated under the FPA</w:t>
      </w:r>
      <w:r w:rsidR="008060D2" w:rsidRPr="00AE5B29">
        <w:t xml:space="preserve">.  </w:t>
      </w:r>
    </w:p>
    <w:p w14:paraId="32B2D492" w14:textId="77777777" w:rsidR="00980E8E" w:rsidRPr="00980E8E" w:rsidRDefault="00980E8E" w:rsidP="00980E8E">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6EB09533" w14:textId="140151AD" w:rsidR="008060D2" w:rsidRPr="00FC04B5" w:rsidRDefault="00785BAA" w:rsidP="008060D2">
      <w:r w:rsidRPr="00785BAA">
        <w:t>FERC allows FERC Form 80 filers to subm</w:t>
      </w:r>
      <w:r w:rsidR="002643FB">
        <w:t>it their forms electronically.</w:t>
      </w:r>
    </w:p>
    <w:p w14:paraId="307B8A29" w14:textId="77777777" w:rsidR="005240A1" w:rsidRDefault="005240A1" w:rsidP="005240A1">
      <w:pPr>
        <w:pStyle w:val="FERCparanumber"/>
        <w:numPr>
          <w:ilvl w:val="0"/>
          <w:numId w:val="0"/>
        </w:numPr>
        <w:rPr>
          <w:sz w:val="24"/>
        </w:rPr>
      </w:pPr>
    </w:p>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44C363AB" w14:textId="5899C61E" w:rsidR="00BD4039" w:rsidRDefault="00785BAA" w:rsidP="00BD4039">
      <w:pPr>
        <w:pStyle w:val="FERCparanumber"/>
        <w:numPr>
          <w:ilvl w:val="0"/>
          <w:numId w:val="0"/>
        </w:numPr>
        <w:rPr>
          <w:sz w:val="24"/>
        </w:rPr>
      </w:pPr>
      <w:r w:rsidRPr="00785BAA">
        <w:rPr>
          <w:sz w:val="24"/>
        </w:rPr>
        <w:t xml:space="preserve">The Commission collects recreation data from its regulated hydropower licensees.  There is no known </w:t>
      </w:r>
      <w:r w:rsidR="002643FB">
        <w:rPr>
          <w:sz w:val="24"/>
        </w:rPr>
        <w:t>alternative source of</w:t>
      </w:r>
      <w:r w:rsidRPr="00785BAA">
        <w:rPr>
          <w:sz w:val="24"/>
        </w:rPr>
        <w:t xml:space="preserve"> data similar to the FERC Form 80</w:t>
      </w:r>
      <w:r w:rsidR="008060D2">
        <w:rPr>
          <w:sz w:val="24"/>
        </w:rPr>
        <w:t xml:space="preserve">. </w:t>
      </w:r>
    </w:p>
    <w:p w14:paraId="01E02908" w14:textId="77777777" w:rsidR="008060D2" w:rsidRPr="00BD4039" w:rsidRDefault="008060D2"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6A972740" w14:textId="34ED0F23" w:rsidR="008060D2" w:rsidRPr="00AE5B29" w:rsidRDefault="00785BAA" w:rsidP="008060D2">
      <w:r w:rsidRPr="00785BAA">
        <w:t xml:space="preserve">The FERC Form 80 collects information from hydropower projects where there is a likelihood of recreation resource usage.  Project owners may request an exemption from filing the data if the project has little or no existing recreation use as indicated by fewer than 100 recreation days during the previous calendar year </w:t>
      </w:r>
      <w:r w:rsidR="007B025D">
        <w:t>(</w:t>
      </w:r>
      <w:r w:rsidRPr="00785BAA">
        <w:t>18 CFR 8.11(c)</w:t>
      </w:r>
      <w:r w:rsidR="007B025D">
        <w:t>)</w:t>
      </w:r>
      <w:r w:rsidRPr="00785BAA">
        <w:t>, or if it can be documented that there is little or no potential for recreation use</w:t>
      </w:r>
      <w:r w:rsidR="008060D2" w:rsidRPr="008F063C">
        <w:t>.</w:t>
      </w:r>
    </w:p>
    <w:p w14:paraId="2329B0A1" w14:textId="77777777" w:rsidR="005240A1" w:rsidRDefault="005240A1" w:rsidP="005240A1">
      <w:pPr>
        <w:pStyle w:val="FERCparanumber"/>
        <w:numPr>
          <w:ilvl w:val="0"/>
          <w:numId w:val="0"/>
        </w:numPr>
        <w:tabs>
          <w:tab w:val="num" w:pos="0"/>
        </w:tabs>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07C43EAE" w14:textId="0B901D89" w:rsidR="006B0369" w:rsidRPr="00AE5B29" w:rsidRDefault="002B0890" w:rsidP="006B0369">
      <w:r>
        <w:t xml:space="preserve">FERC </w:t>
      </w:r>
      <w:r w:rsidR="00785BAA" w:rsidRPr="00785BAA">
        <w:t>Form 80 information is collected every sixth year as re</w:t>
      </w:r>
      <w:r w:rsidR="002643FB">
        <w:t>quired under Section 18 CFR</w:t>
      </w:r>
      <w:r w:rsidR="00785BAA" w:rsidRPr="00785BAA">
        <w:t xml:space="preserve"> 8</w:t>
      </w:r>
      <w:r w:rsidR="002643FB">
        <w:t>.11</w:t>
      </w:r>
      <w:r w:rsidR="00785BAA" w:rsidRPr="00785BAA">
        <w:t>.  The Commission amended these regulations in 1992 by Commission Order 540 reducing the frequency of the data collection period from every four years to every six years.  If the Commission conducted the collection less frequently than the current schedule, the Commission would be unable to conduct adequate recreation reviews</w:t>
      </w:r>
      <w:r w:rsidR="006B0369" w:rsidRPr="00AE5B29">
        <w:t xml:space="preserve">. </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1257CCE7" w:rsidR="00BB6095" w:rsidRPr="001D2EC1" w:rsidRDefault="00785BAA" w:rsidP="00BB6095">
      <w:r>
        <w:t>FERC Form 80</w:t>
      </w:r>
      <w:r w:rsidR="00CB3EA0" w:rsidRPr="000B2C9D">
        <w:t xml:space="preserve"> meets OMB's </w:t>
      </w:r>
      <w:r w:rsidR="00CB3EA0">
        <w:t>S</w:t>
      </w:r>
      <w:r w:rsidR="00CB3EA0" w:rsidRPr="000B2C9D">
        <w:t>ection 1320.5 requirements.</w:t>
      </w:r>
      <w:r w:rsidR="00BB6095" w:rsidRPr="001D2EC1">
        <w:t xml:space="preserve">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3A87D785" w:rsidR="00BB6095" w:rsidRPr="001D2EC1" w:rsidRDefault="00BB6095" w:rsidP="00BB6095">
      <w:r w:rsidRPr="00E138E1">
        <w:t>In accordance with OMB requirements, the Commission published a 60-day notice</w:t>
      </w:r>
      <w:bookmarkStart w:id="0" w:name="_Ref332712251"/>
      <w:r w:rsidRPr="00E138E1">
        <w:rPr>
          <w:rStyle w:val="FootnoteReference"/>
          <w:vertAlign w:val="superscript"/>
        </w:rPr>
        <w:footnoteReference w:id="2"/>
      </w:r>
      <w:bookmarkEnd w:id="0"/>
      <w:r w:rsidRPr="00E138E1">
        <w:t xml:space="preserve"> and a 30-day notice</w:t>
      </w:r>
      <w:r w:rsidRPr="00E138E1">
        <w:rPr>
          <w:rStyle w:val="FootnoteReference"/>
          <w:vertAlign w:val="superscript"/>
        </w:rPr>
        <w:footnoteReference w:id="3"/>
      </w:r>
      <w:r w:rsidRPr="00E138E1">
        <w:t xml:space="preserve"> to the public regarding this information collection on </w:t>
      </w:r>
      <w:r w:rsidR="006B0369">
        <w:t>5/26</w:t>
      </w:r>
      <w:r w:rsidR="00CB3EA0">
        <w:t>/2016</w:t>
      </w:r>
      <w:r w:rsidRPr="006C1E96">
        <w:t xml:space="preserve"> </w:t>
      </w:r>
      <w:r w:rsidRPr="004F7BFA">
        <w:t xml:space="preserve">and </w:t>
      </w:r>
      <w:r w:rsidR="006B0369">
        <w:t>8/31</w:t>
      </w:r>
      <w:r w:rsidR="006C1E96" w:rsidRPr="004F7BFA">
        <w:t>/2016</w:t>
      </w:r>
      <w:r w:rsidRPr="004F7BFA">
        <w:t>,</w:t>
      </w:r>
      <w:r w:rsidRPr="00E138E1">
        <w:t xml:space="preserve"> respectively. Within the public notice, the Commission noted that it would be requesting a three-year extension of the public reporting burden with no change to the existing requirements concerning the collection of data.  The Commission received no comments.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lastRenderedPageBreak/>
        <w:t>EXPLAIN ANY PAYMENT OR GIFTS TO RESPONDENTS</w:t>
      </w:r>
    </w:p>
    <w:p w14:paraId="55601D9E" w14:textId="77777777" w:rsidR="00BB6095" w:rsidRDefault="00BB6095" w:rsidP="00BB6095">
      <w:pPr>
        <w:pStyle w:val="FERCparanumber"/>
        <w:numPr>
          <w:ilvl w:val="0"/>
          <w:numId w:val="0"/>
        </w:numPr>
        <w:rPr>
          <w:b/>
          <w:sz w:val="24"/>
        </w:rPr>
      </w:pPr>
    </w:p>
    <w:p w14:paraId="635D1E06" w14:textId="520716E5" w:rsidR="00BB6095" w:rsidRPr="001D2EC1" w:rsidRDefault="00BB6095" w:rsidP="00BB6095">
      <w:pPr>
        <w:widowControl/>
      </w:pPr>
      <w:r w:rsidRPr="001D2EC1">
        <w:t xml:space="preserve">There are no payments or gifts to respondents </w:t>
      </w:r>
      <w:r w:rsidR="007B025D">
        <w:t>of</w:t>
      </w:r>
      <w:r w:rsidRPr="001D2EC1">
        <w:t xml:space="preserve"> 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4266E043" w14:textId="312C4CF3" w:rsidR="001F60CC" w:rsidRDefault="001F60CC" w:rsidP="001F60CC">
      <w:r w:rsidRPr="000B2C9D">
        <w:t>The Commission does not consider the i</w:t>
      </w:r>
      <w:r w:rsidR="001F42E7">
        <w:t>nf</w:t>
      </w:r>
      <w:r w:rsidR="00CB3EA0">
        <w:t xml:space="preserve">ormation collected in </w:t>
      </w:r>
      <w:r w:rsidR="00785BAA">
        <w:t>FERC Form 80</w:t>
      </w:r>
      <w:r w:rsidR="006B0369">
        <w:t xml:space="preserve"> filings to be confidential.</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3"/>
        <w:gridCol w:w="1495"/>
        <w:gridCol w:w="1761"/>
        <w:gridCol w:w="1407"/>
        <w:gridCol w:w="2551"/>
        <w:gridCol w:w="1312"/>
      </w:tblGrid>
      <w:tr w:rsidR="00785BAA" w:rsidRPr="00D77538" w14:paraId="3F0E2EB2" w14:textId="77777777" w:rsidTr="001B4CC6">
        <w:trPr>
          <w:cantSplit/>
        </w:trPr>
        <w:tc>
          <w:tcPr>
            <w:tcW w:w="5000" w:type="pct"/>
            <w:gridSpan w:val="6"/>
            <w:tcBorders>
              <w:bottom w:val="single" w:sz="4" w:space="0" w:color="auto"/>
            </w:tcBorders>
            <w:shd w:val="clear" w:color="auto" w:fill="D9D9D9"/>
          </w:tcPr>
          <w:p w14:paraId="4A69271C" w14:textId="77777777" w:rsidR="00785BAA" w:rsidRPr="006A60CF" w:rsidRDefault="00785BAA" w:rsidP="001B4CC6">
            <w:pPr>
              <w:jc w:val="center"/>
              <w:rPr>
                <w:rFonts w:eastAsia="Calibri"/>
                <w:b/>
                <w:sz w:val="20"/>
                <w:szCs w:val="20"/>
              </w:rPr>
            </w:pPr>
            <w:r>
              <w:rPr>
                <w:rFonts w:eastAsia="Calibri"/>
                <w:b/>
                <w:sz w:val="20"/>
                <w:szCs w:val="20"/>
              </w:rPr>
              <w:t>FERC Form 80: Licensed Hydropower Development Recreation Report</w:t>
            </w:r>
          </w:p>
        </w:tc>
      </w:tr>
      <w:tr w:rsidR="00785BAA" w:rsidRPr="00D77538" w14:paraId="2BCE8371" w14:textId="77777777" w:rsidTr="002B0890">
        <w:trPr>
          <w:cantSplit/>
        </w:trPr>
        <w:tc>
          <w:tcPr>
            <w:tcW w:w="745" w:type="pct"/>
            <w:shd w:val="clear" w:color="auto" w:fill="D9D9D9"/>
            <w:vAlign w:val="bottom"/>
          </w:tcPr>
          <w:p w14:paraId="1E222E1F" w14:textId="77777777" w:rsidR="00785BAA" w:rsidRPr="006A60CF" w:rsidRDefault="00785BAA" w:rsidP="001B4CC6">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20500B5E" w14:textId="77777777" w:rsidR="00785BAA" w:rsidRPr="006A60CF" w:rsidRDefault="00785BAA" w:rsidP="001B4CC6">
            <w:pPr>
              <w:jc w:val="center"/>
              <w:rPr>
                <w:rFonts w:eastAsia="Calibri"/>
                <w:b/>
                <w:sz w:val="20"/>
                <w:szCs w:val="20"/>
              </w:rPr>
            </w:pPr>
            <w:r w:rsidRPr="006A60CF">
              <w:rPr>
                <w:rFonts w:eastAsia="Calibri"/>
                <w:b/>
                <w:sz w:val="20"/>
                <w:szCs w:val="20"/>
              </w:rPr>
              <w:t>Annual Number of Responses per Respondent</w:t>
            </w:r>
          </w:p>
          <w:p w14:paraId="39D0E027" w14:textId="77777777" w:rsidR="00785BAA" w:rsidRPr="006A60CF" w:rsidRDefault="00785BAA" w:rsidP="001B4CC6">
            <w:pPr>
              <w:jc w:val="center"/>
              <w:rPr>
                <w:rFonts w:eastAsia="Calibri"/>
                <w:b/>
                <w:sz w:val="20"/>
                <w:szCs w:val="20"/>
              </w:rPr>
            </w:pPr>
            <w:r w:rsidRPr="006A60CF">
              <w:rPr>
                <w:rFonts w:eastAsia="Calibri"/>
                <w:b/>
                <w:sz w:val="20"/>
                <w:szCs w:val="20"/>
              </w:rPr>
              <w:t>(2)</w:t>
            </w:r>
          </w:p>
        </w:tc>
        <w:tc>
          <w:tcPr>
            <w:tcW w:w="879" w:type="pct"/>
            <w:shd w:val="clear" w:color="auto" w:fill="D9D9D9"/>
            <w:vAlign w:val="bottom"/>
          </w:tcPr>
          <w:p w14:paraId="1D340B31" w14:textId="77777777" w:rsidR="00785BAA" w:rsidRPr="006A60CF" w:rsidRDefault="00785BAA" w:rsidP="001B4CC6">
            <w:pPr>
              <w:jc w:val="center"/>
              <w:rPr>
                <w:rFonts w:eastAsia="Calibri"/>
                <w:b/>
                <w:sz w:val="20"/>
                <w:szCs w:val="20"/>
              </w:rPr>
            </w:pPr>
            <w:r w:rsidRPr="006A60CF">
              <w:rPr>
                <w:rFonts w:eastAsia="Calibri"/>
                <w:b/>
                <w:sz w:val="20"/>
                <w:szCs w:val="20"/>
              </w:rPr>
              <w:t>Total Number of Responses (1)*(2)=(3)</w:t>
            </w:r>
          </w:p>
        </w:tc>
        <w:tc>
          <w:tcPr>
            <w:tcW w:w="702" w:type="pct"/>
            <w:shd w:val="clear" w:color="auto" w:fill="D9D9D9"/>
            <w:vAlign w:val="bottom"/>
          </w:tcPr>
          <w:p w14:paraId="709E142A" w14:textId="77777777" w:rsidR="00785BAA" w:rsidRPr="006A60CF" w:rsidRDefault="00785BAA" w:rsidP="001B4CC6">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4"/>
            </w:r>
          </w:p>
          <w:p w14:paraId="7B788664" w14:textId="77777777" w:rsidR="00785BAA" w:rsidRPr="006A60CF" w:rsidRDefault="00785BAA" w:rsidP="001B4CC6">
            <w:pPr>
              <w:jc w:val="center"/>
              <w:rPr>
                <w:rFonts w:eastAsia="Calibri"/>
                <w:b/>
                <w:sz w:val="20"/>
                <w:szCs w:val="20"/>
              </w:rPr>
            </w:pPr>
            <w:r w:rsidRPr="006A60CF">
              <w:rPr>
                <w:rFonts w:eastAsia="Calibri"/>
                <w:b/>
                <w:sz w:val="20"/>
                <w:szCs w:val="20"/>
              </w:rPr>
              <w:t>(4)</w:t>
            </w:r>
          </w:p>
        </w:tc>
        <w:tc>
          <w:tcPr>
            <w:tcW w:w="1273" w:type="pct"/>
            <w:shd w:val="clear" w:color="auto" w:fill="D9D9D9"/>
            <w:vAlign w:val="bottom"/>
          </w:tcPr>
          <w:p w14:paraId="59C8A356" w14:textId="77777777" w:rsidR="00785BAA" w:rsidRPr="006A60CF" w:rsidRDefault="00785BAA" w:rsidP="001B4CC6">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012F0193" w14:textId="77777777" w:rsidR="00785BAA" w:rsidRPr="006A60CF" w:rsidRDefault="00785BAA" w:rsidP="001B4CC6">
            <w:pPr>
              <w:jc w:val="center"/>
              <w:rPr>
                <w:rFonts w:eastAsia="Calibri"/>
                <w:b/>
                <w:sz w:val="20"/>
                <w:szCs w:val="20"/>
              </w:rPr>
            </w:pPr>
            <w:r w:rsidRPr="006A60CF">
              <w:rPr>
                <w:rFonts w:eastAsia="Calibri"/>
                <w:b/>
                <w:sz w:val="20"/>
                <w:szCs w:val="20"/>
              </w:rPr>
              <w:t>(3)*(4)=(5)</w:t>
            </w:r>
          </w:p>
        </w:tc>
        <w:tc>
          <w:tcPr>
            <w:tcW w:w="655" w:type="pct"/>
            <w:shd w:val="clear" w:color="auto" w:fill="D9D9D9"/>
            <w:vAlign w:val="bottom"/>
          </w:tcPr>
          <w:p w14:paraId="035C0407" w14:textId="77777777" w:rsidR="00785BAA" w:rsidRPr="006A60CF" w:rsidRDefault="00785BAA" w:rsidP="001B4CC6">
            <w:pPr>
              <w:jc w:val="center"/>
              <w:rPr>
                <w:rFonts w:eastAsia="Calibri"/>
                <w:b/>
                <w:sz w:val="20"/>
                <w:szCs w:val="20"/>
              </w:rPr>
            </w:pPr>
            <w:r w:rsidRPr="006A60CF">
              <w:rPr>
                <w:rFonts w:eastAsia="Calibri"/>
                <w:b/>
                <w:sz w:val="20"/>
                <w:szCs w:val="20"/>
              </w:rPr>
              <w:t>Cost per Respondent</w:t>
            </w:r>
          </w:p>
          <w:p w14:paraId="7C1326AE" w14:textId="77777777" w:rsidR="00785BAA" w:rsidRPr="006A60CF" w:rsidRDefault="00785BAA" w:rsidP="001B4CC6">
            <w:pPr>
              <w:jc w:val="center"/>
              <w:rPr>
                <w:rFonts w:eastAsia="Calibri"/>
                <w:b/>
                <w:sz w:val="20"/>
                <w:szCs w:val="20"/>
              </w:rPr>
            </w:pPr>
            <w:r w:rsidRPr="006A60CF">
              <w:rPr>
                <w:rFonts w:eastAsia="Calibri"/>
                <w:b/>
                <w:sz w:val="20"/>
                <w:szCs w:val="20"/>
              </w:rPr>
              <w:t xml:space="preserve"> ($)</w:t>
            </w:r>
          </w:p>
          <w:p w14:paraId="05BFD802" w14:textId="77777777" w:rsidR="00785BAA" w:rsidRPr="006A60CF" w:rsidRDefault="00785BAA" w:rsidP="001B4CC6">
            <w:pPr>
              <w:jc w:val="center"/>
              <w:rPr>
                <w:rFonts w:eastAsia="Calibri"/>
                <w:b/>
                <w:sz w:val="20"/>
                <w:szCs w:val="20"/>
              </w:rPr>
            </w:pPr>
            <w:r w:rsidRPr="006A60CF">
              <w:rPr>
                <w:rFonts w:eastAsia="Calibri"/>
                <w:b/>
                <w:sz w:val="20"/>
                <w:szCs w:val="20"/>
              </w:rPr>
              <w:t>(5)÷(1)</w:t>
            </w:r>
          </w:p>
        </w:tc>
      </w:tr>
      <w:tr w:rsidR="00785BAA" w:rsidRPr="00D77538" w14:paraId="06EA0E76" w14:textId="77777777" w:rsidTr="002B0890">
        <w:trPr>
          <w:cantSplit/>
        </w:trPr>
        <w:tc>
          <w:tcPr>
            <w:tcW w:w="745" w:type="pct"/>
          </w:tcPr>
          <w:p w14:paraId="2C95612A" w14:textId="77777777" w:rsidR="00785BAA" w:rsidRPr="006A60CF" w:rsidRDefault="00785BAA" w:rsidP="001B4CC6">
            <w:pPr>
              <w:jc w:val="right"/>
              <w:rPr>
                <w:rFonts w:eastAsia="Calibri"/>
                <w:sz w:val="20"/>
                <w:szCs w:val="20"/>
              </w:rPr>
            </w:pPr>
            <w:r>
              <w:rPr>
                <w:rFonts w:eastAsia="Calibri"/>
                <w:sz w:val="20"/>
                <w:szCs w:val="20"/>
              </w:rPr>
              <w:t>400</w:t>
            </w:r>
          </w:p>
          <w:p w14:paraId="79BD5D4C" w14:textId="77777777" w:rsidR="00785BAA" w:rsidRPr="006A60CF" w:rsidRDefault="00785BAA" w:rsidP="001B4CC6">
            <w:pPr>
              <w:jc w:val="right"/>
              <w:rPr>
                <w:rFonts w:eastAsia="Calibri"/>
                <w:sz w:val="20"/>
                <w:szCs w:val="20"/>
              </w:rPr>
            </w:pPr>
          </w:p>
        </w:tc>
        <w:tc>
          <w:tcPr>
            <w:tcW w:w="746" w:type="pct"/>
          </w:tcPr>
          <w:p w14:paraId="70B13307" w14:textId="77777777" w:rsidR="00785BAA" w:rsidRPr="006A60CF" w:rsidRDefault="00785BAA" w:rsidP="001B4CC6">
            <w:pPr>
              <w:jc w:val="right"/>
              <w:rPr>
                <w:rFonts w:eastAsia="Calibri"/>
                <w:sz w:val="20"/>
                <w:szCs w:val="20"/>
              </w:rPr>
            </w:pPr>
            <w:r>
              <w:rPr>
                <w:rFonts w:eastAsia="Calibri"/>
                <w:sz w:val="20"/>
                <w:szCs w:val="20"/>
              </w:rPr>
              <w:t>0.167</w:t>
            </w:r>
          </w:p>
        </w:tc>
        <w:tc>
          <w:tcPr>
            <w:tcW w:w="879" w:type="pct"/>
          </w:tcPr>
          <w:p w14:paraId="58FF8EA6" w14:textId="77777777" w:rsidR="00785BAA" w:rsidRPr="006A60CF" w:rsidRDefault="00785BAA" w:rsidP="001B4CC6">
            <w:pPr>
              <w:jc w:val="right"/>
              <w:rPr>
                <w:rFonts w:eastAsia="Calibri"/>
                <w:sz w:val="20"/>
                <w:szCs w:val="20"/>
              </w:rPr>
            </w:pPr>
            <w:r>
              <w:rPr>
                <w:rFonts w:eastAsia="Calibri"/>
                <w:sz w:val="20"/>
                <w:szCs w:val="20"/>
              </w:rPr>
              <w:t>67</w:t>
            </w:r>
            <w:r w:rsidRPr="002B0890">
              <w:rPr>
                <w:rStyle w:val="FootnoteReference"/>
                <w:rFonts w:eastAsia="Calibri"/>
                <w:vertAlign w:val="superscript"/>
              </w:rPr>
              <w:footnoteReference w:id="5"/>
            </w:r>
          </w:p>
        </w:tc>
        <w:tc>
          <w:tcPr>
            <w:tcW w:w="702" w:type="pct"/>
          </w:tcPr>
          <w:p w14:paraId="5F1060ED" w14:textId="77777777" w:rsidR="00785BAA" w:rsidRPr="006A60CF" w:rsidRDefault="00785BAA" w:rsidP="001B4CC6">
            <w:pPr>
              <w:jc w:val="right"/>
              <w:rPr>
                <w:rFonts w:eastAsia="Calibri"/>
                <w:sz w:val="20"/>
                <w:szCs w:val="20"/>
              </w:rPr>
            </w:pPr>
            <w:r>
              <w:rPr>
                <w:rFonts w:eastAsia="Calibri"/>
                <w:sz w:val="20"/>
                <w:szCs w:val="20"/>
              </w:rPr>
              <w:t>3 hrs.;</w:t>
            </w:r>
          </w:p>
          <w:p w14:paraId="12635026" w14:textId="77777777" w:rsidR="00785BAA" w:rsidRPr="006A60CF" w:rsidRDefault="00785BAA" w:rsidP="001B4CC6">
            <w:pPr>
              <w:jc w:val="right"/>
              <w:rPr>
                <w:rFonts w:eastAsia="Calibri"/>
                <w:sz w:val="20"/>
                <w:szCs w:val="20"/>
              </w:rPr>
            </w:pPr>
            <w:r>
              <w:rPr>
                <w:rFonts w:eastAsia="Calibri"/>
                <w:sz w:val="20"/>
                <w:szCs w:val="20"/>
              </w:rPr>
              <w:t>$224</w:t>
            </w:r>
            <w:r w:rsidRPr="00785BAA">
              <w:rPr>
                <w:rStyle w:val="FootnoteReference"/>
                <w:rFonts w:eastAsia="Calibri"/>
                <w:vertAlign w:val="superscript"/>
              </w:rPr>
              <w:footnoteReference w:id="6"/>
            </w:r>
          </w:p>
        </w:tc>
        <w:tc>
          <w:tcPr>
            <w:tcW w:w="1273" w:type="pct"/>
          </w:tcPr>
          <w:p w14:paraId="07067270" w14:textId="77777777" w:rsidR="00785BAA" w:rsidRPr="006A60CF" w:rsidRDefault="00785BAA" w:rsidP="001B4CC6">
            <w:pPr>
              <w:jc w:val="right"/>
              <w:rPr>
                <w:rFonts w:eastAsia="Calibri"/>
                <w:sz w:val="20"/>
                <w:szCs w:val="20"/>
              </w:rPr>
            </w:pPr>
            <w:r>
              <w:rPr>
                <w:rFonts w:eastAsia="Calibri"/>
                <w:sz w:val="20"/>
                <w:szCs w:val="20"/>
              </w:rPr>
              <w:t xml:space="preserve"> 201 hrs.;</w:t>
            </w:r>
          </w:p>
          <w:p w14:paraId="1D60E1BF" w14:textId="77777777" w:rsidR="00785BAA" w:rsidRPr="006A60CF" w:rsidRDefault="00785BAA" w:rsidP="001B4CC6">
            <w:pPr>
              <w:jc w:val="right"/>
              <w:rPr>
                <w:rFonts w:eastAsia="Calibri"/>
                <w:sz w:val="20"/>
                <w:szCs w:val="20"/>
              </w:rPr>
            </w:pPr>
            <w:r>
              <w:rPr>
                <w:rFonts w:eastAsia="Calibri"/>
                <w:sz w:val="20"/>
                <w:szCs w:val="20"/>
              </w:rPr>
              <w:t>$14,974.50</w:t>
            </w:r>
            <w:r w:rsidRPr="006A60CF">
              <w:rPr>
                <w:rFonts w:eastAsia="Calibri"/>
                <w:sz w:val="20"/>
                <w:szCs w:val="20"/>
              </w:rPr>
              <w:t xml:space="preserve"> </w:t>
            </w:r>
          </w:p>
        </w:tc>
        <w:tc>
          <w:tcPr>
            <w:tcW w:w="655" w:type="pct"/>
          </w:tcPr>
          <w:p w14:paraId="28C11290" w14:textId="77777777" w:rsidR="00785BAA" w:rsidRPr="006A60CF" w:rsidRDefault="00785BAA" w:rsidP="001B4CC6">
            <w:pPr>
              <w:jc w:val="right"/>
              <w:rPr>
                <w:rFonts w:eastAsia="Calibri"/>
                <w:sz w:val="20"/>
                <w:szCs w:val="20"/>
              </w:rPr>
            </w:pPr>
            <w:r>
              <w:rPr>
                <w:rFonts w:eastAsia="Calibri"/>
                <w:sz w:val="20"/>
                <w:szCs w:val="20"/>
              </w:rPr>
              <w:t>$37.44</w:t>
            </w:r>
            <w:r w:rsidRPr="006A60CF">
              <w:rPr>
                <w:rFonts w:eastAsia="Calibri"/>
                <w:sz w:val="20"/>
                <w:szCs w:val="20"/>
              </w:rPr>
              <w:t xml:space="preserve"> </w:t>
            </w:r>
          </w:p>
          <w:p w14:paraId="11F1DE4E" w14:textId="77777777" w:rsidR="00785BAA" w:rsidRPr="006A60CF" w:rsidRDefault="00785BAA" w:rsidP="001B4CC6">
            <w:pPr>
              <w:jc w:val="right"/>
              <w:rPr>
                <w:rFonts w:eastAsia="Calibri"/>
                <w:sz w:val="20"/>
                <w:szCs w:val="20"/>
              </w:rPr>
            </w:pPr>
          </w:p>
        </w:tc>
      </w:tr>
    </w:tbl>
    <w:p w14:paraId="1C3AB85B" w14:textId="77777777"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7"/>
            </w:r>
          </w:p>
        </w:tc>
        <w:tc>
          <w:tcPr>
            <w:tcW w:w="1627" w:type="pct"/>
            <w:shd w:val="clear" w:color="auto" w:fill="auto"/>
            <w:vAlign w:val="center"/>
          </w:tcPr>
          <w:p w14:paraId="169BBF54" w14:textId="5754F8CF" w:rsidR="00EF40FF" w:rsidRPr="001D2EC1" w:rsidRDefault="00785BAA"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0.167</w:t>
            </w:r>
          </w:p>
        </w:tc>
        <w:tc>
          <w:tcPr>
            <w:tcW w:w="1617" w:type="pct"/>
            <w:shd w:val="clear" w:color="auto" w:fill="auto"/>
            <w:vAlign w:val="center"/>
          </w:tcPr>
          <w:p w14:paraId="7007B84E" w14:textId="51B34EA2" w:rsidR="00EF40FF" w:rsidRPr="001D2EC1" w:rsidRDefault="006B036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785BAA">
              <w:rPr>
                <w:rFonts w:ascii="Times New Roman" w:hAnsi="Times New Roman"/>
                <w:sz w:val="24"/>
                <w:szCs w:val="24"/>
              </w:rPr>
              <w:t>25,826</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lastRenderedPageBreak/>
              <w:t>PRA</w:t>
            </w:r>
            <w:r w:rsidRPr="001D2EC1">
              <w:rPr>
                <w:rStyle w:val="FootnoteReference"/>
                <w:rFonts w:ascii="Times New Roman" w:hAnsi="Times New Roman"/>
                <w:sz w:val="24"/>
                <w:szCs w:val="24"/>
                <w:vertAlign w:val="superscript"/>
              </w:rPr>
              <w:footnoteReference w:id="8"/>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9"/>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675225F8" w:rsidR="00EF40FF" w:rsidRPr="001D2EC1" w:rsidRDefault="006441AD"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324F3B26" w:rsidR="00EF40FF" w:rsidRPr="001D2EC1" w:rsidRDefault="00785BAA"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$31,307</w:t>
            </w:r>
          </w:p>
        </w:tc>
      </w:tr>
    </w:tbl>
    <w:p w14:paraId="6E71933C" w14:textId="77777777" w:rsidR="00EF40FF" w:rsidRPr="001D2EC1" w:rsidRDefault="00EF40FF"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23949C3A" w14:textId="3CD285BA" w:rsidR="00E56439" w:rsidRDefault="00E56439" w:rsidP="00E56439">
      <w:r>
        <w:t>The Commission has made</w:t>
      </w:r>
      <w:r w:rsidR="004970F6">
        <w:t xml:space="preserve"> minor modifications</w:t>
      </w:r>
      <w:r w:rsidR="00DE6B6F">
        <w:t xml:space="preserve"> to the FERC Form 80</w:t>
      </w:r>
      <w:r w:rsidR="004970F6">
        <w:t xml:space="preserve"> (only to relevant submission dates for the Form 80).</w:t>
      </w:r>
      <w:r w:rsidR="00DE6B6F">
        <w:t xml:space="preserve">  However, Commission staff</w:t>
      </w:r>
      <w:r>
        <w:t xml:space="preserve"> does not think that these changes substantively changed the average burden hours per response </w:t>
      </w:r>
      <w:r w:rsidRPr="00E325B7">
        <w:rPr>
          <w:b/>
        </w:rPr>
        <w:t>which remain at three hours for each response</w:t>
      </w:r>
      <w:r>
        <w:t>.</w:t>
      </w:r>
      <w:r w:rsidR="00506697">
        <w:t xml:space="preserve"> </w:t>
      </w:r>
      <w:r w:rsidR="007B025D">
        <w:t>The reporting requirements are not changing.</w:t>
      </w:r>
      <w:r>
        <w:t xml:space="preserve">  Note that the form is only c</w:t>
      </w:r>
      <w:r w:rsidR="00F9384F">
        <w:t xml:space="preserve">ompleted once every six years. </w:t>
      </w:r>
    </w:p>
    <w:p w14:paraId="173A1AD0" w14:textId="77777777" w:rsidR="00E56439" w:rsidRDefault="00E56439" w:rsidP="00E56439"/>
    <w:p w14:paraId="06192D7C" w14:textId="1244DDD2" w:rsidR="00545B62" w:rsidRDefault="004970F6" w:rsidP="00EF40FF">
      <w:pPr>
        <w:widowControl/>
      </w:pPr>
      <w:r>
        <w:t xml:space="preserve">The number of FERC Form 80 respondents is reduced from 1000 to 400 as a </w:t>
      </w:r>
      <w:r w:rsidR="00F9384F">
        <w:t>better estimation</w:t>
      </w:r>
      <w:r>
        <w:t xml:space="preserve"> of activity concernin</w:t>
      </w:r>
      <w:r w:rsidR="00F9384F">
        <w:t>g this information collection.</w:t>
      </w:r>
      <w:r w:rsidR="00DE6B6F">
        <w:t xml:space="preserve">  The reduction is not an indication of a change in reporting requirements.</w:t>
      </w:r>
    </w:p>
    <w:p w14:paraId="37F0AF8F" w14:textId="77777777" w:rsidR="00F9384F" w:rsidRDefault="00F9384F" w:rsidP="00EF40FF">
      <w:pPr>
        <w:widowControl/>
      </w:pPr>
    </w:p>
    <w:p w14:paraId="0EF2A067" w14:textId="48B6D972" w:rsidR="00545B62" w:rsidRPr="00545B62" w:rsidRDefault="00545B62" w:rsidP="00545B62">
      <w:pPr>
        <w:rPr>
          <w:szCs w:val="26"/>
        </w:rPr>
      </w:pPr>
      <w:r>
        <w:rPr>
          <w:szCs w:val="26"/>
        </w:rPr>
        <w:t xml:space="preserve">The following table shows the </w:t>
      </w:r>
      <w:bookmarkStart w:id="1" w:name="_GoBack"/>
      <w:r w:rsidR="00607DF1">
        <w:rPr>
          <w:szCs w:val="26"/>
        </w:rPr>
        <w:t xml:space="preserve">annual </w:t>
      </w:r>
      <w:bookmarkEnd w:id="1"/>
      <w:r>
        <w:rPr>
          <w:szCs w:val="26"/>
        </w:rPr>
        <w:t>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4625BD64" w:rsidR="00EF40FF" w:rsidRPr="001D2EC1" w:rsidRDefault="002B0890" w:rsidP="00D97B44">
            <w:pPr>
              <w:jc w:val="center"/>
              <w:rPr>
                <w:b/>
              </w:rPr>
            </w:pPr>
            <w:r>
              <w:rPr>
                <w:b/>
              </w:rPr>
              <w:t>FERC Form 80</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015E16B0" w:rsidR="00EF40FF" w:rsidRPr="001D2EC1" w:rsidRDefault="002B0890" w:rsidP="00D97B44">
            <w:pPr>
              <w:jc w:val="right"/>
            </w:pPr>
            <w:r>
              <w:t>67</w:t>
            </w:r>
          </w:p>
        </w:tc>
        <w:tc>
          <w:tcPr>
            <w:tcW w:w="854" w:type="pct"/>
            <w:shd w:val="clear" w:color="auto" w:fill="auto"/>
            <w:vAlign w:val="center"/>
          </w:tcPr>
          <w:p w14:paraId="39A0261D" w14:textId="11F1CC79" w:rsidR="00EF40FF" w:rsidRPr="001D2EC1" w:rsidRDefault="002B0890" w:rsidP="00D97B44">
            <w:pPr>
              <w:jc w:val="right"/>
            </w:pPr>
            <w:r>
              <w:t>167</w:t>
            </w:r>
          </w:p>
        </w:tc>
        <w:tc>
          <w:tcPr>
            <w:tcW w:w="1010" w:type="pct"/>
            <w:shd w:val="clear" w:color="auto" w:fill="auto"/>
            <w:vAlign w:val="center"/>
          </w:tcPr>
          <w:p w14:paraId="4FE2F429" w14:textId="3267F2EC" w:rsidR="00EF40FF" w:rsidRPr="001D2EC1" w:rsidRDefault="002B0890" w:rsidP="00D97B44">
            <w:pPr>
              <w:jc w:val="right"/>
            </w:pPr>
            <w:r>
              <w:t>-100</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726AF9AF" w:rsidR="00EF40FF" w:rsidRPr="001D2EC1" w:rsidRDefault="002B0890" w:rsidP="00D97B44">
            <w:pPr>
              <w:jc w:val="right"/>
            </w:pPr>
            <w:r>
              <w:t>201</w:t>
            </w:r>
          </w:p>
        </w:tc>
        <w:tc>
          <w:tcPr>
            <w:tcW w:w="854" w:type="pct"/>
            <w:shd w:val="clear" w:color="auto" w:fill="auto"/>
            <w:vAlign w:val="center"/>
          </w:tcPr>
          <w:p w14:paraId="0EED3422" w14:textId="5B2BE5DA" w:rsidR="00EF40FF" w:rsidRPr="001D2EC1" w:rsidRDefault="002B0890" w:rsidP="00D97B44">
            <w:pPr>
              <w:jc w:val="right"/>
            </w:pPr>
            <w:r>
              <w:t>501</w:t>
            </w:r>
          </w:p>
        </w:tc>
        <w:tc>
          <w:tcPr>
            <w:tcW w:w="1010" w:type="pct"/>
            <w:shd w:val="clear" w:color="auto" w:fill="auto"/>
            <w:vAlign w:val="center"/>
          </w:tcPr>
          <w:p w14:paraId="3CF5B872" w14:textId="52BA054A" w:rsidR="00EF40FF" w:rsidRPr="001D2EC1" w:rsidRDefault="002B0890" w:rsidP="00D97B44">
            <w:pPr>
              <w:jc w:val="right"/>
            </w:pPr>
            <w:r>
              <w:t>-300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29960F64" w14:textId="77777777" w:rsidR="00EF40FF" w:rsidRDefault="00EF40FF"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587C08CA" w14:textId="18CF467A" w:rsidR="006441AD" w:rsidRDefault="006441AD" w:rsidP="006441AD">
      <w:r>
        <w:t xml:space="preserve">The expiration date is displayed in a table posted on ferc.gov at </w:t>
      </w:r>
      <w:hyperlink r:id="rId12" w:history="1">
        <w:r w:rsidRPr="00C90564">
          <w:rPr>
            <w:rStyle w:val="Hyperlink"/>
          </w:rPr>
          <w:t>http://www.ferc.gov/docs-filing/info-collections.asp</w:t>
        </w:r>
      </w:hyperlink>
      <w:r>
        <w:t>.</w:t>
      </w:r>
    </w:p>
    <w:p w14:paraId="32C9D3C2" w14:textId="30710497" w:rsidR="002643FB" w:rsidRDefault="002643FB" w:rsidP="006441AD"/>
    <w:p w14:paraId="4116E474" w14:textId="6310957A" w:rsidR="002643FB" w:rsidRDefault="002643FB" w:rsidP="006441AD">
      <w:r>
        <w:t>The expiration date is also displayed in the upper right-hand corner on page 1 of the FERC Form 80</w:t>
      </w:r>
      <w:r w:rsidRPr="002643FB">
        <w:rPr>
          <w:rStyle w:val="FootnoteReference"/>
          <w:vertAlign w:val="superscript"/>
        </w:rPr>
        <w:footnoteReference w:id="10"/>
      </w:r>
      <w:r>
        <w:t>.</w:t>
      </w:r>
    </w:p>
    <w:p w14:paraId="00403C61" w14:textId="77777777" w:rsidR="00EF40FF" w:rsidRDefault="00EF40FF"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72694" w14:textId="77777777" w:rsidR="00A37A1E" w:rsidRDefault="00A37A1E" w:rsidP="009D6B6D">
      <w:r>
        <w:separator/>
      </w:r>
    </w:p>
  </w:endnote>
  <w:endnote w:type="continuationSeparator" w:id="0">
    <w:p w14:paraId="765211B5" w14:textId="77777777" w:rsidR="00A37A1E" w:rsidRDefault="00A37A1E"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06697">
          <w:rPr>
            <w:noProof/>
          </w:rPr>
          <w:t>3</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A5EDE" w14:textId="77777777" w:rsidR="00A37A1E" w:rsidRDefault="00A37A1E" w:rsidP="009D6B6D">
      <w:r>
        <w:separator/>
      </w:r>
    </w:p>
  </w:footnote>
  <w:footnote w:type="continuationSeparator" w:id="0">
    <w:p w14:paraId="1BAA4D80" w14:textId="77777777" w:rsidR="00A37A1E" w:rsidRDefault="00A37A1E" w:rsidP="009D6B6D">
      <w:r>
        <w:continuationSeparator/>
      </w:r>
    </w:p>
  </w:footnote>
  <w:footnote w:id="1">
    <w:p w14:paraId="5A27D369" w14:textId="77777777" w:rsidR="00785BAA" w:rsidRDefault="00785BAA" w:rsidP="00785BAA">
      <w:pPr>
        <w:pStyle w:val="FootnoteText"/>
      </w:pPr>
      <w:r>
        <w:rPr>
          <w:rStyle w:val="FootnoteReference"/>
        </w:rPr>
        <w:footnoteRef/>
      </w:r>
      <w:r>
        <w:t xml:space="preserve"> See </w:t>
      </w:r>
      <w:r w:rsidRPr="009C6485">
        <w:t>16. U.S.C. Sections 797, 803, 825c, 825h, and 825j</w:t>
      </w:r>
      <w:r>
        <w:t>.</w:t>
      </w:r>
    </w:p>
  </w:footnote>
  <w:footnote w:id="2">
    <w:p w14:paraId="18216F1D" w14:textId="7908DE7B"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CB3EA0">
        <w:t>81</w:t>
      </w:r>
      <w:r w:rsidRPr="00E138E1">
        <w:t xml:space="preserve"> FR </w:t>
      </w:r>
      <w:r w:rsidR="006B0369">
        <w:t>33499</w:t>
      </w:r>
    </w:p>
  </w:footnote>
  <w:footnote w:id="3">
    <w:p w14:paraId="55B071AB" w14:textId="51E786F5"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CB3EA0">
        <w:t xml:space="preserve">81 </w:t>
      </w:r>
      <w:r w:rsidR="00CB3EA0" w:rsidRPr="004F7BFA">
        <w:t xml:space="preserve">FR </w:t>
      </w:r>
      <w:r w:rsidR="006B0369">
        <w:t>59995</w:t>
      </w:r>
    </w:p>
  </w:footnote>
  <w:footnote w:id="4">
    <w:p w14:paraId="5C397A37" w14:textId="77777777" w:rsidR="00785BAA" w:rsidRPr="00610729" w:rsidRDefault="00785BAA" w:rsidP="00785BAA">
      <w:pPr>
        <w:pStyle w:val="FootnoteText"/>
      </w:pPr>
      <w:r w:rsidRPr="00610729">
        <w:rPr>
          <w:rStyle w:val="FootnoteReference"/>
        </w:rPr>
        <w:footnoteRef/>
      </w:r>
      <w:r w:rsidRPr="00610729">
        <w:t xml:space="preserve"> The estimates for cost per response are derived using the 2016 FERC average salary plus benefits of $154,647/year (or $74.50/hour). Commission staff finds that the work done for this information collection is typically done by wage categories similar to those at FERC.</w:t>
      </w:r>
    </w:p>
  </w:footnote>
  <w:footnote w:id="5">
    <w:p w14:paraId="24127669" w14:textId="77777777" w:rsidR="00785BAA" w:rsidRPr="00610729" w:rsidRDefault="00785BAA" w:rsidP="00785BAA">
      <w:pPr>
        <w:pStyle w:val="FootnoteText"/>
      </w:pPr>
      <w:r w:rsidRPr="00610729">
        <w:rPr>
          <w:rStyle w:val="FootnoteReference"/>
        </w:rPr>
        <w:footnoteRef/>
      </w:r>
      <w:r w:rsidRPr="00610729">
        <w:t xml:space="preserve"> This figure is rounded from 66.8.</w:t>
      </w:r>
    </w:p>
  </w:footnote>
  <w:footnote w:id="6">
    <w:p w14:paraId="7355593B" w14:textId="77777777" w:rsidR="00785BAA" w:rsidRPr="00610729" w:rsidRDefault="00785BAA" w:rsidP="00785BAA">
      <w:pPr>
        <w:pStyle w:val="FootnoteText"/>
      </w:pPr>
      <w:r w:rsidRPr="00610729">
        <w:rPr>
          <w:rStyle w:val="FootnoteReference"/>
        </w:rPr>
        <w:footnoteRef/>
      </w:r>
      <w:r w:rsidRPr="00610729">
        <w:t xml:space="preserve"> This figure is rounded from $223.50</w:t>
      </w:r>
    </w:p>
  </w:footnote>
  <w:footnote w:id="7">
    <w:p w14:paraId="758C714B" w14:textId="1C0A2463" w:rsidR="00EF40FF" w:rsidRPr="00E138E1" w:rsidRDefault="00EF40FF" w:rsidP="00EF40FF">
      <w:pPr>
        <w:rPr>
          <w:sz w:val="20"/>
          <w:szCs w:val="20"/>
        </w:rPr>
      </w:pPr>
      <w:r w:rsidRPr="00E138E1">
        <w:rPr>
          <w:rStyle w:val="FootnoteReference"/>
          <w:sz w:val="20"/>
          <w:szCs w:val="20"/>
          <w:vertAlign w:val="superscript"/>
        </w:rPr>
        <w:footnoteRef/>
      </w:r>
      <w:r w:rsidR="006441AD">
        <w:rPr>
          <w:sz w:val="20"/>
          <w:szCs w:val="20"/>
        </w:rPr>
        <w:t xml:space="preserve"> Based upon 2016</w:t>
      </w:r>
      <w:r w:rsidRPr="00E138E1">
        <w:rPr>
          <w:sz w:val="20"/>
          <w:szCs w:val="20"/>
        </w:rPr>
        <w:t xml:space="preserve"> FTE average </w:t>
      </w:r>
      <w:r w:rsidR="00ED3A92">
        <w:rPr>
          <w:sz w:val="20"/>
          <w:szCs w:val="20"/>
        </w:rPr>
        <w:t xml:space="preserve">annual </w:t>
      </w:r>
      <w:r w:rsidRPr="00E138E1">
        <w:rPr>
          <w:sz w:val="20"/>
          <w:szCs w:val="20"/>
        </w:rPr>
        <w:t>s</w:t>
      </w:r>
      <w:r w:rsidR="006441AD">
        <w:rPr>
          <w:sz w:val="20"/>
          <w:szCs w:val="20"/>
        </w:rPr>
        <w:t>alary plus benefits ($154,647</w:t>
      </w:r>
      <w:r w:rsidRPr="00E138E1">
        <w:rPr>
          <w:sz w:val="20"/>
          <w:szCs w:val="20"/>
        </w:rPr>
        <w:t>).</w:t>
      </w:r>
    </w:p>
  </w:footnote>
  <w:footnote w:id="8">
    <w:p w14:paraId="27E34FC5" w14:textId="77777777"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Pr="00E138E1">
        <w:t>Paperwork Reduction Act of 1995 (PRA).</w:t>
      </w:r>
    </w:p>
  </w:footnote>
  <w:footnote w:id="9">
    <w:p w14:paraId="5678066A" w14:textId="0C79C1DC"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00860C58"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 w:id="10">
    <w:p w14:paraId="297608F0" w14:textId="44F174B0" w:rsidR="002643FB" w:rsidRDefault="002643FB">
      <w:pPr>
        <w:pStyle w:val="FootnoteText"/>
      </w:pPr>
      <w:r>
        <w:rPr>
          <w:rStyle w:val="FootnoteReference"/>
        </w:rPr>
        <w:footnoteRef/>
      </w:r>
      <w:r>
        <w:t xml:space="preserve"> </w:t>
      </w:r>
      <w:hyperlink r:id="rId1" w:history="1">
        <w:r w:rsidRPr="0041647D">
          <w:rPr>
            <w:rStyle w:val="Hyperlink"/>
          </w:rPr>
          <w:t>http://www.ferc.gov/docs-filing/forms/form-80/form-80.pdf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04A914D9" w:rsidR="003A5BA7" w:rsidRDefault="00785BAA">
    <w:pPr>
      <w:pStyle w:val="Header"/>
    </w:pPr>
    <w:r>
      <w:t>FERC Form 80</w:t>
    </w:r>
    <w:r w:rsidR="00703122">
      <w:t xml:space="preserve"> (OMB </w:t>
    </w:r>
    <w:r>
      <w:t>Control No. 1902-0106</w:t>
    </w:r>
    <w:r w:rsidR="00703122">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084"/>
    <w:rsid w:val="000218B7"/>
    <w:rsid w:val="000806CF"/>
    <w:rsid w:val="000969B5"/>
    <w:rsid w:val="000C5C56"/>
    <w:rsid w:val="000F53A6"/>
    <w:rsid w:val="001352B5"/>
    <w:rsid w:val="00147917"/>
    <w:rsid w:val="00181B4A"/>
    <w:rsid w:val="001922FC"/>
    <w:rsid w:val="00192A85"/>
    <w:rsid w:val="001A07E0"/>
    <w:rsid w:val="001B1350"/>
    <w:rsid w:val="001B6647"/>
    <w:rsid w:val="001C042A"/>
    <w:rsid w:val="001D2EC1"/>
    <w:rsid w:val="001E6D2B"/>
    <w:rsid w:val="001F3ADE"/>
    <w:rsid w:val="001F42E7"/>
    <w:rsid w:val="001F60CC"/>
    <w:rsid w:val="001F703D"/>
    <w:rsid w:val="002000AA"/>
    <w:rsid w:val="0021208A"/>
    <w:rsid w:val="002142A2"/>
    <w:rsid w:val="0024137A"/>
    <w:rsid w:val="002565F8"/>
    <w:rsid w:val="002643FB"/>
    <w:rsid w:val="00267F92"/>
    <w:rsid w:val="002766FC"/>
    <w:rsid w:val="00295C38"/>
    <w:rsid w:val="002A2B8E"/>
    <w:rsid w:val="002B0890"/>
    <w:rsid w:val="002D5138"/>
    <w:rsid w:val="002F353A"/>
    <w:rsid w:val="00307F28"/>
    <w:rsid w:val="0032225E"/>
    <w:rsid w:val="00342459"/>
    <w:rsid w:val="003431A7"/>
    <w:rsid w:val="0035481D"/>
    <w:rsid w:val="003A4AD2"/>
    <w:rsid w:val="003B7DB9"/>
    <w:rsid w:val="003C429A"/>
    <w:rsid w:val="003D3487"/>
    <w:rsid w:val="00426B6E"/>
    <w:rsid w:val="00432DA3"/>
    <w:rsid w:val="004445CE"/>
    <w:rsid w:val="004472EB"/>
    <w:rsid w:val="00454D32"/>
    <w:rsid w:val="004970F6"/>
    <w:rsid w:val="004B0930"/>
    <w:rsid w:val="004D6DEB"/>
    <w:rsid w:val="004F7BFA"/>
    <w:rsid w:val="00506697"/>
    <w:rsid w:val="005240A1"/>
    <w:rsid w:val="00541938"/>
    <w:rsid w:val="00545B62"/>
    <w:rsid w:val="00560503"/>
    <w:rsid w:val="00592E82"/>
    <w:rsid w:val="00593CC7"/>
    <w:rsid w:val="005C5DE2"/>
    <w:rsid w:val="005C6866"/>
    <w:rsid w:val="005C6964"/>
    <w:rsid w:val="005D6791"/>
    <w:rsid w:val="005F62ED"/>
    <w:rsid w:val="00607DF1"/>
    <w:rsid w:val="00614D21"/>
    <w:rsid w:val="006441AD"/>
    <w:rsid w:val="006A1A2E"/>
    <w:rsid w:val="006A6928"/>
    <w:rsid w:val="006B0369"/>
    <w:rsid w:val="006C0F70"/>
    <w:rsid w:val="006C1E96"/>
    <w:rsid w:val="006E61A4"/>
    <w:rsid w:val="00703122"/>
    <w:rsid w:val="0075420C"/>
    <w:rsid w:val="007544A8"/>
    <w:rsid w:val="007625CD"/>
    <w:rsid w:val="00785BAA"/>
    <w:rsid w:val="00790DB8"/>
    <w:rsid w:val="007B025D"/>
    <w:rsid w:val="007D3EF2"/>
    <w:rsid w:val="00803D8D"/>
    <w:rsid w:val="008060D2"/>
    <w:rsid w:val="00851D29"/>
    <w:rsid w:val="00860C58"/>
    <w:rsid w:val="00865702"/>
    <w:rsid w:val="00867774"/>
    <w:rsid w:val="00870A54"/>
    <w:rsid w:val="00891C89"/>
    <w:rsid w:val="00893289"/>
    <w:rsid w:val="0089369D"/>
    <w:rsid w:val="008A38B5"/>
    <w:rsid w:val="008B1A17"/>
    <w:rsid w:val="008E2C0D"/>
    <w:rsid w:val="00907A71"/>
    <w:rsid w:val="0091154B"/>
    <w:rsid w:val="00933292"/>
    <w:rsid w:val="00957DA2"/>
    <w:rsid w:val="00980E8E"/>
    <w:rsid w:val="009B263A"/>
    <w:rsid w:val="009D6B6D"/>
    <w:rsid w:val="00A37A1E"/>
    <w:rsid w:val="00A61BDB"/>
    <w:rsid w:val="00A75D13"/>
    <w:rsid w:val="00A94615"/>
    <w:rsid w:val="00AA3F59"/>
    <w:rsid w:val="00AC0958"/>
    <w:rsid w:val="00B13159"/>
    <w:rsid w:val="00B4017A"/>
    <w:rsid w:val="00B61F02"/>
    <w:rsid w:val="00BB6095"/>
    <w:rsid w:val="00BC5BC5"/>
    <w:rsid w:val="00BD2A12"/>
    <w:rsid w:val="00BD4039"/>
    <w:rsid w:val="00BF493B"/>
    <w:rsid w:val="00C07FC8"/>
    <w:rsid w:val="00C12DC0"/>
    <w:rsid w:val="00C13C94"/>
    <w:rsid w:val="00C3086A"/>
    <w:rsid w:val="00C33FDE"/>
    <w:rsid w:val="00C651D2"/>
    <w:rsid w:val="00C7666C"/>
    <w:rsid w:val="00C909A2"/>
    <w:rsid w:val="00C97FEE"/>
    <w:rsid w:val="00CA5AF7"/>
    <w:rsid w:val="00CB3EA0"/>
    <w:rsid w:val="00CC615D"/>
    <w:rsid w:val="00D00D07"/>
    <w:rsid w:val="00D05C1E"/>
    <w:rsid w:val="00D26BE1"/>
    <w:rsid w:val="00D9097D"/>
    <w:rsid w:val="00D93813"/>
    <w:rsid w:val="00DA4553"/>
    <w:rsid w:val="00DE0C3A"/>
    <w:rsid w:val="00DE6B6F"/>
    <w:rsid w:val="00E138E1"/>
    <w:rsid w:val="00E16543"/>
    <w:rsid w:val="00E32773"/>
    <w:rsid w:val="00E355FA"/>
    <w:rsid w:val="00E40D6E"/>
    <w:rsid w:val="00E46B67"/>
    <w:rsid w:val="00E56439"/>
    <w:rsid w:val="00E76211"/>
    <w:rsid w:val="00E82BDC"/>
    <w:rsid w:val="00EA026E"/>
    <w:rsid w:val="00EB052D"/>
    <w:rsid w:val="00ED3A92"/>
    <w:rsid w:val="00EF40FF"/>
    <w:rsid w:val="00F14D3D"/>
    <w:rsid w:val="00F205D2"/>
    <w:rsid w:val="00F3663C"/>
    <w:rsid w:val="00F528CE"/>
    <w:rsid w:val="00F620F6"/>
    <w:rsid w:val="00F9384F"/>
    <w:rsid w:val="00FA33AC"/>
    <w:rsid w:val="00FC7C5C"/>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5F0AE0"/>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docs-filing/forms/form-80/form-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80</_x0031__x002e__x0020_Collection_x0020_Number>
    <Date xmlns="d6eefc7d-9817-4fa6-84d5-3bc009be21b8">2016-09-19T00:00:00-04:00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IC16-10</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2.xml><?xml version="1.0" encoding="utf-8"?>
<ds:datastoreItem xmlns:ds="http://schemas.openxmlformats.org/officeDocument/2006/customXml" ds:itemID="{31AC678A-27A8-4A1F-8D0C-B3A31E55376D}">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d6eefc7d-9817-4fa6-84d5-3bc009be21b8"/>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5.xml><?xml version="1.0" encoding="utf-8"?>
<ds:datastoreItem xmlns:ds="http://schemas.openxmlformats.org/officeDocument/2006/customXml" ds:itemID="{BBDA7899-8D3F-4A83-A3E8-9D2E5421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FERC Form 80 supporting statement</vt:lpstr>
    </vt:vector>
  </TitlesOfParts>
  <Company>Federal Energy Regulatory Commission</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80 supporting statement</dc:title>
  <dc:creator>Nishi Parekh</dc:creator>
  <cp:lastModifiedBy>Anthony May</cp:lastModifiedBy>
  <cp:revision>2</cp:revision>
  <cp:lastPrinted>2015-11-12T19:39:00Z</cp:lastPrinted>
  <dcterms:created xsi:type="dcterms:W3CDTF">2016-09-21T17:45:00Z</dcterms:created>
  <dcterms:modified xsi:type="dcterms:W3CDTF">2016-09-21T17:45:00Z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