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59ADF" w14:textId="77777777" w:rsidR="009D6B6D" w:rsidRPr="000677CB" w:rsidRDefault="001D2EC1" w:rsidP="001D2EC1">
      <w:pPr>
        <w:widowControl/>
        <w:tabs>
          <w:tab w:val="center" w:pos="5040"/>
        </w:tabs>
        <w:jc w:val="center"/>
      </w:pPr>
      <w:r w:rsidRPr="000677CB">
        <w:t>Supporting Statement for</w:t>
      </w:r>
    </w:p>
    <w:p w14:paraId="3443459D" w14:textId="3B39280A" w:rsidR="009D6B6D" w:rsidRPr="000677CB" w:rsidRDefault="0021208A" w:rsidP="001D2EC1">
      <w:pPr>
        <w:widowControl/>
        <w:tabs>
          <w:tab w:val="center" w:pos="5040"/>
        </w:tabs>
        <w:jc w:val="center"/>
        <w:rPr>
          <w:b/>
        </w:rPr>
      </w:pPr>
      <w:r w:rsidRPr="000677CB">
        <w:rPr>
          <w:b/>
          <w:bCs/>
        </w:rPr>
        <w:t>FERC-549</w:t>
      </w:r>
      <w:r w:rsidR="009D6B6D" w:rsidRPr="000677CB">
        <w:rPr>
          <w:b/>
          <w:bCs/>
        </w:rPr>
        <w:t xml:space="preserve">, </w:t>
      </w:r>
      <w:r w:rsidRPr="000677CB">
        <w:rPr>
          <w:b/>
          <w:bCs/>
        </w:rPr>
        <w:t>Natural Gas Policy Act (</w:t>
      </w:r>
      <w:r w:rsidRPr="000677CB">
        <w:rPr>
          <w:b/>
        </w:rPr>
        <w:t>NGPA) Title III Transactions and Natural Gas Act (NGA) Blanket Certificate Transactions</w:t>
      </w:r>
    </w:p>
    <w:p w14:paraId="13D26165" w14:textId="77777777" w:rsidR="009D6B6D" w:rsidRPr="000677CB" w:rsidRDefault="009D6B6D" w:rsidP="001D2EC1">
      <w:pPr>
        <w:widowControl/>
        <w:tabs>
          <w:tab w:val="center" w:pos="5040"/>
        </w:tabs>
        <w:jc w:val="center"/>
      </w:pPr>
    </w:p>
    <w:p w14:paraId="08EF0C81" w14:textId="288AF0FC" w:rsidR="009D6B6D" w:rsidRPr="000677CB" w:rsidRDefault="009D6B6D" w:rsidP="001F3ADE">
      <w:pPr>
        <w:widowControl/>
        <w:tabs>
          <w:tab w:val="center" w:pos="5040"/>
        </w:tabs>
        <w:rPr>
          <w:b/>
        </w:rPr>
      </w:pPr>
      <w:r w:rsidRPr="000677CB">
        <w:rPr>
          <w:bCs/>
        </w:rPr>
        <w:t xml:space="preserve">The Federal Energy Regulatory Commission (Commission or FERC) requests that the Office of Management and Budget (OMB) review and approve </w:t>
      </w:r>
      <w:r w:rsidR="0021208A" w:rsidRPr="000677CB">
        <w:rPr>
          <w:b/>
          <w:bCs/>
        </w:rPr>
        <w:t xml:space="preserve">FERC-549, </w:t>
      </w:r>
      <w:r w:rsidR="0021208A" w:rsidRPr="000677CB">
        <w:rPr>
          <w:b/>
        </w:rPr>
        <w:t>NGPA Title III Transactions and NGA Blanket Certificate Transactions</w:t>
      </w:r>
      <w:r w:rsidR="0035481D" w:rsidRPr="000677CB">
        <w:rPr>
          <w:bCs/>
        </w:rPr>
        <w:t xml:space="preserve"> (</w:t>
      </w:r>
      <w:r w:rsidR="0021208A" w:rsidRPr="000677CB">
        <w:rPr>
          <w:bCs/>
        </w:rPr>
        <w:t>OMB Control No. 1902-0086</w:t>
      </w:r>
      <w:r w:rsidR="00E32773" w:rsidRPr="000677CB">
        <w:rPr>
          <w:bCs/>
        </w:rPr>
        <w:t>)</w:t>
      </w:r>
      <w:r w:rsidR="005D6791" w:rsidRPr="000677CB">
        <w:rPr>
          <w:bCs/>
        </w:rPr>
        <w:t>,</w:t>
      </w:r>
      <w:r w:rsidR="00E32773" w:rsidRPr="000677CB">
        <w:rPr>
          <w:bCs/>
        </w:rPr>
        <w:t xml:space="preserve"> for a three-</w:t>
      </w:r>
      <w:r w:rsidRPr="000677CB">
        <w:rPr>
          <w:bCs/>
        </w:rPr>
        <w:t xml:space="preserve">year period.  </w:t>
      </w:r>
      <w:r w:rsidR="0021208A" w:rsidRPr="000677CB">
        <w:rPr>
          <w:bCs/>
        </w:rPr>
        <w:t>FERC-549</w:t>
      </w:r>
      <w:r w:rsidR="00CC615D" w:rsidRPr="000677CB">
        <w:t xml:space="preserve"> is an existing data collection with </w:t>
      </w:r>
      <w:r w:rsidRPr="000677CB">
        <w:t xml:space="preserve">reporting requirement in 18 Code of Federal Regulations (CFR) </w:t>
      </w:r>
      <w:r w:rsidR="0021208A" w:rsidRPr="000677CB">
        <w:t>Section 284.</w:t>
      </w:r>
    </w:p>
    <w:p w14:paraId="55BF55CD" w14:textId="77777777" w:rsidR="009D6B6D" w:rsidRPr="000677CB" w:rsidRDefault="009D6B6D" w:rsidP="001D2EC1">
      <w:pPr>
        <w:widowControl/>
      </w:pPr>
    </w:p>
    <w:p w14:paraId="284B885E" w14:textId="77777777" w:rsidR="009D6B6D" w:rsidRPr="000677CB" w:rsidRDefault="009D6B6D" w:rsidP="001D2EC1">
      <w:pPr>
        <w:widowControl/>
        <w:rPr>
          <w:b/>
        </w:rPr>
      </w:pPr>
      <w:r w:rsidRPr="000677CB">
        <w:rPr>
          <w:b/>
        </w:rPr>
        <w:t>1.</w:t>
      </w:r>
      <w:r w:rsidRPr="000677CB">
        <w:rPr>
          <w:b/>
        </w:rPr>
        <w:tab/>
        <w:t xml:space="preserve">CIRCUMSTANCES THAT MAKE THE COLLECTION OF INFORMATION </w:t>
      </w:r>
      <w:r w:rsidR="001D2EC1" w:rsidRPr="000677CB">
        <w:rPr>
          <w:b/>
        </w:rPr>
        <w:tab/>
      </w:r>
      <w:r w:rsidRPr="000677CB">
        <w:rPr>
          <w:b/>
        </w:rPr>
        <w:t>NECESSARY</w:t>
      </w:r>
    </w:p>
    <w:p w14:paraId="74BB5164" w14:textId="77777777" w:rsidR="009D6B6D" w:rsidRPr="000677CB" w:rsidRDefault="009D6B6D" w:rsidP="001D2EC1">
      <w:pPr>
        <w:widowControl/>
        <w:ind w:left="1440"/>
        <w:rPr>
          <w:b/>
        </w:rPr>
      </w:pPr>
    </w:p>
    <w:p w14:paraId="71D693EA" w14:textId="5A153FA0" w:rsidR="0021208A" w:rsidRPr="000677CB" w:rsidRDefault="0021208A" w:rsidP="0021208A">
      <w:r w:rsidRPr="000677CB">
        <w:t>FERC-549 is required to implement the statutory provisions governed by Sections 311 and 312</w:t>
      </w:r>
      <w:r w:rsidR="005F6AB4">
        <w:t xml:space="preserve"> of the NGPA</w:t>
      </w:r>
      <w:r w:rsidRPr="000677CB">
        <w:rPr>
          <w:rStyle w:val="FootnoteReference"/>
          <w:vertAlign w:val="superscript"/>
        </w:rPr>
        <w:footnoteReference w:id="1"/>
      </w:r>
      <w:r w:rsidRPr="000677CB">
        <w:t xml:space="preserve"> and Se</w:t>
      </w:r>
      <w:r w:rsidR="005F6AB4">
        <w:t>ction 7 of the NGA</w:t>
      </w:r>
      <w:r w:rsidRPr="000677CB">
        <w:rPr>
          <w:rStyle w:val="FootnoteReference"/>
          <w:vertAlign w:val="superscript"/>
        </w:rPr>
        <w:footnoteReference w:id="2"/>
      </w:r>
      <w:r w:rsidRPr="000677CB">
        <w:t xml:space="preserve">.  </w:t>
      </w:r>
    </w:p>
    <w:p w14:paraId="07F1F940" w14:textId="77777777" w:rsidR="0021208A" w:rsidRPr="000677CB" w:rsidRDefault="0021208A" w:rsidP="0021208A"/>
    <w:p w14:paraId="68F3BCE0" w14:textId="77777777" w:rsidR="0021208A" w:rsidRPr="000677CB" w:rsidRDefault="0021208A" w:rsidP="0021208A">
      <w:pPr>
        <w:rPr>
          <w:u w:val="single"/>
        </w:rPr>
      </w:pPr>
      <w:r w:rsidRPr="000677CB">
        <w:rPr>
          <w:u w:val="single"/>
        </w:rPr>
        <w:t>Rates and Charges for Intrastate Pipelines</w:t>
      </w:r>
    </w:p>
    <w:p w14:paraId="530F2941" w14:textId="77777777" w:rsidR="0021208A" w:rsidRPr="000677CB" w:rsidRDefault="0021208A" w:rsidP="0021208A"/>
    <w:p w14:paraId="07AE97B1" w14:textId="6DCE8AE2" w:rsidR="0021208A" w:rsidRPr="000677CB" w:rsidRDefault="0021208A" w:rsidP="0021208A">
      <w:r w:rsidRPr="000677CB">
        <w:t xml:space="preserve">Section 284.123 applies to filings by: (1) intrastate pipelines providing interstate services pursuant to Section 311 of the </w:t>
      </w:r>
      <w:r w:rsidR="005F6AB4">
        <w:t>NGPA</w:t>
      </w:r>
      <w:r w:rsidRPr="000677CB">
        <w:rPr>
          <w:b/>
          <w:vertAlign w:val="superscript"/>
        </w:rPr>
        <w:footnoteReference w:id="3"/>
      </w:r>
      <w:r w:rsidRPr="000677CB">
        <w:t xml:space="preserve"> and (2) Hinshaw</w:t>
      </w:r>
      <w:r w:rsidRPr="000677CB">
        <w:rPr>
          <w:b/>
          <w:vertAlign w:val="superscript"/>
        </w:rPr>
        <w:footnoteReference w:id="4"/>
      </w:r>
      <w:r w:rsidRPr="000677CB">
        <w:t xml:space="preserve"> pipelines providing interstate services subject to th</w:t>
      </w:r>
      <w:r w:rsidR="005F6AB4">
        <w:t>e Commission’s NGA</w:t>
      </w:r>
      <w:r w:rsidRPr="000677CB">
        <w:t xml:space="preserve"> jurisdiction pursuant to blanket certificates issued under Section 284.224 of the Commission’s regulations.</w:t>
      </w:r>
      <w:r w:rsidRPr="000677CB">
        <w:rPr>
          <w:b/>
          <w:vertAlign w:val="superscript"/>
        </w:rPr>
        <w:footnoteReference w:id="5"/>
      </w:r>
    </w:p>
    <w:p w14:paraId="4FFE20D7" w14:textId="77777777" w:rsidR="0021208A" w:rsidRPr="000677CB" w:rsidRDefault="0021208A" w:rsidP="0021208A"/>
    <w:p w14:paraId="633EB324" w14:textId="77777777" w:rsidR="0021208A" w:rsidRPr="000677CB" w:rsidRDefault="0021208A" w:rsidP="0021208A">
      <w:r w:rsidRPr="000677CB">
        <w:t>18 CFR 284.123(b) provides that intrastate gas pipeline companies file for Commission approval of rates for services performed in the interstate transportation of gas.  An intrastate gas pipeline company may elect to use rates contained in one of its then effective transportation rate schedules on file with an appropriate state regulatory agency for intrastate service comparable to the interstate service or file for approval of rates and supporting information showing the rates are cost based and are fair and equitable.  150 days after the application is filed for approval of the later (e.g. the cost based rates) the rate is deemed to be fair and equitable unless the Commission either extends the time for action, institutes a proceeding or issues an order providing for rates it deems to be fair and equitable.</w:t>
      </w:r>
    </w:p>
    <w:p w14:paraId="776B6083" w14:textId="77777777" w:rsidR="0021208A" w:rsidRPr="000677CB" w:rsidRDefault="0021208A" w:rsidP="0021208A">
      <w:r w:rsidRPr="000677CB">
        <w:t xml:space="preserve"> </w:t>
      </w:r>
      <w:r w:rsidRPr="000677CB">
        <w:tab/>
      </w:r>
    </w:p>
    <w:p w14:paraId="6D628C21" w14:textId="77777777" w:rsidR="0021208A" w:rsidRPr="000677CB" w:rsidRDefault="0021208A" w:rsidP="0021208A">
      <w:r w:rsidRPr="000677CB">
        <w:t xml:space="preserve">18 CFR 284.123(e) requires that within 30 days of commencement of new service any intrastate pipeline engaging in the transportation of gas in interstate commerce must file a statement that includes the interstate rates and a description of how the pipeline will engage in the transportation services, including operating conditions.  If an intrastate gas pipeline company </w:t>
      </w:r>
      <w:r w:rsidRPr="000677CB">
        <w:lastRenderedPageBreak/>
        <w:t>changes its operations or rates it must amend the statement on file with the Commission.  Such amendment is to be filed not later than 30 days after commencement of the change in operations or change in rate election.</w:t>
      </w:r>
    </w:p>
    <w:p w14:paraId="78A6C8A5" w14:textId="77777777" w:rsidR="0021208A" w:rsidRPr="000677CB" w:rsidRDefault="0021208A" w:rsidP="0021208A"/>
    <w:p w14:paraId="316C491E" w14:textId="391EB32C" w:rsidR="0021208A" w:rsidRPr="000677CB" w:rsidRDefault="0021208A" w:rsidP="0021208A">
      <w:r w:rsidRPr="000677CB">
        <w:t xml:space="preserve">18 CFR 284.123(f) requires that all filings must </w:t>
      </w:r>
      <w:r w:rsidR="00A02846">
        <w:t xml:space="preserve">be </w:t>
      </w:r>
      <w:r w:rsidRPr="000677CB">
        <w:t>made electronically consistent with requirements set forth in Order No. 714.</w:t>
      </w:r>
    </w:p>
    <w:p w14:paraId="3B2CD47D" w14:textId="77777777" w:rsidR="0021208A" w:rsidRPr="000677CB" w:rsidRDefault="0021208A" w:rsidP="0021208A">
      <w:pPr>
        <w:rPr>
          <w:u w:val="single"/>
        </w:rPr>
      </w:pPr>
    </w:p>
    <w:p w14:paraId="41E0A4DD" w14:textId="77777777" w:rsidR="0021208A" w:rsidRPr="000677CB" w:rsidRDefault="0021208A" w:rsidP="0021208A">
      <w:pPr>
        <w:rPr>
          <w:u w:val="single"/>
        </w:rPr>
      </w:pPr>
      <w:r w:rsidRPr="000677CB">
        <w:rPr>
          <w:u w:val="single"/>
        </w:rPr>
        <w:t>Transportation by Interstate Pipelines</w:t>
      </w:r>
    </w:p>
    <w:p w14:paraId="622189E0" w14:textId="77777777" w:rsidR="0021208A" w:rsidRPr="000677CB" w:rsidRDefault="0021208A" w:rsidP="0021208A">
      <w:pPr>
        <w:rPr>
          <w:u w:val="single"/>
        </w:rPr>
      </w:pPr>
    </w:p>
    <w:p w14:paraId="3BB33D2D" w14:textId="77777777" w:rsidR="0021208A" w:rsidRPr="000677CB" w:rsidRDefault="0021208A" w:rsidP="0021208A">
      <w:r w:rsidRPr="000677CB">
        <w:t xml:space="preserve">In 18 CFR 284.102(e) the Commission requires interstate pipelines to obtain proper certification in order to ship natural gas on behalf of intrastate pipelines and local distribution companies (LDC).  This certification consists of a letter from the intrastate pipeline or LDC authorizing the interstate pipeline to ship gas on its behalf.  In addition, interstate pipelines must obtain from its shippers certifications including sufficient information to verify that their services qualify under this section.  </w:t>
      </w:r>
    </w:p>
    <w:p w14:paraId="663EC947" w14:textId="77777777" w:rsidR="0021208A" w:rsidRPr="000677CB" w:rsidRDefault="0021208A" w:rsidP="0021208A"/>
    <w:p w14:paraId="11BC9225" w14:textId="77777777" w:rsidR="0021208A" w:rsidRPr="000677CB" w:rsidRDefault="0021208A" w:rsidP="0021208A">
      <w:pPr>
        <w:rPr>
          <w:u w:val="single"/>
          <w:vertAlign w:val="superscript"/>
        </w:rPr>
      </w:pPr>
      <w:r w:rsidRPr="000677CB">
        <w:rPr>
          <w:u w:val="single"/>
        </w:rPr>
        <w:t>Code of Conduct</w:t>
      </w:r>
    </w:p>
    <w:p w14:paraId="0A3F57C2" w14:textId="77777777" w:rsidR="0021208A" w:rsidRPr="000677CB" w:rsidRDefault="0021208A" w:rsidP="0021208A"/>
    <w:p w14:paraId="3B165770" w14:textId="77777777" w:rsidR="0021208A" w:rsidRPr="000677CB" w:rsidRDefault="0021208A" w:rsidP="0021208A">
      <w:r w:rsidRPr="000677CB">
        <w:t xml:space="preserve">The Commission’s regulations at 18 CFR 284.288 and 284.403 provide that applicable sellers of natural gas adhere to a code of conduct when making gas sales in order to protect the integrity of the market.  As part of this code, the Commission imposes a record retention requirement on applicable sellers to “retain, for a period of five years, all data and information upon which it billed the prices it charged for natural gas it sold pursuant to its market based sales certificate or the prices it reported for use in price indices.”  </w:t>
      </w:r>
      <w:r w:rsidRPr="000677CB">
        <w:rPr>
          <w:bCs/>
        </w:rPr>
        <w:t xml:space="preserve">FERC uses these records to monitor the jurisdictional transportation activities and unbundled sales activities of interstate natural gas pipelines and </w:t>
      </w:r>
      <w:r w:rsidRPr="000677CB">
        <w:t xml:space="preserve">blanket marketing certificate holders.  </w:t>
      </w:r>
    </w:p>
    <w:p w14:paraId="632532BC" w14:textId="77777777" w:rsidR="0021208A" w:rsidRPr="000677CB" w:rsidRDefault="0021208A" w:rsidP="0021208A"/>
    <w:p w14:paraId="25184857" w14:textId="4CA84F6D" w:rsidR="0021208A" w:rsidRPr="000677CB" w:rsidRDefault="0021208A" w:rsidP="0021208A">
      <w:r w:rsidRPr="000677CB">
        <w:t>The record retention period of five years is necessary due to the importance of records related to any investigation of possible wrongdoing and related to assuring compliance with the codes of conduct and the integrity of the market.  The requirement is necessary to ensure c</w:t>
      </w:r>
      <w:r w:rsidR="00F36F27">
        <w:t xml:space="preserve">onsistency in </w:t>
      </w:r>
      <w:r w:rsidRPr="000677CB">
        <w:t>prohibiting market manipulation (regulations adopted in Order No. 670, implementing the EPAct 2005 anti-manipulation provisions</w:t>
      </w:r>
      <w:r w:rsidRPr="000677CB">
        <w:rPr>
          <w:vertAlign w:val="superscript"/>
        </w:rPr>
        <w:footnoteReference w:id="6"/>
      </w:r>
      <w:r w:rsidRPr="000677CB">
        <w:t xml:space="preserve">) and the generally applicable five-year statute of limitations where the Commission seeks civil penalties for violations of the anti-manipulation rules or other rules, regulations, or orders to which the price data may be relevant. </w:t>
      </w:r>
    </w:p>
    <w:p w14:paraId="2F9BF69E" w14:textId="77777777" w:rsidR="0021208A" w:rsidRPr="000677CB" w:rsidRDefault="0021208A" w:rsidP="0021208A">
      <w:r w:rsidRPr="000677CB">
        <w:t xml:space="preserve">  </w:t>
      </w:r>
    </w:p>
    <w:p w14:paraId="0D50CA0B" w14:textId="77777777" w:rsidR="0021208A" w:rsidRPr="000677CB" w:rsidRDefault="0021208A" w:rsidP="0021208A">
      <w:r w:rsidRPr="000677CB">
        <w:t>Failure to have this information available would mean the Commission is unable to perform its regulatory functions and to monitor and evaluate transactions and operations of interstate pipelines and blanket marketing certificate holders.</w:t>
      </w:r>
    </w:p>
    <w:p w14:paraId="6F63B5C6" w14:textId="77777777" w:rsidR="0021208A" w:rsidRPr="000677CB" w:rsidRDefault="0021208A" w:rsidP="0021208A"/>
    <w:p w14:paraId="5F416C75" w14:textId="77777777" w:rsidR="0021208A" w:rsidRPr="000677CB" w:rsidRDefault="0021208A" w:rsidP="0021208A">
      <w:pPr>
        <w:rPr>
          <w:u w:val="single"/>
        </w:rPr>
      </w:pPr>
      <w:r w:rsidRPr="000677CB">
        <w:rPr>
          <w:u w:val="single"/>
        </w:rPr>
        <w:t>Market-Based Rates for Storage</w:t>
      </w:r>
    </w:p>
    <w:p w14:paraId="6BEAA456" w14:textId="77777777" w:rsidR="0021208A" w:rsidRPr="000677CB" w:rsidRDefault="0021208A" w:rsidP="0021208A"/>
    <w:p w14:paraId="23AF5D4C" w14:textId="77777777" w:rsidR="0021208A" w:rsidRPr="000677CB" w:rsidRDefault="0021208A" w:rsidP="0021208A">
      <w:r w:rsidRPr="000677CB">
        <w:t xml:space="preserve">In 2006 the Commission amended its regulations to establish criteria for obtaining market-based rates for storage services offered under 18 CFR 284.501-505.  First, the Commission modified its market-power analysis to better reflect the competitive alternatives to storage.  Second, pursuant to the Energy Policy Act of 2005, the Commission promulgated rules to implement section 4(f) </w:t>
      </w:r>
      <w:r w:rsidRPr="000677CB">
        <w:lastRenderedPageBreak/>
        <w:t>of the Natural Gas Act, to permit underground natural gas storage service providers that are unable to show that they lack market power to negotiate market-based rates in circumstances where market-based rates are in the public interest and necessary to encourage the construction of the storage capacity in the area needing storage services, and where customers are adequately protected.  These provisions are intended to facilitate the development of new natural gas storage capacity while protecting customers.</w:t>
      </w:r>
    </w:p>
    <w:p w14:paraId="095CE0E8" w14:textId="77777777" w:rsidR="001F3ADE" w:rsidRPr="000677CB" w:rsidRDefault="001F3ADE" w:rsidP="001F3ADE">
      <w:pPr>
        <w:pStyle w:val="FERCparanumber"/>
        <w:numPr>
          <w:ilvl w:val="0"/>
          <w:numId w:val="0"/>
        </w:numPr>
        <w:tabs>
          <w:tab w:val="left" w:pos="720"/>
          <w:tab w:val="left" w:pos="4860"/>
        </w:tabs>
        <w:rPr>
          <w:sz w:val="24"/>
        </w:rPr>
      </w:pPr>
    </w:p>
    <w:p w14:paraId="31D7969C" w14:textId="77777777" w:rsidR="009D6B6D" w:rsidRPr="000677CB" w:rsidRDefault="009D6B6D" w:rsidP="001D2EC1">
      <w:pPr>
        <w:pStyle w:val="FERCparanumber"/>
        <w:numPr>
          <w:ilvl w:val="0"/>
          <w:numId w:val="7"/>
        </w:numPr>
        <w:tabs>
          <w:tab w:val="left" w:pos="720"/>
          <w:tab w:val="left" w:pos="4860"/>
        </w:tabs>
        <w:rPr>
          <w:sz w:val="24"/>
        </w:rPr>
      </w:pPr>
      <w:r w:rsidRPr="000677CB">
        <w:rPr>
          <w:b/>
          <w:sz w:val="24"/>
        </w:rPr>
        <w:t>HOW, BY WHOM AND FOR WHAT P</w:t>
      </w:r>
      <w:r w:rsidR="00980E8E" w:rsidRPr="000677CB">
        <w:rPr>
          <w:b/>
          <w:sz w:val="24"/>
        </w:rPr>
        <w:t>URPOSE IS THE INFORMATION USED AND THE CONSEQUENCES OF NOT COLLECTING THE INFORMATION</w:t>
      </w:r>
    </w:p>
    <w:p w14:paraId="36B9A4E1" w14:textId="77777777" w:rsidR="00980E8E" w:rsidRPr="000677CB" w:rsidRDefault="00980E8E" w:rsidP="00980E8E">
      <w:pPr>
        <w:pStyle w:val="FERCparanumber"/>
        <w:numPr>
          <w:ilvl w:val="0"/>
          <w:numId w:val="0"/>
        </w:numPr>
        <w:tabs>
          <w:tab w:val="left" w:pos="720"/>
          <w:tab w:val="left" w:pos="4860"/>
        </w:tabs>
        <w:rPr>
          <w:b/>
          <w:sz w:val="24"/>
        </w:rPr>
      </w:pPr>
    </w:p>
    <w:p w14:paraId="5E4005A3" w14:textId="77777777" w:rsidR="008060D2" w:rsidRPr="000677CB" w:rsidRDefault="008060D2" w:rsidP="008060D2">
      <w:r w:rsidRPr="000677CB">
        <w:t>The Commission uses the data in the FERC-549 to examine the costs, rates, and service and tariff provisions for the transportation and/or sale of natural gas in interstate commerce filed in compliance with Commission orders.  Specifically, the Commission uses the data to ensure compliance with Sections 311 and 312 of the NGPA, Section 7 of the NGA and Part 284 of the Commission’s regulations.  The information collected or maintained is used by the Commission to monitor jurisdictional transportation activities of intrastate and Hinshaw pipelines and the unbundled sales activities of interstate natural gas pipelines and to ensure the integrity of the gas sales market that remains subject to the Commission’s jurisdiction.</w:t>
      </w:r>
    </w:p>
    <w:p w14:paraId="5925282A" w14:textId="77777777" w:rsidR="008060D2" w:rsidRPr="000677CB" w:rsidRDefault="008060D2" w:rsidP="008060D2"/>
    <w:p w14:paraId="0182A6F5" w14:textId="56261BA2" w:rsidR="008060D2" w:rsidRPr="000677CB" w:rsidRDefault="008060D2" w:rsidP="008060D2">
      <w:r w:rsidRPr="000677CB">
        <w:t>The rate approval procedure for state-based rates will allow pipelines whose rates have not changed to simply submit a certification, avoiding a rate review by the Commission.</w:t>
      </w:r>
    </w:p>
    <w:p w14:paraId="3E1F7FF7" w14:textId="77777777" w:rsidR="008060D2" w:rsidRPr="000677CB" w:rsidRDefault="008060D2" w:rsidP="008060D2"/>
    <w:p w14:paraId="597CEEF6" w14:textId="77777777" w:rsidR="008060D2" w:rsidRPr="000677CB" w:rsidRDefault="008060D2" w:rsidP="008060D2">
      <w:r w:rsidRPr="000677CB">
        <w:t xml:space="preserve">Failure to collect this information would prohibit the Commission from monitoring and properly evaluating pipeline transactions and meeting statutory obligations under both the NGPA and the NGA.  </w:t>
      </w:r>
    </w:p>
    <w:p w14:paraId="32B2D492" w14:textId="77777777" w:rsidR="00980E8E" w:rsidRPr="000677CB" w:rsidRDefault="00980E8E" w:rsidP="00980E8E">
      <w:pPr>
        <w:pStyle w:val="FERCparanumber"/>
        <w:numPr>
          <w:ilvl w:val="0"/>
          <w:numId w:val="0"/>
        </w:numPr>
        <w:tabs>
          <w:tab w:val="left" w:pos="720"/>
          <w:tab w:val="left" w:pos="4860"/>
        </w:tabs>
        <w:rPr>
          <w:sz w:val="24"/>
        </w:rPr>
      </w:pPr>
    </w:p>
    <w:p w14:paraId="1191C360" w14:textId="77777777" w:rsidR="00980E8E" w:rsidRPr="000677CB" w:rsidRDefault="00980E8E" w:rsidP="005240A1">
      <w:pPr>
        <w:widowControl/>
        <w:numPr>
          <w:ilvl w:val="0"/>
          <w:numId w:val="7"/>
        </w:numPr>
      </w:pPr>
      <w:r w:rsidRPr="000677CB">
        <w:rPr>
          <w:b/>
        </w:rPr>
        <w:t>DESCRIBE ANY CONSIDERATION OF THE USE OF IMPROVED INFORMATION TECHNOLOGY TO REDUCE BURDEN AND THE TECHNICAL OR LEGAL OBSTACLES TO REDUCING BURDEN</w:t>
      </w:r>
    </w:p>
    <w:p w14:paraId="200107A7" w14:textId="77777777" w:rsidR="00980E8E" w:rsidRPr="000677CB" w:rsidRDefault="00980E8E" w:rsidP="00980E8E"/>
    <w:p w14:paraId="6EB09533" w14:textId="77777777" w:rsidR="008060D2" w:rsidRPr="000677CB" w:rsidRDefault="008060D2" w:rsidP="008060D2">
      <w:r w:rsidRPr="000677CB">
        <w:t xml:space="preserve">The Commission has developed the capability for electronic filing of all submissions that occur under FERC-549.  In requesting changes to its rates or statement of operating conditions, the pipeline’s filings must be made electronically per section 284.123(f), thus paper copies are no longer accepted. </w:t>
      </w:r>
    </w:p>
    <w:p w14:paraId="307B8A29" w14:textId="77777777" w:rsidR="005240A1" w:rsidRPr="000677CB" w:rsidRDefault="005240A1" w:rsidP="005240A1">
      <w:pPr>
        <w:pStyle w:val="FERCparanumber"/>
        <w:numPr>
          <w:ilvl w:val="0"/>
          <w:numId w:val="0"/>
        </w:numPr>
        <w:rPr>
          <w:sz w:val="24"/>
        </w:rPr>
      </w:pPr>
    </w:p>
    <w:p w14:paraId="0E702588" w14:textId="77777777" w:rsidR="009D6B6D" w:rsidRPr="000677CB" w:rsidRDefault="009D6B6D" w:rsidP="005240A1">
      <w:pPr>
        <w:pStyle w:val="FERCparanumber"/>
        <w:numPr>
          <w:ilvl w:val="0"/>
          <w:numId w:val="7"/>
        </w:numPr>
        <w:rPr>
          <w:sz w:val="24"/>
        </w:rPr>
      </w:pPr>
      <w:r w:rsidRPr="000677CB">
        <w:rPr>
          <w:b/>
          <w:sz w:val="24"/>
        </w:rPr>
        <w:t>DESCRIBE EFFORTS TO IDENTIFY DUPLICATON AND SHOW SPECIFICALLY WHY ANY SIMILAR INFORMATION ALREADY AVAILABLE CANNOT BE USED OR MODIFIED FOR USE FOR THE PURPOSE(S) DESCRIBED IN INSTRUCTION NO. 2.</w:t>
      </w:r>
    </w:p>
    <w:p w14:paraId="7F5C95B0" w14:textId="77777777" w:rsidR="00BD4039" w:rsidRPr="000677CB" w:rsidRDefault="00BD4039" w:rsidP="00BD4039">
      <w:pPr>
        <w:pStyle w:val="FERCparanumber"/>
        <w:numPr>
          <w:ilvl w:val="0"/>
          <w:numId w:val="0"/>
        </w:numPr>
        <w:rPr>
          <w:b/>
          <w:sz w:val="24"/>
        </w:rPr>
      </w:pPr>
    </w:p>
    <w:p w14:paraId="44C363AB" w14:textId="383F4C21" w:rsidR="00BD4039" w:rsidRPr="000677CB" w:rsidRDefault="008060D2" w:rsidP="00BD4039">
      <w:pPr>
        <w:pStyle w:val="FERCparanumber"/>
        <w:numPr>
          <w:ilvl w:val="0"/>
          <w:numId w:val="0"/>
        </w:numPr>
        <w:rPr>
          <w:sz w:val="24"/>
        </w:rPr>
      </w:pPr>
      <w:r w:rsidRPr="000677CB">
        <w:rPr>
          <w:sz w:val="24"/>
        </w:rPr>
        <w:t xml:space="preserve">Filing requirements are periodically reviewed as OMB review dates arise or as the Commission may deem necessary in carrying out its responsibilities under the NGPA and the NGA in order to eliminate duplication and ensure that filing burden is minimized. </w:t>
      </w:r>
    </w:p>
    <w:p w14:paraId="01E02908" w14:textId="77777777" w:rsidR="008060D2" w:rsidRPr="000677CB" w:rsidRDefault="008060D2" w:rsidP="00BD4039">
      <w:pPr>
        <w:pStyle w:val="FERCparanumber"/>
        <w:numPr>
          <w:ilvl w:val="0"/>
          <w:numId w:val="0"/>
        </w:numPr>
        <w:rPr>
          <w:sz w:val="24"/>
        </w:rPr>
      </w:pPr>
    </w:p>
    <w:p w14:paraId="16D376F5" w14:textId="77777777" w:rsidR="009D6B6D" w:rsidRPr="000677CB" w:rsidRDefault="009D6B6D" w:rsidP="005240A1">
      <w:pPr>
        <w:pStyle w:val="FERCparanumber"/>
        <w:numPr>
          <w:ilvl w:val="0"/>
          <w:numId w:val="7"/>
        </w:numPr>
        <w:rPr>
          <w:sz w:val="24"/>
        </w:rPr>
      </w:pPr>
      <w:r w:rsidRPr="000677CB">
        <w:rPr>
          <w:b/>
          <w:sz w:val="24"/>
        </w:rPr>
        <w:t>METHODS USED TO MINIMIZE BURDEN IN COLLECTION OF INFORMATION INVOLVING SMALL ENTITIES</w:t>
      </w:r>
      <w:r w:rsidRPr="000677CB">
        <w:rPr>
          <w:sz w:val="24"/>
        </w:rPr>
        <w:t xml:space="preserve"> </w:t>
      </w:r>
    </w:p>
    <w:p w14:paraId="498754B1" w14:textId="77777777" w:rsidR="009D6B6D" w:rsidRPr="000677CB" w:rsidRDefault="009D6B6D" w:rsidP="001D2EC1">
      <w:pPr>
        <w:widowControl/>
        <w:ind w:left="1440"/>
      </w:pPr>
    </w:p>
    <w:p w14:paraId="6A972740" w14:textId="66663DA6" w:rsidR="008060D2" w:rsidRPr="000677CB" w:rsidRDefault="008060D2" w:rsidP="008060D2">
      <w:r w:rsidRPr="000677CB">
        <w:t xml:space="preserve">FERC-549 is a filing requirement pertaining to pipeline transportation transaction filing and retention obligations under the applicable regulations for the transportation, and sale of natural gas as stated herein.  This filing collects data from both large and small respondent companies. However, most companies </w:t>
      </w:r>
      <w:r w:rsidR="000677CB">
        <w:t>that</w:t>
      </w:r>
      <w:r w:rsidRPr="000677CB">
        <w:t xml:space="preserve"> fulfill the FERC-549 filing requirement do not fall within the RFA’s definition of small entities.  </w:t>
      </w:r>
    </w:p>
    <w:p w14:paraId="2329B0A1" w14:textId="77777777" w:rsidR="005240A1" w:rsidRPr="000677CB" w:rsidRDefault="005240A1" w:rsidP="005240A1">
      <w:pPr>
        <w:pStyle w:val="FERCparanumber"/>
        <w:numPr>
          <w:ilvl w:val="0"/>
          <w:numId w:val="0"/>
        </w:numPr>
        <w:tabs>
          <w:tab w:val="num" w:pos="0"/>
        </w:tabs>
        <w:rPr>
          <w:sz w:val="24"/>
        </w:rPr>
      </w:pPr>
    </w:p>
    <w:p w14:paraId="1169CF0E" w14:textId="77777777" w:rsidR="009D6B6D" w:rsidRPr="000677CB" w:rsidRDefault="009D6B6D" w:rsidP="005240A1">
      <w:pPr>
        <w:pStyle w:val="FERCparanumber"/>
        <w:numPr>
          <w:ilvl w:val="0"/>
          <w:numId w:val="7"/>
        </w:numPr>
        <w:rPr>
          <w:sz w:val="24"/>
        </w:rPr>
      </w:pPr>
      <w:r w:rsidRPr="000677CB">
        <w:rPr>
          <w:b/>
          <w:sz w:val="24"/>
        </w:rPr>
        <w:t>CONSEQUENCE TO FEDERAL PROGRAM IF COLLECTION WERE CONDUCTED LESS FREQUENTLY</w:t>
      </w:r>
    </w:p>
    <w:p w14:paraId="23391944" w14:textId="77777777" w:rsidR="00BB6095" w:rsidRPr="000677CB" w:rsidRDefault="00BB6095" w:rsidP="00BB6095">
      <w:pPr>
        <w:pStyle w:val="FERCparanumber"/>
        <w:numPr>
          <w:ilvl w:val="0"/>
          <w:numId w:val="0"/>
        </w:numPr>
        <w:rPr>
          <w:b/>
          <w:sz w:val="24"/>
        </w:rPr>
      </w:pPr>
    </w:p>
    <w:p w14:paraId="07C43EAE" w14:textId="77777777" w:rsidR="006B0369" w:rsidRPr="000677CB" w:rsidRDefault="006B0369" w:rsidP="006B0369">
      <w:r w:rsidRPr="000677CB">
        <w:t xml:space="preserve">Section 311 intrastate pipeline companies or persons holding blanket certificates only provide this information collection through the submission of filings.  If the collection were conducted less frequently or discontinued, the Commission would be unable to determine if the rates continue to be fair and equitable. </w:t>
      </w:r>
    </w:p>
    <w:p w14:paraId="4F0A656F" w14:textId="77777777" w:rsidR="00BB6095" w:rsidRPr="000677CB" w:rsidRDefault="00BB6095" w:rsidP="00BB6095">
      <w:pPr>
        <w:pStyle w:val="FERCparanumber"/>
        <w:numPr>
          <w:ilvl w:val="0"/>
          <w:numId w:val="0"/>
        </w:numPr>
        <w:rPr>
          <w:sz w:val="24"/>
        </w:rPr>
      </w:pPr>
    </w:p>
    <w:p w14:paraId="5CE22EF6" w14:textId="77777777" w:rsidR="00BB6095" w:rsidRPr="000677CB" w:rsidRDefault="00BB6095" w:rsidP="005240A1">
      <w:pPr>
        <w:pStyle w:val="FERCparanumber"/>
        <w:numPr>
          <w:ilvl w:val="0"/>
          <w:numId w:val="7"/>
        </w:numPr>
        <w:rPr>
          <w:sz w:val="24"/>
        </w:rPr>
      </w:pPr>
      <w:r w:rsidRPr="000677CB">
        <w:rPr>
          <w:b/>
          <w:sz w:val="24"/>
        </w:rPr>
        <w:t>EXPLAIN ANY SPECIAL CIRCUMSTANCES RELATING TO THE INFORMATION</w:t>
      </w:r>
    </w:p>
    <w:p w14:paraId="6C3072D3" w14:textId="77777777" w:rsidR="00BB6095" w:rsidRPr="000677CB" w:rsidRDefault="00BB6095" w:rsidP="00BB6095">
      <w:pPr>
        <w:pStyle w:val="FERCparanumber"/>
        <w:numPr>
          <w:ilvl w:val="0"/>
          <w:numId w:val="0"/>
        </w:numPr>
        <w:rPr>
          <w:b/>
          <w:sz w:val="24"/>
        </w:rPr>
      </w:pPr>
    </w:p>
    <w:p w14:paraId="5AA6725C" w14:textId="73DBA32D" w:rsidR="00BB6095" w:rsidRPr="000677CB" w:rsidRDefault="00D04BB6" w:rsidP="00BB6095">
      <w:pPr>
        <w:pStyle w:val="FERCparanumber"/>
        <w:numPr>
          <w:ilvl w:val="0"/>
          <w:numId w:val="0"/>
        </w:numPr>
        <w:rPr>
          <w:sz w:val="24"/>
        </w:rPr>
      </w:pPr>
      <w:r w:rsidRPr="00D04BB6">
        <w:t xml:space="preserve">The record retention period of five years </w:t>
      </w:r>
      <w:r>
        <w:t xml:space="preserve">for Code of Conduct material </w:t>
      </w:r>
      <w:r w:rsidRPr="00D04BB6">
        <w:t xml:space="preserve">is necessary due to the importance of records related to any investigation of possible wrongdoing and related to assuring compliance with the codes of conduct and the integrity of the market.  </w:t>
      </w:r>
    </w:p>
    <w:p w14:paraId="3E7E24B7" w14:textId="77777777" w:rsidR="009D6B6D" w:rsidRPr="000677CB" w:rsidRDefault="00BB6095" w:rsidP="001D2EC1">
      <w:pPr>
        <w:pStyle w:val="FERCparanumber"/>
        <w:numPr>
          <w:ilvl w:val="0"/>
          <w:numId w:val="7"/>
        </w:numPr>
        <w:rPr>
          <w:sz w:val="24"/>
        </w:rPr>
      </w:pPr>
      <w:r w:rsidRPr="000677CB">
        <w:rPr>
          <w:b/>
          <w:sz w:val="24"/>
        </w:rPr>
        <w:t>DESCRIBE EFFORTS TO CONSULT OUTSIDE THE AGENCY: SUMMARIZE PUBLIC COMMENTS AND THE AGENCY’S RESPONSE TO THESE COMMENTS</w:t>
      </w:r>
    </w:p>
    <w:p w14:paraId="08534C89" w14:textId="77777777" w:rsidR="00BB6095" w:rsidRPr="000677CB" w:rsidRDefault="00BB6095" w:rsidP="00BB6095">
      <w:pPr>
        <w:pStyle w:val="FERCparanumber"/>
        <w:numPr>
          <w:ilvl w:val="0"/>
          <w:numId w:val="0"/>
        </w:numPr>
        <w:rPr>
          <w:b/>
          <w:sz w:val="24"/>
        </w:rPr>
      </w:pPr>
    </w:p>
    <w:p w14:paraId="7EABE541" w14:textId="3A87D785" w:rsidR="00BB6095" w:rsidRPr="000677CB" w:rsidRDefault="00BB6095" w:rsidP="00BB6095">
      <w:r w:rsidRPr="000677CB">
        <w:t>In accordance with OMB requirements, the Commission published a 60-day notice</w:t>
      </w:r>
      <w:bookmarkStart w:id="0" w:name="_Ref332712251"/>
      <w:r w:rsidRPr="000677CB">
        <w:rPr>
          <w:rStyle w:val="FootnoteReference"/>
          <w:vertAlign w:val="superscript"/>
        </w:rPr>
        <w:footnoteReference w:id="7"/>
      </w:r>
      <w:bookmarkEnd w:id="0"/>
      <w:r w:rsidRPr="000677CB">
        <w:t xml:space="preserve"> and a 30-day notice</w:t>
      </w:r>
      <w:r w:rsidRPr="000677CB">
        <w:rPr>
          <w:rStyle w:val="FootnoteReference"/>
          <w:vertAlign w:val="superscript"/>
        </w:rPr>
        <w:footnoteReference w:id="8"/>
      </w:r>
      <w:r w:rsidRPr="000677CB">
        <w:t xml:space="preserve"> to the public regarding this information collection on </w:t>
      </w:r>
      <w:r w:rsidR="006B0369" w:rsidRPr="000677CB">
        <w:t>5/26</w:t>
      </w:r>
      <w:r w:rsidR="00CB3EA0" w:rsidRPr="000677CB">
        <w:t>/2016</w:t>
      </w:r>
      <w:r w:rsidRPr="000677CB">
        <w:t xml:space="preserve"> and </w:t>
      </w:r>
      <w:r w:rsidR="006B0369" w:rsidRPr="000677CB">
        <w:t>8/31</w:t>
      </w:r>
      <w:r w:rsidR="006C1E96" w:rsidRPr="000677CB">
        <w:t>/2016</w:t>
      </w:r>
      <w:r w:rsidRPr="000677CB">
        <w:t xml:space="preserve">, respectively. Within the public notice, the Commission noted that it would be requesting a three-year extension of the public reporting burden with no change to the existing requirements concerning the collection of data.  The Commission received no comments.  </w:t>
      </w:r>
    </w:p>
    <w:p w14:paraId="2386E560" w14:textId="77777777" w:rsidR="00BB6095" w:rsidRPr="000677CB" w:rsidRDefault="00BB6095" w:rsidP="00BB6095">
      <w:pPr>
        <w:pStyle w:val="FERCparanumber"/>
        <w:numPr>
          <w:ilvl w:val="0"/>
          <w:numId w:val="0"/>
        </w:numPr>
        <w:rPr>
          <w:sz w:val="24"/>
        </w:rPr>
      </w:pPr>
    </w:p>
    <w:p w14:paraId="091A69F9" w14:textId="77777777" w:rsidR="009D6B6D" w:rsidRPr="000677CB" w:rsidRDefault="00BB6095" w:rsidP="001D2EC1">
      <w:pPr>
        <w:pStyle w:val="FERCparanumber"/>
        <w:numPr>
          <w:ilvl w:val="0"/>
          <w:numId w:val="7"/>
        </w:numPr>
        <w:rPr>
          <w:sz w:val="24"/>
        </w:rPr>
      </w:pPr>
      <w:r w:rsidRPr="000677CB">
        <w:rPr>
          <w:b/>
          <w:sz w:val="24"/>
        </w:rPr>
        <w:t>EXPLAIN ANY PAYMENT OR GIFTS TO RESPONDENTS</w:t>
      </w:r>
    </w:p>
    <w:p w14:paraId="55601D9E" w14:textId="77777777" w:rsidR="00BB6095" w:rsidRPr="000677CB" w:rsidRDefault="00BB6095" w:rsidP="00BB6095">
      <w:pPr>
        <w:pStyle w:val="FERCparanumber"/>
        <w:numPr>
          <w:ilvl w:val="0"/>
          <w:numId w:val="0"/>
        </w:numPr>
        <w:rPr>
          <w:b/>
          <w:sz w:val="24"/>
        </w:rPr>
      </w:pPr>
    </w:p>
    <w:p w14:paraId="635D1E06" w14:textId="77777777" w:rsidR="00BB6095" w:rsidRPr="000677CB" w:rsidRDefault="00BB6095" w:rsidP="00BB6095">
      <w:pPr>
        <w:widowControl/>
      </w:pPr>
      <w:r w:rsidRPr="000677CB">
        <w:t>There are no payments or gifts to respondents in the requirements contained in this collection.</w:t>
      </w:r>
    </w:p>
    <w:p w14:paraId="0655AE0A" w14:textId="77777777" w:rsidR="00BB6095" w:rsidRPr="000677CB" w:rsidRDefault="00BB6095" w:rsidP="00BB6095">
      <w:pPr>
        <w:pStyle w:val="FERCparanumber"/>
        <w:numPr>
          <w:ilvl w:val="0"/>
          <w:numId w:val="0"/>
        </w:numPr>
        <w:rPr>
          <w:b/>
          <w:sz w:val="24"/>
        </w:rPr>
      </w:pPr>
    </w:p>
    <w:p w14:paraId="200271A7" w14:textId="77777777" w:rsidR="00BB6095" w:rsidRPr="000677CB" w:rsidRDefault="00BB6095" w:rsidP="00BB6095">
      <w:pPr>
        <w:pStyle w:val="FERCparanumber"/>
        <w:numPr>
          <w:ilvl w:val="0"/>
          <w:numId w:val="0"/>
        </w:numPr>
        <w:rPr>
          <w:sz w:val="24"/>
        </w:rPr>
      </w:pPr>
    </w:p>
    <w:p w14:paraId="18CEDA1A" w14:textId="77777777" w:rsidR="009D6B6D" w:rsidRPr="000677CB" w:rsidRDefault="00BB6095" w:rsidP="001D2EC1">
      <w:pPr>
        <w:pStyle w:val="FERCparanumber"/>
        <w:numPr>
          <w:ilvl w:val="0"/>
          <w:numId w:val="7"/>
        </w:numPr>
        <w:rPr>
          <w:sz w:val="24"/>
        </w:rPr>
      </w:pPr>
      <w:r w:rsidRPr="000677CB">
        <w:rPr>
          <w:b/>
          <w:sz w:val="24"/>
        </w:rPr>
        <w:t>DESCRIBE ANY ASSURANCE OF CONFIDENTIALITY PROVIDED TO RESPONDENTS</w:t>
      </w:r>
    </w:p>
    <w:p w14:paraId="5291E765" w14:textId="77777777" w:rsidR="00BB6095" w:rsidRPr="000677CB" w:rsidRDefault="00BB6095" w:rsidP="00BB6095">
      <w:pPr>
        <w:pStyle w:val="FERCparanumber"/>
        <w:numPr>
          <w:ilvl w:val="0"/>
          <w:numId w:val="0"/>
        </w:numPr>
        <w:rPr>
          <w:b/>
          <w:sz w:val="24"/>
        </w:rPr>
      </w:pPr>
    </w:p>
    <w:p w14:paraId="4266E043" w14:textId="630510CA" w:rsidR="001F60CC" w:rsidRPr="000677CB" w:rsidRDefault="001F60CC" w:rsidP="001F60CC">
      <w:r w:rsidRPr="000677CB">
        <w:t>The Commission does not consider the i</w:t>
      </w:r>
      <w:r w:rsidR="001F42E7" w:rsidRPr="000677CB">
        <w:t>nf</w:t>
      </w:r>
      <w:r w:rsidR="00CB3EA0" w:rsidRPr="000677CB">
        <w:t xml:space="preserve">ormation collected in </w:t>
      </w:r>
      <w:r w:rsidR="006B0369" w:rsidRPr="000677CB">
        <w:t>FERC-549 filings to be confidential.</w:t>
      </w:r>
    </w:p>
    <w:p w14:paraId="7FB64A9E" w14:textId="77777777" w:rsidR="00BB6095" w:rsidRPr="000677CB" w:rsidRDefault="00BB6095" w:rsidP="00BB6095">
      <w:pPr>
        <w:pStyle w:val="FERCparanumber"/>
        <w:numPr>
          <w:ilvl w:val="0"/>
          <w:numId w:val="0"/>
        </w:numPr>
        <w:rPr>
          <w:sz w:val="24"/>
        </w:rPr>
      </w:pPr>
    </w:p>
    <w:p w14:paraId="0F599F44" w14:textId="6387DEE9" w:rsidR="009D6B6D" w:rsidRPr="000677CB" w:rsidRDefault="00BB6095" w:rsidP="001D2EC1">
      <w:pPr>
        <w:pStyle w:val="FERCparanumber"/>
        <w:numPr>
          <w:ilvl w:val="0"/>
          <w:numId w:val="7"/>
        </w:numPr>
        <w:rPr>
          <w:sz w:val="24"/>
        </w:rPr>
      </w:pPr>
      <w:r w:rsidRPr="000677CB">
        <w:rPr>
          <w:b/>
          <w:sz w:val="24"/>
        </w:rPr>
        <w:t>PROVIDE ADDITIONAL JUSTIFICATION FOR ANY QUESTIONS OF A SENSITIVE NATURE</w:t>
      </w:r>
      <w:r w:rsidR="00860C58" w:rsidRPr="000677CB">
        <w:rPr>
          <w:b/>
          <w:sz w:val="24"/>
        </w:rPr>
        <w:t xml:space="preserve">, SUCH AS SEXUAL BEHAVIOR AND ATTITUDES, </w:t>
      </w:r>
      <w:r w:rsidR="00860C58" w:rsidRPr="000677CB">
        <w:rPr>
          <w:b/>
          <w:sz w:val="24"/>
        </w:rPr>
        <w:lastRenderedPageBreak/>
        <w:t>RELIGIOUS BELIEFS, AND OTHER MATTERS THAT ARE COMMONLY CONSIDERED PRIVATE</w:t>
      </w:r>
    </w:p>
    <w:p w14:paraId="7C3F9D96" w14:textId="77777777" w:rsidR="00BB6095" w:rsidRPr="000677CB" w:rsidRDefault="00BB6095" w:rsidP="00BB6095">
      <w:pPr>
        <w:pStyle w:val="FERCparanumber"/>
        <w:numPr>
          <w:ilvl w:val="0"/>
          <w:numId w:val="0"/>
        </w:numPr>
        <w:rPr>
          <w:b/>
          <w:sz w:val="24"/>
        </w:rPr>
      </w:pPr>
    </w:p>
    <w:p w14:paraId="2F8D71F0" w14:textId="77777777" w:rsidR="00BB6095" w:rsidRPr="000677CB" w:rsidRDefault="00BB6095" w:rsidP="00BB6095">
      <w:pPr>
        <w:widowControl/>
        <w:rPr>
          <w:b/>
        </w:rPr>
      </w:pPr>
      <w:r w:rsidRPr="000677CB">
        <w:t xml:space="preserve">There are no questions of a sensitive nature associated with the reporting requirements.  </w:t>
      </w:r>
    </w:p>
    <w:p w14:paraId="6058D422" w14:textId="77777777" w:rsidR="00BB6095" w:rsidRPr="000677CB" w:rsidRDefault="00BB6095" w:rsidP="00BB6095">
      <w:pPr>
        <w:pStyle w:val="FERCparanumber"/>
        <w:numPr>
          <w:ilvl w:val="0"/>
          <w:numId w:val="0"/>
        </w:numPr>
        <w:rPr>
          <w:sz w:val="24"/>
        </w:rPr>
      </w:pPr>
    </w:p>
    <w:p w14:paraId="4ACF1549" w14:textId="77777777" w:rsidR="00BB6095" w:rsidRPr="000677CB" w:rsidRDefault="00BB6095" w:rsidP="001D2EC1">
      <w:pPr>
        <w:pStyle w:val="FERCparanumber"/>
        <w:numPr>
          <w:ilvl w:val="0"/>
          <w:numId w:val="7"/>
        </w:numPr>
        <w:rPr>
          <w:sz w:val="24"/>
        </w:rPr>
      </w:pPr>
      <w:r w:rsidRPr="000677CB">
        <w:rPr>
          <w:b/>
          <w:sz w:val="24"/>
        </w:rPr>
        <w:t>ESTIMATED BURDEN COLLECTION OF INFORMATION</w:t>
      </w:r>
    </w:p>
    <w:p w14:paraId="057071CE" w14:textId="77777777" w:rsidR="00BB6095" w:rsidRPr="000677CB" w:rsidRDefault="00BB6095" w:rsidP="00BB6095">
      <w:pPr>
        <w:pStyle w:val="FERCparanumber"/>
        <w:numPr>
          <w:ilvl w:val="0"/>
          <w:numId w:val="0"/>
        </w:numPr>
        <w:rPr>
          <w:b/>
          <w:sz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6"/>
        <w:gridCol w:w="1411"/>
        <w:gridCol w:w="1495"/>
        <w:gridCol w:w="1409"/>
        <w:gridCol w:w="1310"/>
        <w:gridCol w:w="1316"/>
        <w:gridCol w:w="1232"/>
      </w:tblGrid>
      <w:tr w:rsidR="006B0369" w:rsidRPr="000677CB" w14:paraId="35088B39" w14:textId="77777777" w:rsidTr="00C11BCD">
        <w:trPr>
          <w:cantSplit/>
        </w:trPr>
        <w:tc>
          <w:tcPr>
            <w:tcW w:w="5000" w:type="pct"/>
            <w:gridSpan w:val="7"/>
            <w:tcBorders>
              <w:bottom w:val="single" w:sz="4" w:space="0" w:color="auto"/>
            </w:tcBorders>
            <w:shd w:val="clear" w:color="auto" w:fill="D9D9D9"/>
          </w:tcPr>
          <w:p w14:paraId="536A6DF1" w14:textId="77777777" w:rsidR="006B0369" w:rsidRPr="000677CB" w:rsidRDefault="006B0369" w:rsidP="006B0369">
            <w:pPr>
              <w:widowControl/>
              <w:autoSpaceDE/>
              <w:autoSpaceDN/>
              <w:adjustRightInd/>
              <w:jc w:val="center"/>
              <w:rPr>
                <w:rFonts w:eastAsia="Calibri"/>
                <w:b/>
                <w:sz w:val="20"/>
                <w:szCs w:val="20"/>
              </w:rPr>
            </w:pPr>
            <w:r w:rsidRPr="000677CB">
              <w:rPr>
                <w:rFonts w:eastAsia="Calibri"/>
                <w:b/>
                <w:sz w:val="20"/>
                <w:szCs w:val="20"/>
              </w:rPr>
              <w:t>FERC-549: NGPA Title III Transactions and NGA Blanket Certificate Transaction</w:t>
            </w:r>
          </w:p>
        </w:tc>
      </w:tr>
      <w:tr w:rsidR="006B0369" w:rsidRPr="000677CB" w14:paraId="6CA158C9" w14:textId="77777777" w:rsidTr="00C11BCD">
        <w:trPr>
          <w:cantSplit/>
        </w:trPr>
        <w:tc>
          <w:tcPr>
            <w:tcW w:w="921" w:type="pct"/>
            <w:shd w:val="clear" w:color="auto" w:fill="D9D9D9"/>
          </w:tcPr>
          <w:p w14:paraId="23D1C6ED" w14:textId="77777777" w:rsidR="006B0369" w:rsidRPr="000677CB" w:rsidRDefault="006B0369" w:rsidP="006B0369">
            <w:pPr>
              <w:widowControl/>
              <w:autoSpaceDE/>
              <w:autoSpaceDN/>
              <w:adjustRightInd/>
              <w:jc w:val="center"/>
              <w:rPr>
                <w:rFonts w:eastAsia="Calibri"/>
                <w:b/>
                <w:sz w:val="20"/>
                <w:szCs w:val="20"/>
              </w:rPr>
            </w:pPr>
          </w:p>
        </w:tc>
        <w:tc>
          <w:tcPr>
            <w:tcW w:w="704" w:type="pct"/>
            <w:shd w:val="clear" w:color="auto" w:fill="D9D9D9"/>
            <w:vAlign w:val="bottom"/>
          </w:tcPr>
          <w:p w14:paraId="41C934EF" w14:textId="77777777" w:rsidR="006B0369" w:rsidRPr="000677CB" w:rsidRDefault="006B0369" w:rsidP="006B0369">
            <w:pPr>
              <w:widowControl/>
              <w:autoSpaceDE/>
              <w:autoSpaceDN/>
              <w:adjustRightInd/>
              <w:jc w:val="center"/>
              <w:rPr>
                <w:rFonts w:eastAsia="Calibri"/>
                <w:b/>
                <w:sz w:val="20"/>
                <w:szCs w:val="20"/>
              </w:rPr>
            </w:pPr>
            <w:r w:rsidRPr="000677CB">
              <w:rPr>
                <w:rFonts w:eastAsia="Calibri"/>
                <w:b/>
                <w:sz w:val="20"/>
                <w:szCs w:val="20"/>
              </w:rPr>
              <w:t>Number of Respondents</w:t>
            </w:r>
            <w:r w:rsidRPr="000677CB">
              <w:rPr>
                <w:rFonts w:eastAsia="Calibri"/>
                <w:b/>
                <w:sz w:val="20"/>
                <w:szCs w:val="20"/>
              </w:rPr>
              <w:br/>
              <w:t>(1)</w:t>
            </w:r>
          </w:p>
        </w:tc>
        <w:tc>
          <w:tcPr>
            <w:tcW w:w="746" w:type="pct"/>
            <w:shd w:val="clear" w:color="auto" w:fill="D9D9D9"/>
            <w:vAlign w:val="bottom"/>
          </w:tcPr>
          <w:p w14:paraId="5F008F90" w14:textId="77777777" w:rsidR="006B0369" w:rsidRPr="000677CB" w:rsidRDefault="006B0369" w:rsidP="006B0369">
            <w:pPr>
              <w:widowControl/>
              <w:autoSpaceDE/>
              <w:autoSpaceDN/>
              <w:adjustRightInd/>
              <w:jc w:val="center"/>
              <w:rPr>
                <w:rFonts w:eastAsia="Calibri"/>
                <w:b/>
                <w:sz w:val="20"/>
                <w:szCs w:val="20"/>
              </w:rPr>
            </w:pPr>
            <w:r w:rsidRPr="000677CB">
              <w:rPr>
                <w:rFonts w:eastAsia="Calibri"/>
                <w:b/>
                <w:sz w:val="20"/>
                <w:szCs w:val="20"/>
              </w:rPr>
              <w:t>Annual Number of Responses per Respondent</w:t>
            </w:r>
          </w:p>
          <w:p w14:paraId="33905FE1" w14:textId="77777777" w:rsidR="006B0369" w:rsidRPr="000677CB" w:rsidRDefault="006B0369" w:rsidP="006B0369">
            <w:pPr>
              <w:widowControl/>
              <w:autoSpaceDE/>
              <w:autoSpaceDN/>
              <w:adjustRightInd/>
              <w:jc w:val="center"/>
              <w:rPr>
                <w:rFonts w:eastAsia="Calibri"/>
                <w:b/>
                <w:sz w:val="20"/>
                <w:szCs w:val="20"/>
              </w:rPr>
            </w:pPr>
            <w:r w:rsidRPr="000677CB">
              <w:rPr>
                <w:rFonts w:eastAsia="Calibri"/>
                <w:b/>
                <w:sz w:val="20"/>
                <w:szCs w:val="20"/>
              </w:rPr>
              <w:t>(2)</w:t>
            </w:r>
          </w:p>
        </w:tc>
        <w:tc>
          <w:tcPr>
            <w:tcW w:w="703" w:type="pct"/>
            <w:shd w:val="clear" w:color="auto" w:fill="D9D9D9"/>
            <w:vAlign w:val="bottom"/>
          </w:tcPr>
          <w:p w14:paraId="44BB090A" w14:textId="77777777" w:rsidR="006B0369" w:rsidRPr="000677CB" w:rsidRDefault="006B0369" w:rsidP="006B0369">
            <w:pPr>
              <w:widowControl/>
              <w:autoSpaceDE/>
              <w:autoSpaceDN/>
              <w:adjustRightInd/>
              <w:jc w:val="center"/>
              <w:rPr>
                <w:rFonts w:eastAsia="Calibri"/>
                <w:b/>
                <w:sz w:val="20"/>
                <w:szCs w:val="20"/>
              </w:rPr>
            </w:pPr>
            <w:r w:rsidRPr="000677CB">
              <w:rPr>
                <w:rFonts w:eastAsia="Calibri"/>
                <w:b/>
                <w:sz w:val="20"/>
                <w:szCs w:val="20"/>
              </w:rPr>
              <w:t>Total Number of Responses (1)*(2)=(3)</w:t>
            </w:r>
          </w:p>
        </w:tc>
        <w:tc>
          <w:tcPr>
            <w:tcW w:w="654" w:type="pct"/>
            <w:shd w:val="clear" w:color="auto" w:fill="D9D9D9"/>
            <w:vAlign w:val="bottom"/>
          </w:tcPr>
          <w:p w14:paraId="5656975A" w14:textId="77777777" w:rsidR="006B0369" w:rsidRPr="000677CB" w:rsidRDefault="006B0369" w:rsidP="006B0369">
            <w:pPr>
              <w:widowControl/>
              <w:autoSpaceDE/>
              <w:autoSpaceDN/>
              <w:adjustRightInd/>
              <w:jc w:val="center"/>
              <w:rPr>
                <w:rFonts w:eastAsia="Calibri"/>
                <w:b/>
                <w:sz w:val="20"/>
                <w:szCs w:val="20"/>
              </w:rPr>
            </w:pPr>
            <w:r w:rsidRPr="000677CB">
              <w:rPr>
                <w:rFonts w:eastAsia="Calibri"/>
                <w:b/>
                <w:sz w:val="20"/>
                <w:szCs w:val="20"/>
              </w:rPr>
              <w:t>Average Burden &amp; Cost Per Response</w:t>
            </w:r>
          </w:p>
          <w:p w14:paraId="52F945EA" w14:textId="77777777" w:rsidR="006B0369" w:rsidRPr="000677CB" w:rsidRDefault="006B0369" w:rsidP="006B0369">
            <w:pPr>
              <w:widowControl/>
              <w:autoSpaceDE/>
              <w:autoSpaceDN/>
              <w:adjustRightInd/>
              <w:jc w:val="center"/>
              <w:rPr>
                <w:rFonts w:eastAsia="Calibri"/>
                <w:b/>
                <w:sz w:val="20"/>
                <w:szCs w:val="20"/>
              </w:rPr>
            </w:pPr>
            <w:r w:rsidRPr="000677CB">
              <w:rPr>
                <w:rFonts w:eastAsia="Calibri"/>
                <w:b/>
                <w:sz w:val="20"/>
                <w:szCs w:val="20"/>
              </w:rPr>
              <w:t>(4)</w:t>
            </w:r>
          </w:p>
        </w:tc>
        <w:tc>
          <w:tcPr>
            <w:tcW w:w="657" w:type="pct"/>
            <w:shd w:val="clear" w:color="auto" w:fill="D9D9D9"/>
            <w:vAlign w:val="bottom"/>
          </w:tcPr>
          <w:p w14:paraId="3FFC0344" w14:textId="77777777" w:rsidR="006B0369" w:rsidRPr="000677CB" w:rsidRDefault="006B0369" w:rsidP="006B0369">
            <w:pPr>
              <w:widowControl/>
              <w:autoSpaceDE/>
              <w:autoSpaceDN/>
              <w:adjustRightInd/>
              <w:jc w:val="center"/>
              <w:rPr>
                <w:rFonts w:eastAsia="Calibri"/>
                <w:b/>
                <w:sz w:val="20"/>
                <w:szCs w:val="20"/>
              </w:rPr>
            </w:pPr>
            <w:r w:rsidRPr="000677CB">
              <w:rPr>
                <w:rFonts w:eastAsia="Calibri"/>
                <w:b/>
                <w:sz w:val="20"/>
                <w:szCs w:val="20"/>
              </w:rPr>
              <w:t>Total Annual Burden Hours &amp; Total Annual Cost</w:t>
            </w:r>
          </w:p>
          <w:p w14:paraId="421618B3" w14:textId="77777777" w:rsidR="006B0369" w:rsidRPr="000677CB" w:rsidRDefault="006B0369" w:rsidP="006B0369">
            <w:pPr>
              <w:widowControl/>
              <w:autoSpaceDE/>
              <w:autoSpaceDN/>
              <w:adjustRightInd/>
              <w:jc w:val="center"/>
              <w:rPr>
                <w:rFonts w:eastAsia="Calibri"/>
                <w:b/>
                <w:sz w:val="20"/>
                <w:szCs w:val="20"/>
              </w:rPr>
            </w:pPr>
            <w:r w:rsidRPr="000677CB">
              <w:rPr>
                <w:rFonts w:eastAsia="Calibri"/>
                <w:b/>
                <w:sz w:val="20"/>
                <w:szCs w:val="20"/>
              </w:rPr>
              <w:t>(3)*(4)=(5)</w:t>
            </w:r>
          </w:p>
        </w:tc>
        <w:tc>
          <w:tcPr>
            <w:tcW w:w="616" w:type="pct"/>
            <w:shd w:val="clear" w:color="auto" w:fill="D9D9D9"/>
            <w:vAlign w:val="bottom"/>
          </w:tcPr>
          <w:p w14:paraId="64BE726D" w14:textId="77777777" w:rsidR="006B0369" w:rsidRPr="000677CB" w:rsidRDefault="006B0369" w:rsidP="006B0369">
            <w:pPr>
              <w:widowControl/>
              <w:autoSpaceDE/>
              <w:autoSpaceDN/>
              <w:adjustRightInd/>
              <w:jc w:val="center"/>
              <w:rPr>
                <w:rFonts w:eastAsia="Calibri"/>
                <w:b/>
                <w:sz w:val="20"/>
                <w:szCs w:val="20"/>
              </w:rPr>
            </w:pPr>
            <w:r w:rsidRPr="000677CB">
              <w:rPr>
                <w:rFonts w:eastAsia="Calibri"/>
                <w:b/>
                <w:sz w:val="20"/>
                <w:szCs w:val="20"/>
              </w:rPr>
              <w:t>Cost per Respondent</w:t>
            </w:r>
          </w:p>
          <w:p w14:paraId="7938B2E9" w14:textId="77777777" w:rsidR="006B0369" w:rsidRPr="000677CB" w:rsidRDefault="006B0369" w:rsidP="006B0369">
            <w:pPr>
              <w:widowControl/>
              <w:autoSpaceDE/>
              <w:autoSpaceDN/>
              <w:adjustRightInd/>
              <w:jc w:val="center"/>
              <w:rPr>
                <w:rFonts w:eastAsia="Calibri"/>
                <w:b/>
                <w:sz w:val="20"/>
                <w:szCs w:val="20"/>
              </w:rPr>
            </w:pPr>
            <w:r w:rsidRPr="000677CB">
              <w:rPr>
                <w:rFonts w:eastAsia="Calibri"/>
                <w:b/>
                <w:sz w:val="20"/>
                <w:szCs w:val="20"/>
              </w:rPr>
              <w:t xml:space="preserve"> ($)</w:t>
            </w:r>
          </w:p>
          <w:p w14:paraId="0F348364" w14:textId="77777777" w:rsidR="006B0369" w:rsidRPr="000677CB" w:rsidRDefault="006B0369" w:rsidP="006B0369">
            <w:pPr>
              <w:widowControl/>
              <w:autoSpaceDE/>
              <w:autoSpaceDN/>
              <w:adjustRightInd/>
              <w:jc w:val="center"/>
              <w:rPr>
                <w:rFonts w:eastAsia="Calibri"/>
                <w:b/>
                <w:sz w:val="20"/>
                <w:szCs w:val="20"/>
              </w:rPr>
            </w:pPr>
            <w:r w:rsidRPr="000677CB">
              <w:rPr>
                <w:rFonts w:eastAsia="Calibri"/>
                <w:b/>
                <w:sz w:val="20"/>
                <w:szCs w:val="20"/>
              </w:rPr>
              <w:t>(5)÷(1)</w:t>
            </w:r>
          </w:p>
        </w:tc>
      </w:tr>
      <w:tr w:rsidR="006B0369" w:rsidRPr="000677CB" w14:paraId="176165A0" w14:textId="77777777" w:rsidTr="00C11BCD">
        <w:trPr>
          <w:cantSplit/>
        </w:trPr>
        <w:tc>
          <w:tcPr>
            <w:tcW w:w="921" w:type="pct"/>
          </w:tcPr>
          <w:p w14:paraId="04D7FF79" w14:textId="77777777" w:rsidR="006B0369" w:rsidRPr="000677CB" w:rsidRDefault="006B0369" w:rsidP="006B0369">
            <w:pPr>
              <w:widowControl/>
              <w:autoSpaceDE/>
              <w:autoSpaceDN/>
              <w:adjustRightInd/>
              <w:rPr>
                <w:rFonts w:eastAsia="Calibri"/>
                <w:sz w:val="20"/>
                <w:szCs w:val="20"/>
              </w:rPr>
            </w:pPr>
            <w:r w:rsidRPr="000677CB">
              <w:rPr>
                <w:rFonts w:eastAsia="Calibri"/>
                <w:sz w:val="20"/>
                <w:szCs w:val="20"/>
              </w:rPr>
              <w:t>Transportation by Interstate Pipelines</w:t>
            </w:r>
            <w:r w:rsidRPr="000677CB">
              <w:rPr>
                <w:rFonts w:eastAsia="Calibri"/>
                <w:sz w:val="20"/>
                <w:szCs w:val="20"/>
                <w:vertAlign w:val="superscript"/>
              </w:rPr>
              <w:footnoteReference w:id="9"/>
            </w:r>
          </w:p>
        </w:tc>
        <w:tc>
          <w:tcPr>
            <w:tcW w:w="704" w:type="pct"/>
          </w:tcPr>
          <w:p w14:paraId="6D708086"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75</w:t>
            </w:r>
          </w:p>
          <w:p w14:paraId="0FFF7E08" w14:textId="77777777" w:rsidR="006B0369" w:rsidRPr="000677CB" w:rsidRDefault="006B0369" w:rsidP="006B0369">
            <w:pPr>
              <w:widowControl/>
              <w:autoSpaceDE/>
              <w:autoSpaceDN/>
              <w:adjustRightInd/>
              <w:jc w:val="right"/>
              <w:rPr>
                <w:rFonts w:eastAsia="Calibri"/>
                <w:sz w:val="20"/>
                <w:szCs w:val="20"/>
              </w:rPr>
            </w:pPr>
          </w:p>
        </w:tc>
        <w:tc>
          <w:tcPr>
            <w:tcW w:w="746" w:type="pct"/>
          </w:tcPr>
          <w:p w14:paraId="5792BB5E"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2</w:t>
            </w:r>
          </w:p>
        </w:tc>
        <w:tc>
          <w:tcPr>
            <w:tcW w:w="703" w:type="pct"/>
          </w:tcPr>
          <w:p w14:paraId="332AE369"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150</w:t>
            </w:r>
          </w:p>
        </w:tc>
        <w:tc>
          <w:tcPr>
            <w:tcW w:w="654" w:type="pct"/>
          </w:tcPr>
          <w:p w14:paraId="0F62F9F4"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3 hrs.</w:t>
            </w:r>
            <w:r w:rsidRPr="000677CB">
              <w:rPr>
                <w:rFonts w:eastAsia="Calibri"/>
                <w:b/>
                <w:sz w:val="20"/>
                <w:szCs w:val="20"/>
                <w:vertAlign w:val="superscript"/>
              </w:rPr>
              <w:t xml:space="preserve"> </w:t>
            </w:r>
            <w:bookmarkStart w:id="1" w:name="_Ref449098785"/>
            <w:r w:rsidRPr="000677CB">
              <w:rPr>
                <w:rFonts w:eastAsia="Calibri"/>
                <w:sz w:val="20"/>
                <w:szCs w:val="20"/>
                <w:vertAlign w:val="superscript"/>
              </w:rPr>
              <w:footnoteReference w:id="10"/>
            </w:r>
            <w:bookmarkEnd w:id="1"/>
            <w:r w:rsidRPr="000677CB">
              <w:rPr>
                <w:rFonts w:eastAsia="Calibri"/>
                <w:sz w:val="20"/>
                <w:szCs w:val="20"/>
              </w:rPr>
              <w:t>;</w:t>
            </w:r>
          </w:p>
          <w:p w14:paraId="631BD211"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$386.82</w:t>
            </w:r>
          </w:p>
        </w:tc>
        <w:tc>
          <w:tcPr>
            <w:tcW w:w="657" w:type="pct"/>
          </w:tcPr>
          <w:p w14:paraId="3D56BA81"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 xml:space="preserve"> 450 hrs.;</w:t>
            </w:r>
          </w:p>
          <w:p w14:paraId="433DC905"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 xml:space="preserve">$58,023 </w:t>
            </w:r>
          </w:p>
        </w:tc>
        <w:tc>
          <w:tcPr>
            <w:tcW w:w="616" w:type="pct"/>
          </w:tcPr>
          <w:p w14:paraId="34559CB5"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 xml:space="preserve">$773.64 </w:t>
            </w:r>
          </w:p>
          <w:p w14:paraId="5369A811" w14:textId="77777777" w:rsidR="006B0369" w:rsidRPr="000677CB" w:rsidRDefault="006B0369" w:rsidP="006B0369">
            <w:pPr>
              <w:widowControl/>
              <w:autoSpaceDE/>
              <w:autoSpaceDN/>
              <w:adjustRightInd/>
              <w:jc w:val="right"/>
              <w:rPr>
                <w:rFonts w:eastAsia="Calibri"/>
                <w:sz w:val="20"/>
                <w:szCs w:val="20"/>
              </w:rPr>
            </w:pPr>
          </w:p>
        </w:tc>
      </w:tr>
      <w:tr w:rsidR="006B0369" w:rsidRPr="000677CB" w14:paraId="76F045C9" w14:textId="77777777" w:rsidTr="00C11BCD">
        <w:trPr>
          <w:cantSplit/>
        </w:trPr>
        <w:tc>
          <w:tcPr>
            <w:tcW w:w="921" w:type="pct"/>
          </w:tcPr>
          <w:p w14:paraId="0E846F9D" w14:textId="77777777" w:rsidR="006B0369" w:rsidRPr="000677CB" w:rsidRDefault="006B0369" w:rsidP="006B0369">
            <w:pPr>
              <w:widowControl/>
              <w:autoSpaceDE/>
              <w:autoSpaceDN/>
              <w:adjustRightInd/>
              <w:rPr>
                <w:rFonts w:eastAsia="Calibri"/>
                <w:sz w:val="20"/>
                <w:szCs w:val="20"/>
              </w:rPr>
            </w:pPr>
            <w:r w:rsidRPr="000677CB">
              <w:rPr>
                <w:rFonts w:eastAsia="Calibri"/>
                <w:sz w:val="20"/>
                <w:szCs w:val="20"/>
              </w:rPr>
              <w:t>Rates and Charges for Intrastate Pipelines</w:t>
            </w:r>
            <w:r w:rsidRPr="000677CB">
              <w:rPr>
                <w:rFonts w:eastAsia="Calibri"/>
                <w:sz w:val="20"/>
                <w:szCs w:val="20"/>
                <w:vertAlign w:val="superscript"/>
              </w:rPr>
              <w:footnoteReference w:id="11"/>
            </w:r>
          </w:p>
        </w:tc>
        <w:tc>
          <w:tcPr>
            <w:tcW w:w="704" w:type="pct"/>
          </w:tcPr>
          <w:p w14:paraId="09BA8E44"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50</w:t>
            </w:r>
          </w:p>
        </w:tc>
        <w:tc>
          <w:tcPr>
            <w:tcW w:w="746" w:type="pct"/>
          </w:tcPr>
          <w:p w14:paraId="54F06AF8"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1</w:t>
            </w:r>
          </w:p>
        </w:tc>
        <w:tc>
          <w:tcPr>
            <w:tcW w:w="703" w:type="pct"/>
          </w:tcPr>
          <w:p w14:paraId="264482A3"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50</w:t>
            </w:r>
          </w:p>
        </w:tc>
        <w:tc>
          <w:tcPr>
            <w:tcW w:w="654" w:type="pct"/>
          </w:tcPr>
          <w:p w14:paraId="2D547930"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50 hrs.;</w:t>
            </w:r>
          </w:p>
          <w:p w14:paraId="1CB9F557"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$5,084.50</w:t>
            </w:r>
            <w:r w:rsidRPr="000677CB">
              <w:rPr>
                <w:rFonts w:eastAsia="Calibri"/>
                <w:sz w:val="20"/>
                <w:szCs w:val="20"/>
                <w:vertAlign w:val="superscript"/>
              </w:rPr>
              <w:footnoteReference w:id="12"/>
            </w:r>
          </w:p>
        </w:tc>
        <w:tc>
          <w:tcPr>
            <w:tcW w:w="657" w:type="pct"/>
          </w:tcPr>
          <w:p w14:paraId="2505C859"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2,500 hrs.;</w:t>
            </w:r>
          </w:p>
          <w:p w14:paraId="69E3CB95"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$254,225</w:t>
            </w:r>
          </w:p>
        </w:tc>
        <w:tc>
          <w:tcPr>
            <w:tcW w:w="616" w:type="pct"/>
          </w:tcPr>
          <w:p w14:paraId="6305F762"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$5,084.50</w:t>
            </w:r>
          </w:p>
        </w:tc>
      </w:tr>
      <w:tr w:rsidR="006B0369" w:rsidRPr="000677CB" w14:paraId="2CEA8F4B" w14:textId="77777777" w:rsidTr="00C11BCD">
        <w:trPr>
          <w:cantSplit/>
        </w:trPr>
        <w:tc>
          <w:tcPr>
            <w:tcW w:w="921" w:type="pct"/>
          </w:tcPr>
          <w:p w14:paraId="7AB23264" w14:textId="77777777" w:rsidR="006B0369" w:rsidRPr="000677CB" w:rsidRDefault="006B0369" w:rsidP="006B0369">
            <w:pPr>
              <w:widowControl/>
              <w:autoSpaceDE/>
              <w:autoSpaceDN/>
              <w:adjustRightInd/>
              <w:rPr>
                <w:rFonts w:eastAsia="Calibri"/>
                <w:sz w:val="20"/>
                <w:szCs w:val="20"/>
              </w:rPr>
            </w:pPr>
            <w:r w:rsidRPr="000677CB">
              <w:rPr>
                <w:rFonts w:eastAsia="Calibri"/>
                <w:sz w:val="20"/>
                <w:szCs w:val="20"/>
              </w:rPr>
              <w:t>Code of Conduct</w:t>
            </w:r>
            <w:r w:rsidRPr="000677CB">
              <w:rPr>
                <w:rFonts w:eastAsia="Calibri"/>
                <w:sz w:val="20"/>
                <w:szCs w:val="20"/>
                <w:vertAlign w:val="superscript"/>
              </w:rPr>
              <w:footnoteReference w:id="13"/>
            </w:r>
            <w:r w:rsidRPr="000677CB">
              <w:rPr>
                <w:rFonts w:eastAsia="Calibri"/>
                <w:sz w:val="20"/>
                <w:szCs w:val="20"/>
                <w:vertAlign w:val="superscript"/>
              </w:rPr>
              <w:t xml:space="preserve">, </w:t>
            </w:r>
            <w:r w:rsidRPr="000677CB">
              <w:rPr>
                <w:rFonts w:eastAsia="Calibri"/>
                <w:sz w:val="20"/>
                <w:szCs w:val="20"/>
                <w:vertAlign w:val="superscript"/>
              </w:rPr>
              <w:footnoteReference w:id="14"/>
            </w:r>
          </w:p>
        </w:tc>
        <w:tc>
          <w:tcPr>
            <w:tcW w:w="704" w:type="pct"/>
          </w:tcPr>
          <w:p w14:paraId="214428A1"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222</w:t>
            </w:r>
          </w:p>
        </w:tc>
        <w:tc>
          <w:tcPr>
            <w:tcW w:w="746" w:type="pct"/>
          </w:tcPr>
          <w:p w14:paraId="4ED77D88"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1</w:t>
            </w:r>
          </w:p>
        </w:tc>
        <w:tc>
          <w:tcPr>
            <w:tcW w:w="703" w:type="pct"/>
          </w:tcPr>
          <w:p w14:paraId="3BF7AA77"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222</w:t>
            </w:r>
          </w:p>
        </w:tc>
        <w:tc>
          <w:tcPr>
            <w:tcW w:w="654" w:type="pct"/>
          </w:tcPr>
          <w:p w14:paraId="27536BD4"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1 hr.;</w:t>
            </w:r>
          </w:p>
          <w:p w14:paraId="465C5A43"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$128.94</w:t>
            </w:r>
            <w:r w:rsidRPr="000677CB">
              <w:rPr>
                <w:rFonts w:eastAsia="Calibri"/>
                <w:sz w:val="20"/>
                <w:szCs w:val="20"/>
                <w:vertAlign w:val="superscript"/>
              </w:rPr>
              <w:fldChar w:fldCharType="begin"/>
            </w:r>
            <w:r w:rsidRPr="000677CB">
              <w:rPr>
                <w:rFonts w:eastAsia="Calibri"/>
                <w:sz w:val="20"/>
                <w:szCs w:val="20"/>
                <w:vertAlign w:val="superscript"/>
              </w:rPr>
              <w:instrText xml:space="preserve"> NOTEREF _Ref449098785 \h  \* MERGEFORMAT </w:instrText>
            </w:r>
            <w:r w:rsidRPr="000677CB">
              <w:rPr>
                <w:rFonts w:eastAsia="Calibri"/>
                <w:sz w:val="20"/>
                <w:szCs w:val="20"/>
                <w:vertAlign w:val="superscript"/>
              </w:rPr>
            </w:r>
            <w:r w:rsidRPr="000677CB">
              <w:rPr>
                <w:rFonts w:eastAsia="Calibri"/>
                <w:sz w:val="20"/>
                <w:szCs w:val="20"/>
                <w:vertAlign w:val="superscript"/>
              </w:rPr>
              <w:fldChar w:fldCharType="separate"/>
            </w:r>
            <w:r w:rsidRPr="000677CB">
              <w:rPr>
                <w:rFonts w:eastAsia="Calibri"/>
                <w:sz w:val="20"/>
                <w:szCs w:val="20"/>
                <w:vertAlign w:val="superscript"/>
              </w:rPr>
              <w:t>10</w:t>
            </w:r>
            <w:r w:rsidRPr="000677CB">
              <w:rPr>
                <w:rFonts w:eastAsia="Calibri"/>
                <w:sz w:val="20"/>
                <w:szCs w:val="20"/>
                <w:vertAlign w:val="superscript"/>
              </w:rPr>
              <w:fldChar w:fldCharType="end"/>
            </w:r>
          </w:p>
        </w:tc>
        <w:tc>
          <w:tcPr>
            <w:tcW w:w="657" w:type="pct"/>
          </w:tcPr>
          <w:p w14:paraId="5FFFA9A9"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222 hrs.;</w:t>
            </w:r>
          </w:p>
          <w:p w14:paraId="6E1C92C1"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$28,624.68</w:t>
            </w:r>
          </w:p>
        </w:tc>
        <w:tc>
          <w:tcPr>
            <w:tcW w:w="616" w:type="pct"/>
          </w:tcPr>
          <w:p w14:paraId="5936F890"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$128.94</w:t>
            </w:r>
          </w:p>
        </w:tc>
      </w:tr>
      <w:tr w:rsidR="006B0369" w:rsidRPr="000677CB" w14:paraId="1CCBCC16" w14:textId="77777777" w:rsidTr="00C11BCD">
        <w:trPr>
          <w:cantSplit/>
        </w:trPr>
        <w:tc>
          <w:tcPr>
            <w:tcW w:w="921" w:type="pct"/>
          </w:tcPr>
          <w:p w14:paraId="3D880810" w14:textId="77777777" w:rsidR="006B0369" w:rsidRPr="000677CB" w:rsidRDefault="006B0369" w:rsidP="006B0369">
            <w:pPr>
              <w:widowControl/>
              <w:autoSpaceDE/>
              <w:autoSpaceDN/>
              <w:adjustRightInd/>
              <w:rPr>
                <w:rFonts w:eastAsia="Calibri"/>
                <w:sz w:val="20"/>
                <w:szCs w:val="20"/>
              </w:rPr>
            </w:pPr>
            <w:r w:rsidRPr="000677CB">
              <w:rPr>
                <w:rFonts w:eastAsia="Calibri"/>
                <w:sz w:val="20"/>
                <w:szCs w:val="20"/>
              </w:rPr>
              <w:t>Market-Based Rates</w:t>
            </w:r>
            <w:r w:rsidRPr="000677CB">
              <w:rPr>
                <w:rFonts w:eastAsia="Calibri"/>
                <w:sz w:val="20"/>
                <w:szCs w:val="20"/>
                <w:vertAlign w:val="superscript"/>
              </w:rPr>
              <w:footnoteReference w:id="15"/>
            </w:r>
          </w:p>
        </w:tc>
        <w:tc>
          <w:tcPr>
            <w:tcW w:w="704" w:type="pct"/>
          </w:tcPr>
          <w:p w14:paraId="26AA2328"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4</w:t>
            </w:r>
          </w:p>
        </w:tc>
        <w:tc>
          <w:tcPr>
            <w:tcW w:w="746" w:type="pct"/>
          </w:tcPr>
          <w:p w14:paraId="68138B19"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1</w:t>
            </w:r>
          </w:p>
        </w:tc>
        <w:tc>
          <w:tcPr>
            <w:tcW w:w="703" w:type="pct"/>
          </w:tcPr>
          <w:p w14:paraId="50CC288E"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4</w:t>
            </w:r>
          </w:p>
        </w:tc>
        <w:tc>
          <w:tcPr>
            <w:tcW w:w="654" w:type="pct"/>
          </w:tcPr>
          <w:p w14:paraId="433CADB2"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350 hrs.;</w:t>
            </w:r>
          </w:p>
          <w:p w14:paraId="09E064E7"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$45,129</w:t>
            </w:r>
            <w:r w:rsidRPr="000677CB">
              <w:rPr>
                <w:rFonts w:eastAsia="Calibri"/>
                <w:sz w:val="20"/>
                <w:szCs w:val="20"/>
                <w:vertAlign w:val="superscript"/>
              </w:rPr>
              <w:fldChar w:fldCharType="begin"/>
            </w:r>
            <w:r w:rsidRPr="000677CB">
              <w:rPr>
                <w:rFonts w:eastAsia="Calibri"/>
                <w:sz w:val="20"/>
                <w:szCs w:val="20"/>
                <w:vertAlign w:val="superscript"/>
              </w:rPr>
              <w:instrText xml:space="preserve"> NOTEREF _Ref449098785 \h  \* MERGEFORMAT </w:instrText>
            </w:r>
            <w:r w:rsidRPr="000677CB">
              <w:rPr>
                <w:rFonts w:eastAsia="Calibri"/>
                <w:sz w:val="20"/>
                <w:szCs w:val="20"/>
                <w:vertAlign w:val="superscript"/>
              </w:rPr>
            </w:r>
            <w:r w:rsidRPr="000677CB">
              <w:rPr>
                <w:rFonts w:eastAsia="Calibri"/>
                <w:sz w:val="20"/>
                <w:szCs w:val="20"/>
                <w:vertAlign w:val="superscript"/>
              </w:rPr>
              <w:fldChar w:fldCharType="separate"/>
            </w:r>
            <w:r w:rsidRPr="000677CB">
              <w:rPr>
                <w:rFonts w:eastAsia="Calibri"/>
                <w:sz w:val="20"/>
                <w:szCs w:val="20"/>
                <w:vertAlign w:val="superscript"/>
              </w:rPr>
              <w:t>10</w:t>
            </w:r>
            <w:r w:rsidRPr="000677CB">
              <w:rPr>
                <w:rFonts w:eastAsia="Calibri"/>
                <w:sz w:val="20"/>
                <w:szCs w:val="20"/>
                <w:vertAlign w:val="superscript"/>
              </w:rPr>
              <w:fldChar w:fldCharType="end"/>
            </w:r>
          </w:p>
        </w:tc>
        <w:tc>
          <w:tcPr>
            <w:tcW w:w="657" w:type="pct"/>
          </w:tcPr>
          <w:p w14:paraId="008BA03A"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1,400 hrs.;</w:t>
            </w:r>
          </w:p>
          <w:p w14:paraId="078E8E4A"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$180,516</w:t>
            </w:r>
          </w:p>
        </w:tc>
        <w:tc>
          <w:tcPr>
            <w:tcW w:w="616" w:type="pct"/>
          </w:tcPr>
          <w:p w14:paraId="02F56FB9" w14:textId="77777777" w:rsidR="006B0369" w:rsidRPr="000677CB" w:rsidRDefault="006B0369" w:rsidP="006B0369">
            <w:pPr>
              <w:widowControl/>
              <w:autoSpaceDE/>
              <w:autoSpaceDN/>
              <w:adjustRightInd/>
              <w:jc w:val="right"/>
              <w:rPr>
                <w:rFonts w:eastAsia="Calibri"/>
                <w:sz w:val="20"/>
                <w:szCs w:val="20"/>
              </w:rPr>
            </w:pPr>
            <w:r w:rsidRPr="000677CB">
              <w:rPr>
                <w:rFonts w:eastAsia="Calibri"/>
                <w:sz w:val="20"/>
                <w:szCs w:val="20"/>
              </w:rPr>
              <w:t>$45,129</w:t>
            </w:r>
          </w:p>
        </w:tc>
      </w:tr>
      <w:tr w:rsidR="006B0369" w:rsidRPr="000677CB" w14:paraId="7E7ED6FC" w14:textId="77777777" w:rsidTr="00C11BCD">
        <w:trPr>
          <w:cantSplit/>
          <w:trHeight w:val="485"/>
        </w:trPr>
        <w:tc>
          <w:tcPr>
            <w:tcW w:w="921" w:type="pct"/>
            <w:tcBorders>
              <w:bottom w:val="single" w:sz="4" w:space="0" w:color="auto"/>
            </w:tcBorders>
          </w:tcPr>
          <w:p w14:paraId="516128D8" w14:textId="77777777" w:rsidR="006B0369" w:rsidRPr="000677CB" w:rsidRDefault="006B0369" w:rsidP="006B0369">
            <w:pPr>
              <w:widowControl/>
              <w:autoSpaceDE/>
              <w:autoSpaceDN/>
              <w:adjustRightInd/>
              <w:rPr>
                <w:rFonts w:eastAsia="Calibri"/>
                <w:b/>
                <w:sz w:val="20"/>
                <w:szCs w:val="20"/>
              </w:rPr>
            </w:pPr>
            <w:r w:rsidRPr="000677CB">
              <w:rPr>
                <w:rFonts w:eastAsia="Calibri"/>
                <w:b/>
                <w:sz w:val="20"/>
                <w:szCs w:val="20"/>
              </w:rPr>
              <w:t>TOTAL</w:t>
            </w:r>
          </w:p>
        </w:tc>
        <w:tc>
          <w:tcPr>
            <w:tcW w:w="1450" w:type="pct"/>
            <w:gridSpan w:val="2"/>
            <w:tcBorders>
              <w:bottom w:val="single" w:sz="4" w:space="0" w:color="auto"/>
            </w:tcBorders>
            <w:shd w:val="clear" w:color="auto" w:fill="D9D9D9"/>
          </w:tcPr>
          <w:p w14:paraId="1768CC30" w14:textId="77777777" w:rsidR="006B0369" w:rsidRPr="000677CB" w:rsidRDefault="006B0369" w:rsidP="006B0369">
            <w:pPr>
              <w:widowControl/>
              <w:autoSpaceDE/>
              <w:autoSpaceDN/>
              <w:adjustRightInd/>
              <w:jc w:val="right"/>
              <w:rPr>
                <w:rFonts w:eastAsia="Calibri"/>
                <w:sz w:val="20"/>
                <w:szCs w:val="20"/>
              </w:rPr>
            </w:pPr>
          </w:p>
        </w:tc>
        <w:tc>
          <w:tcPr>
            <w:tcW w:w="703" w:type="pct"/>
            <w:tcBorders>
              <w:bottom w:val="single" w:sz="4" w:space="0" w:color="auto"/>
            </w:tcBorders>
            <w:shd w:val="clear" w:color="auto" w:fill="auto"/>
          </w:tcPr>
          <w:p w14:paraId="2A6E03D6" w14:textId="77777777" w:rsidR="006B0369" w:rsidRPr="000677CB" w:rsidRDefault="006B0369" w:rsidP="006B0369">
            <w:pPr>
              <w:widowControl/>
              <w:autoSpaceDE/>
              <w:autoSpaceDN/>
              <w:adjustRightInd/>
              <w:jc w:val="right"/>
              <w:rPr>
                <w:rFonts w:eastAsia="Calibri"/>
                <w:b/>
                <w:sz w:val="20"/>
                <w:szCs w:val="20"/>
              </w:rPr>
            </w:pPr>
            <w:r w:rsidRPr="000677CB">
              <w:rPr>
                <w:rFonts w:eastAsia="Calibri"/>
                <w:b/>
                <w:sz w:val="20"/>
                <w:szCs w:val="20"/>
              </w:rPr>
              <w:t>426</w:t>
            </w:r>
          </w:p>
        </w:tc>
        <w:tc>
          <w:tcPr>
            <w:tcW w:w="654" w:type="pct"/>
            <w:tcBorders>
              <w:bottom w:val="single" w:sz="4" w:space="0" w:color="auto"/>
            </w:tcBorders>
            <w:shd w:val="clear" w:color="auto" w:fill="D9D9D9"/>
          </w:tcPr>
          <w:p w14:paraId="5995FDA2" w14:textId="77777777" w:rsidR="006B0369" w:rsidRPr="000677CB" w:rsidRDefault="006B0369" w:rsidP="006B0369">
            <w:pPr>
              <w:widowControl/>
              <w:autoSpaceDE/>
              <w:autoSpaceDN/>
              <w:adjustRightInd/>
              <w:jc w:val="right"/>
              <w:rPr>
                <w:rFonts w:eastAsia="Calibri"/>
                <w:sz w:val="20"/>
                <w:szCs w:val="20"/>
              </w:rPr>
            </w:pPr>
          </w:p>
        </w:tc>
        <w:tc>
          <w:tcPr>
            <w:tcW w:w="657" w:type="pct"/>
            <w:tcBorders>
              <w:bottom w:val="single" w:sz="4" w:space="0" w:color="auto"/>
            </w:tcBorders>
          </w:tcPr>
          <w:p w14:paraId="6A302856" w14:textId="77777777" w:rsidR="006B0369" w:rsidRPr="000677CB" w:rsidRDefault="006B0369" w:rsidP="006B0369">
            <w:pPr>
              <w:widowControl/>
              <w:autoSpaceDE/>
              <w:autoSpaceDN/>
              <w:adjustRightInd/>
              <w:jc w:val="right"/>
              <w:rPr>
                <w:rFonts w:eastAsia="Calibri"/>
                <w:b/>
                <w:sz w:val="20"/>
                <w:szCs w:val="20"/>
              </w:rPr>
            </w:pPr>
            <w:r w:rsidRPr="000677CB">
              <w:rPr>
                <w:rFonts w:eastAsia="Calibri"/>
                <w:b/>
                <w:sz w:val="20"/>
                <w:szCs w:val="20"/>
              </w:rPr>
              <w:t>4,572 hrs.;</w:t>
            </w:r>
          </w:p>
          <w:p w14:paraId="54884814" w14:textId="77777777" w:rsidR="006B0369" w:rsidRPr="000677CB" w:rsidRDefault="006B0369" w:rsidP="006B0369">
            <w:pPr>
              <w:widowControl/>
              <w:autoSpaceDE/>
              <w:autoSpaceDN/>
              <w:adjustRightInd/>
              <w:jc w:val="right"/>
              <w:rPr>
                <w:rFonts w:eastAsia="Calibri"/>
                <w:b/>
                <w:sz w:val="20"/>
                <w:szCs w:val="20"/>
              </w:rPr>
            </w:pPr>
            <w:r w:rsidRPr="000677CB">
              <w:rPr>
                <w:rFonts w:eastAsia="Calibri"/>
                <w:b/>
                <w:sz w:val="20"/>
                <w:szCs w:val="20"/>
              </w:rPr>
              <w:t>$521,388.68</w:t>
            </w:r>
          </w:p>
        </w:tc>
        <w:tc>
          <w:tcPr>
            <w:tcW w:w="616" w:type="pct"/>
            <w:tcBorders>
              <w:bottom w:val="single" w:sz="4" w:space="0" w:color="auto"/>
            </w:tcBorders>
            <w:shd w:val="clear" w:color="auto" w:fill="D9D9D9"/>
          </w:tcPr>
          <w:p w14:paraId="0B420322" w14:textId="77777777" w:rsidR="006B0369" w:rsidRPr="000677CB" w:rsidRDefault="006B0369" w:rsidP="006B0369">
            <w:pPr>
              <w:widowControl/>
              <w:autoSpaceDE/>
              <w:autoSpaceDN/>
              <w:adjustRightInd/>
              <w:jc w:val="right"/>
              <w:rPr>
                <w:rFonts w:eastAsia="Calibri"/>
                <w:b/>
                <w:sz w:val="20"/>
                <w:szCs w:val="20"/>
              </w:rPr>
            </w:pPr>
          </w:p>
        </w:tc>
      </w:tr>
    </w:tbl>
    <w:p w14:paraId="0BCEEBDA" w14:textId="77777777" w:rsidR="00BB6095" w:rsidRPr="000677CB" w:rsidRDefault="00BB6095" w:rsidP="00BB6095">
      <w:pPr>
        <w:widowControl/>
      </w:pPr>
    </w:p>
    <w:p w14:paraId="1C3AB85B" w14:textId="77777777" w:rsidR="00BB6095" w:rsidRPr="000677CB" w:rsidRDefault="00BB6095" w:rsidP="00BB6095">
      <w:pPr>
        <w:pStyle w:val="FERCparanumber"/>
        <w:numPr>
          <w:ilvl w:val="0"/>
          <w:numId w:val="0"/>
        </w:numPr>
        <w:rPr>
          <w:sz w:val="24"/>
        </w:rPr>
      </w:pPr>
    </w:p>
    <w:p w14:paraId="13BF2A57" w14:textId="77777777" w:rsidR="009D6B6D" w:rsidRPr="000677CB" w:rsidRDefault="00BB6095" w:rsidP="001D2EC1">
      <w:pPr>
        <w:pStyle w:val="FERCparanumber"/>
        <w:numPr>
          <w:ilvl w:val="0"/>
          <w:numId w:val="7"/>
        </w:numPr>
        <w:rPr>
          <w:sz w:val="24"/>
        </w:rPr>
      </w:pPr>
      <w:r w:rsidRPr="000677CB">
        <w:rPr>
          <w:b/>
          <w:sz w:val="24"/>
        </w:rPr>
        <w:t>ESTIMATE OF THE TOTAL ANNUAL COST BURDEN TO RESPONDENTS</w:t>
      </w:r>
    </w:p>
    <w:p w14:paraId="27C816AF" w14:textId="77777777" w:rsidR="00EF40FF" w:rsidRPr="000677CB" w:rsidRDefault="00EF40FF" w:rsidP="00EF40FF">
      <w:pPr>
        <w:pStyle w:val="FERCparanumber"/>
        <w:numPr>
          <w:ilvl w:val="0"/>
          <w:numId w:val="0"/>
        </w:numPr>
        <w:rPr>
          <w:b/>
          <w:sz w:val="24"/>
        </w:rPr>
      </w:pPr>
    </w:p>
    <w:p w14:paraId="421B1190" w14:textId="77777777" w:rsidR="00432DA3" w:rsidRPr="000677CB" w:rsidRDefault="00432DA3" w:rsidP="00432DA3">
      <w:pPr>
        <w:widowControl/>
      </w:pPr>
      <w:r w:rsidRPr="000677CB">
        <w:t>There are no non-labor start-up costs. All costs are related to burden hours and are addressed in Questions #12 and #15.</w:t>
      </w:r>
    </w:p>
    <w:p w14:paraId="237DA0EC" w14:textId="77777777" w:rsidR="00EF40FF" w:rsidRPr="000677CB" w:rsidRDefault="00EF40FF" w:rsidP="00EF40FF">
      <w:pPr>
        <w:pStyle w:val="FERCparanumber"/>
        <w:numPr>
          <w:ilvl w:val="0"/>
          <w:numId w:val="0"/>
        </w:numPr>
        <w:rPr>
          <w:sz w:val="24"/>
        </w:rPr>
      </w:pPr>
    </w:p>
    <w:p w14:paraId="25934EE2" w14:textId="77777777" w:rsidR="00EF40FF" w:rsidRPr="000677CB" w:rsidRDefault="00EF40FF" w:rsidP="001D2EC1">
      <w:pPr>
        <w:pStyle w:val="FERCparanumber"/>
        <w:numPr>
          <w:ilvl w:val="0"/>
          <w:numId w:val="7"/>
        </w:numPr>
        <w:rPr>
          <w:b/>
          <w:sz w:val="24"/>
        </w:rPr>
      </w:pPr>
      <w:r w:rsidRPr="000677CB">
        <w:rPr>
          <w:b/>
          <w:sz w:val="24"/>
        </w:rPr>
        <w:t>ESTIMATED ANNUALIZED COST TO FEDERAL GOVERNMENT</w:t>
      </w:r>
    </w:p>
    <w:p w14:paraId="1F460314" w14:textId="77777777" w:rsidR="00EF40FF" w:rsidRPr="000677CB" w:rsidRDefault="00EF40FF" w:rsidP="00EF40FF">
      <w:pPr>
        <w:pStyle w:val="FERCparanumber"/>
        <w:numPr>
          <w:ilvl w:val="0"/>
          <w:numId w:val="0"/>
        </w:numPr>
        <w:rPr>
          <w:b/>
          <w:sz w:val="24"/>
        </w:rPr>
      </w:pPr>
    </w:p>
    <w:p w14:paraId="5BF0DAF9" w14:textId="77777777" w:rsidR="00EF40FF" w:rsidRPr="000677CB" w:rsidRDefault="00EF40FF" w:rsidP="00EF40FF">
      <w:pPr>
        <w:pStyle w:val="ListParagraph"/>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042"/>
        <w:gridCol w:w="3024"/>
      </w:tblGrid>
      <w:tr w:rsidR="00EF40FF" w:rsidRPr="000677CB" w14:paraId="6C55F3AE" w14:textId="77777777" w:rsidTr="00D97B44">
        <w:tc>
          <w:tcPr>
            <w:tcW w:w="1756" w:type="pct"/>
            <w:shd w:val="clear" w:color="auto" w:fill="D9D9D9"/>
            <w:vAlign w:val="center"/>
          </w:tcPr>
          <w:p w14:paraId="420D71F3" w14:textId="77777777" w:rsidR="00EF40FF" w:rsidRPr="000677CB" w:rsidRDefault="00EF40FF" w:rsidP="00D97B44">
            <w:pPr>
              <w:pStyle w:val="ListParagraph"/>
              <w:spacing w:after="0" w:line="240" w:lineRule="auto"/>
              <w:ind w:left="0"/>
              <w:rPr>
                <w:rFonts w:ascii="Times New Roman" w:hAnsi="Times New Roman"/>
                <w:b/>
                <w:sz w:val="24"/>
                <w:szCs w:val="24"/>
              </w:rPr>
            </w:pPr>
          </w:p>
        </w:tc>
        <w:tc>
          <w:tcPr>
            <w:tcW w:w="1627" w:type="pct"/>
            <w:shd w:val="clear" w:color="auto" w:fill="D9D9D9"/>
            <w:vAlign w:val="center"/>
          </w:tcPr>
          <w:p w14:paraId="18D95BE9" w14:textId="77777777" w:rsidR="00EF40FF" w:rsidRPr="000677CB" w:rsidRDefault="00EF40FF" w:rsidP="00D97B44">
            <w:pPr>
              <w:pStyle w:val="ListParagraph"/>
              <w:spacing w:after="0" w:line="240" w:lineRule="auto"/>
              <w:ind w:left="0"/>
              <w:jc w:val="center"/>
              <w:rPr>
                <w:rFonts w:ascii="Times New Roman" w:hAnsi="Times New Roman"/>
                <w:b/>
                <w:sz w:val="24"/>
                <w:szCs w:val="24"/>
              </w:rPr>
            </w:pPr>
            <w:r w:rsidRPr="000677CB">
              <w:rPr>
                <w:rFonts w:ascii="Times New Roman" w:hAnsi="Times New Roman"/>
                <w:b/>
                <w:sz w:val="24"/>
                <w:szCs w:val="24"/>
              </w:rPr>
              <w:t>Number of Employees (FTE)</w:t>
            </w:r>
          </w:p>
        </w:tc>
        <w:tc>
          <w:tcPr>
            <w:tcW w:w="1617" w:type="pct"/>
            <w:shd w:val="clear" w:color="auto" w:fill="D9D9D9"/>
            <w:vAlign w:val="center"/>
          </w:tcPr>
          <w:p w14:paraId="65A7AAF2" w14:textId="77777777" w:rsidR="00EF40FF" w:rsidRPr="000677CB" w:rsidRDefault="00EF40FF" w:rsidP="00D97B44">
            <w:pPr>
              <w:pStyle w:val="ListParagraph"/>
              <w:spacing w:after="0" w:line="240" w:lineRule="auto"/>
              <w:ind w:left="0"/>
              <w:jc w:val="center"/>
              <w:rPr>
                <w:rFonts w:ascii="Times New Roman" w:hAnsi="Times New Roman"/>
                <w:b/>
                <w:sz w:val="24"/>
                <w:szCs w:val="24"/>
              </w:rPr>
            </w:pPr>
            <w:r w:rsidRPr="000677CB">
              <w:rPr>
                <w:rFonts w:ascii="Times New Roman" w:hAnsi="Times New Roman"/>
                <w:b/>
                <w:sz w:val="24"/>
                <w:szCs w:val="24"/>
              </w:rPr>
              <w:t>Estimated Annual Federal Cost</w:t>
            </w:r>
          </w:p>
        </w:tc>
      </w:tr>
      <w:tr w:rsidR="00EF40FF" w:rsidRPr="000677CB" w14:paraId="73366A6A" w14:textId="77777777" w:rsidTr="00D97B44">
        <w:tc>
          <w:tcPr>
            <w:tcW w:w="1756" w:type="pct"/>
            <w:shd w:val="clear" w:color="auto" w:fill="auto"/>
            <w:vAlign w:val="center"/>
          </w:tcPr>
          <w:p w14:paraId="38725E63" w14:textId="77777777" w:rsidR="00EF40FF" w:rsidRPr="000677CB" w:rsidRDefault="00EF40FF" w:rsidP="00D97B44">
            <w:pPr>
              <w:pStyle w:val="ListParagraph"/>
              <w:spacing w:after="0" w:line="240" w:lineRule="auto"/>
              <w:ind w:left="0"/>
              <w:rPr>
                <w:rFonts w:ascii="Times New Roman" w:hAnsi="Times New Roman"/>
                <w:sz w:val="24"/>
                <w:szCs w:val="24"/>
              </w:rPr>
            </w:pPr>
            <w:r w:rsidRPr="000677CB">
              <w:rPr>
                <w:rFonts w:ascii="Times New Roman" w:hAnsi="Times New Roman"/>
                <w:sz w:val="24"/>
                <w:szCs w:val="24"/>
              </w:rPr>
              <w:t>Analysis and Processing of Filings</w:t>
            </w:r>
            <w:r w:rsidRPr="000677CB">
              <w:rPr>
                <w:rStyle w:val="FootnoteReference"/>
                <w:rFonts w:ascii="Times New Roman" w:hAnsi="Times New Roman"/>
                <w:sz w:val="24"/>
                <w:szCs w:val="24"/>
                <w:vertAlign w:val="superscript"/>
              </w:rPr>
              <w:footnoteReference w:id="16"/>
            </w:r>
          </w:p>
        </w:tc>
        <w:tc>
          <w:tcPr>
            <w:tcW w:w="1627" w:type="pct"/>
            <w:shd w:val="clear" w:color="auto" w:fill="auto"/>
            <w:vAlign w:val="center"/>
          </w:tcPr>
          <w:p w14:paraId="169BBF54" w14:textId="22FE61B7" w:rsidR="00EF40FF" w:rsidRPr="000677CB" w:rsidRDefault="006B0369" w:rsidP="00D97B44">
            <w:pPr>
              <w:pStyle w:val="ListParagraph"/>
              <w:spacing w:after="0" w:line="240" w:lineRule="auto"/>
              <w:ind w:left="0"/>
              <w:jc w:val="right"/>
              <w:rPr>
                <w:rFonts w:ascii="Times New Roman" w:hAnsi="Times New Roman"/>
                <w:sz w:val="24"/>
                <w:szCs w:val="24"/>
              </w:rPr>
            </w:pPr>
            <w:r w:rsidRPr="000677CB">
              <w:rPr>
                <w:rFonts w:ascii="Times New Roman" w:hAnsi="Times New Roman"/>
                <w:sz w:val="24"/>
                <w:szCs w:val="24"/>
              </w:rPr>
              <w:t>9</w:t>
            </w:r>
          </w:p>
        </w:tc>
        <w:tc>
          <w:tcPr>
            <w:tcW w:w="1617" w:type="pct"/>
            <w:shd w:val="clear" w:color="auto" w:fill="auto"/>
            <w:vAlign w:val="center"/>
          </w:tcPr>
          <w:p w14:paraId="7007B84E" w14:textId="19E3A86F" w:rsidR="00EF40FF" w:rsidRPr="000677CB" w:rsidRDefault="006B0369" w:rsidP="00D97B44">
            <w:pPr>
              <w:pStyle w:val="ListParagraph"/>
              <w:spacing w:after="0" w:line="240" w:lineRule="auto"/>
              <w:ind w:left="0"/>
              <w:jc w:val="right"/>
              <w:rPr>
                <w:rFonts w:ascii="Times New Roman" w:hAnsi="Times New Roman"/>
                <w:sz w:val="24"/>
                <w:szCs w:val="24"/>
              </w:rPr>
            </w:pPr>
            <w:r w:rsidRPr="000677CB">
              <w:rPr>
                <w:rFonts w:ascii="Times New Roman" w:hAnsi="Times New Roman"/>
                <w:sz w:val="24"/>
                <w:szCs w:val="24"/>
              </w:rPr>
              <w:t>$</w:t>
            </w:r>
            <w:r w:rsidR="006441AD" w:rsidRPr="000677CB">
              <w:rPr>
                <w:rFonts w:ascii="Times New Roman" w:hAnsi="Times New Roman"/>
                <w:sz w:val="24"/>
                <w:szCs w:val="24"/>
              </w:rPr>
              <w:t>1,391,823</w:t>
            </w:r>
          </w:p>
        </w:tc>
      </w:tr>
      <w:tr w:rsidR="00EF40FF" w:rsidRPr="000677CB" w14:paraId="7009D51E" w14:textId="77777777" w:rsidTr="00D97B44">
        <w:tc>
          <w:tcPr>
            <w:tcW w:w="1756" w:type="pct"/>
            <w:shd w:val="clear" w:color="auto" w:fill="auto"/>
            <w:vAlign w:val="center"/>
          </w:tcPr>
          <w:p w14:paraId="099D5BDF" w14:textId="77777777" w:rsidR="00EF40FF" w:rsidRPr="000677CB" w:rsidRDefault="00EF40FF" w:rsidP="00D97B44">
            <w:pPr>
              <w:pStyle w:val="ListParagraph"/>
              <w:spacing w:after="0" w:line="240" w:lineRule="auto"/>
              <w:ind w:left="0"/>
              <w:rPr>
                <w:rFonts w:ascii="Times New Roman" w:hAnsi="Times New Roman"/>
                <w:sz w:val="24"/>
                <w:szCs w:val="24"/>
              </w:rPr>
            </w:pPr>
            <w:r w:rsidRPr="000677CB">
              <w:rPr>
                <w:rFonts w:ascii="Times New Roman" w:hAnsi="Times New Roman"/>
                <w:sz w:val="24"/>
                <w:szCs w:val="24"/>
              </w:rPr>
              <w:t>PRA</w:t>
            </w:r>
            <w:r w:rsidRPr="000677CB">
              <w:rPr>
                <w:rStyle w:val="FootnoteReference"/>
                <w:rFonts w:ascii="Times New Roman" w:hAnsi="Times New Roman"/>
                <w:sz w:val="24"/>
                <w:szCs w:val="24"/>
                <w:vertAlign w:val="superscript"/>
              </w:rPr>
              <w:footnoteReference w:id="17"/>
            </w:r>
            <w:r w:rsidRPr="000677CB">
              <w:rPr>
                <w:rFonts w:ascii="Times New Roman" w:hAnsi="Times New Roman"/>
                <w:sz w:val="24"/>
                <w:szCs w:val="24"/>
              </w:rPr>
              <w:t xml:space="preserve"> Administrative Cost</w:t>
            </w:r>
            <w:r w:rsidRPr="000677CB">
              <w:rPr>
                <w:rStyle w:val="FootnoteReference"/>
                <w:rFonts w:ascii="Times New Roman" w:hAnsi="Times New Roman"/>
                <w:sz w:val="24"/>
                <w:szCs w:val="24"/>
                <w:vertAlign w:val="superscript"/>
              </w:rPr>
              <w:footnoteReference w:id="18"/>
            </w:r>
          </w:p>
        </w:tc>
        <w:tc>
          <w:tcPr>
            <w:tcW w:w="1627" w:type="pct"/>
            <w:shd w:val="clear" w:color="auto" w:fill="D9D9D9"/>
            <w:vAlign w:val="center"/>
          </w:tcPr>
          <w:p w14:paraId="74DA3B1F" w14:textId="77777777" w:rsidR="00EF40FF" w:rsidRPr="000677CB"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731B0E8B" w14:textId="675225F8" w:rsidR="00EF40FF" w:rsidRPr="000677CB" w:rsidRDefault="006441AD" w:rsidP="00D97B44">
            <w:pPr>
              <w:pStyle w:val="ListParagraph"/>
              <w:spacing w:after="0" w:line="240" w:lineRule="auto"/>
              <w:ind w:left="0"/>
              <w:jc w:val="right"/>
              <w:rPr>
                <w:rFonts w:ascii="Times New Roman" w:hAnsi="Times New Roman"/>
                <w:sz w:val="24"/>
                <w:szCs w:val="24"/>
              </w:rPr>
            </w:pPr>
            <w:r w:rsidRPr="000677CB">
              <w:rPr>
                <w:rFonts w:ascii="Times New Roman" w:hAnsi="Times New Roman"/>
                <w:sz w:val="24"/>
                <w:szCs w:val="24"/>
              </w:rPr>
              <w:t>$5,481</w:t>
            </w:r>
          </w:p>
        </w:tc>
      </w:tr>
      <w:tr w:rsidR="00EF40FF" w:rsidRPr="000677CB" w14:paraId="0A5B5FA9" w14:textId="77777777" w:rsidTr="00D97B44">
        <w:tc>
          <w:tcPr>
            <w:tcW w:w="1756" w:type="pct"/>
            <w:shd w:val="clear" w:color="auto" w:fill="auto"/>
            <w:vAlign w:val="center"/>
          </w:tcPr>
          <w:p w14:paraId="4441CC05" w14:textId="77777777" w:rsidR="00EF40FF" w:rsidRPr="000677CB" w:rsidRDefault="00EF40FF" w:rsidP="00D97B44">
            <w:pPr>
              <w:pStyle w:val="ListParagraph"/>
              <w:spacing w:after="0" w:line="240" w:lineRule="auto"/>
              <w:ind w:left="0"/>
              <w:rPr>
                <w:rFonts w:ascii="Times New Roman" w:hAnsi="Times New Roman"/>
                <w:sz w:val="24"/>
                <w:szCs w:val="24"/>
              </w:rPr>
            </w:pPr>
            <w:r w:rsidRPr="000677CB">
              <w:rPr>
                <w:rFonts w:ascii="Times New Roman" w:hAnsi="Times New Roman"/>
                <w:sz w:val="24"/>
                <w:szCs w:val="24"/>
              </w:rPr>
              <w:t>FERC Total</w:t>
            </w:r>
          </w:p>
        </w:tc>
        <w:tc>
          <w:tcPr>
            <w:tcW w:w="1627" w:type="pct"/>
            <w:shd w:val="clear" w:color="auto" w:fill="D9D9D9"/>
            <w:vAlign w:val="center"/>
          </w:tcPr>
          <w:p w14:paraId="2B3CB9DA" w14:textId="77777777" w:rsidR="00EF40FF" w:rsidRPr="000677CB" w:rsidRDefault="00EF40FF" w:rsidP="00D97B44">
            <w:pPr>
              <w:pStyle w:val="ListParagraph"/>
              <w:spacing w:after="0" w:line="240" w:lineRule="auto"/>
              <w:ind w:left="0"/>
              <w:jc w:val="right"/>
              <w:rPr>
                <w:rFonts w:ascii="Times New Roman" w:hAnsi="Times New Roman"/>
                <w:b/>
                <w:sz w:val="24"/>
                <w:szCs w:val="24"/>
              </w:rPr>
            </w:pPr>
          </w:p>
        </w:tc>
        <w:tc>
          <w:tcPr>
            <w:tcW w:w="1617" w:type="pct"/>
            <w:shd w:val="clear" w:color="auto" w:fill="auto"/>
            <w:vAlign w:val="center"/>
          </w:tcPr>
          <w:p w14:paraId="53B2B876" w14:textId="74C7B4A6" w:rsidR="00EF40FF" w:rsidRPr="000677CB" w:rsidRDefault="006441AD" w:rsidP="00D97B44">
            <w:pPr>
              <w:pStyle w:val="ListParagraph"/>
              <w:spacing w:after="0" w:line="240" w:lineRule="auto"/>
              <w:ind w:left="0"/>
              <w:jc w:val="right"/>
              <w:rPr>
                <w:rFonts w:ascii="Times New Roman" w:hAnsi="Times New Roman"/>
                <w:sz w:val="24"/>
                <w:szCs w:val="24"/>
              </w:rPr>
            </w:pPr>
            <w:r w:rsidRPr="000677CB">
              <w:rPr>
                <w:rFonts w:ascii="Times New Roman" w:hAnsi="Times New Roman"/>
                <w:sz w:val="24"/>
                <w:szCs w:val="24"/>
              </w:rPr>
              <w:t>$1,397,304</w:t>
            </w:r>
          </w:p>
        </w:tc>
      </w:tr>
    </w:tbl>
    <w:p w14:paraId="6E71933C" w14:textId="77777777" w:rsidR="00EF40FF" w:rsidRPr="000677CB" w:rsidRDefault="00EF40FF" w:rsidP="00EF40FF">
      <w:pPr>
        <w:pStyle w:val="ListParagraph"/>
        <w:spacing w:after="0" w:line="240" w:lineRule="auto"/>
        <w:rPr>
          <w:rFonts w:ascii="Times New Roman" w:hAnsi="Times New Roman"/>
          <w:b/>
          <w:sz w:val="24"/>
          <w:szCs w:val="24"/>
        </w:rPr>
      </w:pPr>
    </w:p>
    <w:p w14:paraId="162A5185" w14:textId="77777777" w:rsidR="00EF40FF" w:rsidRPr="000677CB" w:rsidRDefault="00EF40FF" w:rsidP="00EF40FF">
      <w:r w:rsidRPr="000677CB">
        <w:t>The Commission bases its estimate of the “Analysis and Processing of Filings” cost to the Federal Government on salaries and benefits for professional and clerical support.  This estimated cost represents staff analysis, decision-making, and review of any actual filings submitted in response to the information collection.</w:t>
      </w:r>
    </w:p>
    <w:p w14:paraId="7086245E" w14:textId="77777777" w:rsidR="00EF40FF" w:rsidRPr="000677CB" w:rsidRDefault="00EF40FF" w:rsidP="00EF40FF">
      <w:pPr>
        <w:pStyle w:val="FERCparanumber"/>
        <w:numPr>
          <w:ilvl w:val="0"/>
          <w:numId w:val="0"/>
        </w:numPr>
        <w:rPr>
          <w:b/>
          <w:sz w:val="24"/>
        </w:rPr>
      </w:pPr>
    </w:p>
    <w:p w14:paraId="652E2E2C" w14:textId="77777777" w:rsidR="00EF40FF" w:rsidRPr="000677CB" w:rsidRDefault="00EF40FF" w:rsidP="001D2EC1">
      <w:pPr>
        <w:pStyle w:val="FERCparanumber"/>
        <w:numPr>
          <w:ilvl w:val="0"/>
          <w:numId w:val="7"/>
        </w:numPr>
        <w:rPr>
          <w:b/>
          <w:sz w:val="24"/>
        </w:rPr>
      </w:pPr>
      <w:r w:rsidRPr="000677CB">
        <w:rPr>
          <w:b/>
          <w:sz w:val="24"/>
        </w:rPr>
        <w:t>REASONS FOR CHANGES IN BURDEN INCLUDING THE NEED FOR ANY INCREASE</w:t>
      </w:r>
    </w:p>
    <w:p w14:paraId="37AE29EC" w14:textId="77777777" w:rsidR="00EF40FF" w:rsidRPr="000677CB" w:rsidRDefault="00EF40FF" w:rsidP="00EF40FF">
      <w:pPr>
        <w:pStyle w:val="FERCparanumber"/>
        <w:numPr>
          <w:ilvl w:val="0"/>
          <w:numId w:val="0"/>
        </w:numPr>
        <w:rPr>
          <w:b/>
          <w:sz w:val="24"/>
        </w:rPr>
      </w:pPr>
    </w:p>
    <w:p w14:paraId="10BF605C" w14:textId="4EF920B2" w:rsidR="00B13159" w:rsidRDefault="000677CB" w:rsidP="00B13159">
      <w:r>
        <w:t xml:space="preserve">The estimated burden for the FERC-549 information collection </w:t>
      </w:r>
      <w:r w:rsidRPr="00654CE3">
        <w:t>increased</w:t>
      </w:r>
      <w:r>
        <w:t xml:space="preserve"> from previous </w:t>
      </w:r>
      <w:r w:rsidR="00654CE3">
        <w:t xml:space="preserve">burden </w:t>
      </w:r>
      <w:r>
        <w:t>estimates</w:t>
      </w:r>
      <w:r w:rsidR="00654CE3">
        <w:t xml:space="preserve"> despite a decrease in total annual responses</w:t>
      </w:r>
      <w:r>
        <w:t xml:space="preserve">.  The increase in burden is due to 1) increased </w:t>
      </w:r>
      <w:r w:rsidR="00654CE3">
        <w:t xml:space="preserve">annual </w:t>
      </w:r>
      <w:r>
        <w:t xml:space="preserve">burden per response for periodic rate review (related to </w:t>
      </w:r>
      <w:r w:rsidR="00654CE3">
        <w:t>“</w:t>
      </w:r>
      <w:r>
        <w:t>Rates and Charges for Intrastate Pipelines</w:t>
      </w:r>
      <w:r w:rsidR="00654CE3">
        <w:t>”</w:t>
      </w:r>
      <w:r>
        <w:t xml:space="preserve">) and 2) an increase in the </w:t>
      </w:r>
      <w:r w:rsidR="00654CE3">
        <w:t xml:space="preserve">annual </w:t>
      </w:r>
      <w:r>
        <w:t>number of market-based rates filers (from two to four).</w:t>
      </w:r>
    </w:p>
    <w:p w14:paraId="5E19B481" w14:textId="77777777" w:rsidR="000677CB" w:rsidRDefault="000677CB" w:rsidP="00B13159"/>
    <w:p w14:paraId="7DBC4ACD" w14:textId="63828A0C" w:rsidR="000677CB" w:rsidRDefault="000677CB" w:rsidP="00B13159">
      <w:r>
        <w:t xml:space="preserve">The increase in the </w:t>
      </w:r>
      <w:r w:rsidR="00654CE3">
        <w:t xml:space="preserve">annual </w:t>
      </w:r>
      <w:r>
        <w:t>burden per response for “Rates and Charges</w:t>
      </w:r>
      <w:r w:rsidR="00020685">
        <w:t xml:space="preserve"> for Intrastate Pipelines</w:t>
      </w:r>
      <w:r>
        <w:t xml:space="preserve">” requirement is due to an underestimation of relevant burden in previous FERC-549 information collection activities.  Based on </w:t>
      </w:r>
      <w:r w:rsidR="00020685">
        <w:t xml:space="preserve">more recent </w:t>
      </w:r>
      <w:r>
        <w:t xml:space="preserve">experience with the FERC-549 information collection, </w:t>
      </w:r>
      <w:r w:rsidR="00654CE3">
        <w:t xml:space="preserve">FERC </w:t>
      </w:r>
      <w:r>
        <w:t xml:space="preserve">subject matter experts increased the </w:t>
      </w:r>
      <w:r w:rsidR="004D2217">
        <w:t xml:space="preserve">annual </w:t>
      </w:r>
      <w:r>
        <w:t xml:space="preserve">hourly burden per response from 5.24 </w:t>
      </w:r>
      <w:r w:rsidR="00654CE3">
        <w:t>to 50.</w:t>
      </w:r>
    </w:p>
    <w:p w14:paraId="44427BFE" w14:textId="77777777" w:rsidR="00654CE3" w:rsidRDefault="00654CE3" w:rsidP="00B13159"/>
    <w:p w14:paraId="5E7DD9CF" w14:textId="16E5E2E2" w:rsidR="00654CE3" w:rsidRPr="000677CB" w:rsidRDefault="00654CE3" w:rsidP="00B13159">
      <w:r>
        <w:t>The decrease in total annual responses reflects</w:t>
      </w:r>
      <w:r w:rsidR="00020685">
        <w:t xml:space="preserve"> a</w:t>
      </w:r>
      <w:r w:rsidR="004D2217">
        <w:t xml:space="preserve"> </w:t>
      </w:r>
      <w:r w:rsidR="00020685">
        <w:t>reduction in filer activity related to FERC-549</w:t>
      </w:r>
      <w:r w:rsidR="004D2217">
        <w:t xml:space="preserve"> due to</w:t>
      </w:r>
      <w:r w:rsidR="00020685">
        <w:t xml:space="preserve"> </w:t>
      </w:r>
      <w:r w:rsidR="004D2217">
        <w:t>revisions extending the cycle for “Rates and Charges” reviews from three to five years (i.e. less frequent filing)</w:t>
      </w:r>
      <w:r w:rsidR="004D2217" w:rsidRPr="004D2217">
        <w:rPr>
          <w:rStyle w:val="FootnoteReference"/>
          <w:vertAlign w:val="superscript"/>
        </w:rPr>
        <w:footnoteReference w:id="19"/>
      </w:r>
      <w:r w:rsidR="004D2217">
        <w:t>.</w:t>
      </w:r>
      <w:bookmarkStart w:id="2" w:name="_GoBack"/>
      <w:bookmarkEnd w:id="2"/>
    </w:p>
    <w:p w14:paraId="06192D7C" w14:textId="77777777" w:rsidR="00545B62" w:rsidRPr="000677CB" w:rsidRDefault="00545B62" w:rsidP="00EF40FF">
      <w:pPr>
        <w:widowControl/>
      </w:pPr>
    </w:p>
    <w:p w14:paraId="0EF2A067" w14:textId="7B433D75" w:rsidR="00545B62" w:rsidRPr="000677CB" w:rsidRDefault="00545B62" w:rsidP="00545B62">
      <w:r w:rsidRPr="000677CB">
        <w:t>The following table shows the total burden of the collection of information.  The format, labels, and definitions of the table follow the ROCIS submission system’s “Information Collection Request Summary of Burden” for the metadata.</w:t>
      </w:r>
    </w:p>
    <w:p w14:paraId="0D00454B" w14:textId="77777777" w:rsidR="00EF40FF" w:rsidRPr="000677CB" w:rsidRDefault="00EF40FF" w:rsidP="00EF40FF">
      <w:pPr>
        <w:widowControl/>
        <w:tabs>
          <w:tab w:val="left" w:pos="2394"/>
        </w:tabs>
      </w:pPr>
      <w:r w:rsidRPr="000677CB">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6"/>
        <w:gridCol w:w="1550"/>
        <w:gridCol w:w="1597"/>
        <w:gridCol w:w="1889"/>
        <w:gridCol w:w="1618"/>
      </w:tblGrid>
      <w:tr w:rsidR="00EF40FF" w:rsidRPr="000677CB" w14:paraId="46C4A5B4" w14:textId="77777777" w:rsidTr="00D97B44">
        <w:trPr>
          <w:trHeight w:val="870"/>
        </w:trPr>
        <w:tc>
          <w:tcPr>
            <w:tcW w:w="1442" w:type="pct"/>
            <w:shd w:val="clear" w:color="auto" w:fill="D9D9D9"/>
            <w:vAlign w:val="bottom"/>
          </w:tcPr>
          <w:p w14:paraId="5E6F18B9" w14:textId="042EFCD7" w:rsidR="00EF40FF" w:rsidRPr="000677CB" w:rsidRDefault="006441AD" w:rsidP="00D97B44">
            <w:pPr>
              <w:jc w:val="center"/>
              <w:rPr>
                <w:b/>
              </w:rPr>
            </w:pPr>
            <w:r w:rsidRPr="000677CB">
              <w:rPr>
                <w:b/>
              </w:rPr>
              <w:t>FERC-549</w:t>
            </w:r>
          </w:p>
        </w:tc>
        <w:tc>
          <w:tcPr>
            <w:tcW w:w="829" w:type="pct"/>
            <w:shd w:val="clear" w:color="auto" w:fill="D9D9D9"/>
            <w:vAlign w:val="bottom"/>
          </w:tcPr>
          <w:p w14:paraId="6714602C" w14:textId="77777777" w:rsidR="00EF40FF" w:rsidRPr="000677CB" w:rsidRDefault="00EF40FF" w:rsidP="00D97B44">
            <w:pPr>
              <w:jc w:val="center"/>
              <w:rPr>
                <w:b/>
              </w:rPr>
            </w:pPr>
            <w:r w:rsidRPr="000677CB">
              <w:rPr>
                <w:b/>
              </w:rPr>
              <w:t>Total Request</w:t>
            </w:r>
          </w:p>
        </w:tc>
        <w:tc>
          <w:tcPr>
            <w:tcW w:w="854" w:type="pct"/>
            <w:shd w:val="clear" w:color="auto" w:fill="D9D9D9"/>
            <w:vAlign w:val="bottom"/>
          </w:tcPr>
          <w:p w14:paraId="13BA7890" w14:textId="77777777" w:rsidR="00EF40FF" w:rsidRPr="000677CB" w:rsidRDefault="00EF40FF" w:rsidP="00D97B44">
            <w:pPr>
              <w:jc w:val="center"/>
              <w:rPr>
                <w:b/>
              </w:rPr>
            </w:pPr>
            <w:r w:rsidRPr="000677CB">
              <w:rPr>
                <w:b/>
              </w:rPr>
              <w:t>Previously Approved</w:t>
            </w:r>
          </w:p>
        </w:tc>
        <w:tc>
          <w:tcPr>
            <w:tcW w:w="1010" w:type="pct"/>
            <w:shd w:val="clear" w:color="auto" w:fill="D9D9D9"/>
            <w:vAlign w:val="bottom"/>
          </w:tcPr>
          <w:p w14:paraId="73AFFA76" w14:textId="77777777" w:rsidR="00EF40FF" w:rsidRPr="000677CB" w:rsidRDefault="00EF40FF" w:rsidP="00D97B44">
            <w:pPr>
              <w:jc w:val="center"/>
              <w:rPr>
                <w:b/>
              </w:rPr>
            </w:pPr>
            <w:r w:rsidRPr="000677CB">
              <w:rPr>
                <w:b/>
              </w:rPr>
              <w:t>Change due to Adjustment in Estimate</w:t>
            </w:r>
          </w:p>
        </w:tc>
        <w:tc>
          <w:tcPr>
            <w:tcW w:w="865" w:type="pct"/>
            <w:shd w:val="clear" w:color="auto" w:fill="D9D9D9"/>
            <w:vAlign w:val="bottom"/>
          </w:tcPr>
          <w:p w14:paraId="41286C04" w14:textId="77777777" w:rsidR="00EF40FF" w:rsidRPr="000677CB" w:rsidRDefault="00EF40FF" w:rsidP="00D97B44">
            <w:pPr>
              <w:jc w:val="center"/>
              <w:rPr>
                <w:b/>
              </w:rPr>
            </w:pPr>
            <w:r w:rsidRPr="000677CB">
              <w:rPr>
                <w:b/>
              </w:rPr>
              <w:t>Change Due to Agency Discretion</w:t>
            </w:r>
          </w:p>
        </w:tc>
      </w:tr>
      <w:tr w:rsidR="00EF40FF" w:rsidRPr="000677CB" w14:paraId="17214C13" w14:textId="77777777" w:rsidTr="00D97B44">
        <w:trPr>
          <w:trHeight w:val="591"/>
        </w:trPr>
        <w:tc>
          <w:tcPr>
            <w:tcW w:w="1442" w:type="pct"/>
            <w:shd w:val="clear" w:color="auto" w:fill="auto"/>
          </w:tcPr>
          <w:p w14:paraId="0115B27A" w14:textId="77777777" w:rsidR="00EF40FF" w:rsidRPr="000677CB" w:rsidRDefault="00EF40FF" w:rsidP="00D97B44">
            <w:pPr>
              <w:jc w:val="center"/>
            </w:pPr>
            <w:r w:rsidRPr="000677CB">
              <w:lastRenderedPageBreak/>
              <w:t>Annual Number of Responses</w:t>
            </w:r>
          </w:p>
        </w:tc>
        <w:tc>
          <w:tcPr>
            <w:tcW w:w="829" w:type="pct"/>
            <w:shd w:val="clear" w:color="auto" w:fill="auto"/>
            <w:vAlign w:val="center"/>
          </w:tcPr>
          <w:p w14:paraId="386C9BC2" w14:textId="20BC9285" w:rsidR="00EF40FF" w:rsidRPr="000677CB" w:rsidRDefault="006441AD" w:rsidP="00D97B44">
            <w:pPr>
              <w:jc w:val="right"/>
            </w:pPr>
            <w:r w:rsidRPr="000677CB">
              <w:t>426</w:t>
            </w:r>
          </w:p>
        </w:tc>
        <w:tc>
          <w:tcPr>
            <w:tcW w:w="854" w:type="pct"/>
            <w:shd w:val="clear" w:color="auto" w:fill="auto"/>
            <w:vAlign w:val="center"/>
          </w:tcPr>
          <w:p w14:paraId="39A0261D" w14:textId="3465A0DE" w:rsidR="00EF40FF" w:rsidRPr="000677CB" w:rsidRDefault="006441AD" w:rsidP="00D97B44">
            <w:pPr>
              <w:jc w:val="right"/>
            </w:pPr>
            <w:r w:rsidRPr="000677CB">
              <w:t>552</w:t>
            </w:r>
          </w:p>
        </w:tc>
        <w:tc>
          <w:tcPr>
            <w:tcW w:w="1010" w:type="pct"/>
            <w:shd w:val="clear" w:color="auto" w:fill="auto"/>
            <w:vAlign w:val="center"/>
          </w:tcPr>
          <w:p w14:paraId="4FE2F429" w14:textId="52E7BD5E" w:rsidR="00EF40FF" w:rsidRPr="000677CB" w:rsidRDefault="006441AD" w:rsidP="00D97B44">
            <w:pPr>
              <w:jc w:val="right"/>
            </w:pPr>
            <w:r w:rsidRPr="000677CB">
              <w:t>-126</w:t>
            </w:r>
          </w:p>
        </w:tc>
        <w:tc>
          <w:tcPr>
            <w:tcW w:w="865" w:type="pct"/>
            <w:shd w:val="clear" w:color="auto" w:fill="auto"/>
            <w:vAlign w:val="center"/>
          </w:tcPr>
          <w:p w14:paraId="50BDA9A0" w14:textId="77777777" w:rsidR="00EF40FF" w:rsidRPr="000677CB" w:rsidRDefault="00EF40FF" w:rsidP="00D97B44">
            <w:pPr>
              <w:jc w:val="right"/>
            </w:pPr>
            <w:r w:rsidRPr="000677CB">
              <w:t>0</w:t>
            </w:r>
          </w:p>
        </w:tc>
      </w:tr>
      <w:tr w:rsidR="00EF40FF" w:rsidRPr="000677CB" w14:paraId="7258AFC0" w14:textId="77777777" w:rsidTr="00D97B44">
        <w:trPr>
          <w:trHeight w:val="575"/>
        </w:trPr>
        <w:tc>
          <w:tcPr>
            <w:tcW w:w="1442" w:type="pct"/>
            <w:shd w:val="clear" w:color="auto" w:fill="auto"/>
          </w:tcPr>
          <w:p w14:paraId="73702C6C" w14:textId="77777777" w:rsidR="00EF40FF" w:rsidRPr="000677CB" w:rsidRDefault="00EF40FF" w:rsidP="00D97B44">
            <w:pPr>
              <w:jc w:val="center"/>
            </w:pPr>
            <w:r w:rsidRPr="000677CB">
              <w:t>Annual Time Burden (Hours)</w:t>
            </w:r>
          </w:p>
        </w:tc>
        <w:tc>
          <w:tcPr>
            <w:tcW w:w="829" w:type="pct"/>
            <w:shd w:val="clear" w:color="auto" w:fill="auto"/>
            <w:vAlign w:val="center"/>
          </w:tcPr>
          <w:p w14:paraId="31651BEE" w14:textId="697EE443" w:rsidR="00EF40FF" w:rsidRPr="000677CB" w:rsidRDefault="006441AD" w:rsidP="00D97B44">
            <w:pPr>
              <w:jc w:val="right"/>
            </w:pPr>
            <w:r w:rsidRPr="000677CB">
              <w:t>4,572</w:t>
            </w:r>
          </w:p>
        </w:tc>
        <w:tc>
          <w:tcPr>
            <w:tcW w:w="854" w:type="pct"/>
            <w:shd w:val="clear" w:color="auto" w:fill="auto"/>
            <w:vAlign w:val="center"/>
          </w:tcPr>
          <w:p w14:paraId="0EED3422" w14:textId="722BC0B2" w:rsidR="00EF40FF" w:rsidRPr="000677CB" w:rsidRDefault="006441AD" w:rsidP="00D97B44">
            <w:pPr>
              <w:jc w:val="right"/>
            </w:pPr>
            <w:r w:rsidRPr="000677CB">
              <w:t>2,331</w:t>
            </w:r>
          </w:p>
        </w:tc>
        <w:tc>
          <w:tcPr>
            <w:tcW w:w="1010" w:type="pct"/>
            <w:shd w:val="clear" w:color="auto" w:fill="auto"/>
            <w:vAlign w:val="center"/>
          </w:tcPr>
          <w:p w14:paraId="3CF5B872" w14:textId="611BE44D" w:rsidR="00EF40FF" w:rsidRPr="000677CB" w:rsidRDefault="006441AD" w:rsidP="00D97B44">
            <w:pPr>
              <w:jc w:val="right"/>
            </w:pPr>
            <w:r w:rsidRPr="000677CB">
              <w:t>2,241</w:t>
            </w:r>
          </w:p>
        </w:tc>
        <w:tc>
          <w:tcPr>
            <w:tcW w:w="865" w:type="pct"/>
            <w:shd w:val="clear" w:color="auto" w:fill="auto"/>
            <w:vAlign w:val="center"/>
          </w:tcPr>
          <w:p w14:paraId="39B1BAD1" w14:textId="77777777" w:rsidR="00EF40FF" w:rsidRPr="000677CB" w:rsidRDefault="00EF40FF" w:rsidP="00D97B44">
            <w:pPr>
              <w:jc w:val="right"/>
            </w:pPr>
            <w:r w:rsidRPr="000677CB">
              <w:t>0</w:t>
            </w:r>
          </w:p>
        </w:tc>
      </w:tr>
      <w:tr w:rsidR="00EF40FF" w:rsidRPr="000677CB" w14:paraId="32861EA7" w14:textId="77777777" w:rsidTr="00D97B44">
        <w:trPr>
          <w:trHeight w:val="295"/>
        </w:trPr>
        <w:tc>
          <w:tcPr>
            <w:tcW w:w="1442" w:type="pct"/>
            <w:tcBorders>
              <w:bottom w:val="single" w:sz="4" w:space="0" w:color="auto"/>
            </w:tcBorders>
            <w:shd w:val="clear" w:color="auto" w:fill="auto"/>
          </w:tcPr>
          <w:p w14:paraId="4F5B520F" w14:textId="77777777" w:rsidR="00EF40FF" w:rsidRPr="000677CB" w:rsidRDefault="00EF40FF" w:rsidP="00D97B44">
            <w:pPr>
              <w:jc w:val="center"/>
            </w:pPr>
            <w:r w:rsidRPr="000677CB">
              <w:t>Annual Cost Burden ($)</w:t>
            </w:r>
          </w:p>
        </w:tc>
        <w:tc>
          <w:tcPr>
            <w:tcW w:w="829" w:type="pct"/>
            <w:tcBorders>
              <w:bottom w:val="single" w:sz="4" w:space="0" w:color="auto"/>
            </w:tcBorders>
            <w:shd w:val="clear" w:color="auto" w:fill="auto"/>
            <w:vAlign w:val="center"/>
          </w:tcPr>
          <w:p w14:paraId="7D67E648" w14:textId="77777777" w:rsidR="00EF40FF" w:rsidRPr="000677CB" w:rsidRDefault="00EF40FF" w:rsidP="00D97B44">
            <w:pPr>
              <w:jc w:val="right"/>
            </w:pPr>
            <w:r w:rsidRPr="000677CB">
              <w:t>$0</w:t>
            </w:r>
          </w:p>
        </w:tc>
        <w:tc>
          <w:tcPr>
            <w:tcW w:w="854" w:type="pct"/>
            <w:tcBorders>
              <w:bottom w:val="single" w:sz="4" w:space="0" w:color="auto"/>
            </w:tcBorders>
            <w:shd w:val="clear" w:color="auto" w:fill="auto"/>
            <w:vAlign w:val="center"/>
          </w:tcPr>
          <w:p w14:paraId="15FA5A62" w14:textId="77777777" w:rsidR="00EF40FF" w:rsidRPr="000677CB" w:rsidRDefault="00EF40FF" w:rsidP="00D97B44">
            <w:pPr>
              <w:jc w:val="right"/>
            </w:pPr>
            <w:r w:rsidRPr="000677CB">
              <w:t>$0</w:t>
            </w:r>
          </w:p>
        </w:tc>
        <w:tc>
          <w:tcPr>
            <w:tcW w:w="1010" w:type="pct"/>
            <w:tcBorders>
              <w:bottom w:val="single" w:sz="4" w:space="0" w:color="auto"/>
            </w:tcBorders>
            <w:shd w:val="clear" w:color="auto" w:fill="auto"/>
            <w:vAlign w:val="center"/>
          </w:tcPr>
          <w:p w14:paraId="406A2FC1" w14:textId="77777777" w:rsidR="00EF40FF" w:rsidRPr="000677CB" w:rsidRDefault="00EF40FF" w:rsidP="00D97B44">
            <w:pPr>
              <w:jc w:val="right"/>
            </w:pPr>
            <w:r w:rsidRPr="000677CB">
              <w:t>$0</w:t>
            </w:r>
          </w:p>
        </w:tc>
        <w:tc>
          <w:tcPr>
            <w:tcW w:w="865" w:type="pct"/>
            <w:tcBorders>
              <w:bottom w:val="single" w:sz="4" w:space="0" w:color="auto"/>
            </w:tcBorders>
            <w:shd w:val="clear" w:color="auto" w:fill="auto"/>
            <w:vAlign w:val="center"/>
          </w:tcPr>
          <w:p w14:paraId="44B6C3E6" w14:textId="77777777" w:rsidR="00EF40FF" w:rsidRPr="000677CB" w:rsidRDefault="00545B62" w:rsidP="00D97B44">
            <w:pPr>
              <w:jc w:val="right"/>
            </w:pPr>
            <w:r w:rsidRPr="000677CB">
              <w:t>$</w:t>
            </w:r>
            <w:r w:rsidR="00EF40FF" w:rsidRPr="000677CB">
              <w:t>0</w:t>
            </w:r>
          </w:p>
        </w:tc>
      </w:tr>
    </w:tbl>
    <w:p w14:paraId="5E52CD2D" w14:textId="77777777" w:rsidR="00EF40FF" w:rsidRPr="000677CB" w:rsidRDefault="00EF40FF" w:rsidP="00EF40FF">
      <w:pPr>
        <w:widowControl/>
        <w:rPr>
          <w:b/>
        </w:rPr>
      </w:pPr>
    </w:p>
    <w:p w14:paraId="29960F64" w14:textId="77777777" w:rsidR="00EF40FF" w:rsidRPr="000677CB" w:rsidRDefault="00EF40FF" w:rsidP="00EF40FF">
      <w:pPr>
        <w:pStyle w:val="FERCparanumber"/>
        <w:numPr>
          <w:ilvl w:val="0"/>
          <w:numId w:val="0"/>
        </w:numPr>
        <w:rPr>
          <w:b/>
          <w:sz w:val="24"/>
        </w:rPr>
      </w:pPr>
    </w:p>
    <w:p w14:paraId="7CD93336" w14:textId="77777777" w:rsidR="009D6B6D" w:rsidRPr="000677CB" w:rsidRDefault="00EF40FF" w:rsidP="00EF40FF">
      <w:pPr>
        <w:pStyle w:val="FERCparanumber"/>
        <w:numPr>
          <w:ilvl w:val="0"/>
          <w:numId w:val="7"/>
        </w:numPr>
        <w:rPr>
          <w:b/>
          <w:sz w:val="24"/>
        </w:rPr>
      </w:pPr>
      <w:r w:rsidRPr="000677CB">
        <w:rPr>
          <w:b/>
          <w:sz w:val="24"/>
        </w:rPr>
        <w:t>TIME SCHEDULE FOR PUBLICATION OF DATA</w:t>
      </w:r>
    </w:p>
    <w:p w14:paraId="338E8E30" w14:textId="77777777" w:rsidR="00EF40FF" w:rsidRPr="000677CB" w:rsidRDefault="00EF40FF" w:rsidP="00EF40FF">
      <w:pPr>
        <w:pStyle w:val="FERCparanumber"/>
        <w:numPr>
          <w:ilvl w:val="0"/>
          <w:numId w:val="0"/>
        </w:numPr>
        <w:rPr>
          <w:b/>
          <w:sz w:val="24"/>
        </w:rPr>
      </w:pPr>
    </w:p>
    <w:p w14:paraId="7EF18CBE" w14:textId="77777777" w:rsidR="00545B62" w:rsidRPr="000677CB" w:rsidRDefault="00545B62" w:rsidP="00545B62">
      <w:pPr>
        <w:widowControl/>
      </w:pPr>
      <w:r w:rsidRPr="000677CB">
        <w:t>There are no tabulating, statistical or tabulating analysis or publication plans for the collection of information.  The data are used for regulatory purposes only.</w:t>
      </w:r>
    </w:p>
    <w:p w14:paraId="13B155E7" w14:textId="77777777" w:rsidR="00EF40FF" w:rsidRPr="000677CB" w:rsidRDefault="00EF40FF" w:rsidP="00EF40FF">
      <w:pPr>
        <w:pStyle w:val="FERCparanumber"/>
        <w:numPr>
          <w:ilvl w:val="0"/>
          <w:numId w:val="0"/>
        </w:numPr>
        <w:rPr>
          <w:b/>
          <w:sz w:val="24"/>
        </w:rPr>
      </w:pPr>
    </w:p>
    <w:p w14:paraId="15394295" w14:textId="77777777" w:rsidR="009D6B6D" w:rsidRPr="000677CB" w:rsidRDefault="00EF40FF" w:rsidP="001D2EC1">
      <w:pPr>
        <w:pStyle w:val="FERCparanumber"/>
        <w:numPr>
          <w:ilvl w:val="0"/>
          <w:numId w:val="7"/>
        </w:numPr>
        <w:rPr>
          <w:b/>
          <w:sz w:val="24"/>
        </w:rPr>
      </w:pPr>
      <w:r w:rsidRPr="000677CB">
        <w:rPr>
          <w:b/>
          <w:sz w:val="24"/>
        </w:rPr>
        <w:t>DISPLAY OF EXPIRATION DATE</w:t>
      </w:r>
    </w:p>
    <w:p w14:paraId="50BC026E" w14:textId="77777777" w:rsidR="00EF40FF" w:rsidRPr="000677CB" w:rsidRDefault="00EF40FF" w:rsidP="00EF40FF">
      <w:pPr>
        <w:pStyle w:val="FERCparanumber"/>
        <w:numPr>
          <w:ilvl w:val="0"/>
          <w:numId w:val="0"/>
        </w:numPr>
        <w:rPr>
          <w:b/>
          <w:sz w:val="24"/>
        </w:rPr>
      </w:pPr>
    </w:p>
    <w:p w14:paraId="587C08CA" w14:textId="18CF467A" w:rsidR="006441AD" w:rsidRPr="000677CB" w:rsidRDefault="006441AD" w:rsidP="006441AD">
      <w:r w:rsidRPr="000677CB">
        <w:t xml:space="preserve">The expiration date is displayed in a table posted on ferc.gov at </w:t>
      </w:r>
      <w:hyperlink r:id="rId12" w:history="1">
        <w:r w:rsidRPr="000677CB">
          <w:rPr>
            <w:rStyle w:val="Hyperlink"/>
          </w:rPr>
          <w:t>http://www.ferc.gov/docs-filing/info-collections.asp</w:t>
        </w:r>
      </w:hyperlink>
      <w:r w:rsidRPr="000677CB">
        <w:t>.</w:t>
      </w:r>
    </w:p>
    <w:p w14:paraId="00403C61" w14:textId="77777777" w:rsidR="00EF40FF" w:rsidRPr="000677CB" w:rsidRDefault="00EF40FF" w:rsidP="00EF40FF">
      <w:pPr>
        <w:pStyle w:val="FERCparanumber"/>
        <w:numPr>
          <w:ilvl w:val="0"/>
          <w:numId w:val="0"/>
        </w:numPr>
        <w:rPr>
          <w:b/>
          <w:sz w:val="24"/>
        </w:rPr>
      </w:pPr>
    </w:p>
    <w:p w14:paraId="3B590558" w14:textId="77777777" w:rsidR="00EF40FF" w:rsidRPr="000677CB" w:rsidRDefault="00EF40FF" w:rsidP="00E138E1">
      <w:pPr>
        <w:widowControl/>
        <w:numPr>
          <w:ilvl w:val="0"/>
          <w:numId w:val="7"/>
        </w:numPr>
        <w:ind w:hanging="720"/>
        <w:rPr>
          <w:b/>
        </w:rPr>
      </w:pPr>
      <w:r w:rsidRPr="000677CB">
        <w:rPr>
          <w:b/>
        </w:rPr>
        <w:t>EXCEPTIONS TO THE CERTIFICATION STATEMENT</w:t>
      </w:r>
    </w:p>
    <w:p w14:paraId="612ECBF9" w14:textId="77777777" w:rsidR="009D6B6D" w:rsidRPr="000677CB" w:rsidRDefault="009D6B6D" w:rsidP="001D2EC1">
      <w:pPr>
        <w:widowControl/>
        <w:ind w:left="720"/>
        <w:rPr>
          <w:b/>
        </w:rPr>
      </w:pPr>
    </w:p>
    <w:p w14:paraId="5B53F0DD" w14:textId="77777777" w:rsidR="00000F54" w:rsidRPr="000677CB" w:rsidRDefault="00545B62" w:rsidP="001D2EC1">
      <w:pPr>
        <w:widowControl/>
      </w:pPr>
      <w:r w:rsidRPr="000677CB">
        <w:t>There are no exceptions.</w:t>
      </w:r>
    </w:p>
    <w:sectPr w:rsidR="00000F54" w:rsidRPr="000677CB" w:rsidSect="00703122">
      <w:headerReference w:type="default" r:id="rId13"/>
      <w:foot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772694" w14:textId="77777777" w:rsidR="00A37A1E" w:rsidRDefault="00A37A1E" w:rsidP="009D6B6D">
      <w:r>
        <w:separator/>
      </w:r>
    </w:p>
  </w:endnote>
  <w:endnote w:type="continuationSeparator" w:id="0">
    <w:p w14:paraId="765211B5" w14:textId="77777777" w:rsidR="00A37A1E" w:rsidRDefault="00A37A1E" w:rsidP="009D6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90493" w14:textId="77777777" w:rsidR="00E32773" w:rsidRDefault="00E32773">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67685">
          <w:rPr>
            <w:noProof/>
          </w:rPr>
          <w:t>1</w:t>
        </w:r>
        <w:r>
          <w:rPr>
            <w:noProof/>
          </w:rPr>
          <w:fldChar w:fldCharType="end"/>
        </w:r>
      </w:sdtContent>
    </w:sdt>
  </w:p>
  <w:p w14:paraId="7CE16875" w14:textId="77777777" w:rsidR="00E32773" w:rsidRDefault="00E327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A5EDE" w14:textId="77777777" w:rsidR="00A37A1E" w:rsidRDefault="00A37A1E" w:rsidP="009D6B6D">
      <w:r>
        <w:separator/>
      </w:r>
    </w:p>
  </w:footnote>
  <w:footnote w:type="continuationSeparator" w:id="0">
    <w:p w14:paraId="1BAA4D80" w14:textId="77777777" w:rsidR="00A37A1E" w:rsidRDefault="00A37A1E" w:rsidP="009D6B6D">
      <w:r>
        <w:continuationSeparator/>
      </w:r>
    </w:p>
  </w:footnote>
  <w:footnote w:id="1">
    <w:p w14:paraId="199AEF60" w14:textId="77777777" w:rsidR="0021208A" w:rsidRPr="005D5761" w:rsidRDefault="0021208A" w:rsidP="005F6AB4">
      <w:pPr>
        <w:pStyle w:val="FootnoteText"/>
      </w:pPr>
      <w:r w:rsidRPr="005F6AB4">
        <w:rPr>
          <w:rStyle w:val="FootnoteReference"/>
          <w:vertAlign w:val="superscript"/>
        </w:rPr>
        <w:footnoteRef/>
      </w:r>
      <w:r w:rsidRPr="005D5761">
        <w:t xml:space="preserve"> 15 USC 3371-3372</w:t>
      </w:r>
    </w:p>
  </w:footnote>
  <w:footnote w:id="2">
    <w:p w14:paraId="67DDE348" w14:textId="77777777" w:rsidR="0021208A" w:rsidRPr="005D5761" w:rsidRDefault="0021208A" w:rsidP="005F6AB4">
      <w:pPr>
        <w:pStyle w:val="FootnoteText"/>
      </w:pPr>
      <w:r w:rsidRPr="005F6AB4">
        <w:rPr>
          <w:rStyle w:val="FootnoteReference"/>
          <w:vertAlign w:val="superscript"/>
        </w:rPr>
        <w:footnoteRef/>
      </w:r>
      <w:r w:rsidRPr="005F6AB4">
        <w:rPr>
          <w:vertAlign w:val="superscript"/>
        </w:rPr>
        <w:t xml:space="preserve"> </w:t>
      </w:r>
      <w:r w:rsidRPr="005D5761">
        <w:t>15 U.S.C. 717f</w:t>
      </w:r>
    </w:p>
  </w:footnote>
  <w:footnote w:id="3">
    <w:p w14:paraId="46651DD8" w14:textId="77777777" w:rsidR="0021208A" w:rsidRPr="005D5761" w:rsidRDefault="0021208A" w:rsidP="005F6AB4">
      <w:pPr>
        <w:pStyle w:val="FootnoteText"/>
      </w:pPr>
      <w:r w:rsidRPr="005F6AB4">
        <w:rPr>
          <w:rStyle w:val="FootnoteReference"/>
          <w:vertAlign w:val="superscript"/>
        </w:rPr>
        <w:footnoteRef/>
      </w:r>
      <w:r w:rsidRPr="005F6AB4">
        <w:rPr>
          <w:vertAlign w:val="superscript"/>
        </w:rPr>
        <w:t xml:space="preserve"> </w:t>
      </w:r>
      <w:r w:rsidRPr="005D5761">
        <w:t>15 USC 3372</w:t>
      </w:r>
    </w:p>
  </w:footnote>
  <w:footnote w:id="4">
    <w:p w14:paraId="3036B565" w14:textId="77777777" w:rsidR="0021208A" w:rsidRPr="005D5761" w:rsidRDefault="0021208A" w:rsidP="005F6AB4">
      <w:pPr>
        <w:pStyle w:val="FootnoteText"/>
      </w:pPr>
      <w:r w:rsidRPr="005F6AB4">
        <w:rPr>
          <w:rStyle w:val="FootnoteReference"/>
          <w:vertAlign w:val="superscript"/>
        </w:rPr>
        <w:footnoteRef/>
      </w:r>
      <w:r w:rsidRPr="005D5761">
        <w:t xml:space="preserve"> Section 1(c) of the NGA exempts from the Commission’s NGA jurisdiction pipelines which transport gas in interstate commerce if (1) they receive natural gas at or within the boundary of a state, (2) all the gas is consumed within that state, and (3) the pipeline is regulated by a state Commission.  This exemption is referred to as the Hinshaw exemption after the Congressman who introduced the bill amending the NGA to include § 1(c).  </w:t>
      </w:r>
      <w:r w:rsidRPr="005D5761">
        <w:rPr>
          <w:i/>
        </w:rPr>
        <w:t>See ANR Pipeline Co. v. Federal Energy Regulatory Comm’n</w:t>
      </w:r>
      <w:r w:rsidRPr="005D5761">
        <w:t>, 71 F.3d 897, 898 (1995)</w:t>
      </w:r>
      <w:r w:rsidRPr="005D5761" w:rsidDel="00985301">
        <w:t xml:space="preserve"> </w:t>
      </w:r>
      <w:r w:rsidRPr="005D5761">
        <w:t>(briefly summarizing the history of the Hinshaw exemption).</w:t>
      </w:r>
    </w:p>
  </w:footnote>
  <w:footnote w:id="5">
    <w:p w14:paraId="3DD9B9EF" w14:textId="77777777" w:rsidR="0021208A" w:rsidRPr="005D5761" w:rsidRDefault="0021208A" w:rsidP="005F6AB4">
      <w:pPr>
        <w:pStyle w:val="FootnoteText"/>
      </w:pPr>
      <w:r w:rsidRPr="005F6AB4">
        <w:rPr>
          <w:rStyle w:val="FootnoteReference"/>
          <w:vertAlign w:val="superscript"/>
        </w:rPr>
        <w:footnoteRef/>
      </w:r>
      <w:r w:rsidRPr="005F6AB4">
        <w:rPr>
          <w:vertAlign w:val="superscript"/>
        </w:rPr>
        <w:t xml:space="preserve"> </w:t>
      </w:r>
      <w:r w:rsidRPr="005D5761">
        <w:t>18 CFR 284.224.</w:t>
      </w:r>
    </w:p>
  </w:footnote>
  <w:footnote w:id="6">
    <w:p w14:paraId="64BEE249" w14:textId="77777777" w:rsidR="0021208A" w:rsidRDefault="0021208A" w:rsidP="005F6AB4">
      <w:pPr>
        <w:pStyle w:val="FootnoteText"/>
      </w:pPr>
      <w:r w:rsidRPr="005F6AB4">
        <w:rPr>
          <w:rStyle w:val="FootnoteReference"/>
          <w:vertAlign w:val="superscript"/>
        </w:rPr>
        <w:footnoteRef/>
      </w:r>
      <w:r>
        <w:t xml:space="preserve"> </w:t>
      </w:r>
      <w:r w:rsidRPr="00644720">
        <w:rPr>
          <w:szCs w:val="22"/>
        </w:rPr>
        <w:t>18 CFR 1c.1 and 1c.2, 71 FR 4,244 (2006).</w:t>
      </w:r>
    </w:p>
  </w:footnote>
  <w:footnote w:id="7">
    <w:p w14:paraId="18216F1D" w14:textId="7908DE7B" w:rsidR="00BB6095" w:rsidRPr="00E138E1" w:rsidRDefault="00BB6095" w:rsidP="005F6AB4">
      <w:pPr>
        <w:pStyle w:val="FootnoteText"/>
      </w:pPr>
      <w:r w:rsidRPr="00E138E1">
        <w:rPr>
          <w:rStyle w:val="FootnoteReference"/>
          <w:vertAlign w:val="superscript"/>
        </w:rPr>
        <w:footnoteRef/>
      </w:r>
      <w:r w:rsidRPr="00E138E1">
        <w:rPr>
          <w:vertAlign w:val="superscript"/>
        </w:rPr>
        <w:t xml:space="preserve"> </w:t>
      </w:r>
      <w:r w:rsidR="00CB3EA0">
        <w:t>81</w:t>
      </w:r>
      <w:r w:rsidRPr="00E138E1">
        <w:t xml:space="preserve"> FR </w:t>
      </w:r>
      <w:r w:rsidR="006B0369">
        <w:t>33499</w:t>
      </w:r>
    </w:p>
  </w:footnote>
  <w:footnote w:id="8">
    <w:p w14:paraId="55B071AB" w14:textId="51E786F5" w:rsidR="00BB6095" w:rsidRPr="00E138E1" w:rsidRDefault="00BB6095" w:rsidP="005F6AB4">
      <w:pPr>
        <w:pStyle w:val="FootnoteText"/>
      </w:pPr>
      <w:r w:rsidRPr="00E138E1">
        <w:rPr>
          <w:rStyle w:val="FootnoteReference"/>
          <w:vertAlign w:val="superscript"/>
        </w:rPr>
        <w:footnoteRef/>
      </w:r>
      <w:r w:rsidRPr="00E138E1">
        <w:rPr>
          <w:vertAlign w:val="superscript"/>
        </w:rPr>
        <w:t xml:space="preserve"> </w:t>
      </w:r>
      <w:r w:rsidR="00CB3EA0">
        <w:t xml:space="preserve">81 </w:t>
      </w:r>
      <w:r w:rsidR="00CB3EA0" w:rsidRPr="004F7BFA">
        <w:t xml:space="preserve">FR </w:t>
      </w:r>
      <w:r w:rsidR="006B0369">
        <w:t>59995</w:t>
      </w:r>
    </w:p>
  </w:footnote>
  <w:footnote w:id="9">
    <w:p w14:paraId="630A851E" w14:textId="77777777" w:rsidR="006B0369" w:rsidRPr="00E60D54" w:rsidRDefault="006B0369" w:rsidP="005F6AB4">
      <w:pPr>
        <w:pStyle w:val="FootnoteText"/>
      </w:pPr>
      <w:r w:rsidRPr="005F6AB4">
        <w:rPr>
          <w:rStyle w:val="FootnoteReference"/>
          <w:vertAlign w:val="superscript"/>
        </w:rPr>
        <w:footnoteRef/>
      </w:r>
      <w:r w:rsidRPr="00E60D54">
        <w:t xml:space="preserve"> 18 CFR 284.102(e)</w:t>
      </w:r>
    </w:p>
  </w:footnote>
  <w:footnote w:id="10">
    <w:p w14:paraId="25A1CE9B" w14:textId="77777777" w:rsidR="006B0369" w:rsidRPr="00E60D54" w:rsidRDefault="006B0369" w:rsidP="005F6AB4">
      <w:pPr>
        <w:pStyle w:val="FootnoteText"/>
      </w:pPr>
      <w:r w:rsidRPr="005F6AB4">
        <w:rPr>
          <w:rStyle w:val="FootnoteReference"/>
          <w:vertAlign w:val="superscript"/>
        </w:rPr>
        <w:footnoteRef/>
      </w:r>
      <w:r w:rsidRPr="005F6AB4">
        <w:rPr>
          <w:vertAlign w:val="superscript"/>
        </w:rPr>
        <w:t xml:space="preserve"> </w:t>
      </w:r>
      <w:r w:rsidRPr="00E60D54">
        <w:t xml:space="preserve">The average hourly cost (salary plus benefits) is $128.94.  The BLS wage category code is 23-0000 (lawyers). This figure is also taken from the Bureau of Labor Statistics, May 2015 figures at </w:t>
      </w:r>
      <w:hyperlink r:id="rId1" w:history="1">
        <w:r w:rsidRPr="00E60D54">
          <w:rPr>
            <w:rStyle w:val="Hyperlink"/>
          </w:rPr>
          <w:t>http://www.bls.gov/oes/current/naics2_22.htm</w:t>
        </w:r>
      </w:hyperlink>
      <w:r w:rsidRPr="00E60D54">
        <w:t>.</w:t>
      </w:r>
    </w:p>
  </w:footnote>
  <w:footnote w:id="11">
    <w:p w14:paraId="4B7FC9B4" w14:textId="77777777" w:rsidR="006B0369" w:rsidRPr="00E60D54" w:rsidRDefault="006B0369" w:rsidP="005F6AB4">
      <w:pPr>
        <w:pStyle w:val="FootnoteText"/>
      </w:pPr>
      <w:r w:rsidRPr="005F6AB4">
        <w:rPr>
          <w:rStyle w:val="FootnoteReference"/>
          <w:vertAlign w:val="superscript"/>
        </w:rPr>
        <w:footnoteRef/>
      </w:r>
      <w:r w:rsidRPr="00E60D54">
        <w:t xml:space="preserve"> </w:t>
      </w:r>
      <w:r>
        <w:t xml:space="preserve">18 CFR </w:t>
      </w:r>
      <w:r w:rsidRPr="00E60D54">
        <w:t>284.123(b),(e)</w:t>
      </w:r>
    </w:p>
  </w:footnote>
  <w:footnote w:id="12">
    <w:p w14:paraId="0069DD7B" w14:textId="77777777" w:rsidR="006B0369" w:rsidRPr="00E60D54" w:rsidRDefault="006B0369" w:rsidP="005F6AB4">
      <w:pPr>
        <w:pStyle w:val="FootnoteText"/>
      </w:pPr>
      <w:r w:rsidRPr="005F6AB4">
        <w:rPr>
          <w:rStyle w:val="FootnoteReference"/>
          <w:vertAlign w:val="superscript"/>
        </w:rPr>
        <w:footnoteRef/>
      </w:r>
      <w:r w:rsidRPr="005F6AB4">
        <w:rPr>
          <w:vertAlign w:val="superscript"/>
        </w:rPr>
        <w:t xml:space="preserve"> </w:t>
      </w:r>
      <w:r w:rsidRPr="00E60D54">
        <w:t xml:space="preserve">The estimates for cost per response are derived using the following formula: </w:t>
      </w:r>
    </w:p>
    <w:p w14:paraId="7862580D" w14:textId="77777777" w:rsidR="006B0369" w:rsidRPr="00E60D54" w:rsidRDefault="006B0369" w:rsidP="005F6AB4">
      <w:pPr>
        <w:pStyle w:val="FootnoteText"/>
      </w:pPr>
      <w:r w:rsidRPr="00E60D54">
        <w:t xml:space="preserve">Average Burden Hours per Response * $101.69 per Hour = Average Cost per Response.  The hourly average of $101.69 assumes equal time is spent by an economist and lawyer.  The average hourly cost (salary plus benefits) is: $74.43 for economists (occupation code 19-3011) and $128.94 for lawyers (occupation code 23-0000).  (The figures are taken from the Bureau of Labor Statistics, May 2015 figures at </w:t>
      </w:r>
      <w:hyperlink r:id="rId2" w:history="1">
        <w:r w:rsidRPr="00E60D54">
          <w:rPr>
            <w:rStyle w:val="Hyperlink"/>
          </w:rPr>
          <w:t>http://www.bls.gov/oes/current/naics2_22.htm</w:t>
        </w:r>
      </w:hyperlink>
      <w:r w:rsidRPr="00E60D54">
        <w:t>).</w:t>
      </w:r>
    </w:p>
  </w:footnote>
  <w:footnote w:id="13">
    <w:p w14:paraId="6FD8D68B" w14:textId="361FB09A" w:rsidR="006B0369" w:rsidRPr="00E60D54" w:rsidRDefault="006B0369" w:rsidP="005F6AB4">
      <w:pPr>
        <w:pStyle w:val="FootnoteText"/>
      </w:pPr>
      <w:r w:rsidRPr="005F6AB4">
        <w:rPr>
          <w:rStyle w:val="FootnoteReference"/>
          <w:vertAlign w:val="superscript"/>
        </w:rPr>
        <w:footnoteRef/>
      </w:r>
      <w:r w:rsidRPr="005F6AB4">
        <w:rPr>
          <w:vertAlign w:val="superscript"/>
        </w:rPr>
        <w:t xml:space="preserve"> </w:t>
      </w:r>
      <w:r w:rsidR="00800BF4">
        <w:t>R</w:t>
      </w:r>
      <w:r w:rsidRPr="00E60D54">
        <w:t>ecordkeeping burden.</w:t>
      </w:r>
    </w:p>
  </w:footnote>
  <w:footnote w:id="14">
    <w:p w14:paraId="6CAB8968" w14:textId="77777777" w:rsidR="006B0369" w:rsidRPr="00E60D54" w:rsidRDefault="006B0369" w:rsidP="005F6AB4">
      <w:pPr>
        <w:pStyle w:val="FootnoteText"/>
      </w:pPr>
      <w:r w:rsidRPr="005F6AB4">
        <w:rPr>
          <w:rStyle w:val="FootnoteReference"/>
          <w:vertAlign w:val="superscript"/>
        </w:rPr>
        <w:footnoteRef/>
      </w:r>
      <w:r w:rsidRPr="005F6AB4">
        <w:rPr>
          <w:vertAlign w:val="superscript"/>
        </w:rPr>
        <w:t xml:space="preserve"> </w:t>
      </w:r>
      <w:r w:rsidRPr="00E60D54">
        <w:t>18 CFR 284.288, 403</w:t>
      </w:r>
    </w:p>
  </w:footnote>
  <w:footnote w:id="15">
    <w:p w14:paraId="0BC33ED0" w14:textId="77777777" w:rsidR="006B0369" w:rsidRPr="00E60D54" w:rsidRDefault="006B0369" w:rsidP="005F6AB4">
      <w:pPr>
        <w:pStyle w:val="FootnoteText"/>
      </w:pPr>
      <w:r w:rsidRPr="005F6AB4">
        <w:rPr>
          <w:rStyle w:val="FootnoteReference"/>
          <w:vertAlign w:val="superscript"/>
        </w:rPr>
        <w:footnoteRef/>
      </w:r>
      <w:r w:rsidRPr="00E60D54">
        <w:t xml:space="preserve"> 18 CFR 284.501-505</w:t>
      </w:r>
    </w:p>
  </w:footnote>
  <w:footnote w:id="16">
    <w:p w14:paraId="758C714B" w14:textId="1C0A2463" w:rsidR="00EF40FF" w:rsidRPr="00E138E1" w:rsidRDefault="00EF40FF" w:rsidP="005F6AB4">
      <w:pPr>
        <w:rPr>
          <w:sz w:val="20"/>
          <w:szCs w:val="20"/>
        </w:rPr>
      </w:pPr>
      <w:r w:rsidRPr="00E138E1">
        <w:rPr>
          <w:rStyle w:val="FootnoteReference"/>
          <w:sz w:val="20"/>
          <w:szCs w:val="20"/>
          <w:vertAlign w:val="superscript"/>
        </w:rPr>
        <w:footnoteRef/>
      </w:r>
      <w:r w:rsidR="006441AD">
        <w:rPr>
          <w:sz w:val="20"/>
          <w:szCs w:val="20"/>
        </w:rPr>
        <w:t xml:space="preserve"> Based upon 2016</w:t>
      </w:r>
      <w:r w:rsidRPr="00E138E1">
        <w:rPr>
          <w:sz w:val="20"/>
          <w:szCs w:val="20"/>
        </w:rPr>
        <w:t xml:space="preserve"> FTE average </w:t>
      </w:r>
      <w:r w:rsidR="00ED3A92">
        <w:rPr>
          <w:sz w:val="20"/>
          <w:szCs w:val="20"/>
        </w:rPr>
        <w:t xml:space="preserve">annual </w:t>
      </w:r>
      <w:r w:rsidRPr="00E138E1">
        <w:rPr>
          <w:sz w:val="20"/>
          <w:szCs w:val="20"/>
        </w:rPr>
        <w:t>s</w:t>
      </w:r>
      <w:r w:rsidR="006441AD">
        <w:rPr>
          <w:sz w:val="20"/>
          <w:szCs w:val="20"/>
        </w:rPr>
        <w:t>alary plus benefits ($154,647</w:t>
      </w:r>
      <w:r w:rsidRPr="00E138E1">
        <w:rPr>
          <w:sz w:val="20"/>
          <w:szCs w:val="20"/>
        </w:rPr>
        <w:t>).</w:t>
      </w:r>
    </w:p>
  </w:footnote>
  <w:footnote w:id="17">
    <w:p w14:paraId="27E34FC5" w14:textId="77777777" w:rsidR="00EF40FF" w:rsidRPr="00E138E1" w:rsidRDefault="00EF40FF" w:rsidP="005F6AB4">
      <w:pPr>
        <w:pStyle w:val="FootnoteText"/>
      </w:pPr>
      <w:r w:rsidRPr="00E138E1">
        <w:rPr>
          <w:rStyle w:val="FootnoteReference"/>
          <w:vertAlign w:val="superscript"/>
        </w:rPr>
        <w:footnoteRef/>
      </w:r>
      <w:r w:rsidRPr="00E138E1">
        <w:rPr>
          <w:vertAlign w:val="superscript"/>
        </w:rPr>
        <w:t xml:space="preserve"> </w:t>
      </w:r>
      <w:r w:rsidRPr="00E138E1">
        <w:t>Paperwork Reduction Act of 1995 (PRA).</w:t>
      </w:r>
    </w:p>
  </w:footnote>
  <w:footnote w:id="18">
    <w:p w14:paraId="5678066A" w14:textId="0C79C1DC" w:rsidR="00EF40FF" w:rsidRPr="00E138E1" w:rsidRDefault="00EF40FF" w:rsidP="005F6AB4">
      <w:pPr>
        <w:pStyle w:val="FootnoteText"/>
      </w:pPr>
      <w:r w:rsidRPr="00E138E1">
        <w:rPr>
          <w:rStyle w:val="FootnoteReference"/>
          <w:vertAlign w:val="superscript"/>
        </w:rPr>
        <w:footnoteRef/>
      </w:r>
      <w:r w:rsidRPr="00E138E1">
        <w:rPr>
          <w:vertAlign w:val="superscript"/>
        </w:rPr>
        <w:t xml:space="preserve"> </w:t>
      </w:r>
      <w:r w:rsidR="00860C58" w:rsidRPr="00CA20F9">
        <w:t>The PRA Administrative Cost is a Federal Cost associated with preparing, issuing, and submitting materials necessary to comply with the Paperwork Reduction Act (PRA) for rulemakings, orders, or any other vehicle used to create, modify, extend, or discontinue an information collection.  This average annual cost includes requests for extensions, all associated rulemakings, and other changes to the collection.</w:t>
      </w:r>
    </w:p>
  </w:footnote>
  <w:footnote w:id="19">
    <w:p w14:paraId="17F749D3" w14:textId="7619AEE8" w:rsidR="004D2217" w:rsidRDefault="004D2217">
      <w:pPr>
        <w:pStyle w:val="FootnoteText"/>
      </w:pPr>
      <w:r w:rsidRPr="004D2217">
        <w:rPr>
          <w:rStyle w:val="FootnoteReference"/>
          <w:vertAlign w:val="superscript"/>
        </w:rPr>
        <w:footnoteRef/>
      </w:r>
      <w:r w:rsidRPr="004D2217">
        <w:rPr>
          <w:vertAlign w:val="superscript"/>
        </w:rPr>
        <w:t xml:space="preserve"> </w:t>
      </w:r>
      <w:r w:rsidR="003310F1" w:rsidRPr="00C57D4D">
        <w:t xml:space="preserve">This is due to </w:t>
      </w:r>
      <w:r w:rsidRPr="003310F1">
        <w:t>FERC</w:t>
      </w:r>
      <w:r>
        <w:t xml:space="preserve"> Order No. 735, issued 5/20/2010</w:t>
      </w:r>
      <w:r w:rsidR="003310F1">
        <w:t>.  The decrease in total annual responses is due to an improved burden estimate based on actual filings.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828C5" w14:textId="2345E7AE" w:rsidR="003A5BA7" w:rsidRDefault="0021208A">
    <w:pPr>
      <w:pStyle w:val="Header"/>
    </w:pPr>
    <w:r>
      <w:t>FERC-549</w:t>
    </w:r>
    <w:r w:rsidR="00703122">
      <w:t xml:space="preserve"> (OMB </w:t>
    </w:r>
    <w:r>
      <w:t>Control No. 1902-0086</w:t>
    </w:r>
    <w:r w:rsidR="00703122">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CE994" w14:textId="77777777" w:rsidR="001D2EC1" w:rsidRDefault="00891C89">
    <w:pPr>
      <w:pStyle w:val="Header"/>
    </w:pPr>
    <w:r>
      <w:t xml:space="preserve">FERC Form </w:t>
    </w:r>
    <w:r w:rsidR="00CC615D">
      <w:t>730 (OMB Control No. 1902-0239</w:t>
    </w:r>
    <w:r w:rsidR="001D2EC1">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22545"/>
    <w:multiLevelType w:val="hybridMultilevel"/>
    <w:tmpl w:val="0D501B28"/>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96CF2"/>
    <w:multiLevelType w:val="hybridMultilevel"/>
    <w:tmpl w:val="8EFA79AA"/>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32B3306C"/>
    <w:multiLevelType w:val="hybridMultilevel"/>
    <w:tmpl w:val="60D0A2E4"/>
    <w:lvl w:ilvl="0" w:tplc="7AB6F884">
      <w:start w:val="2"/>
      <w:numFmt w:val="decimal"/>
      <w:lvlText w:val="%1."/>
      <w:lvlJc w:val="left"/>
      <w:pPr>
        <w:tabs>
          <w:tab w:val="num" w:pos="1815"/>
        </w:tabs>
        <w:ind w:left="1815" w:hanging="181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803E2"/>
    <w:multiLevelType w:val="hybridMultilevel"/>
    <w:tmpl w:val="0BE239CA"/>
    <w:lvl w:ilvl="0" w:tplc="D3700D42">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E7312B"/>
    <w:multiLevelType w:val="hybridMultilevel"/>
    <w:tmpl w:val="2C68D9A6"/>
    <w:lvl w:ilvl="0" w:tplc="042ECDC8">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9EC0529"/>
    <w:multiLevelType w:val="hybridMultilevel"/>
    <w:tmpl w:val="368C1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B338F8"/>
    <w:multiLevelType w:val="hybridMultilevel"/>
    <w:tmpl w:val="A7921066"/>
    <w:lvl w:ilvl="0" w:tplc="7AB6F88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num>
  <w:num w:numId="5">
    <w:abstractNumId w:val="5"/>
  </w:num>
  <w:num w:numId="6">
    <w:abstractNumId w:val="7"/>
  </w:num>
  <w:num w:numId="7">
    <w:abstractNumId w:val="4"/>
  </w:num>
  <w:num w:numId="8">
    <w:abstractNumId w:val="1"/>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B6D"/>
    <w:rsid w:val="00020685"/>
    <w:rsid w:val="00021084"/>
    <w:rsid w:val="000218B7"/>
    <w:rsid w:val="000677CB"/>
    <w:rsid w:val="000806CF"/>
    <w:rsid w:val="000969B5"/>
    <w:rsid w:val="000C5C56"/>
    <w:rsid w:val="000F53A6"/>
    <w:rsid w:val="0012439D"/>
    <w:rsid w:val="001352B5"/>
    <w:rsid w:val="00147917"/>
    <w:rsid w:val="00181B4A"/>
    <w:rsid w:val="001922FC"/>
    <w:rsid w:val="00192A85"/>
    <w:rsid w:val="001A07E0"/>
    <w:rsid w:val="001B1350"/>
    <w:rsid w:val="001B6647"/>
    <w:rsid w:val="001C042A"/>
    <w:rsid w:val="001D2EC1"/>
    <w:rsid w:val="001E6D2B"/>
    <w:rsid w:val="001F3ADE"/>
    <w:rsid w:val="001F42E7"/>
    <w:rsid w:val="001F60CC"/>
    <w:rsid w:val="001F703D"/>
    <w:rsid w:val="002000AA"/>
    <w:rsid w:val="0021208A"/>
    <w:rsid w:val="002142A2"/>
    <w:rsid w:val="0024137A"/>
    <w:rsid w:val="002565F8"/>
    <w:rsid w:val="00267F92"/>
    <w:rsid w:val="002766FC"/>
    <w:rsid w:val="00295C38"/>
    <w:rsid w:val="002A2B8E"/>
    <w:rsid w:val="002D1C9A"/>
    <w:rsid w:val="002D5138"/>
    <w:rsid w:val="002F353A"/>
    <w:rsid w:val="00307F28"/>
    <w:rsid w:val="0032225E"/>
    <w:rsid w:val="003310F1"/>
    <w:rsid w:val="003431A7"/>
    <w:rsid w:val="0035481D"/>
    <w:rsid w:val="003A4AD2"/>
    <w:rsid w:val="003B7DB9"/>
    <w:rsid w:val="003C429A"/>
    <w:rsid w:val="003D3487"/>
    <w:rsid w:val="00426B6E"/>
    <w:rsid w:val="00432DA3"/>
    <w:rsid w:val="004445CE"/>
    <w:rsid w:val="004472EB"/>
    <w:rsid w:val="00454D32"/>
    <w:rsid w:val="004B0930"/>
    <w:rsid w:val="004B5829"/>
    <w:rsid w:val="004D2217"/>
    <w:rsid w:val="004D6DEB"/>
    <w:rsid w:val="004F7BFA"/>
    <w:rsid w:val="005240A1"/>
    <w:rsid w:val="00541938"/>
    <w:rsid w:val="00545B62"/>
    <w:rsid w:val="00560503"/>
    <w:rsid w:val="00592E82"/>
    <w:rsid w:val="00593CC7"/>
    <w:rsid w:val="005C5DE2"/>
    <w:rsid w:val="005C6866"/>
    <w:rsid w:val="005C6964"/>
    <w:rsid w:val="005D6791"/>
    <w:rsid w:val="005F62ED"/>
    <w:rsid w:val="005F6AB4"/>
    <w:rsid w:val="00614D21"/>
    <w:rsid w:val="006441AD"/>
    <w:rsid w:val="00654CE3"/>
    <w:rsid w:val="006A1A2E"/>
    <w:rsid w:val="006A6928"/>
    <w:rsid w:val="006B0369"/>
    <w:rsid w:val="006C0F70"/>
    <w:rsid w:val="006C1E96"/>
    <w:rsid w:val="00703122"/>
    <w:rsid w:val="0075420C"/>
    <w:rsid w:val="007544A8"/>
    <w:rsid w:val="007625CD"/>
    <w:rsid w:val="00790DB8"/>
    <w:rsid w:val="00800BF4"/>
    <w:rsid w:val="00803D8D"/>
    <w:rsid w:val="008060D2"/>
    <w:rsid w:val="00851D29"/>
    <w:rsid w:val="00860C58"/>
    <w:rsid w:val="00865702"/>
    <w:rsid w:val="00867685"/>
    <w:rsid w:val="00867774"/>
    <w:rsid w:val="00870A54"/>
    <w:rsid w:val="00891C89"/>
    <w:rsid w:val="00893289"/>
    <w:rsid w:val="0089369D"/>
    <w:rsid w:val="008A38B5"/>
    <w:rsid w:val="008B1A17"/>
    <w:rsid w:val="00907A71"/>
    <w:rsid w:val="0091154B"/>
    <w:rsid w:val="00933292"/>
    <w:rsid w:val="00957DA2"/>
    <w:rsid w:val="00980E8E"/>
    <w:rsid w:val="009B263A"/>
    <w:rsid w:val="009D6B6D"/>
    <w:rsid w:val="009F0332"/>
    <w:rsid w:val="00A02846"/>
    <w:rsid w:val="00A37A1E"/>
    <w:rsid w:val="00A75D13"/>
    <w:rsid w:val="00A94615"/>
    <w:rsid w:val="00AA3F59"/>
    <w:rsid w:val="00AC0958"/>
    <w:rsid w:val="00B13159"/>
    <w:rsid w:val="00B4017A"/>
    <w:rsid w:val="00B4126B"/>
    <w:rsid w:val="00B61F02"/>
    <w:rsid w:val="00BB6095"/>
    <w:rsid w:val="00BC5BC5"/>
    <w:rsid w:val="00BD2A12"/>
    <w:rsid w:val="00BD4039"/>
    <w:rsid w:val="00BF493B"/>
    <w:rsid w:val="00C07FC8"/>
    <w:rsid w:val="00C12DC0"/>
    <w:rsid w:val="00C3086A"/>
    <w:rsid w:val="00C33FDE"/>
    <w:rsid w:val="00C57D4D"/>
    <w:rsid w:val="00C651D2"/>
    <w:rsid w:val="00C7666C"/>
    <w:rsid w:val="00C909A2"/>
    <w:rsid w:val="00C97FEE"/>
    <w:rsid w:val="00CA5AF7"/>
    <w:rsid w:val="00CB3EA0"/>
    <w:rsid w:val="00CC615D"/>
    <w:rsid w:val="00CF452D"/>
    <w:rsid w:val="00D00D07"/>
    <w:rsid w:val="00D04BB6"/>
    <w:rsid w:val="00D05C1E"/>
    <w:rsid w:val="00D26BE1"/>
    <w:rsid w:val="00D9097D"/>
    <w:rsid w:val="00D93813"/>
    <w:rsid w:val="00DA4553"/>
    <w:rsid w:val="00DE0C3A"/>
    <w:rsid w:val="00E138E1"/>
    <w:rsid w:val="00E32773"/>
    <w:rsid w:val="00E355FA"/>
    <w:rsid w:val="00E40D6E"/>
    <w:rsid w:val="00E46B67"/>
    <w:rsid w:val="00E568E6"/>
    <w:rsid w:val="00E76211"/>
    <w:rsid w:val="00E82BDC"/>
    <w:rsid w:val="00EA026E"/>
    <w:rsid w:val="00EB052D"/>
    <w:rsid w:val="00ED3A92"/>
    <w:rsid w:val="00EF40FF"/>
    <w:rsid w:val="00F14D3D"/>
    <w:rsid w:val="00F205D2"/>
    <w:rsid w:val="00F3663C"/>
    <w:rsid w:val="00F36F27"/>
    <w:rsid w:val="00F528CE"/>
    <w:rsid w:val="00F620F6"/>
    <w:rsid w:val="00FA33AC"/>
    <w:rsid w:val="00FC7C5C"/>
    <w:rsid w:val="00FD2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5F0AE0"/>
  <w15:docId w15:val="{D6EC3B21-BBB4-49FE-A6D9-D41BE7DF0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B6D"/>
    <w:pPr>
      <w:widowControl w:val="0"/>
      <w:autoSpaceDE w:val="0"/>
      <w:autoSpaceDN w:val="0"/>
      <w:adjustRightInd w:val="0"/>
      <w:spacing w:after="0" w:line="240" w:lineRule="auto"/>
    </w:pPr>
    <w:rPr>
      <w:rFonts w:eastAsia="Times New Roman"/>
      <w:sz w:val="24"/>
      <w:szCs w:val="24"/>
    </w:rPr>
  </w:style>
  <w:style w:type="paragraph" w:styleId="Heading4">
    <w:name w:val="heading 4"/>
    <w:basedOn w:val="Normal"/>
    <w:next w:val="Normal"/>
    <w:link w:val="Heading4Char"/>
    <w:uiPriority w:val="99"/>
    <w:qFormat/>
    <w:rsid w:val="00CC615D"/>
    <w:pPr>
      <w:keepNext/>
      <w:keepLines/>
      <w:widowControl/>
      <w:autoSpaceDE/>
      <w:autoSpaceDN/>
      <w:adjustRightInd/>
      <w:spacing w:before="200" w:line="276" w:lineRule="auto"/>
      <w:outlineLvl w:val="3"/>
    </w:pPr>
    <w:rPr>
      <w:rFonts w:ascii="Cambria" w:hAnsi="Cambria"/>
      <w:b/>
      <w:bCs/>
      <w:i/>
      <w:iCs/>
      <w:color w:val="4F81BD"/>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rsid w:val="009D6B6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rsid w:val="009D6B6D"/>
    <w:rPr>
      <w:sz w:val="20"/>
      <w:szCs w:val="20"/>
    </w:rPr>
  </w:style>
  <w:style w:type="character" w:customStyle="1" w:styleId="FootnoteTextChar">
    <w:name w:val="Footnote Text Char"/>
    <w:aliases w:val="Char Char1 Char,Footnote Text Char1 Char Char1,Footnote Text MRP Char,Footnote Text Char1 Char Char Char,Footnote Text Char3 Char"/>
    <w:basedOn w:val="DefaultParagraphFont"/>
    <w:rsid w:val="009D6B6D"/>
    <w:rPr>
      <w:rFonts w:eastAsia="Times New Roman"/>
      <w:sz w:val="20"/>
      <w:szCs w:val="20"/>
    </w:rPr>
  </w:style>
  <w:style w:type="paragraph" w:customStyle="1" w:styleId="FERCparanumber">
    <w:name w:val="FERC paranumber"/>
    <w:basedOn w:val="Normal"/>
    <w:link w:val="FERCparanumberChar"/>
    <w:uiPriority w:val="99"/>
    <w:rsid w:val="009D6B6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locked/>
    <w:rsid w:val="009D6B6D"/>
    <w:rPr>
      <w:rFonts w:eastAsia="Times New Roman"/>
      <w:sz w:val="20"/>
      <w:szCs w:val="20"/>
    </w:rPr>
  </w:style>
  <w:style w:type="character" w:customStyle="1" w:styleId="FERCparanumberChar">
    <w:name w:val="FERC paranumber Char"/>
    <w:link w:val="FERCparanumber"/>
    <w:uiPriority w:val="99"/>
    <w:rsid w:val="009D6B6D"/>
    <w:rPr>
      <w:rFonts w:eastAsia="Times New Roman"/>
      <w:szCs w:val="24"/>
    </w:rPr>
  </w:style>
  <w:style w:type="character" w:styleId="Hyperlink">
    <w:name w:val="Hyperlink"/>
    <w:rsid w:val="009D6B6D"/>
    <w:rPr>
      <w:color w:val="0000FF"/>
      <w:u w:val="single"/>
    </w:rPr>
  </w:style>
  <w:style w:type="paragraph" w:styleId="ListParagraph">
    <w:name w:val="List Paragraph"/>
    <w:basedOn w:val="Normal"/>
    <w:qFormat/>
    <w:rsid w:val="009D6B6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9D6B6D"/>
    <w:pPr>
      <w:tabs>
        <w:tab w:val="center" w:pos="4680"/>
        <w:tab w:val="right" w:pos="9360"/>
      </w:tabs>
    </w:pPr>
  </w:style>
  <w:style w:type="character" w:customStyle="1" w:styleId="HeaderChar">
    <w:name w:val="Header Char"/>
    <w:basedOn w:val="DefaultParagraphFont"/>
    <w:link w:val="Header"/>
    <w:uiPriority w:val="99"/>
    <w:rsid w:val="009D6B6D"/>
    <w:rPr>
      <w:rFonts w:eastAsia="Times New Roman"/>
      <w:sz w:val="24"/>
      <w:szCs w:val="24"/>
    </w:rPr>
  </w:style>
  <w:style w:type="paragraph" w:styleId="Footer">
    <w:name w:val="footer"/>
    <w:basedOn w:val="Normal"/>
    <w:link w:val="FooterChar"/>
    <w:uiPriority w:val="99"/>
    <w:unhideWhenUsed/>
    <w:rsid w:val="009D6B6D"/>
    <w:pPr>
      <w:tabs>
        <w:tab w:val="center" w:pos="4680"/>
        <w:tab w:val="right" w:pos="9360"/>
      </w:tabs>
    </w:pPr>
  </w:style>
  <w:style w:type="character" w:customStyle="1" w:styleId="FooterChar">
    <w:name w:val="Footer Char"/>
    <w:basedOn w:val="DefaultParagraphFont"/>
    <w:link w:val="Footer"/>
    <w:uiPriority w:val="99"/>
    <w:rsid w:val="009D6B6D"/>
    <w:rPr>
      <w:rFonts w:eastAsia="Times New Roman"/>
      <w:sz w:val="24"/>
      <w:szCs w:val="24"/>
    </w:rPr>
  </w:style>
  <w:style w:type="paragraph" w:styleId="BalloonText">
    <w:name w:val="Balloon Text"/>
    <w:basedOn w:val="Normal"/>
    <w:link w:val="BalloonTextChar"/>
    <w:uiPriority w:val="99"/>
    <w:semiHidden/>
    <w:unhideWhenUsed/>
    <w:rsid w:val="00F205D2"/>
    <w:rPr>
      <w:rFonts w:ascii="Tahoma" w:hAnsi="Tahoma" w:cs="Tahoma"/>
      <w:sz w:val="16"/>
      <w:szCs w:val="16"/>
    </w:rPr>
  </w:style>
  <w:style w:type="character" w:customStyle="1" w:styleId="BalloonTextChar">
    <w:name w:val="Balloon Text Char"/>
    <w:basedOn w:val="DefaultParagraphFont"/>
    <w:link w:val="BalloonText"/>
    <w:uiPriority w:val="99"/>
    <w:semiHidden/>
    <w:rsid w:val="00F205D2"/>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AC0958"/>
    <w:rPr>
      <w:color w:val="800080" w:themeColor="followedHyperlink"/>
      <w:u w:val="single"/>
    </w:rPr>
  </w:style>
  <w:style w:type="character" w:customStyle="1" w:styleId="Heading4Char">
    <w:name w:val="Heading 4 Char"/>
    <w:basedOn w:val="DefaultParagraphFont"/>
    <w:link w:val="Heading4"/>
    <w:uiPriority w:val="99"/>
    <w:rsid w:val="00CC615D"/>
    <w:rPr>
      <w:rFonts w:ascii="Cambria" w:eastAsia="Times New Roman" w:hAnsi="Cambria"/>
      <w:b/>
      <w:bCs/>
      <w:i/>
      <w:iCs/>
      <w:color w:val="4F81BD"/>
      <w:sz w:val="22"/>
      <w:szCs w:val="22"/>
    </w:rPr>
  </w:style>
  <w:style w:type="character" w:customStyle="1" w:styleId="FootnoteTextChar2CharChar1">
    <w:name w:val="Footnote Text Char2 Char Char1"/>
    <w:aliases w:val="Footnote Text Char Char1 Char Char1,Footnote Text Char1 Char Char Char Char1,Footnote Text Char Char Char Char Char Char1,Footnote Text Char1 Char Char Char Char Char Char Char Char1,ft Char1,fn Char1"/>
    <w:uiPriority w:val="99"/>
    <w:locked/>
    <w:rsid w:val="001F60CC"/>
    <w:rPr>
      <w:rFonts w:ascii="Times New Roman" w:hAnsi="Times New Roman"/>
      <w:sz w:val="20"/>
    </w:rPr>
  </w:style>
  <w:style w:type="character" w:styleId="CommentReference">
    <w:name w:val="annotation reference"/>
    <w:basedOn w:val="DefaultParagraphFont"/>
    <w:uiPriority w:val="99"/>
    <w:semiHidden/>
    <w:unhideWhenUsed/>
    <w:rsid w:val="00790DB8"/>
    <w:rPr>
      <w:sz w:val="16"/>
      <w:szCs w:val="16"/>
    </w:rPr>
  </w:style>
  <w:style w:type="paragraph" w:styleId="CommentText">
    <w:name w:val="annotation text"/>
    <w:basedOn w:val="Normal"/>
    <w:link w:val="CommentTextChar"/>
    <w:uiPriority w:val="99"/>
    <w:semiHidden/>
    <w:unhideWhenUsed/>
    <w:rsid w:val="00790DB8"/>
    <w:rPr>
      <w:sz w:val="20"/>
      <w:szCs w:val="20"/>
    </w:rPr>
  </w:style>
  <w:style w:type="character" w:customStyle="1" w:styleId="CommentTextChar">
    <w:name w:val="Comment Text Char"/>
    <w:basedOn w:val="DefaultParagraphFont"/>
    <w:link w:val="CommentText"/>
    <w:uiPriority w:val="99"/>
    <w:semiHidden/>
    <w:rsid w:val="00790DB8"/>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0DB8"/>
    <w:rPr>
      <w:b/>
      <w:bCs/>
    </w:rPr>
  </w:style>
  <w:style w:type="character" w:customStyle="1" w:styleId="CommentSubjectChar">
    <w:name w:val="Comment Subject Char"/>
    <w:basedOn w:val="CommentTextChar"/>
    <w:link w:val="CommentSubject"/>
    <w:uiPriority w:val="99"/>
    <w:semiHidden/>
    <w:rsid w:val="00790DB8"/>
    <w:rPr>
      <w:rFonts w:eastAsia="Times New Roman"/>
      <w:b/>
      <w:bCs/>
      <w:sz w:val="20"/>
      <w:szCs w:val="20"/>
    </w:rPr>
  </w:style>
  <w:style w:type="paragraph" w:styleId="Revision">
    <w:name w:val="Revision"/>
    <w:hidden/>
    <w:uiPriority w:val="99"/>
    <w:semiHidden/>
    <w:rsid w:val="00790DB8"/>
    <w:pPr>
      <w:spacing w:after="0"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2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3" ma:contentTypeDescription="Create a new document." ma:contentTypeScope="" ma:versionID="f2289a5f275c0eb2e2f29c61f36d82e7">
  <xsd:schema xmlns:xsd="http://www.w3.org/2001/XMLSchema" xmlns:xs="http://www.w3.org/2001/XMLSchema" xmlns:p="http://schemas.microsoft.com/office/2006/metadata/properties" xmlns:ns2="d6eefc7d-9817-4fa6-84d5-3bc009be21b8" targetNamespace="http://schemas.microsoft.com/office/2006/metadata/properties" ma:root="true" ma:fieldsID="5bfb07225e0e577e942f8fea8528de3b"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549</_x0031__x002e__x0020_Collection_x0020_Number>
    <Date xmlns="d6eefc7d-9817-4fa6-84d5-3bc009be21b8">2016-09-15T04:00:00+00:00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IC16-10</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488CA-3FA6-4537-8C07-1F26DA1BA91C}">
  <ds:schemaRefs>
    <ds:schemaRef ds:uri="http://schemas.microsoft.com/office/2006/metadata/customXsn"/>
  </ds:schemaRefs>
</ds:datastoreItem>
</file>

<file path=customXml/itemProps2.xml><?xml version="1.0" encoding="utf-8"?>
<ds:datastoreItem xmlns:ds="http://schemas.openxmlformats.org/officeDocument/2006/customXml" ds:itemID="{968B28AE-6DAC-4876-9557-9B350D670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C678A-27A8-4A1F-8D0C-B3A31E55376D}">
  <ds:schemaRefs>
    <ds:schemaRef ds:uri="d6eefc7d-9817-4fa6-84d5-3bc009be21b8"/>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 ds:uri="http://www.w3.org/XML/1998/namespace"/>
    <ds:schemaRef ds:uri="http://purl.org/dc/elements/1.1/"/>
    <ds:schemaRef ds:uri="http://schemas.microsoft.com/office/2006/documentManagement/types"/>
  </ds:schemaRefs>
</ds:datastoreItem>
</file>

<file path=customXml/itemProps4.xml><?xml version="1.0" encoding="utf-8"?>
<ds:datastoreItem xmlns:ds="http://schemas.openxmlformats.org/officeDocument/2006/customXml" ds:itemID="{908FF43F-8C06-40AA-A401-08BE2E69C056}">
  <ds:schemaRefs>
    <ds:schemaRef ds:uri="http://schemas.microsoft.com/sharepoint/v3/contenttype/forms"/>
  </ds:schemaRefs>
</ds:datastoreItem>
</file>

<file path=customXml/itemProps5.xml><?xml version="1.0" encoding="utf-8"?>
<ds:datastoreItem xmlns:ds="http://schemas.openxmlformats.org/officeDocument/2006/customXml" ds:itemID="{93757E43-4209-4EE9-A2C2-383F6895C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FERC-549 supporting statement</vt:lpstr>
    </vt:vector>
  </TitlesOfParts>
  <Company>Federal Energy Regulatory Commission</Company>
  <LinksUpToDate>false</LinksUpToDate>
  <CharactersWithSpaces>13879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FERC-549 supporting statement</dc:title>
  <dc:creator>Nishi Parekh</dc:creator>
  <cp:lastModifiedBy>Ellen Brown</cp:lastModifiedBy>
  <cp:revision>2</cp:revision>
  <cp:lastPrinted>2015-11-12T19:39:00Z</cp:lastPrinted>
  <dcterms:created xsi:type="dcterms:W3CDTF">2016-09-15T20:13:00Z</dcterms:created>
  <dcterms:modified xsi:type="dcterms:W3CDTF">2016-09-15T20:13:00Z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y fmtid="{D5CDD505-2E9C-101B-9397-08002B2CF9AE}" pid="3" name="_NewReviewCycle">
    <vt:lpwstr/>
  </property>
</Properties>
</file>