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7DABF" w14:textId="77777777" w:rsidR="00BC4CA0" w:rsidRPr="00BC4CA0" w:rsidRDefault="00BC4CA0" w:rsidP="00BC4CA0">
      <w:pPr>
        <w:ind w:left="360"/>
        <w:jc w:val="center"/>
        <w:rPr>
          <w:rFonts w:ascii="Times New Roman" w:hAnsi="Times New Roman" w:cs="Times New Roman"/>
          <w:b/>
          <w:color w:val="212121"/>
          <w:sz w:val="28"/>
          <w:szCs w:val="28"/>
        </w:rPr>
      </w:pPr>
      <w:bookmarkStart w:id="0" w:name="_GoBack"/>
      <w:bookmarkEnd w:id="0"/>
      <w:r w:rsidRPr="00BC4CA0">
        <w:rPr>
          <w:rFonts w:ascii="Times New Roman" w:eastAsia="Calibri" w:hAnsi="Times New Roman" w:cs="Times New Roman"/>
          <w:b/>
          <w:noProof/>
          <w:sz w:val="28"/>
        </w:rPr>
        <w:drawing>
          <wp:inline distT="0" distB="0" distL="0" distR="0" wp14:anchorId="4847DB90" wp14:editId="4847DB91">
            <wp:extent cx="12192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14:paraId="4847DAC0" w14:textId="77777777" w:rsidR="00AE176F" w:rsidRPr="00AE176F" w:rsidRDefault="00AE176F" w:rsidP="00AE176F">
      <w:pPr>
        <w:spacing w:after="120" w:line="240" w:lineRule="auto"/>
        <w:ind w:left="360"/>
        <w:jc w:val="center"/>
        <w:rPr>
          <w:rFonts w:ascii="Times New Roman" w:hAnsi="Times New Roman" w:cs="Times New Roman"/>
          <w:b/>
          <w:color w:val="212121"/>
          <w:sz w:val="24"/>
          <w:szCs w:val="24"/>
        </w:rPr>
      </w:pPr>
      <w:r w:rsidRPr="00AE176F">
        <w:rPr>
          <w:rFonts w:ascii="Times New Roman" w:hAnsi="Times New Roman" w:cs="Times New Roman"/>
          <w:b/>
          <w:color w:val="212121"/>
          <w:sz w:val="24"/>
          <w:szCs w:val="24"/>
        </w:rPr>
        <w:t>National Reporting System for Adult Education</w:t>
      </w:r>
    </w:p>
    <w:p w14:paraId="4847DAC1" w14:textId="77777777" w:rsidR="00BC4CA0" w:rsidRPr="00AE176F" w:rsidRDefault="00AE176F" w:rsidP="00AE176F">
      <w:pPr>
        <w:spacing w:after="120" w:line="240" w:lineRule="auto"/>
        <w:ind w:left="360"/>
        <w:jc w:val="center"/>
        <w:rPr>
          <w:rFonts w:ascii="Times New Roman" w:hAnsi="Times New Roman" w:cs="Times New Roman"/>
          <w:b/>
          <w:color w:val="212121"/>
          <w:sz w:val="24"/>
          <w:szCs w:val="24"/>
        </w:rPr>
      </w:pPr>
      <w:r w:rsidRPr="00AE176F">
        <w:rPr>
          <w:rFonts w:ascii="Times New Roman" w:hAnsi="Times New Roman" w:cs="Times New Roman"/>
          <w:b/>
          <w:color w:val="212121"/>
          <w:sz w:val="24"/>
          <w:szCs w:val="24"/>
        </w:rPr>
        <w:t>Information Collection Request</w:t>
      </w:r>
    </w:p>
    <w:p w14:paraId="4847DAC2" w14:textId="77777777" w:rsidR="00AE176F" w:rsidRPr="00AE176F" w:rsidRDefault="00AE176F" w:rsidP="00AE176F">
      <w:pPr>
        <w:spacing w:after="120" w:line="240" w:lineRule="auto"/>
        <w:ind w:left="360"/>
        <w:jc w:val="center"/>
        <w:rPr>
          <w:rFonts w:ascii="Times New Roman" w:hAnsi="Times New Roman" w:cs="Times New Roman"/>
          <w:b/>
          <w:color w:val="212121"/>
          <w:sz w:val="24"/>
          <w:szCs w:val="24"/>
        </w:rPr>
      </w:pPr>
      <w:r w:rsidRPr="00AE176F">
        <w:rPr>
          <w:rFonts w:ascii="Times New Roman" w:hAnsi="Times New Roman" w:cs="Times New Roman"/>
          <w:b/>
          <w:color w:val="212121"/>
          <w:sz w:val="24"/>
          <w:szCs w:val="24"/>
        </w:rPr>
        <w:t>OMB Control Number 1830-0027</w:t>
      </w:r>
    </w:p>
    <w:p w14:paraId="4847DAC3" w14:textId="77777777" w:rsidR="00AE176F" w:rsidRPr="00AE176F" w:rsidRDefault="00AE176F" w:rsidP="00AE176F">
      <w:pPr>
        <w:spacing w:after="120" w:line="240" w:lineRule="auto"/>
        <w:ind w:left="360"/>
        <w:jc w:val="center"/>
        <w:rPr>
          <w:rFonts w:ascii="Times New Roman" w:hAnsi="Times New Roman" w:cs="Times New Roman"/>
          <w:b/>
          <w:color w:val="212121"/>
          <w:sz w:val="24"/>
          <w:szCs w:val="24"/>
        </w:rPr>
      </w:pPr>
      <w:r w:rsidRPr="00AE176F">
        <w:rPr>
          <w:rFonts w:ascii="Times New Roman" w:hAnsi="Times New Roman" w:cs="Times New Roman"/>
          <w:b/>
          <w:color w:val="212121"/>
          <w:sz w:val="24"/>
          <w:szCs w:val="24"/>
        </w:rPr>
        <w:t>Responses to Public Comments</w:t>
      </w:r>
    </w:p>
    <w:p w14:paraId="4847DAC4" w14:textId="77777777" w:rsidR="00BC4CA0" w:rsidRPr="00BC4CA0" w:rsidRDefault="00BC4CA0" w:rsidP="00AE176F">
      <w:pPr>
        <w:rPr>
          <w:rFonts w:ascii="Times New Roman" w:hAnsi="Times New Roman" w:cs="Times New Roman"/>
          <w:color w:val="212121"/>
        </w:rPr>
      </w:pPr>
    </w:p>
    <w:p w14:paraId="4847DAC5" w14:textId="23AFC5F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Comment</w:t>
      </w:r>
    </w:p>
    <w:p w14:paraId="4847DAC6"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One commenter stated that Table 1 conflates educational functioning level (EFL) with pretest score.  There are three ways to measure EFL, only one of which is by pretesting, and the table should make clear that Table 1 is determined by pretest level only.</w:t>
      </w:r>
    </w:p>
    <w:p w14:paraId="4847DAC7"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AC8"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Table 1 is intended to capture the EFL </w:t>
      </w:r>
      <w:r w:rsidR="00432B9E">
        <w:rPr>
          <w:rFonts w:ascii="Times New Roman" w:hAnsi="Times New Roman" w:cs="Times New Roman"/>
          <w:color w:val="212121"/>
        </w:rPr>
        <w:t xml:space="preserve">at </w:t>
      </w:r>
      <w:r w:rsidRPr="00BC4CA0">
        <w:rPr>
          <w:rFonts w:ascii="Times New Roman" w:hAnsi="Times New Roman" w:cs="Times New Roman"/>
          <w:color w:val="212121"/>
        </w:rPr>
        <w:t xml:space="preserve">which the participant entered the program, rather than capturing whether a participant has made an EFL gain.  Table 4 is intended to capture EFL gains.  </w:t>
      </w:r>
    </w:p>
    <w:p w14:paraId="4847DAC9" w14:textId="6A1E46EF" w:rsidR="00BC4CA0" w:rsidRPr="00BC4CA0" w:rsidRDefault="00BC4CA0" w:rsidP="00BC4CA0">
      <w:pPr>
        <w:rPr>
          <w:rFonts w:ascii="Times New Roman" w:hAnsi="Times New Roman" w:cs="Times New Roman"/>
          <w:b/>
          <w:color w:val="212121"/>
        </w:rPr>
      </w:pPr>
      <w:r w:rsidRPr="00BC4CA0">
        <w:rPr>
          <w:rFonts w:ascii="Times New Roman" w:hAnsi="Times New Roman" w:cs="Times New Roman"/>
          <w:color w:val="212121"/>
        </w:rPr>
        <w:t xml:space="preserve">The </w:t>
      </w:r>
      <w:r w:rsidR="00673FAF">
        <w:rPr>
          <w:rFonts w:ascii="Times New Roman" w:hAnsi="Times New Roman" w:cs="Times New Roman"/>
          <w:color w:val="212121"/>
        </w:rPr>
        <w:t xml:space="preserve">EFL </w:t>
      </w:r>
      <w:r w:rsidRPr="00BC4CA0">
        <w:rPr>
          <w:rFonts w:ascii="Times New Roman" w:hAnsi="Times New Roman" w:cs="Times New Roman"/>
          <w:color w:val="212121"/>
        </w:rPr>
        <w:t xml:space="preserve">at which a participant enters the program can only be determined by </w:t>
      </w:r>
      <w:r w:rsidR="0023256C">
        <w:rPr>
          <w:rFonts w:ascii="Times New Roman" w:hAnsi="Times New Roman" w:cs="Times New Roman"/>
          <w:color w:val="212121"/>
        </w:rPr>
        <w:t>a pretest score, high school credits, or Carn</w:t>
      </w:r>
      <w:r w:rsidR="00D0435E">
        <w:rPr>
          <w:rFonts w:ascii="Times New Roman" w:hAnsi="Times New Roman" w:cs="Times New Roman"/>
          <w:color w:val="212121"/>
        </w:rPr>
        <w:t>eg</w:t>
      </w:r>
      <w:r w:rsidR="0023256C">
        <w:rPr>
          <w:rFonts w:ascii="Times New Roman" w:hAnsi="Times New Roman" w:cs="Times New Roman"/>
          <w:color w:val="212121"/>
        </w:rPr>
        <w:t>ie Units at entry</w:t>
      </w:r>
      <w:r w:rsidRPr="00BC4CA0">
        <w:rPr>
          <w:rFonts w:ascii="Times New Roman" w:hAnsi="Times New Roman" w:cs="Times New Roman"/>
          <w:color w:val="212121"/>
        </w:rPr>
        <w:t xml:space="preserve">.  </w:t>
      </w:r>
    </w:p>
    <w:p w14:paraId="4847DACA"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ACB"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No change.</w:t>
      </w:r>
    </w:p>
    <w:p w14:paraId="4847DACC"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Comment</w:t>
      </w:r>
    </w:p>
    <w:p w14:paraId="4847DACD" w14:textId="05458B64"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Two commenters noted that clarification is needed for columns C and D of Table 4</w:t>
      </w:r>
      <w:r w:rsidR="00E96224">
        <w:rPr>
          <w:rFonts w:ascii="Times New Roman" w:hAnsi="Times New Roman" w:cs="Times New Roman"/>
          <w:color w:val="212121"/>
        </w:rPr>
        <w:t>A</w:t>
      </w:r>
      <w:r w:rsidRPr="00BC4CA0">
        <w:rPr>
          <w:rFonts w:ascii="Times New Roman" w:hAnsi="Times New Roman" w:cs="Times New Roman"/>
          <w:color w:val="212121"/>
        </w:rPr>
        <w:t xml:space="preserve"> to indicate whether speaking and listening tests </w:t>
      </w:r>
      <w:r w:rsidR="00FA0F93">
        <w:rPr>
          <w:rFonts w:ascii="Times New Roman" w:hAnsi="Times New Roman" w:cs="Times New Roman"/>
          <w:color w:val="212121"/>
        </w:rPr>
        <w:t>may be used to measure and report EFL gains in these columns</w:t>
      </w:r>
      <w:r w:rsidRPr="00BC4CA0">
        <w:rPr>
          <w:rFonts w:ascii="Times New Roman" w:hAnsi="Times New Roman" w:cs="Times New Roman"/>
          <w:color w:val="212121"/>
        </w:rPr>
        <w:t xml:space="preserve">.  </w:t>
      </w:r>
    </w:p>
    <w:p w14:paraId="4847DACE"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ACF" w14:textId="70BB828D"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The heading for Column C indicates </w:t>
      </w:r>
      <w:r w:rsidR="00772DF9">
        <w:rPr>
          <w:rFonts w:ascii="Times New Roman" w:hAnsi="Times New Roman" w:cs="Times New Roman"/>
          <w:color w:val="212121"/>
        </w:rPr>
        <w:t xml:space="preserve">the </w:t>
      </w:r>
      <w:r w:rsidRPr="00BC4CA0">
        <w:rPr>
          <w:rFonts w:ascii="Times New Roman" w:hAnsi="Times New Roman" w:cs="Times New Roman"/>
          <w:color w:val="212121"/>
        </w:rPr>
        <w:t>reporting of the</w:t>
      </w:r>
      <w:r w:rsidR="00772DF9" w:rsidRPr="00772DF9">
        <w:t xml:space="preserve"> </w:t>
      </w:r>
      <w:r w:rsidR="00772DF9" w:rsidRPr="00772DF9">
        <w:rPr>
          <w:rFonts w:ascii="Times New Roman" w:hAnsi="Times New Roman" w:cs="Times New Roman"/>
          <w:color w:val="212121"/>
        </w:rPr>
        <w:t xml:space="preserve">number </w:t>
      </w:r>
      <w:r w:rsidR="005C31CD">
        <w:rPr>
          <w:rFonts w:ascii="Times New Roman" w:hAnsi="Times New Roman" w:cs="Times New Roman"/>
          <w:color w:val="212121"/>
        </w:rPr>
        <w:t xml:space="preserve">of participants </w:t>
      </w:r>
      <w:r w:rsidR="00772DF9" w:rsidRPr="00772DF9">
        <w:rPr>
          <w:rFonts w:ascii="Times New Roman" w:hAnsi="Times New Roman" w:cs="Times New Roman"/>
          <w:color w:val="212121"/>
        </w:rPr>
        <w:t xml:space="preserve">with an EFL Gain for </w:t>
      </w:r>
      <w:r w:rsidR="00772DF9">
        <w:rPr>
          <w:rFonts w:ascii="Times New Roman" w:hAnsi="Times New Roman" w:cs="Times New Roman"/>
          <w:color w:val="212121"/>
        </w:rPr>
        <w:t>English Language Arts (ELA)</w:t>
      </w:r>
      <w:r w:rsidR="00772DF9" w:rsidRPr="00772DF9">
        <w:rPr>
          <w:rFonts w:ascii="Times New Roman" w:hAnsi="Times New Roman" w:cs="Times New Roman"/>
          <w:color w:val="212121"/>
        </w:rPr>
        <w:t xml:space="preserve">/Literacy </w:t>
      </w:r>
      <w:r w:rsidR="00772DF9" w:rsidRPr="00BC4CA0">
        <w:rPr>
          <w:rFonts w:ascii="Times New Roman" w:hAnsi="Times New Roman" w:cs="Times New Roman"/>
          <w:color w:val="212121"/>
        </w:rPr>
        <w:t>or Engl</w:t>
      </w:r>
      <w:r w:rsidR="00772DF9">
        <w:rPr>
          <w:rFonts w:ascii="Times New Roman" w:hAnsi="Times New Roman" w:cs="Times New Roman"/>
          <w:color w:val="212121"/>
        </w:rPr>
        <w:t xml:space="preserve">ish Language Proficiency (ELP) by pre- </w:t>
      </w:r>
      <w:r w:rsidR="00550DA6">
        <w:rPr>
          <w:rFonts w:ascii="Times New Roman" w:hAnsi="Times New Roman" w:cs="Times New Roman"/>
          <w:color w:val="212121"/>
        </w:rPr>
        <w:t xml:space="preserve">and </w:t>
      </w:r>
      <w:r w:rsidR="00772DF9" w:rsidRPr="00772DF9">
        <w:rPr>
          <w:rFonts w:ascii="Times New Roman" w:hAnsi="Times New Roman" w:cs="Times New Roman"/>
          <w:color w:val="212121"/>
        </w:rPr>
        <w:t>post</w:t>
      </w:r>
      <w:r w:rsidR="00772DF9">
        <w:rPr>
          <w:rFonts w:ascii="Times New Roman" w:hAnsi="Times New Roman" w:cs="Times New Roman"/>
          <w:color w:val="212121"/>
        </w:rPr>
        <w:t>-</w:t>
      </w:r>
      <w:r w:rsidR="00772DF9" w:rsidRPr="00772DF9">
        <w:rPr>
          <w:rFonts w:ascii="Times New Roman" w:hAnsi="Times New Roman" w:cs="Times New Roman"/>
          <w:color w:val="212121"/>
        </w:rPr>
        <w:t>testing</w:t>
      </w:r>
      <w:r w:rsidR="00772DF9">
        <w:rPr>
          <w:rFonts w:ascii="Times New Roman" w:hAnsi="Times New Roman" w:cs="Times New Roman"/>
          <w:color w:val="212121"/>
        </w:rPr>
        <w:t xml:space="preserve">.  </w:t>
      </w:r>
      <w:r w:rsidRPr="00BC4CA0">
        <w:rPr>
          <w:rFonts w:ascii="Times New Roman" w:hAnsi="Times New Roman" w:cs="Times New Roman"/>
          <w:color w:val="212121"/>
        </w:rPr>
        <w:t xml:space="preserve">Column D </w:t>
      </w:r>
      <w:r w:rsidR="00772DF9">
        <w:rPr>
          <w:rFonts w:ascii="Times New Roman" w:hAnsi="Times New Roman" w:cs="Times New Roman"/>
          <w:color w:val="212121"/>
        </w:rPr>
        <w:t xml:space="preserve">indicates the </w:t>
      </w:r>
      <w:r w:rsidRPr="00BC4CA0">
        <w:rPr>
          <w:rFonts w:ascii="Times New Roman" w:hAnsi="Times New Roman" w:cs="Times New Roman"/>
          <w:color w:val="212121"/>
        </w:rPr>
        <w:t xml:space="preserve">reporting of the </w:t>
      </w:r>
      <w:r w:rsidR="00550DA6" w:rsidRPr="00550DA6">
        <w:rPr>
          <w:rFonts w:ascii="Times New Roman" w:hAnsi="Times New Roman" w:cs="Times New Roman"/>
          <w:color w:val="212121"/>
        </w:rPr>
        <w:t xml:space="preserve">percentage </w:t>
      </w:r>
      <w:r w:rsidR="008815C3">
        <w:rPr>
          <w:rFonts w:ascii="Times New Roman" w:hAnsi="Times New Roman" w:cs="Times New Roman"/>
          <w:color w:val="212121"/>
        </w:rPr>
        <w:t xml:space="preserve">of participants </w:t>
      </w:r>
      <w:r w:rsidR="00550DA6" w:rsidRPr="00550DA6">
        <w:rPr>
          <w:rFonts w:ascii="Times New Roman" w:hAnsi="Times New Roman" w:cs="Times New Roman"/>
          <w:color w:val="212121"/>
        </w:rPr>
        <w:t>achieving ELA/Literacy or ELP EFL gains</w:t>
      </w:r>
      <w:r w:rsidR="00550DA6">
        <w:rPr>
          <w:rFonts w:ascii="Times New Roman" w:hAnsi="Times New Roman" w:cs="Times New Roman"/>
          <w:color w:val="212121"/>
        </w:rPr>
        <w:t xml:space="preserve"> </w:t>
      </w:r>
      <w:r w:rsidR="005C31CD">
        <w:rPr>
          <w:rFonts w:ascii="Times New Roman" w:hAnsi="Times New Roman" w:cs="Times New Roman"/>
          <w:color w:val="212121"/>
        </w:rPr>
        <w:t xml:space="preserve">by </w:t>
      </w:r>
      <w:r w:rsidR="00550DA6">
        <w:rPr>
          <w:rFonts w:ascii="Times New Roman" w:hAnsi="Times New Roman" w:cs="Times New Roman"/>
          <w:color w:val="212121"/>
        </w:rPr>
        <w:t xml:space="preserve">pre- and </w:t>
      </w:r>
      <w:r w:rsidR="00550DA6" w:rsidRPr="00772DF9">
        <w:rPr>
          <w:rFonts w:ascii="Times New Roman" w:hAnsi="Times New Roman" w:cs="Times New Roman"/>
          <w:color w:val="212121"/>
        </w:rPr>
        <w:t>post</w:t>
      </w:r>
      <w:r w:rsidR="00550DA6">
        <w:rPr>
          <w:rFonts w:ascii="Times New Roman" w:hAnsi="Times New Roman" w:cs="Times New Roman"/>
          <w:color w:val="212121"/>
        </w:rPr>
        <w:t>-</w:t>
      </w:r>
      <w:r w:rsidR="00550DA6" w:rsidRPr="00772DF9">
        <w:rPr>
          <w:rFonts w:ascii="Times New Roman" w:hAnsi="Times New Roman" w:cs="Times New Roman"/>
          <w:color w:val="212121"/>
        </w:rPr>
        <w:t>testing</w:t>
      </w:r>
      <w:r w:rsidR="00550DA6">
        <w:rPr>
          <w:rFonts w:ascii="Times New Roman" w:hAnsi="Times New Roman" w:cs="Times New Roman"/>
          <w:color w:val="212121"/>
        </w:rPr>
        <w:t xml:space="preserve">.  We agree </w:t>
      </w:r>
      <w:r w:rsidRPr="00BC4CA0">
        <w:rPr>
          <w:rFonts w:ascii="Times New Roman" w:hAnsi="Times New Roman" w:cs="Times New Roman"/>
          <w:color w:val="212121"/>
        </w:rPr>
        <w:t xml:space="preserve">that </w:t>
      </w:r>
      <w:r w:rsidR="00E96224">
        <w:rPr>
          <w:rFonts w:ascii="Times New Roman" w:hAnsi="Times New Roman" w:cs="Times New Roman"/>
          <w:color w:val="212121"/>
        </w:rPr>
        <w:t>the instructions for Table 4A</w:t>
      </w:r>
      <w:r w:rsidR="008815C3">
        <w:rPr>
          <w:rFonts w:ascii="Times New Roman" w:hAnsi="Times New Roman" w:cs="Times New Roman"/>
          <w:color w:val="212121"/>
        </w:rPr>
        <w:t xml:space="preserve"> should be </w:t>
      </w:r>
      <w:r w:rsidRPr="00BC4CA0">
        <w:rPr>
          <w:rFonts w:ascii="Times New Roman" w:hAnsi="Times New Roman" w:cs="Times New Roman"/>
          <w:color w:val="212121"/>
        </w:rPr>
        <w:t xml:space="preserve">made more explicit. </w:t>
      </w:r>
    </w:p>
    <w:p w14:paraId="4847DAD0"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AD1" w14:textId="08628599" w:rsidR="00BC4CA0" w:rsidRPr="00BC4CA0" w:rsidRDefault="00BC4CA0" w:rsidP="00BC4CA0">
      <w:pPr>
        <w:rPr>
          <w:rFonts w:ascii="Times New Roman" w:hAnsi="Times New Roman" w:cs="Times New Roman"/>
          <w:color w:val="212121"/>
        </w:rPr>
      </w:pPr>
      <w:r>
        <w:rPr>
          <w:rFonts w:ascii="Times New Roman" w:hAnsi="Times New Roman" w:cs="Times New Roman"/>
          <w:color w:val="212121"/>
        </w:rPr>
        <w:t>I</w:t>
      </w:r>
      <w:r w:rsidRPr="00BC4CA0">
        <w:rPr>
          <w:rFonts w:ascii="Times New Roman" w:hAnsi="Times New Roman" w:cs="Times New Roman"/>
          <w:color w:val="212121"/>
        </w:rPr>
        <w:t xml:space="preserve">nstructions </w:t>
      </w:r>
      <w:r>
        <w:rPr>
          <w:rFonts w:ascii="Times New Roman" w:hAnsi="Times New Roman" w:cs="Times New Roman"/>
          <w:color w:val="212121"/>
        </w:rPr>
        <w:t xml:space="preserve">were added </w:t>
      </w:r>
      <w:r w:rsidRPr="00BC4CA0">
        <w:rPr>
          <w:rFonts w:ascii="Times New Roman" w:hAnsi="Times New Roman" w:cs="Times New Roman"/>
          <w:color w:val="212121"/>
        </w:rPr>
        <w:t xml:space="preserve">at the bottom of the table to clarify that </w:t>
      </w:r>
      <w:r w:rsidR="006177B7">
        <w:rPr>
          <w:rFonts w:ascii="Times New Roman" w:hAnsi="Times New Roman" w:cs="Times New Roman"/>
          <w:color w:val="212121"/>
        </w:rPr>
        <w:t xml:space="preserve">EFL gains reported in </w:t>
      </w:r>
      <w:r w:rsidRPr="00BC4CA0">
        <w:rPr>
          <w:rFonts w:ascii="Times New Roman" w:hAnsi="Times New Roman" w:cs="Times New Roman"/>
          <w:color w:val="212121"/>
        </w:rPr>
        <w:t>Column</w:t>
      </w:r>
      <w:r w:rsidR="006177B7">
        <w:rPr>
          <w:rFonts w:ascii="Times New Roman" w:hAnsi="Times New Roman" w:cs="Times New Roman"/>
          <w:color w:val="212121"/>
        </w:rPr>
        <w:t>s</w:t>
      </w:r>
      <w:r w:rsidRPr="00BC4CA0">
        <w:rPr>
          <w:rFonts w:ascii="Times New Roman" w:hAnsi="Times New Roman" w:cs="Times New Roman"/>
          <w:color w:val="212121"/>
        </w:rPr>
        <w:t xml:space="preserve"> C </w:t>
      </w:r>
      <w:r w:rsidR="006177B7">
        <w:rPr>
          <w:rFonts w:ascii="Times New Roman" w:hAnsi="Times New Roman" w:cs="Times New Roman"/>
          <w:color w:val="212121"/>
        </w:rPr>
        <w:t xml:space="preserve">and D may be measured by </w:t>
      </w:r>
      <w:r w:rsidRPr="00BC4CA0">
        <w:rPr>
          <w:rFonts w:ascii="Times New Roman" w:hAnsi="Times New Roman" w:cs="Times New Roman"/>
          <w:color w:val="212121"/>
        </w:rPr>
        <w:t>reading, writing, literacy skills, speaking or listening</w:t>
      </w:r>
      <w:r w:rsidR="00A80C58">
        <w:rPr>
          <w:rFonts w:ascii="Times New Roman" w:hAnsi="Times New Roman" w:cs="Times New Roman"/>
          <w:color w:val="212121"/>
        </w:rPr>
        <w:t xml:space="preserve"> tests approved </w:t>
      </w:r>
      <w:r w:rsidR="00C77D68">
        <w:rPr>
          <w:rFonts w:ascii="Times New Roman" w:hAnsi="Times New Roman" w:cs="Times New Roman"/>
          <w:color w:val="212121"/>
        </w:rPr>
        <w:t xml:space="preserve">for use in </w:t>
      </w:r>
      <w:r w:rsidR="00A80C58">
        <w:rPr>
          <w:rFonts w:ascii="Times New Roman" w:hAnsi="Times New Roman" w:cs="Times New Roman"/>
          <w:color w:val="212121"/>
        </w:rPr>
        <w:t>National Reporting System for Adult Education (NRS).</w:t>
      </w:r>
    </w:p>
    <w:p w14:paraId="4847DAD2" w14:textId="77777777" w:rsidR="00BC4CA0" w:rsidRPr="00BC4CA0" w:rsidRDefault="00BC4CA0" w:rsidP="00BC4CA0">
      <w:pPr>
        <w:rPr>
          <w:rFonts w:ascii="Times New Roman" w:hAnsi="Times New Roman" w:cs="Times New Roman"/>
          <w:color w:val="212121"/>
        </w:rPr>
      </w:pPr>
    </w:p>
    <w:p w14:paraId="4847DAD3" w14:textId="77777777" w:rsidR="00BC4CA0" w:rsidRPr="00BC4CA0" w:rsidRDefault="000F40D3" w:rsidP="00BC4CA0">
      <w:pPr>
        <w:rPr>
          <w:rFonts w:ascii="Times New Roman" w:hAnsi="Times New Roman" w:cs="Times New Roman"/>
          <w:b/>
          <w:color w:val="212121"/>
        </w:rPr>
      </w:pPr>
      <w:r w:rsidRPr="00C3188D">
        <w:rPr>
          <w:rFonts w:ascii="Times New Roman" w:hAnsi="Times New Roman" w:cs="Times New Roman"/>
          <w:b/>
          <w:color w:val="212121"/>
        </w:rPr>
        <w:t>Comment</w:t>
      </w:r>
    </w:p>
    <w:p w14:paraId="4847DAD4" w14:textId="771ADC16"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Two commenter</w:t>
      </w:r>
      <w:r>
        <w:rPr>
          <w:rFonts w:ascii="Times New Roman" w:hAnsi="Times New Roman" w:cs="Times New Roman"/>
          <w:color w:val="212121"/>
        </w:rPr>
        <w:t>s</w:t>
      </w:r>
      <w:r w:rsidRPr="00BC4CA0">
        <w:rPr>
          <w:rFonts w:ascii="Times New Roman" w:hAnsi="Times New Roman" w:cs="Times New Roman"/>
          <w:color w:val="212121"/>
        </w:rPr>
        <w:t xml:space="preserve"> stated that instructions </w:t>
      </w:r>
      <w:r w:rsidR="00655E03">
        <w:rPr>
          <w:rFonts w:ascii="Times New Roman" w:hAnsi="Times New Roman" w:cs="Times New Roman"/>
          <w:color w:val="212121"/>
        </w:rPr>
        <w:t xml:space="preserve">on the </w:t>
      </w:r>
      <w:r w:rsidRPr="00BC4CA0">
        <w:rPr>
          <w:rFonts w:ascii="Times New Roman" w:hAnsi="Times New Roman" w:cs="Times New Roman"/>
          <w:color w:val="212121"/>
        </w:rPr>
        <w:t xml:space="preserve">use </w:t>
      </w:r>
      <w:r w:rsidR="00655E03">
        <w:rPr>
          <w:rFonts w:ascii="Times New Roman" w:hAnsi="Times New Roman" w:cs="Times New Roman"/>
          <w:color w:val="212121"/>
        </w:rPr>
        <w:t xml:space="preserve">of </w:t>
      </w:r>
      <w:r w:rsidRPr="00BC4CA0">
        <w:rPr>
          <w:rFonts w:ascii="Times New Roman" w:hAnsi="Times New Roman" w:cs="Times New Roman"/>
          <w:color w:val="212121"/>
        </w:rPr>
        <w:t xml:space="preserve">Carnegie Units </w:t>
      </w:r>
      <w:r w:rsidR="00655E03">
        <w:rPr>
          <w:rFonts w:ascii="Times New Roman" w:hAnsi="Times New Roman" w:cs="Times New Roman"/>
          <w:color w:val="212121"/>
        </w:rPr>
        <w:t xml:space="preserve">to measure EFL gain </w:t>
      </w:r>
      <w:r w:rsidRPr="00BC4CA0">
        <w:rPr>
          <w:rFonts w:ascii="Times New Roman" w:hAnsi="Times New Roman" w:cs="Times New Roman"/>
          <w:color w:val="212121"/>
        </w:rPr>
        <w:t>are needed for</w:t>
      </w:r>
      <w:r w:rsidR="000F40D3">
        <w:rPr>
          <w:rFonts w:ascii="Times New Roman" w:hAnsi="Times New Roman" w:cs="Times New Roman"/>
          <w:color w:val="212121"/>
        </w:rPr>
        <w:t xml:space="preserve"> reporting on Tables 4 and 4</w:t>
      </w:r>
      <w:r w:rsidR="00E96224">
        <w:rPr>
          <w:rFonts w:ascii="Times New Roman" w:hAnsi="Times New Roman" w:cs="Times New Roman"/>
          <w:color w:val="212121"/>
        </w:rPr>
        <w:t>A</w:t>
      </w:r>
      <w:r w:rsidR="000F40D3">
        <w:rPr>
          <w:rFonts w:ascii="Times New Roman" w:hAnsi="Times New Roman" w:cs="Times New Roman"/>
          <w:color w:val="212121"/>
        </w:rPr>
        <w:t>.</w:t>
      </w:r>
    </w:p>
    <w:p w14:paraId="4847DAD5"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AD6" w14:textId="77777777" w:rsidR="00BC4CA0" w:rsidRPr="00BC4CA0" w:rsidRDefault="00AE176F" w:rsidP="00BC4CA0">
      <w:pPr>
        <w:rPr>
          <w:rFonts w:ascii="Times New Roman" w:hAnsi="Times New Roman" w:cs="Times New Roman"/>
          <w:color w:val="212121"/>
        </w:rPr>
      </w:pPr>
      <w:r>
        <w:rPr>
          <w:rFonts w:ascii="Times New Roman" w:hAnsi="Times New Roman" w:cs="Times New Roman"/>
          <w:color w:val="212121"/>
        </w:rPr>
        <w:t>The Office of Career Technical and Adult Education (</w:t>
      </w:r>
      <w:r w:rsidR="00BC4CA0" w:rsidRPr="00BC4CA0">
        <w:rPr>
          <w:rFonts w:ascii="Times New Roman" w:hAnsi="Times New Roman" w:cs="Times New Roman"/>
          <w:color w:val="212121"/>
        </w:rPr>
        <w:t>OCTAE</w:t>
      </w:r>
      <w:r>
        <w:rPr>
          <w:rFonts w:ascii="Times New Roman" w:hAnsi="Times New Roman" w:cs="Times New Roman"/>
          <w:color w:val="212121"/>
        </w:rPr>
        <w:t>)</w:t>
      </w:r>
      <w:r w:rsidR="00BC4CA0" w:rsidRPr="00BC4CA0">
        <w:rPr>
          <w:rFonts w:ascii="Times New Roman" w:hAnsi="Times New Roman" w:cs="Times New Roman"/>
          <w:color w:val="212121"/>
        </w:rPr>
        <w:t xml:space="preserve"> will provide technical assistance to clarify how to measure EFL </w:t>
      </w:r>
      <w:r w:rsidR="00655E03">
        <w:rPr>
          <w:rFonts w:ascii="Times New Roman" w:hAnsi="Times New Roman" w:cs="Times New Roman"/>
          <w:color w:val="212121"/>
        </w:rPr>
        <w:t xml:space="preserve">gain </w:t>
      </w:r>
      <w:r w:rsidR="00BC4CA0" w:rsidRPr="00BC4CA0">
        <w:rPr>
          <w:rFonts w:ascii="Times New Roman" w:hAnsi="Times New Roman" w:cs="Times New Roman"/>
          <w:color w:val="212121"/>
        </w:rPr>
        <w:t>using Carnegie Units.</w:t>
      </w:r>
    </w:p>
    <w:p w14:paraId="4847DAD7" w14:textId="77777777" w:rsidR="00BD7816"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AD8" w14:textId="77777777" w:rsidR="00BC4CA0" w:rsidRPr="00BD7816" w:rsidRDefault="00BC4CA0" w:rsidP="00BC4CA0">
      <w:pPr>
        <w:rPr>
          <w:rFonts w:ascii="Times New Roman" w:hAnsi="Times New Roman" w:cs="Times New Roman"/>
          <w:b/>
          <w:color w:val="212121"/>
        </w:rPr>
      </w:pPr>
      <w:r w:rsidRPr="00BC4CA0">
        <w:rPr>
          <w:rFonts w:ascii="Times New Roman" w:hAnsi="Times New Roman" w:cs="Times New Roman"/>
          <w:color w:val="212121"/>
        </w:rPr>
        <w:t>No change</w:t>
      </w:r>
    </w:p>
    <w:p w14:paraId="4847DAD9"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 xml:space="preserve">Comment </w:t>
      </w:r>
    </w:p>
    <w:p w14:paraId="4847DADA" w14:textId="1D8CE221"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One commenter stated that clarification was needed on </w:t>
      </w:r>
      <w:r w:rsidR="00FF0861">
        <w:rPr>
          <w:rFonts w:ascii="Times New Roman" w:hAnsi="Times New Roman" w:cs="Times New Roman"/>
          <w:color w:val="212121"/>
        </w:rPr>
        <w:t>T</w:t>
      </w:r>
      <w:r w:rsidRPr="00BC4CA0">
        <w:rPr>
          <w:rFonts w:ascii="Times New Roman" w:hAnsi="Times New Roman" w:cs="Times New Roman"/>
          <w:color w:val="212121"/>
        </w:rPr>
        <w:t>able 4</w:t>
      </w:r>
      <w:r w:rsidR="00E96224">
        <w:rPr>
          <w:rFonts w:ascii="Times New Roman" w:hAnsi="Times New Roman" w:cs="Times New Roman"/>
          <w:color w:val="212121"/>
        </w:rPr>
        <w:t>A</w:t>
      </w:r>
      <w:r w:rsidRPr="00BC4CA0">
        <w:rPr>
          <w:rFonts w:ascii="Times New Roman" w:hAnsi="Times New Roman" w:cs="Times New Roman"/>
          <w:color w:val="212121"/>
        </w:rPr>
        <w:t xml:space="preserve"> about whether entry into developmental education </w:t>
      </w:r>
      <w:r w:rsidR="00FF0861">
        <w:rPr>
          <w:rFonts w:ascii="Times New Roman" w:hAnsi="Times New Roman" w:cs="Times New Roman"/>
          <w:color w:val="212121"/>
        </w:rPr>
        <w:t>could</w:t>
      </w:r>
      <w:r w:rsidRPr="00BC4CA0">
        <w:rPr>
          <w:rFonts w:ascii="Times New Roman" w:hAnsi="Times New Roman" w:cs="Times New Roman"/>
          <w:color w:val="212121"/>
        </w:rPr>
        <w:t xml:space="preserve"> be counted as entry </w:t>
      </w:r>
      <w:r w:rsidR="00673FAF">
        <w:rPr>
          <w:rFonts w:ascii="Times New Roman" w:hAnsi="Times New Roman" w:cs="Times New Roman"/>
          <w:color w:val="212121"/>
        </w:rPr>
        <w:t xml:space="preserve">into </w:t>
      </w:r>
      <w:r w:rsidRPr="00BC4CA0">
        <w:rPr>
          <w:rFonts w:ascii="Times New Roman" w:hAnsi="Times New Roman" w:cs="Times New Roman"/>
          <w:color w:val="212121"/>
        </w:rPr>
        <w:t xml:space="preserve">postsecondary education.  </w:t>
      </w:r>
    </w:p>
    <w:p w14:paraId="4847DADB"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ADC" w14:textId="4AB67686"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OCTAE agrees that further clarification on what constitutes entry into postsecondary education is needed and will provide technical assistance to clarify </w:t>
      </w:r>
      <w:r w:rsidR="00C77D68">
        <w:rPr>
          <w:rFonts w:ascii="Times New Roman" w:hAnsi="Times New Roman" w:cs="Times New Roman"/>
          <w:color w:val="212121"/>
        </w:rPr>
        <w:t xml:space="preserve">that </w:t>
      </w:r>
      <w:r w:rsidRPr="00BC4CA0">
        <w:rPr>
          <w:rFonts w:ascii="Times New Roman" w:hAnsi="Times New Roman" w:cs="Times New Roman"/>
          <w:color w:val="212121"/>
        </w:rPr>
        <w:t xml:space="preserve">entry into developmental education </w:t>
      </w:r>
      <w:r w:rsidR="00FF0861">
        <w:rPr>
          <w:rFonts w:ascii="Times New Roman" w:hAnsi="Times New Roman" w:cs="Times New Roman"/>
          <w:color w:val="212121"/>
        </w:rPr>
        <w:t xml:space="preserve">could be counted </w:t>
      </w:r>
      <w:r w:rsidRPr="00BC4CA0">
        <w:rPr>
          <w:rFonts w:ascii="Times New Roman" w:hAnsi="Times New Roman" w:cs="Times New Roman"/>
          <w:color w:val="212121"/>
        </w:rPr>
        <w:t xml:space="preserve">as entry into postsecondary education. </w:t>
      </w:r>
    </w:p>
    <w:p w14:paraId="4847DADD"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ADE"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No change.</w:t>
      </w:r>
    </w:p>
    <w:p w14:paraId="4847DADF"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Comment</w:t>
      </w:r>
    </w:p>
    <w:p w14:paraId="4847DAE0" w14:textId="13BBBF82"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One commenter requested information about whether OCTAE </w:t>
      </w:r>
      <w:r w:rsidR="00FF0861">
        <w:rPr>
          <w:rFonts w:ascii="Times New Roman" w:hAnsi="Times New Roman" w:cs="Times New Roman"/>
          <w:color w:val="212121"/>
        </w:rPr>
        <w:t xml:space="preserve">would </w:t>
      </w:r>
      <w:r w:rsidRPr="00BC4CA0">
        <w:rPr>
          <w:rFonts w:ascii="Times New Roman" w:hAnsi="Times New Roman" w:cs="Times New Roman"/>
          <w:color w:val="212121"/>
        </w:rPr>
        <w:t>use Table 4</w:t>
      </w:r>
      <w:r w:rsidR="00E96224">
        <w:rPr>
          <w:rFonts w:ascii="Times New Roman" w:hAnsi="Times New Roman" w:cs="Times New Roman"/>
          <w:color w:val="212121"/>
        </w:rPr>
        <w:t>A</w:t>
      </w:r>
      <w:r w:rsidRPr="00BC4CA0">
        <w:rPr>
          <w:rFonts w:ascii="Times New Roman" w:hAnsi="Times New Roman" w:cs="Times New Roman"/>
          <w:color w:val="212121"/>
        </w:rPr>
        <w:t xml:space="preserve"> for performance indicators and whether targets would be required for each test.</w:t>
      </w:r>
    </w:p>
    <w:p w14:paraId="4847DAE1"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AE2" w14:textId="47CEE0B5"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Table 4</w:t>
      </w:r>
      <w:r w:rsidR="00E96224">
        <w:rPr>
          <w:rFonts w:ascii="Times New Roman" w:hAnsi="Times New Roman" w:cs="Times New Roman"/>
          <w:color w:val="212121"/>
        </w:rPr>
        <w:t>A</w:t>
      </w:r>
      <w:r w:rsidRPr="00BC4CA0">
        <w:rPr>
          <w:rFonts w:ascii="Times New Roman" w:hAnsi="Times New Roman" w:cs="Times New Roman"/>
          <w:color w:val="212121"/>
        </w:rPr>
        <w:t xml:space="preserve"> is intended to provide additional aggregate information about State performance.  The </w:t>
      </w:r>
      <w:r w:rsidR="00294514" w:rsidRPr="00294514">
        <w:rPr>
          <w:rFonts w:ascii="Times New Roman" w:hAnsi="Times New Roman" w:cs="Times New Roman"/>
          <w:color w:val="212121"/>
        </w:rPr>
        <w:t xml:space="preserve">Workforce Innovation and Opportunity Act (WIOA) </w:t>
      </w:r>
      <w:r w:rsidR="00881B6D">
        <w:rPr>
          <w:rFonts w:ascii="Times New Roman" w:hAnsi="Times New Roman" w:cs="Times New Roman"/>
          <w:color w:val="212121"/>
        </w:rPr>
        <w:t>S</w:t>
      </w:r>
      <w:r w:rsidR="008A5C1A">
        <w:rPr>
          <w:rFonts w:ascii="Times New Roman" w:hAnsi="Times New Roman" w:cs="Times New Roman"/>
          <w:color w:val="212121"/>
        </w:rPr>
        <w:t xml:space="preserve">tatewide performance report, </w:t>
      </w:r>
      <w:r w:rsidRPr="00BC4CA0">
        <w:rPr>
          <w:rFonts w:ascii="Times New Roman" w:hAnsi="Times New Roman" w:cs="Times New Roman"/>
          <w:color w:val="212121"/>
        </w:rPr>
        <w:t xml:space="preserve">which was issued in the </w:t>
      </w:r>
      <w:r w:rsidR="00294514">
        <w:rPr>
          <w:rFonts w:ascii="Times New Roman" w:hAnsi="Times New Roman" w:cs="Times New Roman"/>
          <w:color w:val="212121"/>
        </w:rPr>
        <w:t>WIOA j</w:t>
      </w:r>
      <w:r w:rsidRPr="00BC4CA0">
        <w:rPr>
          <w:rFonts w:ascii="Times New Roman" w:hAnsi="Times New Roman" w:cs="Times New Roman"/>
          <w:color w:val="212121"/>
        </w:rPr>
        <w:t xml:space="preserve">oint </w:t>
      </w:r>
      <w:r w:rsidR="00294514">
        <w:rPr>
          <w:rFonts w:ascii="Times New Roman" w:hAnsi="Times New Roman" w:cs="Times New Roman"/>
          <w:color w:val="212121"/>
        </w:rPr>
        <w:t>p</w:t>
      </w:r>
      <w:r w:rsidRPr="00BC4CA0">
        <w:rPr>
          <w:rFonts w:ascii="Times New Roman" w:hAnsi="Times New Roman" w:cs="Times New Roman"/>
          <w:color w:val="212121"/>
        </w:rPr>
        <w:t xml:space="preserve">erformance </w:t>
      </w:r>
      <w:r w:rsidR="00294514">
        <w:rPr>
          <w:rFonts w:ascii="Times New Roman" w:hAnsi="Times New Roman" w:cs="Times New Roman"/>
          <w:color w:val="212121"/>
        </w:rPr>
        <w:t>information collection request (</w:t>
      </w:r>
      <w:r w:rsidRPr="00BC4CA0">
        <w:rPr>
          <w:rFonts w:ascii="Times New Roman" w:hAnsi="Times New Roman" w:cs="Times New Roman"/>
          <w:color w:val="212121"/>
        </w:rPr>
        <w:t>ICR</w:t>
      </w:r>
      <w:r w:rsidR="00294514">
        <w:rPr>
          <w:rFonts w:ascii="Times New Roman" w:hAnsi="Times New Roman" w:cs="Times New Roman"/>
          <w:color w:val="212121"/>
        </w:rPr>
        <w:t>)</w:t>
      </w:r>
      <w:r w:rsidRPr="00BC4CA0">
        <w:rPr>
          <w:rFonts w:ascii="Times New Roman" w:hAnsi="Times New Roman" w:cs="Times New Roman"/>
          <w:color w:val="212121"/>
        </w:rPr>
        <w:t xml:space="preserve"> </w:t>
      </w:r>
      <w:r w:rsidR="008A5C1A">
        <w:rPr>
          <w:rFonts w:ascii="Times New Roman" w:hAnsi="Times New Roman" w:cs="Times New Roman"/>
          <w:color w:val="212121"/>
        </w:rPr>
        <w:t>under OMB c</w:t>
      </w:r>
      <w:r w:rsidR="008A5C1A" w:rsidRPr="008A5C1A">
        <w:rPr>
          <w:rFonts w:ascii="Times New Roman" w:hAnsi="Times New Roman" w:cs="Times New Roman"/>
          <w:color w:val="212121"/>
        </w:rPr>
        <w:t xml:space="preserve">ontrol </w:t>
      </w:r>
      <w:r w:rsidR="008A5C1A">
        <w:rPr>
          <w:rFonts w:ascii="Times New Roman" w:hAnsi="Times New Roman" w:cs="Times New Roman"/>
          <w:color w:val="212121"/>
        </w:rPr>
        <w:t>n</w:t>
      </w:r>
      <w:r w:rsidR="008A5C1A" w:rsidRPr="008A5C1A">
        <w:rPr>
          <w:rFonts w:ascii="Times New Roman" w:hAnsi="Times New Roman" w:cs="Times New Roman"/>
          <w:color w:val="212121"/>
        </w:rPr>
        <w:t>umber 1205-0526</w:t>
      </w:r>
      <w:r w:rsidR="008A5C1A">
        <w:rPr>
          <w:rFonts w:ascii="Times New Roman" w:hAnsi="Times New Roman" w:cs="Times New Roman"/>
          <w:color w:val="212121"/>
        </w:rPr>
        <w:t xml:space="preserve">, </w:t>
      </w:r>
      <w:r w:rsidRPr="00BC4CA0">
        <w:rPr>
          <w:rFonts w:ascii="Times New Roman" w:hAnsi="Times New Roman" w:cs="Times New Roman"/>
          <w:color w:val="212121"/>
        </w:rPr>
        <w:t xml:space="preserve">is used to determine State performance against State adjusted levels of performance. </w:t>
      </w:r>
      <w:r w:rsidR="00AC4DCD">
        <w:rPr>
          <w:rFonts w:ascii="Times New Roman" w:hAnsi="Times New Roman" w:cs="Times New Roman"/>
          <w:color w:val="212121"/>
        </w:rPr>
        <w:t xml:space="preserve"> </w:t>
      </w:r>
      <w:r w:rsidRPr="00BC4CA0">
        <w:rPr>
          <w:rFonts w:ascii="Times New Roman" w:hAnsi="Times New Roman" w:cs="Times New Roman"/>
          <w:color w:val="212121"/>
        </w:rPr>
        <w:t>Guidance for negotiating levels of performance will be issued by the Departments</w:t>
      </w:r>
      <w:r w:rsidR="0085736A">
        <w:rPr>
          <w:rFonts w:ascii="Times New Roman" w:hAnsi="Times New Roman" w:cs="Times New Roman"/>
          <w:color w:val="212121"/>
        </w:rPr>
        <w:t xml:space="preserve"> of Education and Labor (the Departments)</w:t>
      </w:r>
      <w:r w:rsidR="00294514">
        <w:rPr>
          <w:rFonts w:ascii="Times New Roman" w:hAnsi="Times New Roman" w:cs="Times New Roman"/>
          <w:color w:val="212121"/>
        </w:rPr>
        <w:t>.</w:t>
      </w:r>
    </w:p>
    <w:p w14:paraId="4847DAE3"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AE4"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No change.</w:t>
      </w:r>
    </w:p>
    <w:p w14:paraId="4847DAE5" w14:textId="77777777" w:rsidR="00AE176F" w:rsidRDefault="00AE176F" w:rsidP="00BC4CA0">
      <w:pPr>
        <w:rPr>
          <w:rFonts w:ascii="Times New Roman" w:hAnsi="Times New Roman" w:cs="Times New Roman"/>
          <w:b/>
          <w:color w:val="212121"/>
        </w:rPr>
      </w:pPr>
    </w:p>
    <w:p w14:paraId="4847DAE6"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lastRenderedPageBreak/>
        <w:t>Comment</w:t>
      </w:r>
      <w:r w:rsidR="00BD7816">
        <w:rPr>
          <w:rFonts w:ascii="Times New Roman" w:hAnsi="Times New Roman" w:cs="Times New Roman"/>
          <w:b/>
          <w:color w:val="212121"/>
        </w:rPr>
        <w:t xml:space="preserve"> </w:t>
      </w:r>
    </w:p>
    <w:p w14:paraId="4847DAE7" w14:textId="5AD63B2A" w:rsidR="00BC4CA0" w:rsidRPr="00BC4CA0" w:rsidRDefault="00BC4CA0" w:rsidP="00BC4CA0">
      <w:pPr>
        <w:pStyle w:val="LEAPBodyTextPostHeading"/>
        <w:rPr>
          <w:rFonts w:ascii="Times New Roman" w:hAnsi="Times New Roman" w:cs="Times New Roman"/>
          <w:sz w:val="24"/>
          <w:szCs w:val="24"/>
        </w:rPr>
      </w:pPr>
      <w:r w:rsidRPr="00BC4CA0">
        <w:rPr>
          <w:rFonts w:ascii="Times New Roman" w:hAnsi="Times New Roman" w:cs="Times New Roman"/>
          <w:color w:val="212121"/>
          <w:sz w:val="24"/>
          <w:szCs w:val="24"/>
        </w:rPr>
        <w:t>A few commenters disagreed with the types of gain designated for Title II use under the measurable skill gain</w:t>
      </w:r>
      <w:r w:rsidR="001E04C8">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 indicator.  Some commenters recommended that all five types of gain be used to measure success under the indicator because other core programs are allo</w:t>
      </w:r>
      <w:r w:rsidR="00072930">
        <w:rPr>
          <w:rFonts w:ascii="Times New Roman" w:hAnsi="Times New Roman" w:cs="Times New Roman"/>
          <w:color w:val="212121"/>
          <w:sz w:val="24"/>
          <w:szCs w:val="24"/>
        </w:rPr>
        <w:t>wing all five types to be used.  Another</w:t>
      </w:r>
      <w:r w:rsidR="00072930" w:rsidRPr="00072930">
        <w:rPr>
          <w:rFonts w:ascii="Times New Roman" w:hAnsi="Times New Roman" w:cs="Times New Roman"/>
          <w:color w:val="212121"/>
          <w:sz w:val="24"/>
          <w:szCs w:val="24"/>
        </w:rPr>
        <w:t xml:space="preserve"> commenter stated that the title of Table 4, Measurable Skill Gains, is inaccurate and could be confusing because measurable skill gain is defined five ways under WIOA, only two of which are used in adult education.  The two methods do not comprise the full definition of measurable skill gain.</w:t>
      </w:r>
      <w:r w:rsidR="00D808F5">
        <w:rPr>
          <w:rFonts w:ascii="Times New Roman" w:hAnsi="Times New Roman" w:cs="Times New Roman"/>
          <w:color w:val="212121"/>
          <w:sz w:val="24"/>
          <w:szCs w:val="24"/>
        </w:rPr>
        <w:t xml:space="preserve">  </w:t>
      </w:r>
      <w:r w:rsidR="00D808F5" w:rsidRPr="00D808F5">
        <w:rPr>
          <w:rFonts w:ascii="Times New Roman" w:hAnsi="Times New Roman" w:cs="Times New Roman"/>
          <w:color w:val="212121"/>
          <w:sz w:val="24"/>
          <w:szCs w:val="24"/>
        </w:rPr>
        <w:t>A few commenters suggested adding rows to report all five types of measurable skill gains in Table 11 and an additional commenter suggested adding progress toward milestones to the table.</w:t>
      </w:r>
    </w:p>
    <w:p w14:paraId="4847DAE8" w14:textId="77777777" w:rsidR="00BC4CA0" w:rsidRPr="00BC4CA0" w:rsidRDefault="00BC4CA0" w:rsidP="00BC4CA0">
      <w:pPr>
        <w:pStyle w:val="LEAPBodyTextPostHeading"/>
        <w:rPr>
          <w:rFonts w:ascii="Times New Roman" w:hAnsi="Times New Roman" w:cs="Times New Roman"/>
        </w:rPr>
      </w:pPr>
    </w:p>
    <w:p w14:paraId="4847DAE9"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AEA" w14:textId="0C32A13F" w:rsidR="00BC4CA0" w:rsidRPr="00BC4CA0" w:rsidDel="00DB0FE3" w:rsidRDefault="00BC4CA0" w:rsidP="001922B8">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The Departments described an approach to implementing the measurable skill gain</w:t>
      </w:r>
      <w:r w:rsidR="001E04C8">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 indicator</w:t>
      </w:r>
      <w:r w:rsidR="001E04C8">
        <w:rPr>
          <w:rFonts w:ascii="Times New Roman" w:hAnsi="Times New Roman" w:cs="Times New Roman"/>
          <w:color w:val="212121"/>
          <w:sz w:val="24"/>
          <w:szCs w:val="24"/>
        </w:rPr>
        <w:t xml:space="preserve"> of performance</w:t>
      </w:r>
      <w:r w:rsidRPr="00BC4CA0">
        <w:rPr>
          <w:rFonts w:ascii="Times New Roman" w:hAnsi="Times New Roman" w:cs="Times New Roman"/>
          <w:color w:val="212121"/>
          <w:sz w:val="24"/>
          <w:szCs w:val="24"/>
        </w:rPr>
        <w:t xml:space="preserve"> in </w:t>
      </w:r>
      <w:r w:rsidRPr="00BC4CA0" w:rsidDel="00DB0FE3">
        <w:rPr>
          <w:rFonts w:ascii="Times New Roman" w:hAnsi="Times New Roman" w:cs="Times New Roman"/>
          <w:color w:val="212121"/>
          <w:sz w:val="24"/>
          <w:szCs w:val="24"/>
        </w:rPr>
        <w:t xml:space="preserve">the preamble of the </w:t>
      </w:r>
      <w:r w:rsidR="001922B8">
        <w:rPr>
          <w:rFonts w:ascii="Times New Roman" w:hAnsi="Times New Roman" w:cs="Times New Roman"/>
          <w:color w:val="212121"/>
          <w:sz w:val="24"/>
          <w:szCs w:val="24"/>
        </w:rPr>
        <w:t>joint</w:t>
      </w:r>
      <w:r w:rsidR="00065500">
        <w:rPr>
          <w:rFonts w:ascii="Times New Roman" w:hAnsi="Times New Roman" w:cs="Times New Roman"/>
          <w:color w:val="212121"/>
          <w:sz w:val="24"/>
          <w:szCs w:val="24"/>
        </w:rPr>
        <w:t xml:space="preserve"> WIOA</w:t>
      </w:r>
      <w:r w:rsidR="001922B8">
        <w:rPr>
          <w:rFonts w:ascii="Times New Roman" w:hAnsi="Times New Roman" w:cs="Times New Roman"/>
          <w:color w:val="212121"/>
          <w:sz w:val="24"/>
          <w:szCs w:val="24"/>
        </w:rPr>
        <w:t xml:space="preserve"> </w:t>
      </w:r>
      <w:r w:rsidR="00C3188D">
        <w:rPr>
          <w:rFonts w:ascii="Times New Roman" w:hAnsi="Times New Roman" w:cs="Times New Roman"/>
          <w:color w:val="212121"/>
          <w:sz w:val="24"/>
          <w:szCs w:val="24"/>
        </w:rPr>
        <w:t>Notice of Proposed Rule</w:t>
      </w:r>
      <w:r w:rsidR="00885110">
        <w:rPr>
          <w:rFonts w:ascii="Times New Roman" w:hAnsi="Times New Roman" w:cs="Times New Roman"/>
          <w:color w:val="212121"/>
          <w:sz w:val="24"/>
          <w:szCs w:val="24"/>
        </w:rPr>
        <w:t>m</w:t>
      </w:r>
      <w:r w:rsidR="00C3188D">
        <w:rPr>
          <w:rFonts w:ascii="Times New Roman" w:hAnsi="Times New Roman" w:cs="Times New Roman"/>
          <w:color w:val="212121"/>
          <w:sz w:val="24"/>
          <w:szCs w:val="24"/>
        </w:rPr>
        <w:t>aking</w:t>
      </w:r>
      <w:r w:rsidR="001922B8">
        <w:rPr>
          <w:rFonts w:ascii="Times New Roman" w:hAnsi="Times New Roman" w:cs="Times New Roman"/>
          <w:color w:val="212121"/>
          <w:sz w:val="24"/>
          <w:szCs w:val="24"/>
        </w:rPr>
        <w:t xml:space="preserve"> (April 16, 2015, </w:t>
      </w:r>
      <w:r w:rsidR="001922B8" w:rsidRPr="001922B8">
        <w:rPr>
          <w:rFonts w:ascii="Times New Roman" w:hAnsi="Times New Roman" w:cs="Times New Roman"/>
          <w:color w:val="212121"/>
          <w:sz w:val="24"/>
          <w:szCs w:val="24"/>
        </w:rPr>
        <w:t>80 FR 20574</w:t>
      </w:r>
      <w:r w:rsidR="001922B8">
        <w:rPr>
          <w:rFonts w:ascii="Times New Roman" w:hAnsi="Times New Roman" w:cs="Times New Roman"/>
          <w:color w:val="212121"/>
          <w:sz w:val="24"/>
          <w:szCs w:val="24"/>
        </w:rPr>
        <w:t>)</w:t>
      </w:r>
      <w:r w:rsidR="00C3188D">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as including a variety of</w:t>
      </w:r>
      <w:r w:rsidRPr="00BC4CA0" w:rsidDel="00DB0FE3">
        <w:rPr>
          <w:rFonts w:ascii="Times New Roman" w:hAnsi="Times New Roman" w:cs="Times New Roman"/>
          <w:color w:val="212121"/>
          <w:sz w:val="24"/>
          <w:szCs w:val="24"/>
        </w:rPr>
        <w:t xml:space="preserve"> types of gain </w:t>
      </w:r>
      <w:r w:rsidRPr="00BC4CA0">
        <w:rPr>
          <w:rFonts w:ascii="Times New Roman" w:hAnsi="Times New Roman" w:cs="Times New Roman"/>
          <w:color w:val="212121"/>
          <w:sz w:val="24"/>
          <w:szCs w:val="24"/>
        </w:rPr>
        <w:t xml:space="preserve">intended </w:t>
      </w:r>
      <w:r w:rsidRPr="00BC4CA0" w:rsidDel="00DB0FE3">
        <w:rPr>
          <w:rFonts w:ascii="Times New Roman" w:hAnsi="Times New Roman" w:cs="Times New Roman"/>
          <w:color w:val="212121"/>
          <w:sz w:val="24"/>
          <w:szCs w:val="24"/>
        </w:rPr>
        <w:t xml:space="preserve"> “to capture important progressions through pathways that offer different services based on program purposes and participant needs and can help fulfill the Departments’ vision of creating a workforce system that serves a diverse set of individuals with a range of services tailored to individual needs and goals</w:t>
      </w:r>
      <w:r w:rsidR="00885110">
        <w:rPr>
          <w:rFonts w:ascii="Times New Roman" w:hAnsi="Times New Roman" w:cs="Times New Roman"/>
          <w:color w:val="212121"/>
          <w:sz w:val="24"/>
          <w:szCs w:val="24"/>
        </w:rPr>
        <w:t>…[f]</w:t>
      </w:r>
      <w:r w:rsidR="0085736A" w:rsidRPr="0085736A">
        <w:rPr>
          <w:rFonts w:ascii="Times New Roman" w:hAnsi="Times New Roman" w:cs="Times New Roman"/>
          <w:color w:val="212121"/>
          <w:sz w:val="24"/>
          <w:szCs w:val="24"/>
        </w:rPr>
        <w:t>or low</w:t>
      </w:r>
      <w:r w:rsidR="0085736A">
        <w:rPr>
          <w:rFonts w:ascii="Times New Roman" w:hAnsi="Times New Roman" w:cs="Times New Roman"/>
          <w:color w:val="212121"/>
          <w:sz w:val="24"/>
          <w:szCs w:val="24"/>
        </w:rPr>
        <w:t>-</w:t>
      </w:r>
      <w:r w:rsidR="0085736A" w:rsidRPr="0085736A">
        <w:rPr>
          <w:rFonts w:ascii="Times New Roman" w:hAnsi="Times New Roman" w:cs="Times New Roman"/>
          <w:color w:val="212121"/>
          <w:sz w:val="24"/>
          <w:szCs w:val="24"/>
        </w:rPr>
        <w:t>skilled adults, this proposed indicator provides an opportunity to track progress in reading, writing, mathematics, and English proficiency while they are participating in an adult education program prior to completing the high school credential and entering post-secondary education or training or employment.</w:t>
      </w:r>
      <w:r w:rsidR="0085736A">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Public comment supported this approach.</w:t>
      </w:r>
    </w:p>
    <w:p w14:paraId="4847DAEB" w14:textId="77777777" w:rsidR="00BC4CA0" w:rsidRPr="00BC4CA0" w:rsidRDefault="00BC4CA0" w:rsidP="00BC4CA0">
      <w:pPr>
        <w:pStyle w:val="LEAPBodyTextPostHeading"/>
        <w:rPr>
          <w:rFonts w:ascii="Times New Roman" w:hAnsi="Times New Roman" w:cs="Times New Roman"/>
          <w:color w:val="212121"/>
          <w:sz w:val="24"/>
          <w:szCs w:val="24"/>
        </w:rPr>
      </w:pPr>
    </w:p>
    <w:p w14:paraId="4847DAEC" w14:textId="0D60AAF5"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The Departments received comments in the proposed joint performance ICR related to types of gain that would apply to the adult education program. The Department</w:t>
      </w:r>
      <w:r w:rsidR="0085736A">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 responded that </w:t>
      </w:r>
      <w:r w:rsidR="0085736A">
        <w:rPr>
          <w:rFonts w:ascii="Times New Roman" w:hAnsi="Times New Roman" w:cs="Times New Roman"/>
          <w:color w:val="212121"/>
          <w:sz w:val="24"/>
          <w:szCs w:val="24"/>
        </w:rPr>
        <w:t xml:space="preserve">they </w:t>
      </w:r>
      <w:r w:rsidRPr="00BC4CA0">
        <w:rPr>
          <w:rFonts w:ascii="Times New Roman" w:hAnsi="Times New Roman" w:cs="Times New Roman"/>
          <w:color w:val="212121"/>
          <w:sz w:val="24"/>
          <w:szCs w:val="24"/>
        </w:rPr>
        <w:t xml:space="preserve">would issue program guidelines to identify the types of gain appropriate for each core program.  On December 19, 2016, OCTAE issued Program Memorandum 17-2 OCTAE </w:t>
      </w:r>
      <w:r w:rsidRPr="00BC4CA0">
        <w:rPr>
          <w:rFonts w:ascii="Times New Roman" w:hAnsi="Times New Roman" w:cs="Times New Roman"/>
          <w:i/>
          <w:color w:val="212121"/>
          <w:sz w:val="24"/>
        </w:rPr>
        <w:t xml:space="preserve">Performance Accountability Guidance for Workforce Innovation and </w:t>
      </w:r>
      <w:r w:rsidRPr="00BC4CA0">
        <w:rPr>
          <w:rFonts w:ascii="Times New Roman" w:hAnsi="Times New Roman" w:cs="Times New Roman"/>
          <w:i/>
          <w:color w:val="212121"/>
          <w:sz w:val="24"/>
          <w:szCs w:val="24"/>
        </w:rPr>
        <w:t>Opportunity</w:t>
      </w:r>
      <w:r w:rsidRPr="00BC4CA0">
        <w:rPr>
          <w:rFonts w:ascii="Times New Roman" w:hAnsi="Times New Roman" w:cs="Times New Roman"/>
          <w:i/>
          <w:color w:val="212121"/>
          <w:sz w:val="24"/>
        </w:rPr>
        <w:t xml:space="preserve"> Act Title I, Title II, Title </w:t>
      </w:r>
      <w:r w:rsidRPr="00BC4CA0">
        <w:rPr>
          <w:rFonts w:ascii="Times New Roman" w:hAnsi="Times New Roman" w:cs="Times New Roman"/>
          <w:i/>
          <w:color w:val="212121"/>
          <w:sz w:val="24"/>
          <w:szCs w:val="24"/>
        </w:rPr>
        <w:t>III</w:t>
      </w:r>
      <w:r w:rsidRPr="00BC4CA0">
        <w:rPr>
          <w:rFonts w:ascii="Times New Roman" w:hAnsi="Times New Roman" w:cs="Times New Roman"/>
          <w:i/>
          <w:color w:val="212121"/>
          <w:sz w:val="24"/>
        </w:rPr>
        <w:t xml:space="preserve"> and Title IV Core Programs</w:t>
      </w:r>
      <w:r w:rsidRPr="00BC4CA0">
        <w:rPr>
          <w:rFonts w:ascii="Times New Roman" w:hAnsi="Times New Roman" w:cs="Times New Roman"/>
          <w:color w:val="212121"/>
          <w:sz w:val="24"/>
          <w:szCs w:val="24"/>
        </w:rPr>
        <w:t xml:space="preserve">.  The guidance states that the decision to use types of gain only for </w:t>
      </w:r>
      <w:r w:rsidR="002471C4">
        <w:rPr>
          <w:rFonts w:ascii="Times New Roman" w:hAnsi="Times New Roman" w:cs="Times New Roman"/>
          <w:color w:val="212121"/>
          <w:sz w:val="24"/>
          <w:szCs w:val="24"/>
        </w:rPr>
        <w:t xml:space="preserve">services </w:t>
      </w:r>
      <w:r w:rsidRPr="00BC4CA0">
        <w:rPr>
          <w:rFonts w:ascii="Times New Roman" w:hAnsi="Times New Roman" w:cs="Times New Roman"/>
          <w:color w:val="212121"/>
          <w:sz w:val="24"/>
          <w:szCs w:val="24"/>
        </w:rPr>
        <w:t>which the adult education program is authorized to provide is intended to keep accountability focused on the educational measures and activities authorized in statute, acknowledging b</w:t>
      </w:r>
      <w:r w:rsidR="00F942B7">
        <w:rPr>
          <w:rFonts w:ascii="Times New Roman" w:hAnsi="Times New Roman" w:cs="Times New Roman"/>
          <w:color w:val="212121"/>
          <w:sz w:val="24"/>
          <w:szCs w:val="24"/>
        </w:rPr>
        <w:t>asic skills are the foundation</w:t>
      </w:r>
      <w:r w:rsidRPr="00BC4CA0">
        <w:rPr>
          <w:rFonts w:ascii="Times New Roman" w:hAnsi="Times New Roman" w:cs="Times New Roman"/>
          <w:color w:val="212121"/>
          <w:sz w:val="24"/>
          <w:szCs w:val="24"/>
        </w:rPr>
        <w:t xml:space="preserve"> to success in other workforce services. </w:t>
      </w:r>
    </w:p>
    <w:p w14:paraId="4847DAED" w14:textId="77777777" w:rsidR="00BC4CA0" w:rsidRPr="00BC4CA0" w:rsidRDefault="00BC4CA0" w:rsidP="00BC4CA0">
      <w:pPr>
        <w:pStyle w:val="LEAPBodyTextPostHeading"/>
        <w:rPr>
          <w:rFonts w:ascii="Times New Roman" w:hAnsi="Times New Roman" w:cs="Times New Roman"/>
          <w:color w:val="212121"/>
          <w:sz w:val="24"/>
          <w:szCs w:val="24"/>
        </w:rPr>
      </w:pPr>
    </w:p>
    <w:p w14:paraId="4847DAEE" w14:textId="78DB5AFE"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OCTAE identified achievement of at least one educational functioning level and documented attainment of a secondary school diploma or its recognized equivalent as appropriate types of gain </w:t>
      </w:r>
      <w:r w:rsidR="00A66B0D">
        <w:rPr>
          <w:rFonts w:ascii="Times New Roman" w:hAnsi="Times New Roman" w:cs="Times New Roman"/>
          <w:color w:val="212121"/>
          <w:sz w:val="24"/>
          <w:szCs w:val="24"/>
        </w:rPr>
        <w:t xml:space="preserve">for use under the measurable skill gains indicator </w:t>
      </w:r>
      <w:r w:rsidRPr="00BC4CA0">
        <w:rPr>
          <w:rFonts w:ascii="Times New Roman" w:hAnsi="Times New Roman" w:cs="Times New Roman"/>
          <w:color w:val="212121"/>
          <w:sz w:val="24"/>
          <w:szCs w:val="24"/>
        </w:rPr>
        <w:t xml:space="preserve">based on the </w:t>
      </w:r>
      <w:r w:rsidR="00A33773">
        <w:rPr>
          <w:rFonts w:ascii="Times New Roman" w:hAnsi="Times New Roman" w:cs="Times New Roman"/>
          <w:color w:val="212121"/>
          <w:sz w:val="24"/>
          <w:szCs w:val="24"/>
        </w:rPr>
        <w:t>adult education</w:t>
      </w:r>
      <w:r w:rsidR="00A66B0D">
        <w:rPr>
          <w:rFonts w:ascii="Times New Roman" w:hAnsi="Times New Roman" w:cs="Times New Roman"/>
          <w:color w:val="212121"/>
          <w:sz w:val="24"/>
          <w:szCs w:val="24"/>
        </w:rPr>
        <w:t xml:space="preserve"> and literacy</w:t>
      </w:r>
      <w:r w:rsidR="00A33773">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 xml:space="preserve">services authorized in </w:t>
      </w:r>
      <w:r w:rsidR="00A66B0D">
        <w:rPr>
          <w:rFonts w:ascii="Times New Roman" w:hAnsi="Times New Roman" w:cs="Times New Roman"/>
          <w:color w:val="212121"/>
          <w:sz w:val="24"/>
          <w:szCs w:val="24"/>
        </w:rPr>
        <w:t>AEFLA</w:t>
      </w:r>
      <w:r w:rsidRPr="00BC4CA0">
        <w:rPr>
          <w:rFonts w:ascii="Times New Roman" w:hAnsi="Times New Roman" w:cs="Times New Roman"/>
          <w:color w:val="212121"/>
          <w:sz w:val="24"/>
          <w:szCs w:val="24"/>
        </w:rPr>
        <w:t xml:space="preserve">.  We recognize that successful passage of an exam that is required for a particular occupation or progress in attaining technical or occupational skills, </w:t>
      </w:r>
      <w:r w:rsidR="00FD1E26">
        <w:rPr>
          <w:rFonts w:ascii="Times New Roman" w:hAnsi="Times New Roman" w:cs="Times New Roman"/>
          <w:color w:val="212121"/>
          <w:sz w:val="24"/>
          <w:szCs w:val="24"/>
        </w:rPr>
        <w:t xml:space="preserve">listed as </w:t>
      </w:r>
      <w:r w:rsidRPr="00BC4CA0">
        <w:rPr>
          <w:rFonts w:ascii="Times New Roman" w:hAnsi="Times New Roman" w:cs="Times New Roman"/>
          <w:color w:val="212121"/>
          <w:sz w:val="24"/>
          <w:szCs w:val="24"/>
        </w:rPr>
        <w:t xml:space="preserve">the fifth type of gain  in </w:t>
      </w:r>
      <w:r w:rsidR="00972D82">
        <w:rPr>
          <w:rFonts w:ascii="Times New Roman" w:hAnsi="Times New Roman" w:cs="Times New Roman"/>
          <w:color w:val="212121"/>
          <w:sz w:val="24"/>
          <w:szCs w:val="24"/>
        </w:rPr>
        <w:t>the joint WIOA final rule</w:t>
      </w:r>
      <w:r w:rsidR="00E83411">
        <w:rPr>
          <w:rFonts w:ascii="Times New Roman" w:hAnsi="Times New Roman" w:cs="Times New Roman"/>
          <w:color w:val="212121"/>
          <w:sz w:val="24"/>
          <w:szCs w:val="24"/>
        </w:rPr>
        <w:t xml:space="preserve"> at 34 CFR 463.155(a)(1)(v)(E)</w:t>
      </w:r>
      <w:r w:rsidR="00FD1E26">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may be appropriate for adult education under limited circumstances.  States </w:t>
      </w:r>
      <w:r w:rsidR="00E83411">
        <w:rPr>
          <w:rFonts w:ascii="Times New Roman" w:hAnsi="Times New Roman" w:cs="Times New Roman"/>
          <w:color w:val="212121"/>
          <w:sz w:val="24"/>
          <w:szCs w:val="24"/>
        </w:rPr>
        <w:t>may</w:t>
      </w:r>
      <w:r w:rsidRPr="00BC4CA0">
        <w:rPr>
          <w:rFonts w:ascii="Times New Roman" w:hAnsi="Times New Roman" w:cs="Times New Roman"/>
          <w:color w:val="212121"/>
          <w:sz w:val="24"/>
          <w:szCs w:val="24"/>
        </w:rPr>
        <w:t xml:space="preserve"> report on this type of gain in the </w:t>
      </w:r>
      <w:r w:rsidR="006D576A">
        <w:rPr>
          <w:rFonts w:ascii="Times New Roman" w:hAnsi="Times New Roman" w:cs="Times New Roman"/>
          <w:color w:val="212121"/>
          <w:sz w:val="24"/>
          <w:szCs w:val="24"/>
        </w:rPr>
        <w:t>NRS</w:t>
      </w:r>
      <w:r w:rsidRPr="00BC4CA0">
        <w:rPr>
          <w:rFonts w:ascii="Times New Roman" w:hAnsi="Times New Roman" w:cs="Times New Roman"/>
          <w:color w:val="212121"/>
          <w:sz w:val="24"/>
          <w:szCs w:val="24"/>
        </w:rPr>
        <w:t xml:space="preserve"> program</w:t>
      </w:r>
      <w:r w:rsidR="00E83411">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specific ICR for participants enrolled in integrated education and training </w:t>
      </w:r>
      <w:r w:rsidR="00AE176F">
        <w:rPr>
          <w:rFonts w:ascii="Times New Roman" w:hAnsi="Times New Roman" w:cs="Times New Roman"/>
          <w:color w:val="212121"/>
          <w:sz w:val="24"/>
          <w:szCs w:val="24"/>
        </w:rPr>
        <w:t xml:space="preserve">(IET) </w:t>
      </w:r>
      <w:r w:rsidRPr="00BC4CA0">
        <w:rPr>
          <w:rFonts w:ascii="Times New Roman" w:hAnsi="Times New Roman" w:cs="Times New Roman"/>
          <w:color w:val="212121"/>
          <w:sz w:val="24"/>
          <w:szCs w:val="24"/>
        </w:rPr>
        <w:t xml:space="preserve">programs.  We intend to use the data reported by States on </w:t>
      </w:r>
      <w:r w:rsidR="00A33773">
        <w:rPr>
          <w:rFonts w:ascii="Times New Roman" w:hAnsi="Times New Roman" w:cs="Times New Roman"/>
          <w:color w:val="212121"/>
          <w:sz w:val="24"/>
          <w:szCs w:val="24"/>
        </w:rPr>
        <w:t>T</w:t>
      </w:r>
      <w:r w:rsidRPr="00BC4CA0">
        <w:rPr>
          <w:rFonts w:ascii="Times New Roman" w:hAnsi="Times New Roman" w:cs="Times New Roman"/>
          <w:color w:val="212121"/>
          <w:sz w:val="24"/>
          <w:szCs w:val="24"/>
        </w:rPr>
        <w:t xml:space="preserve">able </w:t>
      </w:r>
      <w:r w:rsidR="006430FE">
        <w:rPr>
          <w:rFonts w:ascii="Times New Roman" w:hAnsi="Times New Roman" w:cs="Times New Roman"/>
          <w:color w:val="212121"/>
          <w:sz w:val="24"/>
          <w:szCs w:val="24"/>
        </w:rPr>
        <w:t>11</w:t>
      </w:r>
      <w:r w:rsidR="006430FE" w:rsidRPr="00BC4CA0">
        <w:rPr>
          <w:rFonts w:ascii="Times New Roman" w:hAnsi="Times New Roman" w:cs="Times New Roman"/>
          <w:color w:val="212121"/>
          <w:sz w:val="24"/>
          <w:szCs w:val="24"/>
        </w:rPr>
        <w:t xml:space="preserve"> </w:t>
      </w:r>
      <w:r w:rsidR="00E83411">
        <w:rPr>
          <w:rFonts w:ascii="Times New Roman" w:hAnsi="Times New Roman" w:cs="Times New Roman"/>
          <w:color w:val="212121"/>
          <w:sz w:val="24"/>
          <w:szCs w:val="24"/>
        </w:rPr>
        <w:t xml:space="preserve">of this ICR </w:t>
      </w:r>
      <w:r w:rsidRPr="00BC4CA0">
        <w:rPr>
          <w:rFonts w:ascii="Times New Roman" w:hAnsi="Times New Roman" w:cs="Times New Roman"/>
          <w:color w:val="212121"/>
          <w:sz w:val="24"/>
          <w:szCs w:val="24"/>
        </w:rPr>
        <w:t xml:space="preserve">to determine whether this type of gain should be identified for performance accountability in the future. </w:t>
      </w:r>
    </w:p>
    <w:p w14:paraId="4847DAEF" w14:textId="77777777" w:rsidR="00BC4CA0" w:rsidRPr="00BC4CA0" w:rsidRDefault="00BC4CA0" w:rsidP="00BC4CA0">
      <w:pPr>
        <w:pStyle w:val="LEAPBodyTextPostHeading"/>
        <w:rPr>
          <w:rFonts w:ascii="Times New Roman" w:hAnsi="Times New Roman" w:cs="Times New Roman"/>
          <w:color w:val="212121"/>
          <w:sz w:val="24"/>
          <w:szCs w:val="24"/>
        </w:rPr>
      </w:pPr>
    </w:p>
    <w:p w14:paraId="40F4A469" w14:textId="367EFBB3" w:rsidR="00E102D4"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OCTAE believes that the remaining two types of gain are not appropriate types of gain to use </w:t>
      </w:r>
      <w:r w:rsidR="004E72CF">
        <w:rPr>
          <w:rFonts w:ascii="Times New Roman" w:hAnsi="Times New Roman" w:cs="Times New Roman"/>
          <w:color w:val="212121"/>
          <w:sz w:val="24"/>
          <w:szCs w:val="24"/>
        </w:rPr>
        <w:t xml:space="preserve">for the measurable skill gains indicator of performance </w:t>
      </w:r>
      <w:r w:rsidR="00A33773">
        <w:rPr>
          <w:rFonts w:ascii="Times New Roman" w:hAnsi="Times New Roman" w:cs="Times New Roman"/>
          <w:color w:val="212121"/>
          <w:sz w:val="24"/>
          <w:szCs w:val="24"/>
        </w:rPr>
        <w:t xml:space="preserve">in </w:t>
      </w:r>
      <w:r w:rsidRPr="00BC4CA0">
        <w:rPr>
          <w:rFonts w:ascii="Times New Roman" w:hAnsi="Times New Roman" w:cs="Times New Roman"/>
          <w:color w:val="212121"/>
          <w:sz w:val="24"/>
          <w:szCs w:val="24"/>
        </w:rPr>
        <w:t>adult education programs</w:t>
      </w:r>
      <w:r w:rsidR="00E102D4">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w:t>
      </w:r>
    </w:p>
    <w:p w14:paraId="58E5017E" w14:textId="77777777" w:rsidR="00E102D4" w:rsidRDefault="00E102D4" w:rsidP="00BC4CA0">
      <w:pPr>
        <w:pStyle w:val="LEAPBodyTextPostHeading"/>
        <w:rPr>
          <w:rFonts w:ascii="Times New Roman" w:hAnsi="Times New Roman" w:cs="Times New Roman"/>
          <w:color w:val="212121"/>
          <w:sz w:val="24"/>
          <w:szCs w:val="24"/>
        </w:rPr>
      </w:pPr>
    </w:p>
    <w:p w14:paraId="4847DAF0" w14:textId="7AEF8560"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The third type of gain </w:t>
      </w:r>
      <w:r w:rsidR="00754C54">
        <w:rPr>
          <w:rFonts w:ascii="Times New Roman" w:hAnsi="Times New Roman" w:cs="Times New Roman"/>
          <w:color w:val="212121"/>
          <w:sz w:val="24"/>
          <w:szCs w:val="24"/>
        </w:rPr>
        <w:t>described</w:t>
      </w:r>
      <w:r w:rsidR="00754C54" w:rsidRPr="00BC4CA0">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 xml:space="preserve">in </w:t>
      </w:r>
      <w:r w:rsidR="004E72CF">
        <w:rPr>
          <w:rFonts w:ascii="Times New Roman" w:hAnsi="Times New Roman" w:cs="Times New Roman"/>
          <w:color w:val="212121"/>
          <w:sz w:val="24"/>
          <w:szCs w:val="24"/>
        </w:rPr>
        <w:t xml:space="preserve">34 CFR </w:t>
      </w:r>
      <w:r w:rsidRPr="00BC4CA0">
        <w:rPr>
          <w:rFonts w:ascii="Times New Roman" w:hAnsi="Times New Roman" w:cs="Times New Roman"/>
          <w:color w:val="212121"/>
          <w:sz w:val="24"/>
          <w:szCs w:val="24"/>
        </w:rPr>
        <w:t>463.155(a)(1)(v)(C), a secondary or postsecondary transcript or report card for a sufficient number of credit hours that shows a participant is meeting the State unit’s academic standard</w:t>
      </w:r>
      <w:r w:rsidR="004561BF">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 is not a type of gain appropriate to use for  measuring accountability of adult education services for two reasons.  First, </w:t>
      </w:r>
      <w:r w:rsidR="004E72CF">
        <w:rPr>
          <w:rFonts w:ascii="Times New Roman" w:hAnsi="Times New Roman" w:cs="Times New Roman"/>
          <w:color w:val="212121"/>
          <w:sz w:val="24"/>
          <w:szCs w:val="24"/>
        </w:rPr>
        <w:t xml:space="preserve">with respect </w:t>
      </w:r>
      <w:r w:rsidR="00CC687B">
        <w:rPr>
          <w:rFonts w:ascii="Times New Roman" w:hAnsi="Times New Roman" w:cs="Times New Roman"/>
          <w:color w:val="212121"/>
          <w:sz w:val="24"/>
          <w:szCs w:val="24"/>
        </w:rPr>
        <w:t xml:space="preserve">to </w:t>
      </w:r>
      <w:r w:rsidRPr="00BC4CA0">
        <w:rPr>
          <w:rFonts w:ascii="Times New Roman" w:hAnsi="Times New Roman" w:cs="Times New Roman"/>
          <w:color w:val="212121"/>
          <w:sz w:val="24"/>
          <w:szCs w:val="24"/>
        </w:rPr>
        <w:t>a secondary transcript, an individual enrolled in secondary school under State law is not an eligible individual under AEFLA</w:t>
      </w:r>
      <w:r w:rsidR="004E72CF">
        <w:rPr>
          <w:rFonts w:ascii="Times New Roman" w:hAnsi="Times New Roman" w:cs="Times New Roman"/>
          <w:color w:val="212121"/>
          <w:sz w:val="24"/>
          <w:szCs w:val="24"/>
        </w:rPr>
        <w:t>; thus, individuals participating in AEFLA are not enrolled in secondary school and not positioned to receive secondary transcripts</w:t>
      </w:r>
      <w:r w:rsidRPr="00BC4CA0">
        <w:rPr>
          <w:rFonts w:ascii="Times New Roman" w:hAnsi="Times New Roman" w:cs="Times New Roman"/>
          <w:color w:val="212121"/>
          <w:sz w:val="24"/>
          <w:szCs w:val="24"/>
        </w:rPr>
        <w:t xml:space="preserve">.  The </w:t>
      </w:r>
      <w:r w:rsidR="001C7815">
        <w:rPr>
          <w:rFonts w:ascii="Times New Roman" w:hAnsi="Times New Roman" w:cs="Times New Roman"/>
          <w:color w:val="212121"/>
          <w:sz w:val="24"/>
          <w:szCs w:val="24"/>
        </w:rPr>
        <w:t>D</w:t>
      </w:r>
      <w:r w:rsidRPr="00BC4CA0">
        <w:rPr>
          <w:rFonts w:ascii="Times New Roman" w:hAnsi="Times New Roman" w:cs="Times New Roman"/>
          <w:color w:val="212121"/>
          <w:sz w:val="24"/>
          <w:szCs w:val="24"/>
        </w:rPr>
        <w:t xml:space="preserve">epartments expanded the definition of educational functioning level </w:t>
      </w:r>
      <w:r w:rsidR="001C7815">
        <w:rPr>
          <w:rFonts w:ascii="Times New Roman" w:hAnsi="Times New Roman" w:cs="Times New Roman"/>
          <w:color w:val="212121"/>
          <w:sz w:val="24"/>
          <w:szCs w:val="24"/>
        </w:rPr>
        <w:t xml:space="preserve">gain </w:t>
      </w:r>
      <w:r w:rsidRPr="00BC4CA0">
        <w:rPr>
          <w:rFonts w:ascii="Times New Roman" w:hAnsi="Times New Roman" w:cs="Times New Roman"/>
          <w:color w:val="212121"/>
          <w:sz w:val="24"/>
          <w:szCs w:val="24"/>
        </w:rPr>
        <w:t>to include the award</w:t>
      </w:r>
      <w:r w:rsidR="00D04D0F">
        <w:rPr>
          <w:rFonts w:ascii="Times New Roman" w:hAnsi="Times New Roman" w:cs="Times New Roman"/>
          <w:color w:val="212121"/>
          <w:sz w:val="24"/>
          <w:szCs w:val="24"/>
        </w:rPr>
        <w:t>ing</w:t>
      </w:r>
      <w:r w:rsidRPr="00BC4CA0">
        <w:rPr>
          <w:rFonts w:ascii="Times New Roman" w:hAnsi="Times New Roman" w:cs="Times New Roman"/>
          <w:color w:val="212121"/>
          <w:sz w:val="24"/>
          <w:szCs w:val="24"/>
        </w:rPr>
        <w:t xml:space="preserve"> of credits or Carnegie units </w:t>
      </w:r>
      <w:r w:rsidR="003D6615">
        <w:rPr>
          <w:rFonts w:ascii="Times New Roman" w:hAnsi="Times New Roman" w:cs="Times New Roman"/>
          <w:color w:val="212121"/>
          <w:sz w:val="24"/>
          <w:szCs w:val="24"/>
        </w:rPr>
        <w:t xml:space="preserve">in order </w:t>
      </w:r>
      <w:r w:rsidRPr="00BC4CA0">
        <w:rPr>
          <w:rFonts w:ascii="Times New Roman" w:hAnsi="Times New Roman" w:cs="Times New Roman"/>
          <w:color w:val="212121"/>
          <w:sz w:val="24"/>
          <w:szCs w:val="24"/>
        </w:rPr>
        <w:t>to provide an appropriate measure for adults enrolled in credit</w:t>
      </w:r>
      <w:r w:rsidR="00D04D0F">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based adult education.  Second, </w:t>
      </w:r>
      <w:r w:rsidR="004E72CF">
        <w:rPr>
          <w:rFonts w:ascii="Times New Roman" w:hAnsi="Times New Roman" w:cs="Times New Roman"/>
          <w:color w:val="212121"/>
          <w:sz w:val="24"/>
          <w:szCs w:val="24"/>
        </w:rPr>
        <w:t>with respect</w:t>
      </w:r>
      <w:r w:rsidRPr="00BC4CA0">
        <w:rPr>
          <w:rFonts w:ascii="Times New Roman" w:hAnsi="Times New Roman" w:cs="Times New Roman"/>
          <w:color w:val="212121"/>
          <w:sz w:val="24"/>
          <w:szCs w:val="24"/>
        </w:rPr>
        <w:t xml:space="preserve"> to a postsecondary transcript, adult education is defined in </w:t>
      </w:r>
      <w:r w:rsidR="002C40F2">
        <w:rPr>
          <w:rFonts w:ascii="Times New Roman" w:hAnsi="Times New Roman" w:cs="Times New Roman"/>
          <w:color w:val="212121"/>
          <w:sz w:val="24"/>
          <w:szCs w:val="24"/>
        </w:rPr>
        <w:t>WIOA</w:t>
      </w:r>
      <w:r w:rsidR="002C40F2" w:rsidRPr="00BC4CA0">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 xml:space="preserve">as </w:t>
      </w:r>
      <w:r w:rsidR="0085169F">
        <w:rPr>
          <w:rFonts w:ascii="Times New Roman" w:hAnsi="Times New Roman" w:cs="Times New Roman"/>
          <w:color w:val="212121"/>
          <w:sz w:val="24"/>
          <w:szCs w:val="24"/>
        </w:rPr>
        <w:t>“</w:t>
      </w:r>
      <w:r w:rsidRPr="00BC4CA0">
        <w:rPr>
          <w:rFonts w:ascii="Times New Roman" w:hAnsi="Times New Roman" w:cs="Times New Roman"/>
          <w:color w:val="212121"/>
          <w:sz w:val="24"/>
          <w:szCs w:val="24"/>
        </w:rPr>
        <w:t>academic instruction and education services below the postsecondary level</w:t>
      </w:r>
      <w:r w:rsidR="004E72CF">
        <w:rPr>
          <w:rFonts w:ascii="Times New Roman" w:hAnsi="Times New Roman" w:cs="Times New Roman"/>
          <w:color w:val="212121"/>
          <w:sz w:val="24"/>
          <w:szCs w:val="24"/>
        </w:rPr>
        <w:t>” (see section 203(1) of WIOA)</w:t>
      </w:r>
      <w:r w:rsidR="00377BF9">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w:t>
      </w:r>
      <w:r w:rsidR="004E72CF">
        <w:rPr>
          <w:rFonts w:ascii="Times New Roman" w:hAnsi="Times New Roman" w:cs="Times New Roman"/>
          <w:color w:val="212121"/>
          <w:sz w:val="24"/>
          <w:szCs w:val="24"/>
        </w:rPr>
        <w:t xml:space="preserve">which means that AEFLA participants are not positioned to earn postsecondary </w:t>
      </w:r>
      <w:r w:rsidRPr="00BC4CA0">
        <w:rPr>
          <w:rFonts w:ascii="Times New Roman" w:hAnsi="Times New Roman" w:cs="Times New Roman"/>
          <w:color w:val="212121"/>
          <w:sz w:val="24"/>
          <w:szCs w:val="24"/>
        </w:rPr>
        <w:t>credit hours</w:t>
      </w:r>
      <w:r w:rsidR="004E72CF">
        <w:rPr>
          <w:rFonts w:ascii="Times New Roman" w:hAnsi="Times New Roman" w:cs="Times New Roman"/>
          <w:color w:val="212121"/>
          <w:sz w:val="24"/>
          <w:szCs w:val="24"/>
        </w:rPr>
        <w:t xml:space="preserve">.  A postsecondary transcript is therefore </w:t>
      </w:r>
      <w:r w:rsidRPr="00BC4CA0">
        <w:rPr>
          <w:rFonts w:ascii="Times New Roman" w:hAnsi="Times New Roman" w:cs="Times New Roman"/>
          <w:color w:val="212121"/>
          <w:sz w:val="24"/>
          <w:szCs w:val="24"/>
        </w:rPr>
        <w:t xml:space="preserve"> an inappropriate accountability measure of adult education service success</w:t>
      </w:r>
      <w:r w:rsidR="004E72CF">
        <w:rPr>
          <w:rFonts w:ascii="Times New Roman" w:hAnsi="Times New Roman" w:cs="Times New Roman"/>
          <w:color w:val="212121"/>
          <w:sz w:val="24"/>
          <w:szCs w:val="24"/>
        </w:rPr>
        <w:t xml:space="preserve"> under AEFLA</w:t>
      </w:r>
      <w:r w:rsidRPr="00BC4CA0">
        <w:rPr>
          <w:rFonts w:ascii="Times New Roman" w:hAnsi="Times New Roman" w:cs="Times New Roman"/>
          <w:color w:val="212121"/>
          <w:sz w:val="24"/>
          <w:szCs w:val="24"/>
        </w:rPr>
        <w:t xml:space="preserve">.  A State, however, may register a gain under educational functioning level if a participant exits the </w:t>
      </w:r>
      <w:r w:rsidR="004E72CF">
        <w:rPr>
          <w:rFonts w:ascii="Times New Roman" w:hAnsi="Times New Roman" w:cs="Times New Roman"/>
          <w:color w:val="212121"/>
          <w:sz w:val="24"/>
          <w:szCs w:val="24"/>
        </w:rPr>
        <w:t>AEFLA</w:t>
      </w:r>
      <w:r w:rsidR="0085169F">
        <w:rPr>
          <w:rFonts w:ascii="Times New Roman" w:hAnsi="Times New Roman" w:cs="Times New Roman"/>
          <w:color w:val="212121"/>
          <w:sz w:val="24"/>
          <w:szCs w:val="24"/>
        </w:rPr>
        <w:t xml:space="preserve"> program and enters post</w:t>
      </w:r>
      <w:r w:rsidRPr="00BC4CA0">
        <w:rPr>
          <w:rFonts w:ascii="Times New Roman" w:hAnsi="Times New Roman" w:cs="Times New Roman"/>
          <w:color w:val="212121"/>
          <w:sz w:val="24"/>
          <w:szCs w:val="24"/>
        </w:rPr>
        <w:t xml:space="preserve">secondary education.  We believe the expansion of the educational functioning level definition to add credit completion and entrance into postsecondary education provides appropriate ways to measure the success of the </w:t>
      </w:r>
      <w:r w:rsidR="004E72CF">
        <w:rPr>
          <w:rFonts w:ascii="Times New Roman" w:hAnsi="Times New Roman" w:cs="Times New Roman"/>
          <w:color w:val="212121"/>
          <w:sz w:val="24"/>
          <w:szCs w:val="24"/>
        </w:rPr>
        <w:t>AEFLA</w:t>
      </w:r>
      <w:r w:rsidRPr="00BC4CA0">
        <w:rPr>
          <w:rFonts w:ascii="Times New Roman" w:hAnsi="Times New Roman" w:cs="Times New Roman"/>
          <w:color w:val="212121"/>
          <w:sz w:val="24"/>
          <w:szCs w:val="24"/>
        </w:rPr>
        <w:t xml:space="preserve"> program.</w:t>
      </w:r>
    </w:p>
    <w:p w14:paraId="4847DAF1" w14:textId="77777777" w:rsidR="00BC4CA0" w:rsidRPr="00BC4CA0" w:rsidRDefault="00BC4CA0" w:rsidP="00BC4CA0">
      <w:pPr>
        <w:pStyle w:val="LEAPBodyTextPostHeading"/>
        <w:rPr>
          <w:rFonts w:ascii="Times New Roman" w:hAnsi="Times New Roman" w:cs="Times New Roman"/>
          <w:color w:val="212121"/>
          <w:sz w:val="24"/>
          <w:szCs w:val="24"/>
        </w:rPr>
      </w:pPr>
    </w:p>
    <w:p w14:paraId="4847DAF2" w14:textId="088FA6FA"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The fourth type of gain</w:t>
      </w:r>
      <w:r w:rsidR="00754C54">
        <w:rPr>
          <w:rFonts w:ascii="Times New Roman" w:hAnsi="Times New Roman" w:cs="Times New Roman"/>
          <w:color w:val="212121"/>
          <w:sz w:val="24"/>
          <w:szCs w:val="24"/>
        </w:rPr>
        <w:t xml:space="preserve"> described in </w:t>
      </w:r>
      <w:r w:rsidR="004E72CF">
        <w:rPr>
          <w:rFonts w:ascii="Times New Roman" w:hAnsi="Times New Roman" w:cs="Times New Roman"/>
          <w:color w:val="212121"/>
          <w:sz w:val="24"/>
          <w:szCs w:val="24"/>
        </w:rPr>
        <w:t>34 CFR</w:t>
      </w:r>
      <w:r w:rsidR="00754C54">
        <w:rPr>
          <w:rFonts w:ascii="Times New Roman" w:hAnsi="Times New Roman" w:cs="Times New Roman"/>
          <w:color w:val="212121"/>
          <w:sz w:val="24"/>
          <w:szCs w:val="24"/>
        </w:rPr>
        <w:t xml:space="preserve"> 463.155(a)(1)(v)(D</w:t>
      </w:r>
      <w:r w:rsidR="00754C54" w:rsidRPr="00BC4CA0">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a </w:t>
      </w:r>
      <w:r w:rsidR="0085169F">
        <w:rPr>
          <w:rFonts w:ascii="Times New Roman" w:hAnsi="Times New Roman" w:cs="Times New Roman"/>
          <w:color w:val="212121"/>
          <w:sz w:val="24"/>
          <w:szCs w:val="24"/>
        </w:rPr>
        <w:t xml:space="preserve">satisfactory or better </w:t>
      </w:r>
      <w:r w:rsidRPr="00BC4CA0">
        <w:rPr>
          <w:rFonts w:ascii="Times New Roman" w:hAnsi="Times New Roman" w:cs="Times New Roman"/>
          <w:color w:val="212121"/>
          <w:sz w:val="24"/>
          <w:szCs w:val="24"/>
        </w:rPr>
        <w:t xml:space="preserve">progress report </w:t>
      </w:r>
      <w:r w:rsidR="00DB37F5">
        <w:rPr>
          <w:rFonts w:ascii="Times New Roman" w:hAnsi="Times New Roman" w:cs="Times New Roman"/>
          <w:color w:val="212121"/>
          <w:sz w:val="24"/>
          <w:szCs w:val="24"/>
        </w:rPr>
        <w:t xml:space="preserve">towards established milestones </w:t>
      </w:r>
      <w:r w:rsidRPr="00BC4CA0">
        <w:rPr>
          <w:rFonts w:ascii="Times New Roman" w:hAnsi="Times New Roman" w:cs="Times New Roman"/>
          <w:color w:val="212121"/>
          <w:sz w:val="24"/>
          <w:szCs w:val="24"/>
        </w:rPr>
        <w:t>from an employer or training provider</w:t>
      </w:r>
      <w:r w:rsidR="006C4AEB">
        <w:rPr>
          <w:rFonts w:ascii="Times New Roman" w:hAnsi="Times New Roman" w:cs="Times New Roman"/>
          <w:color w:val="212121"/>
          <w:sz w:val="24"/>
          <w:szCs w:val="24"/>
        </w:rPr>
        <w:t xml:space="preserve"> who is providing training</w:t>
      </w:r>
      <w:r w:rsidR="008F1575">
        <w:rPr>
          <w:rFonts w:ascii="Times New Roman" w:hAnsi="Times New Roman" w:cs="Times New Roman"/>
          <w:color w:val="212121"/>
          <w:sz w:val="24"/>
          <w:szCs w:val="24"/>
        </w:rPr>
        <w:t>,</w:t>
      </w:r>
      <w:r w:rsidR="00CC687B">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 xml:space="preserve">is not an appropriate type of gain to use to determine measurable skill gain for adult education because </w:t>
      </w:r>
      <w:r w:rsidR="00A92256">
        <w:rPr>
          <w:rFonts w:ascii="Times New Roman" w:hAnsi="Times New Roman" w:cs="Times New Roman"/>
          <w:color w:val="212121"/>
          <w:sz w:val="24"/>
          <w:szCs w:val="24"/>
        </w:rPr>
        <w:t>AEFLA</w:t>
      </w:r>
      <w:r w:rsidRPr="00BC4CA0">
        <w:rPr>
          <w:rFonts w:ascii="Times New Roman" w:hAnsi="Times New Roman" w:cs="Times New Roman"/>
          <w:color w:val="212121"/>
          <w:sz w:val="24"/>
          <w:szCs w:val="24"/>
        </w:rPr>
        <w:t xml:space="preserve"> programs and services authorized in statute do not include “placing” a participant with an employer or training provider, as do other core programs.  For example</w:t>
      </w:r>
      <w:r w:rsidR="0085169F">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the </w:t>
      </w:r>
      <w:r w:rsidR="0085169F">
        <w:rPr>
          <w:rFonts w:ascii="Times New Roman" w:hAnsi="Times New Roman" w:cs="Times New Roman"/>
          <w:color w:val="212121"/>
          <w:sz w:val="24"/>
          <w:szCs w:val="24"/>
        </w:rPr>
        <w:t>vocational rehabilitation (</w:t>
      </w:r>
      <w:r w:rsidRPr="00BC4CA0">
        <w:rPr>
          <w:rFonts w:ascii="Times New Roman" w:hAnsi="Times New Roman" w:cs="Times New Roman"/>
          <w:color w:val="212121"/>
          <w:sz w:val="24"/>
          <w:szCs w:val="24"/>
        </w:rPr>
        <w:t>VR</w:t>
      </w:r>
      <w:r w:rsidR="0085169F">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program may pay for </w:t>
      </w:r>
      <w:r w:rsidR="0085169F">
        <w:rPr>
          <w:rFonts w:ascii="Times New Roman" w:hAnsi="Times New Roman" w:cs="Times New Roman"/>
          <w:color w:val="212121"/>
          <w:sz w:val="24"/>
          <w:szCs w:val="24"/>
        </w:rPr>
        <w:t xml:space="preserve">the </w:t>
      </w:r>
      <w:r w:rsidRPr="00BC4CA0">
        <w:rPr>
          <w:rFonts w:ascii="Times New Roman" w:hAnsi="Times New Roman" w:cs="Times New Roman"/>
          <w:color w:val="212121"/>
          <w:sz w:val="24"/>
          <w:szCs w:val="24"/>
        </w:rPr>
        <w:t xml:space="preserve">placement of a participant in a training program and appropriately measure success of the VR program on this type of gain.  </w:t>
      </w:r>
      <w:r w:rsidR="00BE0B2F">
        <w:rPr>
          <w:rFonts w:ascii="Times New Roman" w:hAnsi="Times New Roman" w:cs="Times New Roman"/>
          <w:color w:val="212121"/>
          <w:sz w:val="24"/>
          <w:szCs w:val="24"/>
        </w:rPr>
        <w:t>AEFLA</w:t>
      </w:r>
      <w:r w:rsidRPr="00BC4CA0">
        <w:rPr>
          <w:rFonts w:ascii="Times New Roman" w:hAnsi="Times New Roman" w:cs="Times New Roman"/>
          <w:color w:val="212121"/>
          <w:sz w:val="24"/>
          <w:szCs w:val="24"/>
        </w:rPr>
        <w:t xml:space="preserve"> delivers educational services below the postsecondary level through direct service rather than </w:t>
      </w:r>
      <w:r w:rsidR="00CA1315">
        <w:rPr>
          <w:rFonts w:ascii="Times New Roman" w:hAnsi="Times New Roman" w:cs="Times New Roman"/>
          <w:color w:val="212121"/>
          <w:sz w:val="24"/>
          <w:szCs w:val="24"/>
        </w:rPr>
        <w:t xml:space="preserve">via </w:t>
      </w:r>
      <w:r w:rsidRPr="00BC4CA0">
        <w:rPr>
          <w:rFonts w:ascii="Times New Roman" w:hAnsi="Times New Roman" w:cs="Times New Roman"/>
          <w:color w:val="212121"/>
          <w:sz w:val="24"/>
          <w:szCs w:val="24"/>
        </w:rPr>
        <w:t>“placement” with a training provider or an employer.</w:t>
      </w:r>
    </w:p>
    <w:p w14:paraId="4847DAF3" w14:textId="77777777" w:rsidR="00BC4CA0" w:rsidRPr="00BC4CA0" w:rsidRDefault="00BC4CA0" w:rsidP="00BC4CA0">
      <w:pPr>
        <w:pStyle w:val="LEAPBodyTextPostHeading"/>
        <w:rPr>
          <w:rFonts w:ascii="Times New Roman" w:hAnsi="Times New Roman" w:cs="Times New Roman"/>
          <w:color w:val="212121"/>
          <w:sz w:val="24"/>
          <w:szCs w:val="24"/>
        </w:rPr>
      </w:pPr>
    </w:p>
    <w:p w14:paraId="4847DAF4" w14:textId="77777777" w:rsid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25BB8780" w14:textId="77777777" w:rsidR="00F93E31" w:rsidRPr="00BC4CA0" w:rsidRDefault="00F93E31" w:rsidP="00BC4CA0">
      <w:pPr>
        <w:pStyle w:val="LEAPBodyTextPostHeading"/>
        <w:rPr>
          <w:rFonts w:ascii="Times New Roman" w:hAnsi="Times New Roman" w:cs="Times New Roman"/>
          <w:b/>
          <w:color w:val="212121"/>
          <w:sz w:val="24"/>
          <w:szCs w:val="24"/>
        </w:rPr>
      </w:pPr>
    </w:p>
    <w:p w14:paraId="4847DAF5" w14:textId="77777777"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p>
    <w:p w14:paraId="4847DAF6" w14:textId="77777777" w:rsidR="00BC4CA0" w:rsidRPr="00BC4CA0" w:rsidRDefault="00BC4CA0" w:rsidP="00BC4CA0">
      <w:pPr>
        <w:pStyle w:val="LEAPBodyTextPostHeading"/>
        <w:rPr>
          <w:rFonts w:ascii="Times New Roman" w:hAnsi="Times New Roman" w:cs="Times New Roman"/>
          <w:color w:val="212121"/>
          <w:sz w:val="24"/>
          <w:szCs w:val="24"/>
        </w:rPr>
      </w:pPr>
    </w:p>
    <w:p w14:paraId="4847DAF7" w14:textId="77777777" w:rsidR="00BC4CA0" w:rsidRPr="0085169F" w:rsidRDefault="00BC4CA0" w:rsidP="00BC4CA0">
      <w:pPr>
        <w:pStyle w:val="LEAPBodyTextPostHeading"/>
        <w:rPr>
          <w:rFonts w:ascii="Times New Roman" w:hAnsi="Times New Roman" w:cs="Times New Roman"/>
          <w:b/>
          <w:color w:val="212121"/>
          <w:sz w:val="24"/>
          <w:szCs w:val="24"/>
        </w:rPr>
      </w:pPr>
      <w:r w:rsidRPr="0085169F">
        <w:rPr>
          <w:rFonts w:ascii="Times New Roman" w:hAnsi="Times New Roman" w:cs="Times New Roman"/>
          <w:b/>
          <w:color w:val="212121"/>
          <w:sz w:val="24"/>
          <w:szCs w:val="24"/>
        </w:rPr>
        <w:t>Comment</w:t>
      </w:r>
    </w:p>
    <w:p w14:paraId="4847DAF8" w14:textId="77777777" w:rsidR="00BC4CA0" w:rsidRPr="0085169F" w:rsidRDefault="00BC4CA0" w:rsidP="00BC4CA0">
      <w:pPr>
        <w:pStyle w:val="LEAPBodyTextPostHeading"/>
        <w:rPr>
          <w:rFonts w:ascii="Times New Roman" w:hAnsi="Times New Roman" w:cs="Times New Roman"/>
          <w:color w:val="212121"/>
          <w:sz w:val="24"/>
          <w:szCs w:val="24"/>
        </w:rPr>
      </w:pPr>
    </w:p>
    <w:p w14:paraId="4847DAF9" w14:textId="184ADCEA" w:rsidR="00BC4CA0" w:rsidRPr="00BC4CA0" w:rsidRDefault="00BC4CA0" w:rsidP="00BC4CA0">
      <w:pPr>
        <w:pStyle w:val="LEAPBodyTextPostHeading"/>
        <w:rPr>
          <w:rFonts w:ascii="Times New Roman" w:hAnsi="Times New Roman" w:cs="Times New Roman"/>
          <w:color w:val="212121"/>
          <w:sz w:val="24"/>
          <w:szCs w:val="24"/>
        </w:rPr>
      </w:pPr>
      <w:r w:rsidRPr="0085169F">
        <w:rPr>
          <w:rFonts w:ascii="Times New Roman" w:hAnsi="Times New Roman" w:cs="Times New Roman"/>
          <w:color w:val="212121"/>
          <w:sz w:val="24"/>
          <w:szCs w:val="24"/>
        </w:rPr>
        <w:t xml:space="preserve">Several commenters stated that OCTAE’s method for populating the </w:t>
      </w:r>
      <w:r w:rsidR="00BE0B2F">
        <w:rPr>
          <w:rFonts w:ascii="Times New Roman" w:hAnsi="Times New Roman" w:cs="Times New Roman"/>
          <w:color w:val="212121"/>
          <w:sz w:val="24"/>
          <w:szCs w:val="24"/>
        </w:rPr>
        <w:t>S</w:t>
      </w:r>
      <w:r w:rsidR="00973135">
        <w:rPr>
          <w:rFonts w:ascii="Times New Roman" w:hAnsi="Times New Roman" w:cs="Times New Roman"/>
          <w:color w:val="212121"/>
          <w:sz w:val="24"/>
          <w:szCs w:val="24"/>
        </w:rPr>
        <w:t>tatewide p</w:t>
      </w:r>
      <w:r w:rsidRPr="0085169F">
        <w:rPr>
          <w:rFonts w:ascii="Times New Roman" w:hAnsi="Times New Roman" w:cs="Times New Roman"/>
          <w:color w:val="212121"/>
          <w:sz w:val="24"/>
          <w:szCs w:val="24"/>
        </w:rPr>
        <w:t xml:space="preserve">erformance </w:t>
      </w:r>
      <w:r w:rsidR="00973135">
        <w:rPr>
          <w:rFonts w:ascii="Times New Roman" w:hAnsi="Times New Roman" w:cs="Times New Roman"/>
          <w:color w:val="212121"/>
          <w:sz w:val="24"/>
          <w:szCs w:val="24"/>
        </w:rPr>
        <w:t>r</w:t>
      </w:r>
      <w:r w:rsidRPr="0085169F">
        <w:rPr>
          <w:rFonts w:ascii="Times New Roman" w:hAnsi="Times New Roman" w:cs="Times New Roman"/>
          <w:color w:val="212121"/>
          <w:sz w:val="24"/>
          <w:szCs w:val="24"/>
        </w:rPr>
        <w:t xml:space="preserve">eport </w:t>
      </w:r>
      <w:r w:rsidR="00973135">
        <w:rPr>
          <w:rFonts w:ascii="Times New Roman" w:hAnsi="Times New Roman" w:cs="Times New Roman"/>
          <w:color w:val="212121"/>
          <w:sz w:val="24"/>
          <w:szCs w:val="24"/>
        </w:rPr>
        <w:t xml:space="preserve">(ETA-9169) </w:t>
      </w:r>
      <w:r w:rsidRPr="0085169F">
        <w:rPr>
          <w:rFonts w:ascii="Times New Roman" w:hAnsi="Times New Roman" w:cs="Times New Roman"/>
          <w:color w:val="212121"/>
          <w:sz w:val="24"/>
          <w:szCs w:val="24"/>
        </w:rPr>
        <w:t>do</w:t>
      </w:r>
      <w:r w:rsidR="00973135">
        <w:rPr>
          <w:rFonts w:ascii="Times New Roman" w:hAnsi="Times New Roman" w:cs="Times New Roman"/>
          <w:color w:val="212121"/>
          <w:sz w:val="24"/>
          <w:szCs w:val="24"/>
        </w:rPr>
        <w:t>es</w:t>
      </w:r>
      <w:r w:rsidRPr="0085169F">
        <w:rPr>
          <w:rFonts w:ascii="Times New Roman" w:hAnsi="Times New Roman" w:cs="Times New Roman"/>
          <w:color w:val="212121"/>
          <w:sz w:val="24"/>
          <w:szCs w:val="24"/>
        </w:rPr>
        <w:t xml:space="preserve"> not </w:t>
      </w:r>
      <w:r w:rsidR="00973135">
        <w:rPr>
          <w:rFonts w:ascii="Times New Roman" w:hAnsi="Times New Roman" w:cs="Times New Roman"/>
          <w:color w:val="212121"/>
          <w:sz w:val="24"/>
          <w:szCs w:val="24"/>
        </w:rPr>
        <w:t xml:space="preserve">comply </w:t>
      </w:r>
      <w:r w:rsidRPr="0085169F">
        <w:rPr>
          <w:rFonts w:ascii="Times New Roman" w:hAnsi="Times New Roman" w:cs="Times New Roman"/>
          <w:color w:val="212121"/>
          <w:sz w:val="24"/>
          <w:szCs w:val="24"/>
        </w:rPr>
        <w:t xml:space="preserve">with the </w:t>
      </w:r>
      <w:r w:rsidR="00973135">
        <w:rPr>
          <w:rFonts w:ascii="Times New Roman" w:hAnsi="Times New Roman" w:cs="Times New Roman"/>
          <w:color w:val="212121"/>
          <w:sz w:val="24"/>
          <w:szCs w:val="24"/>
        </w:rPr>
        <w:t xml:space="preserve">joint </w:t>
      </w:r>
      <w:r w:rsidRPr="0085169F">
        <w:rPr>
          <w:rFonts w:ascii="Times New Roman" w:hAnsi="Times New Roman" w:cs="Times New Roman"/>
          <w:color w:val="212121"/>
          <w:sz w:val="24"/>
          <w:szCs w:val="24"/>
        </w:rPr>
        <w:t>report</w:t>
      </w:r>
      <w:r w:rsidR="00973135">
        <w:rPr>
          <w:rFonts w:ascii="Times New Roman" w:hAnsi="Times New Roman" w:cs="Times New Roman"/>
          <w:color w:val="212121"/>
          <w:sz w:val="24"/>
          <w:szCs w:val="24"/>
        </w:rPr>
        <w:t>ing</w:t>
      </w:r>
      <w:r w:rsidRPr="0085169F">
        <w:rPr>
          <w:rFonts w:ascii="Times New Roman" w:hAnsi="Times New Roman" w:cs="Times New Roman"/>
          <w:color w:val="212121"/>
          <w:sz w:val="24"/>
          <w:szCs w:val="24"/>
        </w:rPr>
        <w:t xml:space="preserve"> specifications and should not be permitted. The commenters stated that calculations in NRS tables do not fully comply with the Participant Individual Record Layout (PIRL). The first concern relates to language which </w:t>
      </w:r>
      <w:r w:rsidR="00973135">
        <w:rPr>
          <w:rFonts w:ascii="Times New Roman" w:hAnsi="Times New Roman" w:cs="Times New Roman"/>
          <w:color w:val="212121"/>
          <w:sz w:val="24"/>
          <w:szCs w:val="24"/>
        </w:rPr>
        <w:t xml:space="preserve">says </w:t>
      </w:r>
      <w:r w:rsidRPr="0085169F">
        <w:rPr>
          <w:rFonts w:ascii="Times New Roman" w:hAnsi="Times New Roman" w:cs="Times New Roman"/>
          <w:color w:val="212121"/>
          <w:sz w:val="24"/>
          <w:szCs w:val="24"/>
        </w:rPr>
        <w:t xml:space="preserve">that reporting for postsecondary credentials would only apply for participants in IET programs.  The second concern relates to Title II only reporting </w:t>
      </w:r>
      <w:r w:rsidR="00973135">
        <w:rPr>
          <w:rFonts w:ascii="Times New Roman" w:hAnsi="Times New Roman" w:cs="Times New Roman"/>
          <w:color w:val="212121"/>
          <w:sz w:val="24"/>
          <w:szCs w:val="24"/>
        </w:rPr>
        <w:t>two</w:t>
      </w:r>
      <w:r w:rsidRPr="0085169F">
        <w:rPr>
          <w:rFonts w:ascii="Times New Roman" w:hAnsi="Times New Roman" w:cs="Times New Roman"/>
          <w:color w:val="212121"/>
          <w:sz w:val="24"/>
          <w:szCs w:val="24"/>
        </w:rPr>
        <w:t xml:space="preserve"> types of </w:t>
      </w:r>
      <w:r w:rsidR="00973135">
        <w:rPr>
          <w:rFonts w:ascii="Times New Roman" w:hAnsi="Times New Roman" w:cs="Times New Roman"/>
          <w:color w:val="212121"/>
          <w:sz w:val="24"/>
          <w:szCs w:val="24"/>
        </w:rPr>
        <w:t xml:space="preserve">measurable skill gains </w:t>
      </w:r>
      <w:r w:rsidRPr="0085169F">
        <w:rPr>
          <w:rFonts w:ascii="Times New Roman" w:hAnsi="Times New Roman" w:cs="Times New Roman"/>
          <w:color w:val="212121"/>
          <w:sz w:val="24"/>
          <w:szCs w:val="24"/>
        </w:rPr>
        <w:t xml:space="preserve">(EFL </w:t>
      </w:r>
      <w:r w:rsidR="00973135">
        <w:rPr>
          <w:rFonts w:ascii="Times New Roman" w:hAnsi="Times New Roman" w:cs="Times New Roman"/>
          <w:color w:val="212121"/>
          <w:sz w:val="24"/>
          <w:szCs w:val="24"/>
        </w:rPr>
        <w:t>gain and secondary credential</w:t>
      </w:r>
      <w:r w:rsidRPr="0085169F">
        <w:rPr>
          <w:rFonts w:ascii="Times New Roman" w:hAnsi="Times New Roman" w:cs="Times New Roman"/>
          <w:color w:val="212121"/>
          <w:sz w:val="24"/>
          <w:szCs w:val="24"/>
        </w:rPr>
        <w:t xml:space="preserve"> completion).  The commenters suggested completely disconnecting the </w:t>
      </w:r>
      <w:r w:rsidR="00BE0B2F">
        <w:rPr>
          <w:rFonts w:ascii="Times New Roman" w:hAnsi="Times New Roman" w:cs="Times New Roman"/>
          <w:color w:val="212121"/>
          <w:sz w:val="24"/>
          <w:szCs w:val="24"/>
        </w:rPr>
        <w:t>S</w:t>
      </w:r>
      <w:r w:rsidR="00973135">
        <w:rPr>
          <w:rFonts w:ascii="Times New Roman" w:hAnsi="Times New Roman" w:cs="Times New Roman"/>
          <w:color w:val="212121"/>
          <w:sz w:val="24"/>
          <w:szCs w:val="24"/>
        </w:rPr>
        <w:t>tatewide p</w:t>
      </w:r>
      <w:r w:rsidR="00973135" w:rsidRPr="0085169F">
        <w:rPr>
          <w:rFonts w:ascii="Times New Roman" w:hAnsi="Times New Roman" w:cs="Times New Roman"/>
          <w:color w:val="212121"/>
          <w:sz w:val="24"/>
          <w:szCs w:val="24"/>
        </w:rPr>
        <w:t xml:space="preserve">erformance </w:t>
      </w:r>
      <w:r w:rsidR="00973135">
        <w:rPr>
          <w:rFonts w:ascii="Times New Roman" w:hAnsi="Times New Roman" w:cs="Times New Roman"/>
          <w:color w:val="212121"/>
          <w:sz w:val="24"/>
          <w:szCs w:val="24"/>
        </w:rPr>
        <w:t>r</w:t>
      </w:r>
      <w:r w:rsidR="00973135" w:rsidRPr="0085169F">
        <w:rPr>
          <w:rFonts w:ascii="Times New Roman" w:hAnsi="Times New Roman" w:cs="Times New Roman"/>
          <w:color w:val="212121"/>
          <w:sz w:val="24"/>
          <w:szCs w:val="24"/>
        </w:rPr>
        <w:t xml:space="preserve">eport </w:t>
      </w:r>
      <w:r w:rsidR="00973135">
        <w:rPr>
          <w:rFonts w:ascii="Times New Roman" w:hAnsi="Times New Roman" w:cs="Times New Roman"/>
          <w:color w:val="212121"/>
          <w:sz w:val="24"/>
          <w:szCs w:val="24"/>
        </w:rPr>
        <w:t xml:space="preserve">(ETA-9169) </w:t>
      </w:r>
      <w:r w:rsidRPr="0085169F">
        <w:rPr>
          <w:rFonts w:ascii="Times New Roman" w:hAnsi="Times New Roman" w:cs="Times New Roman"/>
          <w:color w:val="212121"/>
          <w:sz w:val="24"/>
          <w:szCs w:val="24"/>
        </w:rPr>
        <w:t xml:space="preserve">from the NRS or redesigning the NRS to follow </w:t>
      </w:r>
      <w:r w:rsidR="00973135">
        <w:rPr>
          <w:rFonts w:ascii="Times New Roman" w:hAnsi="Times New Roman" w:cs="Times New Roman"/>
          <w:color w:val="212121"/>
          <w:sz w:val="24"/>
          <w:szCs w:val="24"/>
        </w:rPr>
        <w:t xml:space="preserve">the joint reporting </w:t>
      </w:r>
      <w:r w:rsidRPr="0085169F">
        <w:rPr>
          <w:rFonts w:ascii="Times New Roman" w:hAnsi="Times New Roman" w:cs="Times New Roman"/>
          <w:color w:val="212121"/>
          <w:sz w:val="24"/>
          <w:szCs w:val="24"/>
        </w:rPr>
        <w:t xml:space="preserve">specifications. </w:t>
      </w:r>
    </w:p>
    <w:p w14:paraId="4847DAFA" w14:textId="77777777" w:rsidR="00BC4CA0" w:rsidRPr="00BC4CA0" w:rsidRDefault="00BC4CA0" w:rsidP="00BC4CA0">
      <w:pPr>
        <w:pStyle w:val="LEAPBodyTextPostHeading"/>
        <w:rPr>
          <w:rFonts w:ascii="Times New Roman" w:hAnsi="Times New Roman" w:cs="Times New Roman"/>
          <w:color w:val="212121"/>
          <w:sz w:val="24"/>
          <w:szCs w:val="24"/>
        </w:rPr>
      </w:pPr>
    </w:p>
    <w:p w14:paraId="4847DAFB"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AFC"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AFD" w14:textId="2C796A3A" w:rsidR="00BC4CA0" w:rsidRPr="00BC4CA0" w:rsidRDefault="00BC4CA0" w:rsidP="00BC4CA0">
      <w:pPr>
        <w:pStyle w:val="LEAPBodyTextPostHeading"/>
        <w:rPr>
          <w:rFonts w:ascii="Times New Roman" w:hAnsi="Times New Roman" w:cs="Times New Roman"/>
          <w:b/>
          <w:color w:val="212121"/>
          <w:sz w:val="24"/>
        </w:rPr>
      </w:pPr>
      <w:r w:rsidRPr="00BC4CA0">
        <w:rPr>
          <w:rFonts w:ascii="Times New Roman" w:hAnsi="Times New Roman" w:cs="Times New Roman"/>
          <w:color w:val="212121"/>
          <w:sz w:val="24"/>
          <w:szCs w:val="24"/>
        </w:rPr>
        <w:t xml:space="preserve">OCTAE agrees </w:t>
      </w:r>
      <w:r w:rsidR="00973135">
        <w:rPr>
          <w:rFonts w:ascii="Times New Roman" w:hAnsi="Times New Roman" w:cs="Times New Roman"/>
          <w:color w:val="212121"/>
          <w:sz w:val="24"/>
          <w:szCs w:val="24"/>
        </w:rPr>
        <w:t xml:space="preserve">that </w:t>
      </w:r>
      <w:r w:rsidR="00BD7816">
        <w:rPr>
          <w:rFonts w:ascii="Times New Roman" w:hAnsi="Times New Roman" w:cs="Times New Roman"/>
          <w:color w:val="212121"/>
          <w:sz w:val="24"/>
          <w:szCs w:val="24"/>
        </w:rPr>
        <w:t>the postsecondary education portion of the credential</w:t>
      </w:r>
      <w:r w:rsidR="00BE0B2F">
        <w:rPr>
          <w:rFonts w:ascii="Times New Roman" w:hAnsi="Times New Roman" w:cs="Times New Roman"/>
          <w:color w:val="212121"/>
          <w:sz w:val="24"/>
          <w:szCs w:val="24"/>
        </w:rPr>
        <w:t xml:space="preserve"> attainment</w:t>
      </w:r>
      <w:r w:rsidR="00BD7816">
        <w:rPr>
          <w:rFonts w:ascii="Times New Roman" w:hAnsi="Times New Roman" w:cs="Times New Roman"/>
          <w:color w:val="212121"/>
          <w:sz w:val="24"/>
          <w:szCs w:val="24"/>
        </w:rPr>
        <w:t xml:space="preserve"> indicator applies to all participants who exit postsecondary education, not just participant</w:t>
      </w:r>
      <w:r w:rsidR="00973135">
        <w:rPr>
          <w:rFonts w:ascii="Times New Roman" w:hAnsi="Times New Roman" w:cs="Times New Roman"/>
          <w:color w:val="212121"/>
          <w:sz w:val="24"/>
          <w:szCs w:val="24"/>
        </w:rPr>
        <w:t>s</w:t>
      </w:r>
      <w:r w:rsidR="00BD7816">
        <w:rPr>
          <w:rFonts w:ascii="Times New Roman" w:hAnsi="Times New Roman" w:cs="Times New Roman"/>
          <w:color w:val="212121"/>
          <w:sz w:val="24"/>
          <w:szCs w:val="24"/>
        </w:rPr>
        <w:t xml:space="preserve"> who are enrolled in IET programs.  We have made the correction to the footnote.  </w:t>
      </w:r>
      <w:r w:rsidR="00973135">
        <w:rPr>
          <w:rFonts w:ascii="Times New Roman" w:hAnsi="Times New Roman" w:cs="Times New Roman"/>
          <w:color w:val="212121"/>
          <w:sz w:val="24"/>
          <w:szCs w:val="24"/>
        </w:rPr>
        <w:t>In our response above, w</w:t>
      </w:r>
      <w:r w:rsidR="00BD7816">
        <w:rPr>
          <w:rFonts w:ascii="Times New Roman" w:hAnsi="Times New Roman" w:cs="Times New Roman"/>
          <w:color w:val="212121"/>
          <w:sz w:val="24"/>
          <w:szCs w:val="24"/>
        </w:rPr>
        <w:t xml:space="preserve">e address the second </w:t>
      </w:r>
      <w:r w:rsidR="00973135">
        <w:rPr>
          <w:rFonts w:ascii="Times New Roman" w:hAnsi="Times New Roman" w:cs="Times New Roman"/>
          <w:color w:val="212121"/>
          <w:sz w:val="24"/>
          <w:szCs w:val="24"/>
        </w:rPr>
        <w:t xml:space="preserve">concern </w:t>
      </w:r>
      <w:r w:rsidR="00BD7816">
        <w:rPr>
          <w:rFonts w:ascii="Times New Roman" w:hAnsi="Times New Roman" w:cs="Times New Roman"/>
          <w:color w:val="212121"/>
          <w:sz w:val="24"/>
          <w:szCs w:val="24"/>
        </w:rPr>
        <w:t xml:space="preserve">related to the appropriate types of </w:t>
      </w:r>
      <w:r w:rsidR="00BE0B2F">
        <w:rPr>
          <w:rFonts w:ascii="Times New Roman" w:hAnsi="Times New Roman" w:cs="Times New Roman"/>
          <w:color w:val="212121"/>
          <w:sz w:val="24"/>
          <w:szCs w:val="24"/>
        </w:rPr>
        <w:t xml:space="preserve">gain for purposes of the </w:t>
      </w:r>
      <w:r w:rsidR="00BD7816">
        <w:rPr>
          <w:rFonts w:ascii="Times New Roman" w:hAnsi="Times New Roman" w:cs="Times New Roman"/>
          <w:color w:val="212121"/>
          <w:sz w:val="24"/>
          <w:szCs w:val="24"/>
        </w:rPr>
        <w:t>measurable skill gain</w:t>
      </w:r>
      <w:r w:rsidR="00BE0B2F">
        <w:rPr>
          <w:rFonts w:ascii="Times New Roman" w:hAnsi="Times New Roman" w:cs="Times New Roman"/>
          <w:color w:val="212121"/>
          <w:sz w:val="24"/>
          <w:szCs w:val="24"/>
        </w:rPr>
        <w:t>s indicator of performance</w:t>
      </w:r>
      <w:r w:rsidR="00BD7816">
        <w:rPr>
          <w:rFonts w:ascii="Times New Roman" w:hAnsi="Times New Roman" w:cs="Times New Roman"/>
          <w:color w:val="212121"/>
          <w:sz w:val="24"/>
          <w:szCs w:val="24"/>
        </w:rPr>
        <w:t xml:space="preserve"> for AEFLA programs</w:t>
      </w:r>
      <w:r w:rsidR="00973135">
        <w:rPr>
          <w:rFonts w:ascii="Times New Roman" w:hAnsi="Times New Roman" w:cs="Times New Roman"/>
          <w:color w:val="212121"/>
          <w:sz w:val="24"/>
          <w:szCs w:val="24"/>
        </w:rPr>
        <w:t>.</w:t>
      </w:r>
    </w:p>
    <w:p w14:paraId="4847DAFE" w14:textId="77777777" w:rsidR="00BC4CA0" w:rsidRPr="00BC4CA0" w:rsidRDefault="00BC4CA0" w:rsidP="00BC4CA0">
      <w:pPr>
        <w:pStyle w:val="LEAPBodyTextPostHeading"/>
        <w:ind w:left="720"/>
        <w:rPr>
          <w:rFonts w:ascii="Times New Roman" w:hAnsi="Times New Roman" w:cs="Times New Roman"/>
          <w:color w:val="212121"/>
          <w:sz w:val="24"/>
          <w:szCs w:val="24"/>
        </w:rPr>
      </w:pPr>
    </w:p>
    <w:p w14:paraId="4847DAFF"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00" w14:textId="77777777" w:rsidR="00BC4CA0" w:rsidRPr="00BC4CA0" w:rsidRDefault="00BC4CA0" w:rsidP="00BC4CA0">
      <w:pPr>
        <w:pStyle w:val="LEAPBodyTextPostHeading"/>
        <w:rPr>
          <w:rFonts w:ascii="Times New Roman" w:hAnsi="Times New Roman" w:cs="Times New Roman"/>
          <w:color w:val="212121"/>
          <w:sz w:val="24"/>
          <w:szCs w:val="24"/>
        </w:rPr>
      </w:pPr>
    </w:p>
    <w:p w14:paraId="4847DB01" w14:textId="77777777"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OCTAE revise</w:t>
      </w:r>
      <w:r w:rsidR="00BD7816">
        <w:rPr>
          <w:rFonts w:ascii="Times New Roman" w:hAnsi="Times New Roman" w:cs="Times New Roman"/>
          <w:color w:val="212121"/>
          <w:sz w:val="24"/>
          <w:szCs w:val="24"/>
        </w:rPr>
        <w:t>d</w:t>
      </w:r>
      <w:r w:rsidR="00973135">
        <w:rPr>
          <w:rFonts w:ascii="Times New Roman" w:hAnsi="Times New Roman" w:cs="Times New Roman"/>
          <w:color w:val="212121"/>
          <w:sz w:val="24"/>
          <w:szCs w:val="24"/>
        </w:rPr>
        <w:t xml:space="preserve"> language in the NRS t</w:t>
      </w:r>
      <w:r w:rsidRPr="00BC4CA0">
        <w:rPr>
          <w:rFonts w:ascii="Times New Roman" w:hAnsi="Times New Roman" w:cs="Times New Roman"/>
          <w:color w:val="212121"/>
          <w:sz w:val="24"/>
          <w:szCs w:val="24"/>
        </w:rPr>
        <w:t>ables</w:t>
      </w:r>
      <w:r w:rsidR="00BD7816">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to note that credential attainment applies to participants who are co-enrolled in any program leadin</w:t>
      </w:r>
      <w:r w:rsidR="00973135">
        <w:rPr>
          <w:rFonts w:ascii="Times New Roman" w:hAnsi="Times New Roman" w:cs="Times New Roman"/>
          <w:color w:val="212121"/>
          <w:sz w:val="24"/>
          <w:szCs w:val="24"/>
        </w:rPr>
        <w:t xml:space="preserve">g to a recognized postsecondary </w:t>
      </w:r>
      <w:r w:rsidRPr="00BC4CA0">
        <w:rPr>
          <w:rFonts w:ascii="Times New Roman" w:hAnsi="Times New Roman" w:cs="Times New Roman"/>
          <w:color w:val="212121"/>
          <w:sz w:val="24"/>
          <w:szCs w:val="24"/>
        </w:rPr>
        <w:t xml:space="preserve">credential.  </w:t>
      </w:r>
      <w:r w:rsidR="00BD7816">
        <w:rPr>
          <w:rFonts w:ascii="Times New Roman" w:hAnsi="Times New Roman" w:cs="Times New Roman"/>
          <w:color w:val="212121"/>
          <w:sz w:val="24"/>
          <w:szCs w:val="24"/>
        </w:rPr>
        <w:t xml:space="preserve">We will address </w:t>
      </w:r>
      <w:r w:rsidR="00973135">
        <w:rPr>
          <w:rFonts w:ascii="Times New Roman" w:hAnsi="Times New Roman" w:cs="Times New Roman"/>
          <w:color w:val="212121"/>
          <w:sz w:val="24"/>
          <w:szCs w:val="24"/>
        </w:rPr>
        <w:t xml:space="preserve">this issue </w:t>
      </w:r>
      <w:r w:rsidR="00BD7816">
        <w:rPr>
          <w:rFonts w:ascii="Times New Roman" w:hAnsi="Times New Roman" w:cs="Times New Roman"/>
          <w:color w:val="212121"/>
          <w:sz w:val="24"/>
          <w:szCs w:val="24"/>
        </w:rPr>
        <w:t xml:space="preserve">further through technical assistance. </w:t>
      </w:r>
    </w:p>
    <w:p w14:paraId="4847DB02" w14:textId="77777777" w:rsidR="00BC4CA0" w:rsidRPr="00BC4CA0" w:rsidRDefault="00BC4CA0" w:rsidP="00BC4CA0">
      <w:pPr>
        <w:pStyle w:val="LEAPBodyTextPostHeading"/>
        <w:rPr>
          <w:rFonts w:ascii="Times New Roman" w:hAnsi="Times New Roman" w:cs="Times New Roman"/>
          <w:color w:val="212121"/>
          <w:sz w:val="24"/>
          <w:szCs w:val="24"/>
        </w:rPr>
      </w:pPr>
    </w:p>
    <w:p w14:paraId="4847DB03" w14:textId="77777777" w:rsidR="00BC4CA0" w:rsidRPr="00BC4CA0" w:rsidRDefault="00BC4CA0" w:rsidP="00BC4CA0">
      <w:pPr>
        <w:pStyle w:val="LEAPBodyTextPostHeading"/>
        <w:rPr>
          <w:rFonts w:ascii="Times New Roman" w:hAnsi="Times New Roman" w:cs="Times New Roman"/>
          <w:b/>
          <w:color w:val="212121"/>
          <w:sz w:val="24"/>
          <w:szCs w:val="24"/>
        </w:rPr>
      </w:pPr>
      <w:r w:rsidRPr="00AE176F">
        <w:rPr>
          <w:rFonts w:ascii="Times New Roman" w:hAnsi="Times New Roman" w:cs="Times New Roman"/>
          <w:b/>
          <w:color w:val="212121"/>
          <w:sz w:val="24"/>
          <w:szCs w:val="24"/>
        </w:rPr>
        <w:t>Comment</w:t>
      </w:r>
    </w:p>
    <w:p w14:paraId="4847DB04" w14:textId="77777777" w:rsidR="00BC4CA0" w:rsidRPr="00BC4CA0" w:rsidRDefault="00BC4CA0" w:rsidP="00BC4CA0">
      <w:pPr>
        <w:pStyle w:val="LEAPBodyTextPostHeading"/>
        <w:rPr>
          <w:rFonts w:ascii="Times New Roman" w:hAnsi="Times New Roman" w:cs="Times New Roman"/>
          <w:color w:val="212121"/>
          <w:sz w:val="24"/>
          <w:szCs w:val="24"/>
        </w:rPr>
      </w:pPr>
    </w:p>
    <w:p w14:paraId="4847DB05" w14:textId="64279E4E" w:rsidR="00BC4CA0" w:rsidRPr="00BC4CA0" w:rsidRDefault="00BD7816" w:rsidP="00BC4CA0">
      <w:pPr>
        <w:pStyle w:val="LEAPBodyTextPostHeading"/>
        <w:rPr>
          <w:rFonts w:ascii="Times New Roman" w:hAnsi="Times New Roman" w:cs="Times New Roman"/>
          <w:color w:val="212121"/>
          <w:sz w:val="24"/>
          <w:szCs w:val="24"/>
        </w:rPr>
      </w:pPr>
      <w:r>
        <w:rPr>
          <w:rFonts w:ascii="Times New Roman" w:hAnsi="Times New Roman" w:cs="Times New Roman"/>
          <w:color w:val="212121"/>
          <w:sz w:val="24"/>
          <w:szCs w:val="24"/>
        </w:rPr>
        <w:t xml:space="preserve">A few </w:t>
      </w:r>
      <w:r w:rsidR="00BC4CA0" w:rsidRPr="00BC4CA0">
        <w:rPr>
          <w:rFonts w:ascii="Times New Roman" w:hAnsi="Times New Roman" w:cs="Times New Roman"/>
          <w:color w:val="212121"/>
          <w:sz w:val="24"/>
          <w:szCs w:val="24"/>
        </w:rPr>
        <w:t>commenters stated that a participant who remains a participant across program years should not need 12 hours of service in both years and should be reported only in the year of exit as one P</w:t>
      </w:r>
      <w:r w:rsidR="00BD0C39">
        <w:rPr>
          <w:rFonts w:ascii="Times New Roman" w:hAnsi="Times New Roman" w:cs="Times New Roman"/>
          <w:color w:val="212121"/>
          <w:sz w:val="24"/>
          <w:szCs w:val="24"/>
        </w:rPr>
        <w:t xml:space="preserve">eriod </w:t>
      </w:r>
      <w:r w:rsidR="00BC4CA0" w:rsidRPr="00BC4CA0">
        <w:rPr>
          <w:rFonts w:ascii="Times New Roman" w:hAnsi="Times New Roman" w:cs="Times New Roman"/>
          <w:color w:val="212121"/>
          <w:sz w:val="24"/>
          <w:szCs w:val="24"/>
        </w:rPr>
        <w:t>o</w:t>
      </w:r>
      <w:r w:rsidR="00BD0C39">
        <w:rPr>
          <w:rFonts w:ascii="Times New Roman" w:hAnsi="Times New Roman" w:cs="Times New Roman"/>
          <w:color w:val="212121"/>
          <w:sz w:val="24"/>
          <w:szCs w:val="24"/>
        </w:rPr>
        <w:t xml:space="preserve">f </w:t>
      </w:r>
      <w:r w:rsidR="00BC4CA0" w:rsidRPr="00BC4CA0">
        <w:rPr>
          <w:rFonts w:ascii="Times New Roman" w:hAnsi="Times New Roman" w:cs="Times New Roman"/>
          <w:color w:val="212121"/>
          <w:sz w:val="24"/>
          <w:szCs w:val="24"/>
        </w:rPr>
        <w:t>P</w:t>
      </w:r>
      <w:r w:rsidR="00A73177">
        <w:rPr>
          <w:rFonts w:ascii="Times New Roman" w:hAnsi="Times New Roman" w:cs="Times New Roman"/>
          <w:color w:val="212121"/>
          <w:sz w:val="24"/>
          <w:szCs w:val="24"/>
        </w:rPr>
        <w:t>articipation</w:t>
      </w:r>
      <w:r w:rsidR="00BC4CA0" w:rsidRPr="00BC4CA0">
        <w:rPr>
          <w:rFonts w:ascii="Times New Roman" w:hAnsi="Times New Roman" w:cs="Times New Roman"/>
          <w:color w:val="212121"/>
          <w:sz w:val="24"/>
          <w:szCs w:val="24"/>
        </w:rPr>
        <w:t xml:space="preserve">.  For example, </w:t>
      </w:r>
      <w:r w:rsidR="006D0F1F">
        <w:rPr>
          <w:rFonts w:ascii="Times New Roman" w:hAnsi="Times New Roman" w:cs="Times New Roman"/>
          <w:color w:val="212121"/>
          <w:sz w:val="24"/>
          <w:szCs w:val="24"/>
        </w:rPr>
        <w:t xml:space="preserve">a </w:t>
      </w:r>
      <w:r w:rsidR="00BC4CA0" w:rsidRPr="00BC4CA0">
        <w:rPr>
          <w:rFonts w:ascii="Times New Roman" w:hAnsi="Times New Roman" w:cs="Times New Roman"/>
          <w:color w:val="212121"/>
          <w:sz w:val="24"/>
          <w:szCs w:val="24"/>
        </w:rPr>
        <w:t xml:space="preserve">participant in June who does not exit </w:t>
      </w:r>
      <w:r w:rsidR="00304D63">
        <w:rPr>
          <w:rFonts w:ascii="Times New Roman" w:hAnsi="Times New Roman" w:cs="Times New Roman"/>
          <w:color w:val="212121"/>
          <w:sz w:val="24"/>
          <w:szCs w:val="24"/>
        </w:rPr>
        <w:t xml:space="preserve">before the end of the program year </w:t>
      </w:r>
      <w:r w:rsidR="00F23F9D">
        <w:rPr>
          <w:rFonts w:ascii="Times New Roman" w:hAnsi="Times New Roman" w:cs="Times New Roman"/>
          <w:color w:val="212121"/>
          <w:sz w:val="24"/>
          <w:szCs w:val="24"/>
        </w:rPr>
        <w:t xml:space="preserve">on June 30 </w:t>
      </w:r>
      <w:r w:rsidR="00BC4CA0" w:rsidRPr="00BC4CA0">
        <w:rPr>
          <w:rFonts w:ascii="Times New Roman" w:hAnsi="Times New Roman" w:cs="Times New Roman"/>
          <w:color w:val="212121"/>
          <w:sz w:val="24"/>
          <w:szCs w:val="24"/>
        </w:rPr>
        <w:t>remains a participant in the next program year (</w:t>
      </w:r>
      <w:r w:rsidR="00F23F9D">
        <w:rPr>
          <w:rFonts w:ascii="Times New Roman" w:hAnsi="Times New Roman" w:cs="Times New Roman"/>
          <w:color w:val="212121"/>
          <w:sz w:val="24"/>
          <w:szCs w:val="24"/>
        </w:rPr>
        <w:t>which begins</w:t>
      </w:r>
      <w:r w:rsidR="00BC4CA0" w:rsidRPr="00BC4CA0">
        <w:rPr>
          <w:rFonts w:ascii="Times New Roman" w:hAnsi="Times New Roman" w:cs="Times New Roman"/>
          <w:color w:val="212121"/>
          <w:sz w:val="24"/>
          <w:szCs w:val="24"/>
        </w:rPr>
        <w:t xml:space="preserve"> July</w:t>
      </w:r>
      <w:r w:rsidR="00F23F9D">
        <w:rPr>
          <w:rFonts w:ascii="Times New Roman" w:hAnsi="Times New Roman" w:cs="Times New Roman"/>
          <w:color w:val="212121"/>
          <w:sz w:val="24"/>
          <w:szCs w:val="24"/>
        </w:rPr>
        <w:t xml:space="preserve"> 1</w:t>
      </w:r>
      <w:r w:rsidR="00BC4CA0" w:rsidRPr="00BC4CA0">
        <w:rPr>
          <w:rFonts w:ascii="Times New Roman" w:hAnsi="Times New Roman" w:cs="Times New Roman"/>
          <w:color w:val="212121"/>
          <w:sz w:val="24"/>
          <w:szCs w:val="24"/>
        </w:rPr>
        <w:t>)</w:t>
      </w:r>
      <w:r w:rsidR="00A410ED">
        <w:rPr>
          <w:rFonts w:ascii="Times New Roman" w:hAnsi="Times New Roman" w:cs="Times New Roman"/>
          <w:color w:val="212121"/>
          <w:sz w:val="24"/>
          <w:szCs w:val="24"/>
        </w:rPr>
        <w:t>,</w:t>
      </w:r>
      <w:r w:rsidR="00BC4CA0" w:rsidRPr="00BC4CA0">
        <w:rPr>
          <w:rFonts w:ascii="Times New Roman" w:hAnsi="Times New Roman" w:cs="Times New Roman"/>
          <w:color w:val="212121"/>
          <w:sz w:val="24"/>
          <w:szCs w:val="24"/>
        </w:rPr>
        <w:t xml:space="preserve"> regardless of whether the participant has 12 hours of service.</w:t>
      </w:r>
    </w:p>
    <w:p w14:paraId="4847DB06" w14:textId="77777777" w:rsidR="00BC4CA0" w:rsidRPr="00BC4CA0" w:rsidRDefault="00BC4CA0" w:rsidP="00BC4CA0">
      <w:pPr>
        <w:pStyle w:val="LEAPBodyTextPostHeading"/>
        <w:rPr>
          <w:rFonts w:ascii="Times New Roman" w:hAnsi="Times New Roman" w:cs="Times New Roman"/>
          <w:color w:val="212121"/>
          <w:sz w:val="24"/>
          <w:szCs w:val="24"/>
        </w:rPr>
      </w:pPr>
    </w:p>
    <w:p w14:paraId="4847DB07" w14:textId="77777777" w:rsid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08" w14:textId="77777777" w:rsidR="00D2272E" w:rsidRPr="00BC4CA0" w:rsidRDefault="00D2272E" w:rsidP="00BC4CA0">
      <w:pPr>
        <w:pStyle w:val="LEAPBodyTextPostHeading"/>
        <w:rPr>
          <w:rFonts w:ascii="Times New Roman" w:hAnsi="Times New Roman" w:cs="Times New Roman"/>
          <w:b/>
          <w:color w:val="212121"/>
          <w:sz w:val="24"/>
          <w:szCs w:val="24"/>
        </w:rPr>
      </w:pPr>
    </w:p>
    <w:p w14:paraId="4847DB09" w14:textId="2E2F70FC"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We agree with the </w:t>
      </w:r>
      <w:r w:rsidR="00D2272E">
        <w:rPr>
          <w:rFonts w:ascii="Times New Roman" w:hAnsi="Times New Roman" w:cs="Times New Roman"/>
          <w:color w:val="212121"/>
          <w:sz w:val="24"/>
          <w:szCs w:val="24"/>
        </w:rPr>
        <w:t xml:space="preserve">commenters </w:t>
      </w:r>
      <w:r w:rsidRPr="00BC4CA0">
        <w:rPr>
          <w:rFonts w:ascii="Times New Roman" w:hAnsi="Times New Roman" w:cs="Times New Roman"/>
          <w:color w:val="212121"/>
          <w:sz w:val="24"/>
          <w:szCs w:val="24"/>
        </w:rPr>
        <w:t xml:space="preserve">and note that a participant does not need 12 hours in the </w:t>
      </w:r>
      <w:r w:rsidR="00D2272E">
        <w:rPr>
          <w:rFonts w:ascii="Times New Roman" w:hAnsi="Times New Roman" w:cs="Times New Roman"/>
          <w:color w:val="212121"/>
          <w:sz w:val="24"/>
          <w:szCs w:val="24"/>
        </w:rPr>
        <w:t xml:space="preserve">subsequent </w:t>
      </w:r>
      <w:r w:rsidRPr="00BC4CA0">
        <w:rPr>
          <w:rFonts w:ascii="Times New Roman" w:hAnsi="Times New Roman" w:cs="Times New Roman"/>
          <w:color w:val="212121"/>
          <w:sz w:val="24"/>
          <w:szCs w:val="24"/>
        </w:rPr>
        <w:t>program year to be counted as a participant if he</w:t>
      </w:r>
      <w:r w:rsidR="00E849FD">
        <w:rPr>
          <w:rFonts w:ascii="Times New Roman" w:hAnsi="Times New Roman" w:cs="Times New Roman"/>
          <w:color w:val="212121"/>
          <w:sz w:val="24"/>
          <w:szCs w:val="24"/>
        </w:rPr>
        <w:t xml:space="preserve"> or </w:t>
      </w:r>
      <w:r w:rsidRPr="00BC4CA0">
        <w:rPr>
          <w:rFonts w:ascii="Times New Roman" w:hAnsi="Times New Roman" w:cs="Times New Roman"/>
          <w:color w:val="212121"/>
          <w:sz w:val="24"/>
          <w:szCs w:val="24"/>
        </w:rPr>
        <w:t>she was already a participant</w:t>
      </w:r>
      <w:r w:rsidR="00D2272E">
        <w:rPr>
          <w:rFonts w:ascii="Times New Roman" w:hAnsi="Times New Roman" w:cs="Times New Roman"/>
          <w:color w:val="212121"/>
          <w:sz w:val="24"/>
          <w:szCs w:val="24"/>
        </w:rPr>
        <w:t xml:space="preserve"> in the previous program year</w:t>
      </w:r>
      <w:r w:rsidRPr="00BC4CA0">
        <w:rPr>
          <w:rFonts w:ascii="Times New Roman" w:hAnsi="Times New Roman" w:cs="Times New Roman"/>
          <w:color w:val="212121"/>
          <w:sz w:val="24"/>
          <w:szCs w:val="24"/>
        </w:rPr>
        <w:t>. This policy is reflected in Program Memorandum OCTAE 17-2,</w:t>
      </w:r>
      <w:r w:rsidRPr="00BC4CA0">
        <w:rPr>
          <w:rFonts w:ascii="Times New Roman" w:hAnsi="Times New Roman" w:cs="Times New Roman"/>
          <w:i/>
          <w:color w:val="212121"/>
          <w:sz w:val="24"/>
          <w:szCs w:val="24"/>
        </w:rPr>
        <w:t xml:space="preserve"> Performance Accountability Guidance for Workforce Innovation and Opportunity Act Title I, Title II, Title III and Title IV Core Programs</w:t>
      </w:r>
      <w:r w:rsidRPr="00BC4CA0">
        <w:rPr>
          <w:rFonts w:ascii="Times New Roman" w:hAnsi="Times New Roman" w:cs="Times New Roman"/>
          <w:color w:val="212121"/>
          <w:sz w:val="24"/>
          <w:szCs w:val="24"/>
        </w:rPr>
        <w:t xml:space="preserve"> in Attachment 6.   </w:t>
      </w:r>
    </w:p>
    <w:p w14:paraId="4847DB0A" w14:textId="77777777" w:rsidR="00BC4CA0" w:rsidRPr="00BC4CA0" w:rsidRDefault="00BC4CA0" w:rsidP="00BC4CA0">
      <w:pPr>
        <w:pStyle w:val="LEAPBodyTextPostHeading"/>
        <w:rPr>
          <w:rFonts w:ascii="Times New Roman" w:hAnsi="Times New Roman" w:cs="Times New Roman"/>
          <w:color w:val="212121"/>
          <w:sz w:val="24"/>
          <w:szCs w:val="24"/>
        </w:rPr>
      </w:pPr>
    </w:p>
    <w:p w14:paraId="4847DB0B"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0C" w14:textId="77777777" w:rsidR="00BC4CA0" w:rsidRPr="00BC4CA0" w:rsidRDefault="00BC4CA0" w:rsidP="00BC4CA0">
      <w:pPr>
        <w:pStyle w:val="LEAPBodyTextPostHeading"/>
        <w:rPr>
          <w:rFonts w:ascii="Times New Roman" w:hAnsi="Times New Roman" w:cs="Times New Roman"/>
          <w:color w:val="212121"/>
          <w:sz w:val="24"/>
          <w:szCs w:val="24"/>
        </w:rPr>
      </w:pPr>
    </w:p>
    <w:p w14:paraId="4847DB0D" w14:textId="2C2D1DBE"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r w:rsidR="001F7794">
        <w:rPr>
          <w:rFonts w:ascii="Times New Roman" w:hAnsi="Times New Roman" w:cs="Times New Roman"/>
          <w:color w:val="212121"/>
          <w:sz w:val="24"/>
          <w:szCs w:val="24"/>
        </w:rPr>
        <w:t>.</w:t>
      </w:r>
    </w:p>
    <w:p w14:paraId="4847DB0E"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0F"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Comment</w:t>
      </w:r>
    </w:p>
    <w:p w14:paraId="4847DB10" w14:textId="77777777" w:rsidR="00BC4CA0" w:rsidRPr="00BC4CA0" w:rsidRDefault="00BC4CA0" w:rsidP="00BC4CA0">
      <w:pPr>
        <w:pStyle w:val="LEAPBodyTextPostHeading"/>
        <w:rPr>
          <w:rFonts w:ascii="Times New Roman" w:hAnsi="Times New Roman" w:cs="Times New Roman"/>
          <w:color w:val="212121"/>
          <w:sz w:val="24"/>
          <w:szCs w:val="24"/>
        </w:rPr>
      </w:pPr>
    </w:p>
    <w:p w14:paraId="4847DB11" w14:textId="237FEFF2" w:rsidR="00BC4CA0" w:rsidRPr="00BC4CA0" w:rsidRDefault="00BC4CA0" w:rsidP="00BC4CA0">
      <w:pPr>
        <w:pStyle w:val="LEAPBodyTextPostHeading"/>
        <w:rPr>
          <w:rFonts w:ascii="Times New Roman" w:hAnsi="Times New Roman" w:cs="Times New Roman"/>
          <w:color w:val="212121"/>
          <w:sz w:val="24"/>
          <w:szCs w:val="24"/>
        </w:rPr>
      </w:pPr>
      <w:r>
        <w:rPr>
          <w:rFonts w:ascii="Times New Roman" w:hAnsi="Times New Roman" w:cs="Times New Roman"/>
          <w:color w:val="212121"/>
          <w:sz w:val="24"/>
          <w:szCs w:val="24"/>
        </w:rPr>
        <w:t xml:space="preserve">A few </w:t>
      </w:r>
      <w:r w:rsidRPr="00BC4CA0">
        <w:rPr>
          <w:rFonts w:ascii="Times New Roman" w:hAnsi="Times New Roman" w:cs="Times New Roman"/>
          <w:color w:val="212121"/>
          <w:sz w:val="24"/>
          <w:szCs w:val="24"/>
        </w:rPr>
        <w:t xml:space="preserve">commenters stated that OCTAE should continue from previous reporting a participant designation known as work-based project learners.  This designation allowed participants to be </w:t>
      </w:r>
      <w:r w:rsidR="00E968CA" w:rsidRPr="00BC4CA0">
        <w:rPr>
          <w:rFonts w:ascii="Times New Roman" w:hAnsi="Times New Roman" w:cs="Times New Roman"/>
          <w:color w:val="212121"/>
          <w:sz w:val="24"/>
          <w:szCs w:val="24"/>
        </w:rPr>
        <w:t>evaluated</w:t>
      </w:r>
      <w:r w:rsidRPr="00BC4CA0">
        <w:rPr>
          <w:rFonts w:ascii="Times New Roman" w:hAnsi="Times New Roman" w:cs="Times New Roman"/>
          <w:color w:val="212121"/>
          <w:sz w:val="24"/>
          <w:szCs w:val="24"/>
        </w:rPr>
        <w:t xml:space="preserve"> through an exam that assessed progress on occupational skills.</w:t>
      </w:r>
    </w:p>
    <w:p w14:paraId="4847DB12" w14:textId="77777777" w:rsidR="00BC4CA0" w:rsidRPr="00BC4CA0" w:rsidRDefault="00BC4CA0" w:rsidP="00BC4CA0">
      <w:pPr>
        <w:pStyle w:val="LEAPBodyTextPostHeading"/>
        <w:rPr>
          <w:rFonts w:ascii="Times New Roman" w:hAnsi="Times New Roman" w:cs="Times New Roman"/>
          <w:color w:val="212121"/>
          <w:sz w:val="24"/>
          <w:szCs w:val="24"/>
        </w:rPr>
      </w:pPr>
    </w:p>
    <w:p w14:paraId="4847DB13"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14" w14:textId="77777777" w:rsidR="00BC4CA0" w:rsidRPr="00BC4CA0" w:rsidRDefault="00BC4CA0" w:rsidP="00BC4CA0">
      <w:pPr>
        <w:pStyle w:val="LEAPBodyTextPostHeading"/>
        <w:rPr>
          <w:rFonts w:ascii="Times New Roman" w:hAnsi="Times New Roman" w:cs="Times New Roman"/>
          <w:color w:val="212121"/>
          <w:sz w:val="24"/>
          <w:szCs w:val="24"/>
        </w:rPr>
      </w:pPr>
    </w:p>
    <w:p w14:paraId="4847DB15" w14:textId="4414D9DD" w:rsid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The work-based project learner optional table in the NRS</w:t>
      </w:r>
      <w:r w:rsidR="00BE0B2F">
        <w:rPr>
          <w:rFonts w:ascii="Times New Roman" w:hAnsi="Times New Roman" w:cs="Times New Roman"/>
          <w:color w:val="212121"/>
          <w:sz w:val="24"/>
          <w:szCs w:val="24"/>
        </w:rPr>
        <w:t xml:space="preserve"> program-specific</w:t>
      </w:r>
      <w:r w:rsidRPr="00BC4CA0">
        <w:rPr>
          <w:rFonts w:ascii="Times New Roman" w:hAnsi="Times New Roman" w:cs="Times New Roman"/>
          <w:color w:val="212121"/>
          <w:sz w:val="24"/>
          <w:szCs w:val="24"/>
        </w:rPr>
        <w:t xml:space="preserve"> ICR was eliminated</w:t>
      </w:r>
      <w:r w:rsidR="00072930">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 xml:space="preserve">because very few States submitted the optional table and the data elements contained in the table are not required by WIOA.  Elimination reduces reporting burden on States.  States may continue to collect this information if it is valuable within the State, but there is no requirement to report it at the </w:t>
      </w:r>
      <w:r w:rsidR="00BE0B2F">
        <w:rPr>
          <w:rFonts w:ascii="Times New Roman" w:hAnsi="Times New Roman" w:cs="Times New Roman"/>
          <w:color w:val="212121"/>
          <w:sz w:val="24"/>
          <w:szCs w:val="24"/>
        </w:rPr>
        <w:t>F</w:t>
      </w:r>
      <w:r w:rsidRPr="00BC4CA0">
        <w:rPr>
          <w:rFonts w:ascii="Times New Roman" w:hAnsi="Times New Roman" w:cs="Times New Roman"/>
          <w:color w:val="212121"/>
          <w:sz w:val="24"/>
          <w:szCs w:val="24"/>
        </w:rPr>
        <w:t xml:space="preserve">ederal level. </w:t>
      </w:r>
    </w:p>
    <w:p w14:paraId="4847DB16" w14:textId="77777777" w:rsidR="00AE176F" w:rsidRDefault="00AE176F" w:rsidP="00BC4CA0">
      <w:pPr>
        <w:pStyle w:val="LEAPBodyTextPostHeading"/>
        <w:rPr>
          <w:rFonts w:ascii="Times New Roman" w:hAnsi="Times New Roman" w:cs="Times New Roman"/>
          <w:color w:val="212121"/>
          <w:sz w:val="24"/>
          <w:szCs w:val="24"/>
        </w:rPr>
      </w:pPr>
    </w:p>
    <w:p w14:paraId="4847DB17" w14:textId="77777777" w:rsidR="00AE176F" w:rsidRPr="00BC4CA0" w:rsidRDefault="00AE176F" w:rsidP="00AE176F">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18" w14:textId="77777777" w:rsidR="00AE176F" w:rsidRPr="00BC4CA0" w:rsidRDefault="00AE176F" w:rsidP="00AE176F">
      <w:pPr>
        <w:pStyle w:val="LEAPBodyTextPostHeading"/>
        <w:rPr>
          <w:rFonts w:ascii="Times New Roman" w:hAnsi="Times New Roman" w:cs="Times New Roman"/>
          <w:color w:val="212121"/>
          <w:sz w:val="24"/>
          <w:szCs w:val="24"/>
        </w:rPr>
      </w:pPr>
    </w:p>
    <w:p w14:paraId="4847DB19" w14:textId="3769F3CA" w:rsidR="00AE176F" w:rsidRPr="00BC4CA0" w:rsidRDefault="00AE176F" w:rsidP="00AE176F">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r w:rsidR="0078288C">
        <w:rPr>
          <w:rFonts w:ascii="Times New Roman" w:hAnsi="Times New Roman" w:cs="Times New Roman"/>
          <w:color w:val="212121"/>
          <w:sz w:val="24"/>
          <w:szCs w:val="24"/>
        </w:rPr>
        <w:t>.</w:t>
      </w:r>
    </w:p>
    <w:p w14:paraId="4847DB1A" w14:textId="77777777" w:rsidR="00AE176F" w:rsidRPr="00BC4CA0" w:rsidRDefault="00AE176F" w:rsidP="00AE176F">
      <w:pPr>
        <w:pStyle w:val="LEAPBodyTextPostHeading"/>
        <w:rPr>
          <w:rFonts w:ascii="Times New Roman" w:hAnsi="Times New Roman" w:cs="Times New Roman"/>
          <w:b/>
          <w:color w:val="212121"/>
          <w:sz w:val="24"/>
          <w:szCs w:val="24"/>
        </w:rPr>
      </w:pPr>
    </w:p>
    <w:p w14:paraId="4847DB1B"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Comment</w:t>
      </w:r>
    </w:p>
    <w:p w14:paraId="4847DB1C" w14:textId="77777777" w:rsidR="00BC4CA0" w:rsidRPr="00BC4CA0" w:rsidRDefault="00BC4CA0" w:rsidP="00BC4CA0">
      <w:pPr>
        <w:pStyle w:val="LEAPBodyTextPostHeading"/>
        <w:rPr>
          <w:rFonts w:ascii="Times New Roman" w:hAnsi="Times New Roman" w:cs="Times New Roman"/>
          <w:color w:val="212121"/>
          <w:sz w:val="24"/>
          <w:szCs w:val="24"/>
        </w:rPr>
      </w:pPr>
    </w:p>
    <w:p w14:paraId="4847DB1D" w14:textId="67C7AB1B" w:rsidR="00BC4CA0" w:rsidRPr="00BC4CA0" w:rsidRDefault="00BC4CA0" w:rsidP="00BC4CA0">
      <w:pPr>
        <w:pStyle w:val="LEAPBodyTextPostHeading"/>
        <w:rPr>
          <w:rFonts w:ascii="Times New Roman" w:hAnsi="Times New Roman" w:cs="Times New Roman"/>
          <w:color w:val="212121"/>
          <w:sz w:val="24"/>
          <w:szCs w:val="24"/>
        </w:rPr>
      </w:pPr>
      <w:r>
        <w:rPr>
          <w:rFonts w:ascii="Times New Roman" w:hAnsi="Times New Roman" w:cs="Times New Roman"/>
          <w:color w:val="212121"/>
          <w:sz w:val="24"/>
          <w:szCs w:val="24"/>
        </w:rPr>
        <w:t xml:space="preserve">Several </w:t>
      </w:r>
      <w:r w:rsidRPr="00BC4CA0">
        <w:rPr>
          <w:rFonts w:ascii="Times New Roman" w:hAnsi="Times New Roman" w:cs="Times New Roman"/>
          <w:color w:val="212121"/>
          <w:sz w:val="24"/>
          <w:szCs w:val="24"/>
        </w:rPr>
        <w:t xml:space="preserve">commenters noted that the burden required to collect employment and earnings indicators is extensive if the </w:t>
      </w:r>
      <w:r w:rsidR="00201978">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tate is unable to perform data matching.  Such </w:t>
      </w:r>
      <w:r w:rsidR="002E7506">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tates must use surveys or other supplemental sources to collect these data and the number of participants </w:t>
      </w:r>
      <w:r w:rsidR="00AE176F">
        <w:rPr>
          <w:rFonts w:ascii="Times New Roman" w:hAnsi="Times New Roman" w:cs="Times New Roman"/>
          <w:color w:val="212121"/>
          <w:sz w:val="24"/>
          <w:szCs w:val="24"/>
        </w:rPr>
        <w:t xml:space="preserve">for whom </w:t>
      </w:r>
      <w:r w:rsidRPr="00BC4CA0">
        <w:rPr>
          <w:rFonts w:ascii="Times New Roman" w:hAnsi="Times New Roman" w:cs="Times New Roman"/>
          <w:color w:val="212121"/>
          <w:sz w:val="24"/>
          <w:szCs w:val="24"/>
        </w:rPr>
        <w:t xml:space="preserve">these data </w:t>
      </w:r>
      <w:r w:rsidR="00AE176F">
        <w:rPr>
          <w:rFonts w:ascii="Times New Roman" w:hAnsi="Times New Roman" w:cs="Times New Roman"/>
          <w:color w:val="212121"/>
          <w:sz w:val="24"/>
          <w:szCs w:val="24"/>
        </w:rPr>
        <w:t xml:space="preserve">must be collected </w:t>
      </w:r>
      <w:r w:rsidRPr="00BC4CA0">
        <w:rPr>
          <w:rFonts w:ascii="Times New Roman" w:hAnsi="Times New Roman" w:cs="Times New Roman"/>
          <w:color w:val="212121"/>
          <w:sz w:val="24"/>
          <w:szCs w:val="24"/>
        </w:rPr>
        <w:t>will increase significantly under WIOA.  Several other commenters stated that employment data to be collected from participants through a supplemental survey should be limited only to whether they were employed in the second quarter after exit, the fourth quarter after exit</w:t>
      </w:r>
      <w:r w:rsidR="00AE176F">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and an estimate of their earnings</w:t>
      </w:r>
      <w:r w:rsidR="00AE176F">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because any additional data requested would be burdensome.</w:t>
      </w:r>
    </w:p>
    <w:p w14:paraId="4847DB1E" w14:textId="77777777" w:rsidR="00BC4CA0" w:rsidRPr="00BC4CA0" w:rsidRDefault="00BC4CA0" w:rsidP="00BC4CA0">
      <w:pPr>
        <w:pStyle w:val="LEAPBodyTextPostHeading"/>
        <w:rPr>
          <w:rFonts w:ascii="Times New Roman" w:hAnsi="Times New Roman" w:cs="Times New Roman"/>
          <w:color w:val="212121"/>
          <w:sz w:val="24"/>
          <w:szCs w:val="24"/>
        </w:rPr>
      </w:pPr>
    </w:p>
    <w:p w14:paraId="4847DB1F"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20" w14:textId="77777777" w:rsidR="00BC4CA0" w:rsidRPr="00BC4CA0" w:rsidRDefault="00BC4CA0" w:rsidP="00BC4CA0">
      <w:pPr>
        <w:pStyle w:val="LEAPBodyTextPostHeading"/>
        <w:rPr>
          <w:rFonts w:ascii="Times New Roman" w:hAnsi="Times New Roman" w:cs="Times New Roman"/>
          <w:color w:val="212121"/>
          <w:sz w:val="24"/>
          <w:szCs w:val="24"/>
        </w:rPr>
      </w:pPr>
    </w:p>
    <w:p w14:paraId="4847DB21" w14:textId="6EF6CB8C"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The </w:t>
      </w:r>
      <w:r w:rsidR="00AE176F">
        <w:rPr>
          <w:rFonts w:ascii="Times New Roman" w:hAnsi="Times New Roman" w:cs="Times New Roman"/>
          <w:color w:val="212121"/>
          <w:sz w:val="24"/>
          <w:szCs w:val="24"/>
        </w:rPr>
        <w:t>D</w:t>
      </w:r>
      <w:r w:rsidRPr="00BC4CA0">
        <w:rPr>
          <w:rFonts w:ascii="Times New Roman" w:hAnsi="Times New Roman" w:cs="Times New Roman"/>
          <w:color w:val="212121"/>
          <w:sz w:val="24"/>
          <w:szCs w:val="24"/>
        </w:rPr>
        <w:t xml:space="preserve">epartments received comments about the obstacles associated with wage record matching during the WIOA rule making process.  Some commenters recommended that participant records without </w:t>
      </w:r>
      <w:r w:rsidR="00AE176F">
        <w:rPr>
          <w:rFonts w:ascii="Times New Roman" w:hAnsi="Times New Roman" w:cs="Times New Roman"/>
          <w:color w:val="212121"/>
          <w:sz w:val="24"/>
          <w:szCs w:val="24"/>
        </w:rPr>
        <w:t>Social Security Numbers (SSN)</w:t>
      </w:r>
      <w:r w:rsidRPr="00BC4CA0">
        <w:rPr>
          <w:rFonts w:ascii="Times New Roman" w:hAnsi="Times New Roman" w:cs="Times New Roman"/>
          <w:color w:val="212121"/>
          <w:sz w:val="24"/>
          <w:szCs w:val="24"/>
        </w:rPr>
        <w:t xml:space="preserve"> be excluded from the employment and earnings indicators.  In response to these comments, the final rule was changed to allow States to use supplemental data to report on participants for whom a data match could not be completed because of missing data elements, such as a</w:t>
      </w:r>
      <w:r w:rsidR="003578E4">
        <w:rPr>
          <w:rFonts w:ascii="Times New Roman" w:hAnsi="Times New Roman" w:cs="Times New Roman"/>
          <w:color w:val="212121"/>
          <w:sz w:val="24"/>
          <w:szCs w:val="24"/>
        </w:rPr>
        <w:t>n</w:t>
      </w:r>
      <w:r w:rsidRPr="00BC4CA0">
        <w:rPr>
          <w:rFonts w:ascii="Times New Roman" w:hAnsi="Times New Roman" w:cs="Times New Roman"/>
          <w:color w:val="212121"/>
          <w:sz w:val="24"/>
          <w:szCs w:val="24"/>
        </w:rPr>
        <w:t xml:space="preserve"> SSN.  The Departments do not have the authority to exclude these participants from performance indicators.  The Departments will provide guidance on the use </w:t>
      </w:r>
      <w:r w:rsidR="003578E4">
        <w:rPr>
          <w:rFonts w:ascii="Times New Roman" w:hAnsi="Times New Roman" w:cs="Times New Roman"/>
          <w:color w:val="212121"/>
          <w:sz w:val="24"/>
          <w:szCs w:val="24"/>
        </w:rPr>
        <w:t xml:space="preserve">of </w:t>
      </w:r>
      <w:r w:rsidRPr="00BC4CA0">
        <w:rPr>
          <w:rFonts w:ascii="Times New Roman" w:hAnsi="Times New Roman" w:cs="Times New Roman"/>
          <w:color w:val="212121"/>
          <w:sz w:val="24"/>
          <w:szCs w:val="24"/>
        </w:rPr>
        <w:t xml:space="preserve">acceptable supplemental information to </w:t>
      </w:r>
      <w:r w:rsidR="003578E4">
        <w:rPr>
          <w:rFonts w:ascii="Times New Roman" w:hAnsi="Times New Roman" w:cs="Times New Roman"/>
          <w:color w:val="212121"/>
          <w:sz w:val="24"/>
          <w:szCs w:val="24"/>
        </w:rPr>
        <w:t xml:space="preserve">collect data for the </w:t>
      </w:r>
      <w:r w:rsidRPr="00BC4CA0">
        <w:rPr>
          <w:rFonts w:ascii="Times New Roman" w:hAnsi="Times New Roman" w:cs="Times New Roman"/>
          <w:color w:val="212121"/>
          <w:sz w:val="24"/>
          <w:szCs w:val="24"/>
        </w:rPr>
        <w:t>performance indicators.  We are unable to make changes to the program</w:t>
      </w:r>
      <w:r w:rsidR="00162DB4">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specific ICR that are not consistent with the </w:t>
      </w:r>
      <w:r w:rsidR="00FB1C00">
        <w:rPr>
          <w:rFonts w:ascii="Times New Roman" w:hAnsi="Times New Roman" w:cs="Times New Roman"/>
          <w:color w:val="212121"/>
          <w:sz w:val="24"/>
          <w:szCs w:val="24"/>
        </w:rPr>
        <w:t xml:space="preserve">joint WIOA </w:t>
      </w:r>
      <w:r w:rsidRPr="00BC4CA0">
        <w:rPr>
          <w:rFonts w:ascii="Times New Roman" w:hAnsi="Times New Roman" w:cs="Times New Roman"/>
          <w:color w:val="212121"/>
          <w:sz w:val="24"/>
          <w:szCs w:val="24"/>
        </w:rPr>
        <w:t>final rule</w:t>
      </w:r>
      <w:r w:rsidR="003578E4">
        <w:rPr>
          <w:rFonts w:ascii="Times New Roman" w:hAnsi="Times New Roman" w:cs="Times New Roman"/>
          <w:color w:val="212121"/>
          <w:sz w:val="24"/>
          <w:szCs w:val="24"/>
        </w:rPr>
        <w:t>.</w:t>
      </w:r>
    </w:p>
    <w:p w14:paraId="4847DB22" w14:textId="77777777" w:rsidR="00BC4CA0" w:rsidRPr="00BC4CA0" w:rsidRDefault="00BC4CA0" w:rsidP="00BC4CA0">
      <w:pPr>
        <w:pStyle w:val="LEAPBodyTextPostHeading"/>
        <w:rPr>
          <w:rFonts w:ascii="Times New Roman" w:hAnsi="Times New Roman" w:cs="Times New Roman"/>
          <w:color w:val="212121"/>
          <w:sz w:val="24"/>
          <w:szCs w:val="24"/>
        </w:rPr>
      </w:pPr>
    </w:p>
    <w:p w14:paraId="4847DB23"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24" w14:textId="77777777" w:rsidR="00BC4CA0" w:rsidRPr="00BC4CA0" w:rsidRDefault="00BC4CA0" w:rsidP="00BC4CA0">
      <w:pPr>
        <w:pStyle w:val="LEAPBodyTextPostHeading"/>
        <w:rPr>
          <w:rFonts w:ascii="Times New Roman" w:hAnsi="Times New Roman" w:cs="Times New Roman"/>
          <w:color w:val="212121"/>
          <w:sz w:val="24"/>
          <w:szCs w:val="24"/>
        </w:rPr>
      </w:pPr>
    </w:p>
    <w:p w14:paraId="4847DB25" w14:textId="6265A0C5"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r w:rsidR="00F13870">
        <w:rPr>
          <w:rFonts w:ascii="Times New Roman" w:hAnsi="Times New Roman" w:cs="Times New Roman"/>
          <w:color w:val="212121"/>
          <w:sz w:val="24"/>
          <w:szCs w:val="24"/>
        </w:rPr>
        <w:t>.</w:t>
      </w:r>
    </w:p>
    <w:p w14:paraId="4847DB26" w14:textId="77777777" w:rsidR="00BC4CA0" w:rsidRPr="00BC4CA0" w:rsidRDefault="00BC4CA0" w:rsidP="00BC4CA0">
      <w:pPr>
        <w:pStyle w:val="LEAPBodyTextPostHeading"/>
        <w:rPr>
          <w:rFonts w:ascii="Times New Roman" w:hAnsi="Times New Roman" w:cs="Times New Roman"/>
          <w:color w:val="212121"/>
          <w:sz w:val="24"/>
          <w:szCs w:val="24"/>
        </w:rPr>
      </w:pPr>
    </w:p>
    <w:p w14:paraId="4847DB27"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Comment</w:t>
      </w:r>
    </w:p>
    <w:p w14:paraId="4847DB28" w14:textId="77777777" w:rsidR="00BC4CA0" w:rsidRPr="00BC4CA0" w:rsidRDefault="00BC4CA0" w:rsidP="00BC4CA0">
      <w:pPr>
        <w:pStyle w:val="LEAPBodyTextPostHeading"/>
        <w:rPr>
          <w:rFonts w:ascii="Times New Roman" w:hAnsi="Times New Roman" w:cs="Times New Roman"/>
          <w:color w:val="212121"/>
          <w:sz w:val="24"/>
          <w:szCs w:val="24"/>
        </w:rPr>
      </w:pPr>
    </w:p>
    <w:p w14:paraId="4847DB29" w14:textId="77777777" w:rsidR="00BC4CA0" w:rsidRPr="00BC4CA0" w:rsidRDefault="00BC4CA0" w:rsidP="00BC4CA0">
      <w:pPr>
        <w:pStyle w:val="LEAPBodyTextPostHeading"/>
        <w:rPr>
          <w:rFonts w:ascii="Times New Roman" w:hAnsi="Times New Roman" w:cs="Times New Roman"/>
          <w:color w:val="212121"/>
          <w:sz w:val="24"/>
          <w:szCs w:val="24"/>
        </w:rPr>
      </w:pPr>
      <w:r>
        <w:rPr>
          <w:rFonts w:ascii="Times New Roman" w:hAnsi="Times New Roman" w:cs="Times New Roman"/>
          <w:color w:val="212121"/>
          <w:sz w:val="24"/>
          <w:szCs w:val="24"/>
        </w:rPr>
        <w:t xml:space="preserve">A </w:t>
      </w:r>
      <w:r w:rsidRPr="00BC4CA0">
        <w:rPr>
          <w:rFonts w:ascii="Times New Roman" w:hAnsi="Times New Roman" w:cs="Times New Roman"/>
          <w:color w:val="212121"/>
          <w:sz w:val="24"/>
          <w:szCs w:val="24"/>
        </w:rPr>
        <w:t xml:space="preserve">commenter stated that OCTAE should extend the time allowed for reporting of entry into postsecondary education and attainment of a secondary credential for </w:t>
      </w:r>
      <w:r w:rsidR="00A210FF">
        <w:rPr>
          <w:rFonts w:ascii="Times New Roman" w:hAnsi="Times New Roman" w:cs="Times New Roman"/>
          <w:color w:val="212121"/>
          <w:sz w:val="24"/>
          <w:szCs w:val="24"/>
        </w:rPr>
        <w:t>measurable skill gain</w:t>
      </w:r>
      <w:r w:rsidRPr="00BC4CA0">
        <w:rPr>
          <w:rFonts w:ascii="Times New Roman" w:hAnsi="Times New Roman" w:cs="Times New Roman"/>
          <w:color w:val="212121"/>
          <w:sz w:val="24"/>
          <w:szCs w:val="24"/>
        </w:rPr>
        <w:t xml:space="preserve"> from the end of the program year (June 30) to October. This additional time is needed to allow for follow up of these data for participants who attend and exit at the end of the program year.</w:t>
      </w:r>
    </w:p>
    <w:p w14:paraId="4847DB2A" w14:textId="77777777" w:rsidR="00BC4CA0" w:rsidRPr="00BC4CA0" w:rsidRDefault="00BC4CA0" w:rsidP="00BC4CA0">
      <w:pPr>
        <w:pStyle w:val="LEAPBodyTextPostHeading"/>
        <w:rPr>
          <w:rFonts w:ascii="Times New Roman" w:hAnsi="Times New Roman" w:cs="Times New Roman"/>
          <w:color w:val="212121"/>
          <w:sz w:val="24"/>
          <w:szCs w:val="24"/>
        </w:rPr>
      </w:pPr>
    </w:p>
    <w:p w14:paraId="4847DB2B"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2C" w14:textId="77777777" w:rsidR="00BC4CA0" w:rsidRPr="00BC4CA0" w:rsidRDefault="00BC4CA0" w:rsidP="00BC4CA0">
      <w:pPr>
        <w:pStyle w:val="LEAPBodyTextPostHeading"/>
        <w:rPr>
          <w:rFonts w:ascii="Times New Roman" w:hAnsi="Times New Roman" w:cs="Times New Roman"/>
          <w:color w:val="212121"/>
          <w:sz w:val="24"/>
          <w:szCs w:val="24"/>
        </w:rPr>
      </w:pPr>
    </w:p>
    <w:p w14:paraId="4847DB2D" w14:textId="75242ECB"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The WIOA reporting deadline for all </w:t>
      </w:r>
      <w:r w:rsidR="00BD7816">
        <w:rPr>
          <w:rFonts w:ascii="Times New Roman" w:hAnsi="Times New Roman" w:cs="Times New Roman"/>
          <w:color w:val="212121"/>
          <w:sz w:val="24"/>
          <w:szCs w:val="24"/>
        </w:rPr>
        <w:t>core programs</w:t>
      </w:r>
      <w:r w:rsidRPr="00BC4CA0">
        <w:rPr>
          <w:rFonts w:ascii="Times New Roman" w:hAnsi="Times New Roman" w:cs="Times New Roman"/>
          <w:color w:val="212121"/>
          <w:sz w:val="24"/>
          <w:szCs w:val="24"/>
        </w:rPr>
        <w:t xml:space="preserve"> is October following the end of the program year.  Extending the </w:t>
      </w:r>
      <w:r w:rsidR="00BD7816">
        <w:rPr>
          <w:rFonts w:ascii="Times New Roman" w:hAnsi="Times New Roman" w:cs="Times New Roman"/>
          <w:color w:val="212121"/>
          <w:sz w:val="24"/>
          <w:szCs w:val="24"/>
        </w:rPr>
        <w:t>time for collecting data for the measurable skill gain indicator</w:t>
      </w:r>
      <w:r w:rsidRPr="00BC4CA0">
        <w:rPr>
          <w:rFonts w:ascii="Times New Roman" w:hAnsi="Times New Roman" w:cs="Times New Roman"/>
          <w:color w:val="212121"/>
          <w:sz w:val="24"/>
          <w:szCs w:val="24"/>
        </w:rPr>
        <w:t xml:space="preserve"> as suggested would not allow </w:t>
      </w:r>
      <w:r w:rsidR="00FF4ED6">
        <w:rPr>
          <w:rFonts w:ascii="Times New Roman" w:hAnsi="Times New Roman" w:cs="Times New Roman"/>
          <w:color w:val="212121"/>
          <w:sz w:val="24"/>
          <w:szCs w:val="24"/>
        </w:rPr>
        <w:t>S</w:t>
      </w:r>
      <w:r w:rsidRPr="00BC4CA0">
        <w:rPr>
          <w:rFonts w:ascii="Times New Roman" w:hAnsi="Times New Roman" w:cs="Times New Roman"/>
          <w:color w:val="212121"/>
          <w:sz w:val="24"/>
          <w:szCs w:val="24"/>
        </w:rPr>
        <w:t>tates to meet the October reporting deadline</w:t>
      </w:r>
      <w:r w:rsidR="00A210FF">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triggering failure to report provisions under section </w:t>
      </w:r>
      <w:r w:rsidR="00A210FF">
        <w:rPr>
          <w:rFonts w:ascii="Times New Roman" w:hAnsi="Times New Roman" w:cs="Times New Roman"/>
          <w:color w:val="212121"/>
          <w:sz w:val="24"/>
          <w:szCs w:val="24"/>
        </w:rPr>
        <w:t>116 of WIOA</w:t>
      </w:r>
      <w:r w:rsidRPr="00BC4CA0">
        <w:rPr>
          <w:rFonts w:ascii="Times New Roman" w:hAnsi="Times New Roman" w:cs="Times New Roman"/>
          <w:color w:val="212121"/>
          <w:sz w:val="24"/>
          <w:szCs w:val="24"/>
        </w:rPr>
        <w:t>.  Therefore OCTAE cannot extend the time for data collection of this measure.</w:t>
      </w:r>
    </w:p>
    <w:p w14:paraId="4847DB2E" w14:textId="77777777" w:rsidR="00BC4CA0" w:rsidRPr="00BC4CA0" w:rsidRDefault="00BC4CA0" w:rsidP="00BC4CA0">
      <w:pPr>
        <w:pStyle w:val="LEAPBodyTextPostHeading"/>
        <w:rPr>
          <w:rFonts w:ascii="Times New Roman" w:hAnsi="Times New Roman" w:cs="Times New Roman"/>
          <w:color w:val="212121"/>
          <w:sz w:val="24"/>
          <w:szCs w:val="24"/>
        </w:rPr>
      </w:pPr>
    </w:p>
    <w:p w14:paraId="4847DB2F"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30" w14:textId="77777777" w:rsidR="00BC4CA0" w:rsidRPr="00BC4CA0" w:rsidRDefault="00BC4CA0" w:rsidP="00BC4CA0">
      <w:pPr>
        <w:pStyle w:val="LEAPBodyTextPostHeading"/>
        <w:rPr>
          <w:rFonts w:ascii="Times New Roman" w:hAnsi="Times New Roman" w:cs="Times New Roman"/>
          <w:color w:val="212121"/>
          <w:sz w:val="24"/>
          <w:szCs w:val="24"/>
        </w:rPr>
      </w:pPr>
    </w:p>
    <w:p w14:paraId="4847DB31" w14:textId="08DAC51B"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r w:rsidR="00F13870">
        <w:rPr>
          <w:rFonts w:ascii="Times New Roman" w:hAnsi="Times New Roman" w:cs="Times New Roman"/>
          <w:color w:val="212121"/>
          <w:sz w:val="24"/>
          <w:szCs w:val="24"/>
        </w:rPr>
        <w:t>.</w:t>
      </w:r>
    </w:p>
    <w:p w14:paraId="4847DB32"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33"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Comment</w:t>
      </w:r>
    </w:p>
    <w:p w14:paraId="4847DB34" w14:textId="77777777" w:rsidR="00BC4CA0" w:rsidRPr="00BC4CA0" w:rsidRDefault="00BC4CA0" w:rsidP="00BC4CA0">
      <w:pPr>
        <w:pStyle w:val="LEAPBodyTextPostHeading"/>
        <w:rPr>
          <w:rFonts w:ascii="Times New Roman" w:hAnsi="Times New Roman" w:cs="Times New Roman"/>
          <w:color w:val="212121"/>
          <w:sz w:val="24"/>
          <w:szCs w:val="24"/>
        </w:rPr>
      </w:pPr>
    </w:p>
    <w:p w14:paraId="4847DB35" w14:textId="75F7303B" w:rsidR="00BC4CA0" w:rsidRPr="00BC4CA0" w:rsidRDefault="00BC4CA0" w:rsidP="00BC4CA0">
      <w:pPr>
        <w:pStyle w:val="LEAPBodyTextPostHeading"/>
        <w:rPr>
          <w:rFonts w:ascii="Times New Roman" w:hAnsi="Times New Roman" w:cs="Times New Roman"/>
          <w:color w:val="212121"/>
          <w:sz w:val="24"/>
          <w:szCs w:val="24"/>
        </w:rPr>
      </w:pPr>
      <w:r>
        <w:rPr>
          <w:rFonts w:ascii="Times New Roman" w:hAnsi="Times New Roman" w:cs="Times New Roman"/>
          <w:color w:val="212121"/>
          <w:sz w:val="24"/>
          <w:szCs w:val="24"/>
        </w:rPr>
        <w:t xml:space="preserve">A </w:t>
      </w:r>
      <w:r w:rsidRPr="00BC4CA0">
        <w:rPr>
          <w:rFonts w:ascii="Times New Roman" w:hAnsi="Times New Roman" w:cs="Times New Roman"/>
          <w:color w:val="212121"/>
          <w:sz w:val="24"/>
          <w:szCs w:val="24"/>
        </w:rPr>
        <w:t xml:space="preserve">commenter stated that there were no options for high school completion or passing the </w:t>
      </w:r>
      <w:r w:rsidR="004521D6">
        <w:rPr>
          <w:rFonts w:ascii="Times New Roman" w:hAnsi="Times New Roman" w:cs="Times New Roman"/>
          <w:color w:val="212121"/>
          <w:sz w:val="24"/>
          <w:szCs w:val="24"/>
        </w:rPr>
        <w:t>General Education Development (</w:t>
      </w:r>
      <w:r w:rsidRPr="00BC4CA0">
        <w:rPr>
          <w:rFonts w:ascii="Times New Roman" w:hAnsi="Times New Roman" w:cs="Times New Roman"/>
          <w:color w:val="212121"/>
          <w:sz w:val="24"/>
          <w:szCs w:val="24"/>
        </w:rPr>
        <w:t>GED</w:t>
      </w:r>
      <w:r w:rsidR="004521D6">
        <w:rPr>
          <w:rFonts w:ascii="Times New Roman" w:hAnsi="Times New Roman" w:cs="Times New Roman"/>
          <w:color w:val="212121"/>
          <w:sz w:val="24"/>
          <w:szCs w:val="24"/>
        </w:rPr>
        <w:t>)</w:t>
      </w:r>
      <w:r w:rsidRPr="00BC4CA0">
        <w:rPr>
          <w:rFonts w:ascii="Times New Roman" w:hAnsi="Times New Roman" w:cs="Times New Roman"/>
          <w:color w:val="212121"/>
          <w:sz w:val="24"/>
          <w:szCs w:val="24"/>
        </w:rPr>
        <w:t xml:space="preserve"> on the reporting tables. </w:t>
      </w:r>
    </w:p>
    <w:p w14:paraId="4847DB36" w14:textId="77777777" w:rsidR="00BC4CA0" w:rsidRPr="00BC4CA0" w:rsidRDefault="00BC4CA0" w:rsidP="00BC4CA0">
      <w:pPr>
        <w:pStyle w:val="LEAPBodyTextPostHeading"/>
        <w:rPr>
          <w:rFonts w:ascii="Times New Roman" w:hAnsi="Times New Roman" w:cs="Times New Roman"/>
          <w:color w:val="212121"/>
          <w:sz w:val="24"/>
          <w:szCs w:val="24"/>
        </w:rPr>
      </w:pPr>
    </w:p>
    <w:p w14:paraId="4847DB37"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38" w14:textId="77777777" w:rsidR="00BC4CA0" w:rsidRPr="00BC4CA0" w:rsidRDefault="00BC4CA0" w:rsidP="00BC4CA0">
      <w:pPr>
        <w:pStyle w:val="LEAPBodyTextPostHeading"/>
        <w:rPr>
          <w:rFonts w:ascii="Times New Roman" w:hAnsi="Times New Roman" w:cs="Times New Roman"/>
          <w:color w:val="212121"/>
          <w:sz w:val="24"/>
          <w:szCs w:val="24"/>
        </w:rPr>
      </w:pPr>
    </w:p>
    <w:p w14:paraId="4847DB39" w14:textId="7E2A3E4A"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Table 4 allows </w:t>
      </w:r>
      <w:r w:rsidR="00A210FF">
        <w:rPr>
          <w:rFonts w:ascii="Times New Roman" w:hAnsi="Times New Roman" w:cs="Times New Roman"/>
          <w:color w:val="212121"/>
          <w:sz w:val="24"/>
          <w:szCs w:val="24"/>
        </w:rPr>
        <w:t xml:space="preserve">the </w:t>
      </w:r>
      <w:r w:rsidRPr="00BC4CA0">
        <w:rPr>
          <w:rFonts w:ascii="Times New Roman" w:hAnsi="Times New Roman" w:cs="Times New Roman"/>
          <w:color w:val="212121"/>
          <w:sz w:val="24"/>
          <w:szCs w:val="24"/>
        </w:rPr>
        <w:t xml:space="preserve">reporting of obtaining a secondary </w:t>
      </w:r>
      <w:r w:rsidR="00D9494F">
        <w:rPr>
          <w:rFonts w:ascii="Times New Roman" w:hAnsi="Times New Roman" w:cs="Times New Roman"/>
          <w:color w:val="212121"/>
          <w:sz w:val="24"/>
          <w:szCs w:val="24"/>
        </w:rPr>
        <w:t xml:space="preserve">school diploma or its recognized equivalent (which would include high school completion or the GED) </w:t>
      </w:r>
      <w:r w:rsidRPr="00BC4CA0">
        <w:rPr>
          <w:rFonts w:ascii="Times New Roman" w:hAnsi="Times New Roman" w:cs="Times New Roman"/>
          <w:color w:val="212121"/>
          <w:sz w:val="24"/>
          <w:szCs w:val="24"/>
        </w:rPr>
        <w:t xml:space="preserve">as a means of determining </w:t>
      </w:r>
      <w:r w:rsidR="00A210FF">
        <w:rPr>
          <w:rFonts w:ascii="Times New Roman" w:hAnsi="Times New Roman" w:cs="Times New Roman"/>
          <w:color w:val="212121"/>
          <w:sz w:val="24"/>
          <w:szCs w:val="24"/>
        </w:rPr>
        <w:t>measurable skill gain</w:t>
      </w:r>
      <w:r w:rsidR="00D9494F">
        <w:rPr>
          <w:rFonts w:ascii="Times New Roman" w:hAnsi="Times New Roman" w:cs="Times New Roman"/>
          <w:color w:val="212121"/>
          <w:sz w:val="24"/>
          <w:szCs w:val="24"/>
        </w:rPr>
        <w:t>.</w:t>
      </w:r>
    </w:p>
    <w:p w14:paraId="4847DB3A"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3B"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3C" w14:textId="77777777" w:rsidR="00BC4CA0" w:rsidRPr="00BC4CA0" w:rsidRDefault="00BC4CA0" w:rsidP="00BC4CA0">
      <w:pPr>
        <w:pStyle w:val="LEAPBodyTextPostHeading"/>
        <w:rPr>
          <w:rFonts w:ascii="Times New Roman" w:hAnsi="Times New Roman" w:cs="Times New Roman"/>
          <w:color w:val="212121"/>
          <w:sz w:val="24"/>
          <w:szCs w:val="24"/>
        </w:rPr>
      </w:pPr>
    </w:p>
    <w:p w14:paraId="4847DB3D" w14:textId="0948ED48"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r w:rsidR="00F13870">
        <w:rPr>
          <w:rFonts w:ascii="Times New Roman" w:hAnsi="Times New Roman" w:cs="Times New Roman"/>
          <w:color w:val="212121"/>
          <w:sz w:val="24"/>
          <w:szCs w:val="24"/>
        </w:rPr>
        <w:t>.</w:t>
      </w:r>
    </w:p>
    <w:p w14:paraId="4847DB3E" w14:textId="77777777" w:rsidR="00BC4CA0" w:rsidRPr="00BC4CA0" w:rsidRDefault="00BC4CA0" w:rsidP="00BC4CA0">
      <w:pPr>
        <w:pStyle w:val="LEAPBodyTextPostHeading"/>
        <w:rPr>
          <w:rFonts w:ascii="Times New Roman" w:hAnsi="Times New Roman" w:cs="Times New Roman"/>
          <w:color w:val="212121"/>
          <w:sz w:val="24"/>
          <w:szCs w:val="24"/>
        </w:rPr>
      </w:pPr>
    </w:p>
    <w:p w14:paraId="4847DB3F" w14:textId="77777777" w:rsid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Comment</w:t>
      </w:r>
    </w:p>
    <w:p w14:paraId="3B81EB54" w14:textId="77777777" w:rsidR="00D314A9" w:rsidRPr="00BC4CA0" w:rsidRDefault="00D314A9" w:rsidP="00BC4CA0">
      <w:pPr>
        <w:pStyle w:val="LEAPBodyTextPostHeading"/>
        <w:rPr>
          <w:rFonts w:ascii="Times New Roman" w:hAnsi="Times New Roman" w:cs="Times New Roman"/>
          <w:b/>
          <w:color w:val="212121"/>
          <w:sz w:val="24"/>
          <w:szCs w:val="24"/>
        </w:rPr>
      </w:pPr>
    </w:p>
    <w:p w14:paraId="4847DB40" w14:textId="77777777" w:rsidR="00BC4CA0" w:rsidRPr="00BC4CA0" w:rsidRDefault="00BD7816" w:rsidP="00BC4CA0">
      <w:pPr>
        <w:pStyle w:val="LEAPBodyTextPostHeading"/>
        <w:rPr>
          <w:rFonts w:ascii="Times New Roman" w:hAnsi="Times New Roman" w:cs="Times New Roman"/>
          <w:color w:val="212121"/>
          <w:sz w:val="24"/>
          <w:szCs w:val="24"/>
        </w:rPr>
      </w:pPr>
      <w:r w:rsidRPr="00D314A9">
        <w:rPr>
          <w:rFonts w:ascii="Times New Roman" w:hAnsi="Times New Roman" w:cs="Times New Roman"/>
          <w:color w:val="212121"/>
          <w:sz w:val="24"/>
          <w:szCs w:val="24"/>
        </w:rPr>
        <w:t xml:space="preserve">A few </w:t>
      </w:r>
      <w:r w:rsidR="00BC4CA0" w:rsidRPr="00D314A9">
        <w:rPr>
          <w:rFonts w:ascii="Times New Roman" w:hAnsi="Times New Roman" w:cs="Times New Roman"/>
          <w:color w:val="212121"/>
          <w:sz w:val="24"/>
          <w:szCs w:val="24"/>
        </w:rPr>
        <w:t>commenters suggested e</w:t>
      </w:r>
      <w:r w:rsidR="00BC4CA0" w:rsidRPr="00D314A9">
        <w:rPr>
          <w:rFonts w:ascii="Times New Roman" w:hAnsi="Times New Roman" w:cs="Times New Roman"/>
          <w:sz w:val="24"/>
          <w:szCs w:val="24"/>
        </w:rPr>
        <w:t>xpanding the IELCE financial reporting from the “basic” levels (c. Programs of Instruction 1-8) as was reported under WIA, to include the shaded “d. Programs of Instruction 9-12”.</w:t>
      </w:r>
    </w:p>
    <w:p w14:paraId="4847DB41" w14:textId="77777777" w:rsidR="00BC4CA0" w:rsidRPr="00BC4CA0" w:rsidRDefault="00BC4CA0" w:rsidP="00BC4CA0">
      <w:pPr>
        <w:pStyle w:val="LEAPBodyTextPostHeading"/>
        <w:rPr>
          <w:rFonts w:ascii="Times New Roman" w:hAnsi="Times New Roman" w:cs="Times New Roman"/>
          <w:color w:val="212121"/>
          <w:sz w:val="24"/>
          <w:szCs w:val="24"/>
        </w:rPr>
      </w:pPr>
    </w:p>
    <w:p w14:paraId="4847DB42"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43" w14:textId="77777777" w:rsidR="00BC4CA0" w:rsidRDefault="00BC4CA0" w:rsidP="00BC4CA0">
      <w:pPr>
        <w:pStyle w:val="LEAPBodyTextPostHeading"/>
        <w:rPr>
          <w:rFonts w:ascii="Times New Roman" w:hAnsi="Times New Roman" w:cs="Times New Roman"/>
          <w:color w:val="212121"/>
          <w:sz w:val="24"/>
          <w:szCs w:val="24"/>
        </w:rPr>
      </w:pPr>
    </w:p>
    <w:p w14:paraId="4847DB45" w14:textId="482DDDFB" w:rsidR="00BC4CA0" w:rsidRPr="00BC4CA0" w:rsidRDefault="00D314A9" w:rsidP="00BC4CA0">
      <w:pPr>
        <w:pStyle w:val="LEAPBodyTextPostHeading"/>
        <w:rPr>
          <w:rFonts w:ascii="Times New Roman" w:hAnsi="Times New Roman" w:cs="Times New Roman"/>
          <w:b/>
          <w:color w:val="212121"/>
          <w:sz w:val="24"/>
          <w:szCs w:val="24"/>
        </w:rPr>
      </w:pPr>
      <w:r w:rsidRPr="0088710E">
        <w:rPr>
          <w:rFonts w:ascii="Times New Roman" w:hAnsi="Times New Roman" w:cs="Times New Roman"/>
          <w:color w:val="212121"/>
          <w:sz w:val="24"/>
          <w:szCs w:val="24"/>
        </w:rPr>
        <w:t xml:space="preserve">We agree that the headings for columns C and D in Box 10 of the federal financial report could be made more explicit and have added </w:t>
      </w:r>
      <w:r w:rsidR="00E26426">
        <w:rPr>
          <w:rFonts w:ascii="Times New Roman" w:hAnsi="Times New Roman" w:cs="Times New Roman"/>
          <w:color w:val="212121"/>
          <w:sz w:val="24"/>
          <w:szCs w:val="24"/>
        </w:rPr>
        <w:t>clarifying text</w:t>
      </w:r>
      <w:r>
        <w:rPr>
          <w:rFonts w:ascii="Times New Roman" w:hAnsi="Times New Roman" w:cs="Times New Roman"/>
          <w:color w:val="212121"/>
          <w:sz w:val="24"/>
          <w:szCs w:val="24"/>
        </w:rPr>
        <w:t xml:space="preserve"> for better </w:t>
      </w:r>
      <w:r w:rsidRPr="0088710E">
        <w:rPr>
          <w:rFonts w:ascii="Times New Roman" w:hAnsi="Times New Roman" w:cs="Times New Roman"/>
          <w:color w:val="212121"/>
          <w:sz w:val="24"/>
          <w:szCs w:val="24"/>
        </w:rPr>
        <w:t>a</w:t>
      </w:r>
      <w:r>
        <w:rPr>
          <w:rFonts w:ascii="Times New Roman" w:hAnsi="Times New Roman" w:cs="Times New Roman"/>
          <w:color w:val="212121"/>
          <w:sz w:val="24"/>
          <w:szCs w:val="24"/>
        </w:rPr>
        <w:t xml:space="preserve">lignment </w:t>
      </w:r>
      <w:r w:rsidRPr="0088710E">
        <w:rPr>
          <w:rFonts w:ascii="Times New Roman" w:hAnsi="Times New Roman" w:cs="Times New Roman"/>
          <w:color w:val="212121"/>
          <w:sz w:val="24"/>
          <w:szCs w:val="24"/>
        </w:rPr>
        <w:t xml:space="preserve">with the levels of instruction provided in the adult education program.  </w:t>
      </w:r>
      <w:r>
        <w:rPr>
          <w:rFonts w:ascii="Times New Roman" w:hAnsi="Times New Roman" w:cs="Times New Roman"/>
          <w:color w:val="212121"/>
          <w:sz w:val="24"/>
          <w:szCs w:val="24"/>
        </w:rPr>
        <w:t xml:space="preserve">We are instructing that expenditures at all ESL levels are to be reported in column C.  This instruction is not intended to restrict program eligibility.  </w:t>
      </w:r>
      <w:r w:rsidRPr="0088710E">
        <w:rPr>
          <w:rFonts w:ascii="Times New Roman" w:hAnsi="Times New Roman" w:cs="Times New Roman"/>
          <w:color w:val="212121"/>
          <w:sz w:val="24"/>
          <w:szCs w:val="24"/>
        </w:rPr>
        <w:t xml:space="preserve">Any student who meets </w:t>
      </w:r>
      <w:r>
        <w:rPr>
          <w:rFonts w:ascii="Times New Roman" w:hAnsi="Times New Roman" w:cs="Times New Roman"/>
          <w:color w:val="212121"/>
          <w:sz w:val="24"/>
          <w:szCs w:val="24"/>
        </w:rPr>
        <w:t xml:space="preserve">the program </w:t>
      </w:r>
      <w:r w:rsidRPr="0088710E">
        <w:rPr>
          <w:rFonts w:ascii="Times New Roman" w:hAnsi="Times New Roman" w:cs="Times New Roman"/>
          <w:color w:val="212121"/>
          <w:sz w:val="24"/>
          <w:szCs w:val="24"/>
        </w:rPr>
        <w:t>eligibility requirements may be served.</w:t>
      </w:r>
      <w:r>
        <w:rPr>
          <w:rFonts w:ascii="Times New Roman" w:hAnsi="Times New Roman" w:cs="Times New Roman"/>
          <w:color w:val="212121"/>
          <w:sz w:val="24"/>
          <w:szCs w:val="24"/>
        </w:rPr>
        <w:t xml:space="preserve">  We believe that </w:t>
      </w:r>
      <w:r w:rsidRPr="0024093F">
        <w:rPr>
          <w:rFonts w:ascii="Times New Roman" w:hAnsi="Times New Roman" w:cs="Times New Roman"/>
          <w:color w:val="212121"/>
          <w:sz w:val="24"/>
          <w:szCs w:val="24"/>
        </w:rPr>
        <w:t xml:space="preserve">expanding </w:t>
      </w:r>
      <w:r w:rsidR="00E26426">
        <w:rPr>
          <w:rFonts w:ascii="Times New Roman" w:hAnsi="Times New Roman" w:cs="Times New Roman"/>
          <w:color w:val="212121"/>
          <w:sz w:val="24"/>
          <w:szCs w:val="24"/>
        </w:rPr>
        <w:t xml:space="preserve">IELCE </w:t>
      </w:r>
      <w:r w:rsidRPr="0024093F">
        <w:rPr>
          <w:rFonts w:ascii="Times New Roman" w:hAnsi="Times New Roman" w:cs="Times New Roman"/>
          <w:color w:val="212121"/>
          <w:sz w:val="24"/>
          <w:szCs w:val="24"/>
        </w:rPr>
        <w:t>reporting</w:t>
      </w:r>
      <w:r>
        <w:rPr>
          <w:rFonts w:ascii="Times New Roman" w:hAnsi="Times New Roman" w:cs="Times New Roman"/>
          <w:color w:val="212121"/>
          <w:sz w:val="24"/>
          <w:szCs w:val="24"/>
        </w:rPr>
        <w:t xml:space="preserve"> would unnecessarily increase burden.  </w:t>
      </w:r>
    </w:p>
    <w:p w14:paraId="4847DB46"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47" w14:textId="77777777" w:rsidR="00BC4CA0" w:rsidRPr="00BC4CA0" w:rsidRDefault="00BC4CA0" w:rsidP="00BC4CA0">
      <w:pPr>
        <w:pStyle w:val="LEAPBodyTextPostHeading"/>
        <w:rPr>
          <w:rFonts w:ascii="Times New Roman" w:hAnsi="Times New Roman" w:cs="Times New Roman"/>
          <w:color w:val="212121"/>
          <w:sz w:val="24"/>
          <w:szCs w:val="24"/>
        </w:rPr>
      </w:pPr>
    </w:p>
    <w:p w14:paraId="4847DB49" w14:textId="1A1330B0" w:rsidR="00BC4CA0" w:rsidRPr="00E26426" w:rsidRDefault="00E26426" w:rsidP="00BC4CA0">
      <w:pPr>
        <w:pStyle w:val="LEAPBodyTextPostHeading"/>
        <w:rPr>
          <w:rFonts w:ascii="Times New Roman" w:hAnsi="Times New Roman" w:cs="Times New Roman"/>
          <w:color w:val="212121"/>
          <w:sz w:val="24"/>
          <w:szCs w:val="24"/>
        </w:rPr>
      </w:pPr>
      <w:r w:rsidRPr="00E26426">
        <w:rPr>
          <w:rFonts w:ascii="Times New Roman" w:hAnsi="Times New Roman" w:cs="Times New Roman"/>
          <w:color w:val="212121"/>
          <w:sz w:val="24"/>
          <w:szCs w:val="24"/>
        </w:rPr>
        <w:t xml:space="preserve">The words “ABE levels 1-4 and ESL levels 1-6” were added to the heading for column C.  The words “ABE levels 5 and 6” were added to the heading for column </w:t>
      </w:r>
      <w:r>
        <w:rPr>
          <w:rFonts w:ascii="Times New Roman" w:hAnsi="Times New Roman" w:cs="Times New Roman"/>
          <w:color w:val="212121"/>
          <w:sz w:val="24"/>
          <w:szCs w:val="24"/>
        </w:rPr>
        <w:t>D</w:t>
      </w:r>
      <w:r w:rsidRPr="00E26426">
        <w:rPr>
          <w:rFonts w:ascii="Times New Roman" w:hAnsi="Times New Roman" w:cs="Times New Roman"/>
          <w:color w:val="212121"/>
          <w:sz w:val="24"/>
          <w:szCs w:val="24"/>
        </w:rPr>
        <w:t xml:space="preserve">.    </w:t>
      </w:r>
    </w:p>
    <w:p w14:paraId="37EB0E98" w14:textId="77777777" w:rsidR="00E26426" w:rsidRPr="00BC4CA0" w:rsidRDefault="00E26426" w:rsidP="00BC4CA0">
      <w:pPr>
        <w:pStyle w:val="LEAPBodyTextPostHeading"/>
        <w:rPr>
          <w:rFonts w:ascii="Times New Roman" w:hAnsi="Times New Roman" w:cs="Times New Roman"/>
          <w:color w:val="212121"/>
          <w:sz w:val="24"/>
          <w:szCs w:val="24"/>
        </w:rPr>
      </w:pPr>
    </w:p>
    <w:p w14:paraId="4847DB4B" w14:textId="77777777" w:rsidR="00BC4CA0" w:rsidRPr="009605A2" w:rsidRDefault="00BC4CA0" w:rsidP="00BC4CA0">
      <w:pPr>
        <w:pStyle w:val="LEAPBodyTextPostHeading"/>
        <w:rPr>
          <w:rFonts w:ascii="Times New Roman" w:hAnsi="Times New Roman" w:cs="Times New Roman"/>
          <w:color w:val="212121"/>
          <w:sz w:val="24"/>
          <w:szCs w:val="24"/>
        </w:rPr>
      </w:pPr>
    </w:p>
    <w:p w14:paraId="4847DB4C" w14:textId="77777777" w:rsidR="00BC4CA0" w:rsidRPr="00BC4CA0" w:rsidRDefault="00BC4CA0" w:rsidP="00BC4CA0">
      <w:pPr>
        <w:rPr>
          <w:rFonts w:ascii="Times New Roman" w:hAnsi="Times New Roman" w:cs="Times New Roman"/>
          <w:b/>
          <w:color w:val="212121"/>
        </w:rPr>
      </w:pPr>
      <w:r w:rsidRPr="009605A2">
        <w:rPr>
          <w:rFonts w:ascii="Times New Roman" w:hAnsi="Times New Roman" w:cs="Times New Roman"/>
          <w:b/>
          <w:color w:val="212121"/>
        </w:rPr>
        <w:t>Comment</w:t>
      </w:r>
    </w:p>
    <w:p w14:paraId="4847DB4D" w14:textId="3E0B9645"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Several commenters stated that there should be separate rows on Table 4 for reporting each period of participation, rather than columns for each </w:t>
      </w:r>
      <w:r w:rsidR="00AE426A" w:rsidRPr="00BC4CA0">
        <w:rPr>
          <w:rFonts w:ascii="Times New Roman" w:hAnsi="Times New Roman" w:cs="Times New Roman"/>
          <w:color w:val="212121"/>
        </w:rPr>
        <w:t>period of participation</w:t>
      </w:r>
      <w:r w:rsidRPr="00BC4CA0">
        <w:rPr>
          <w:rFonts w:ascii="Times New Roman" w:hAnsi="Times New Roman" w:cs="Times New Roman"/>
          <w:color w:val="212121"/>
        </w:rPr>
        <w:t xml:space="preserve"> because this information is needed for the </w:t>
      </w:r>
      <w:r w:rsidR="008342B5">
        <w:rPr>
          <w:rFonts w:ascii="Times New Roman" w:hAnsi="Times New Roman" w:cs="Times New Roman"/>
          <w:color w:val="212121"/>
          <w:sz w:val="24"/>
          <w:szCs w:val="24"/>
        </w:rPr>
        <w:t>S</w:t>
      </w:r>
      <w:r w:rsidR="009605A2">
        <w:rPr>
          <w:rFonts w:ascii="Times New Roman" w:hAnsi="Times New Roman" w:cs="Times New Roman"/>
          <w:color w:val="212121"/>
          <w:sz w:val="24"/>
          <w:szCs w:val="24"/>
        </w:rPr>
        <w:t>tatewide p</w:t>
      </w:r>
      <w:r w:rsidR="009605A2" w:rsidRPr="0085169F">
        <w:rPr>
          <w:rFonts w:ascii="Times New Roman" w:hAnsi="Times New Roman" w:cs="Times New Roman"/>
          <w:color w:val="212121"/>
          <w:sz w:val="24"/>
          <w:szCs w:val="24"/>
        </w:rPr>
        <w:t xml:space="preserve">erformance </w:t>
      </w:r>
      <w:r w:rsidR="009605A2">
        <w:rPr>
          <w:rFonts w:ascii="Times New Roman" w:hAnsi="Times New Roman" w:cs="Times New Roman"/>
          <w:color w:val="212121"/>
          <w:sz w:val="24"/>
          <w:szCs w:val="24"/>
        </w:rPr>
        <w:t>r</w:t>
      </w:r>
      <w:r w:rsidR="009605A2" w:rsidRPr="0085169F">
        <w:rPr>
          <w:rFonts w:ascii="Times New Roman" w:hAnsi="Times New Roman" w:cs="Times New Roman"/>
          <w:color w:val="212121"/>
          <w:sz w:val="24"/>
          <w:szCs w:val="24"/>
        </w:rPr>
        <w:t xml:space="preserve">eport </w:t>
      </w:r>
      <w:r w:rsidR="009605A2">
        <w:rPr>
          <w:rFonts w:ascii="Times New Roman" w:hAnsi="Times New Roman" w:cs="Times New Roman"/>
          <w:color w:val="212121"/>
          <w:sz w:val="24"/>
          <w:szCs w:val="24"/>
        </w:rPr>
        <w:t>(ETA-9169)</w:t>
      </w:r>
      <w:r w:rsidRPr="00BC4CA0">
        <w:rPr>
          <w:rFonts w:ascii="Times New Roman" w:hAnsi="Times New Roman" w:cs="Times New Roman"/>
          <w:color w:val="212121"/>
        </w:rPr>
        <w:t>. Another</w:t>
      </w:r>
      <w:r>
        <w:rPr>
          <w:rFonts w:ascii="Times New Roman" w:hAnsi="Times New Roman" w:cs="Times New Roman"/>
          <w:color w:val="212121"/>
        </w:rPr>
        <w:t xml:space="preserve"> </w:t>
      </w:r>
      <w:r w:rsidRPr="00BC4CA0">
        <w:rPr>
          <w:rFonts w:ascii="Times New Roman" w:hAnsi="Times New Roman" w:cs="Times New Roman"/>
          <w:color w:val="212121"/>
        </w:rPr>
        <w:t xml:space="preserve">commenter noted there is no information on how to define </w:t>
      </w:r>
      <w:r w:rsidR="00AE426A" w:rsidRPr="00BC4CA0">
        <w:rPr>
          <w:rFonts w:ascii="Times New Roman" w:hAnsi="Times New Roman" w:cs="Times New Roman"/>
          <w:color w:val="212121"/>
        </w:rPr>
        <w:t xml:space="preserve">period of participation </w:t>
      </w:r>
      <w:r w:rsidRPr="00BC4CA0">
        <w:rPr>
          <w:rFonts w:ascii="Times New Roman" w:hAnsi="Times New Roman" w:cs="Times New Roman"/>
          <w:color w:val="212121"/>
        </w:rPr>
        <w:t xml:space="preserve">and whether more than one </w:t>
      </w:r>
      <w:r w:rsidR="00A210FF">
        <w:rPr>
          <w:rFonts w:ascii="Times New Roman" w:hAnsi="Times New Roman" w:cs="Times New Roman"/>
          <w:color w:val="212121"/>
        </w:rPr>
        <w:t>measurable skill gain</w:t>
      </w:r>
      <w:r w:rsidRPr="00BC4CA0">
        <w:rPr>
          <w:rFonts w:ascii="Times New Roman" w:hAnsi="Times New Roman" w:cs="Times New Roman"/>
          <w:color w:val="212121"/>
        </w:rPr>
        <w:t xml:space="preserve"> per </w:t>
      </w:r>
      <w:r w:rsidR="00AE426A" w:rsidRPr="00BC4CA0">
        <w:rPr>
          <w:rFonts w:ascii="Times New Roman" w:hAnsi="Times New Roman" w:cs="Times New Roman"/>
          <w:color w:val="212121"/>
        </w:rPr>
        <w:t>period of participation</w:t>
      </w:r>
      <w:r w:rsidRPr="00BC4CA0">
        <w:rPr>
          <w:rFonts w:ascii="Times New Roman" w:hAnsi="Times New Roman" w:cs="Times New Roman"/>
          <w:color w:val="212121"/>
        </w:rPr>
        <w:t xml:space="preserve"> can be reported for each participant per year.</w:t>
      </w:r>
    </w:p>
    <w:p w14:paraId="4847DB4E"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B4F" w14:textId="5D90BC8A"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OCTAE considered several different ways fo</w:t>
      </w:r>
      <w:r w:rsidR="00AE426A">
        <w:rPr>
          <w:rFonts w:ascii="Times New Roman" w:hAnsi="Times New Roman" w:cs="Times New Roman"/>
          <w:color w:val="212121"/>
        </w:rPr>
        <w:t xml:space="preserve">r </w:t>
      </w:r>
      <w:r w:rsidR="008342B5">
        <w:rPr>
          <w:rFonts w:ascii="Times New Roman" w:hAnsi="Times New Roman" w:cs="Times New Roman"/>
          <w:color w:val="212121"/>
        </w:rPr>
        <w:t>S</w:t>
      </w:r>
      <w:r w:rsidR="00AE426A">
        <w:rPr>
          <w:rFonts w:ascii="Times New Roman" w:hAnsi="Times New Roman" w:cs="Times New Roman"/>
          <w:color w:val="212121"/>
        </w:rPr>
        <w:t xml:space="preserve">tates to record multiple </w:t>
      </w:r>
      <w:r w:rsidR="00AE426A" w:rsidRPr="00BC4CA0">
        <w:rPr>
          <w:rFonts w:ascii="Times New Roman" w:hAnsi="Times New Roman" w:cs="Times New Roman"/>
          <w:color w:val="212121"/>
        </w:rPr>
        <w:t>period</w:t>
      </w:r>
      <w:r w:rsidR="00AE426A">
        <w:rPr>
          <w:rFonts w:ascii="Times New Roman" w:hAnsi="Times New Roman" w:cs="Times New Roman"/>
          <w:color w:val="212121"/>
        </w:rPr>
        <w:t>s</w:t>
      </w:r>
      <w:r w:rsidR="00AE426A" w:rsidRPr="00BC4CA0">
        <w:rPr>
          <w:rFonts w:ascii="Times New Roman" w:hAnsi="Times New Roman" w:cs="Times New Roman"/>
          <w:color w:val="212121"/>
        </w:rPr>
        <w:t xml:space="preserve"> of participation</w:t>
      </w:r>
      <w:r w:rsidR="00AE426A">
        <w:rPr>
          <w:rFonts w:ascii="Times New Roman" w:hAnsi="Times New Roman" w:cs="Times New Roman"/>
          <w:color w:val="212121"/>
        </w:rPr>
        <w:t xml:space="preserve"> and outcomes per </w:t>
      </w:r>
      <w:r w:rsidR="00AE426A" w:rsidRPr="00BC4CA0">
        <w:rPr>
          <w:rFonts w:ascii="Times New Roman" w:hAnsi="Times New Roman" w:cs="Times New Roman"/>
          <w:color w:val="212121"/>
        </w:rPr>
        <w:t>period of participation</w:t>
      </w:r>
      <w:r w:rsidRPr="00BC4CA0">
        <w:rPr>
          <w:rFonts w:ascii="Times New Roman" w:hAnsi="Times New Roman" w:cs="Times New Roman"/>
          <w:color w:val="212121"/>
        </w:rPr>
        <w:t xml:space="preserve"> on Table 4, including adding additional rows. The complexity and le</w:t>
      </w:r>
      <w:r w:rsidR="00AE426A">
        <w:rPr>
          <w:rFonts w:ascii="Times New Roman" w:hAnsi="Times New Roman" w:cs="Times New Roman"/>
          <w:color w:val="212121"/>
        </w:rPr>
        <w:t xml:space="preserve">vel of burden for reporting </w:t>
      </w:r>
      <w:r w:rsidR="00AE426A" w:rsidRPr="00BC4CA0">
        <w:rPr>
          <w:rFonts w:ascii="Times New Roman" w:hAnsi="Times New Roman" w:cs="Times New Roman"/>
          <w:color w:val="212121"/>
        </w:rPr>
        <w:t>period of participation</w:t>
      </w:r>
      <w:r w:rsidRPr="00BC4CA0">
        <w:rPr>
          <w:rFonts w:ascii="Times New Roman" w:hAnsi="Times New Roman" w:cs="Times New Roman"/>
          <w:color w:val="212121"/>
        </w:rPr>
        <w:t xml:space="preserve"> on a table with </w:t>
      </w:r>
      <w:r w:rsidR="009605A2">
        <w:rPr>
          <w:rFonts w:ascii="Times New Roman" w:hAnsi="Times New Roman" w:cs="Times New Roman"/>
          <w:color w:val="212121"/>
        </w:rPr>
        <w:t xml:space="preserve">additional rows </w:t>
      </w:r>
      <w:r w:rsidRPr="00BC4CA0">
        <w:rPr>
          <w:rFonts w:ascii="Times New Roman" w:hAnsi="Times New Roman" w:cs="Times New Roman"/>
          <w:color w:val="212121"/>
        </w:rPr>
        <w:t>increased substantially and made the table difficult to complete and interpret. T</w:t>
      </w:r>
      <w:r w:rsidR="00AE426A">
        <w:rPr>
          <w:rFonts w:ascii="Times New Roman" w:hAnsi="Times New Roman" w:cs="Times New Roman"/>
          <w:color w:val="212121"/>
        </w:rPr>
        <w:t xml:space="preserve">he current design of adding </w:t>
      </w:r>
      <w:r w:rsidR="00AE426A" w:rsidRPr="00BC4CA0">
        <w:rPr>
          <w:rFonts w:ascii="Times New Roman" w:hAnsi="Times New Roman" w:cs="Times New Roman"/>
          <w:color w:val="212121"/>
        </w:rPr>
        <w:t>period of participation</w:t>
      </w:r>
      <w:r w:rsidRPr="00BC4CA0">
        <w:rPr>
          <w:rFonts w:ascii="Times New Roman" w:hAnsi="Times New Roman" w:cs="Times New Roman"/>
          <w:color w:val="212121"/>
        </w:rPr>
        <w:t xml:space="preserve"> an</w:t>
      </w:r>
      <w:r w:rsidR="00AE426A">
        <w:rPr>
          <w:rFonts w:ascii="Times New Roman" w:hAnsi="Times New Roman" w:cs="Times New Roman"/>
          <w:color w:val="212121"/>
        </w:rPr>
        <w:t xml:space="preserve">d corresponding outcomes per </w:t>
      </w:r>
      <w:r w:rsidR="00AE426A" w:rsidRPr="00BC4CA0">
        <w:rPr>
          <w:rFonts w:ascii="Times New Roman" w:hAnsi="Times New Roman" w:cs="Times New Roman"/>
          <w:color w:val="212121"/>
        </w:rPr>
        <w:t>period of participation</w:t>
      </w:r>
      <w:r w:rsidRPr="00BC4CA0">
        <w:rPr>
          <w:rFonts w:ascii="Times New Roman" w:hAnsi="Times New Roman" w:cs="Times New Roman"/>
          <w:color w:val="212121"/>
        </w:rPr>
        <w:t xml:space="preserve"> in columns creates minimal extra burden, simplifies interpretation</w:t>
      </w:r>
      <w:r w:rsidR="009605A2">
        <w:rPr>
          <w:rFonts w:ascii="Times New Roman" w:hAnsi="Times New Roman" w:cs="Times New Roman"/>
          <w:color w:val="212121"/>
        </w:rPr>
        <w:t>,</w:t>
      </w:r>
      <w:r w:rsidRPr="00BC4CA0">
        <w:rPr>
          <w:rFonts w:ascii="Times New Roman" w:hAnsi="Times New Roman" w:cs="Times New Roman"/>
          <w:color w:val="212121"/>
        </w:rPr>
        <w:t xml:space="preserve"> and allows for accurate reporting of indicators in the joint ICR. </w:t>
      </w:r>
    </w:p>
    <w:p w14:paraId="4847DB50" w14:textId="05EE23C2" w:rsidR="00BC4CA0" w:rsidRPr="00BC4CA0" w:rsidRDefault="00AE426A" w:rsidP="00BC4CA0">
      <w:pPr>
        <w:rPr>
          <w:rFonts w:ascii="Times New Roman" w:hAnsi="Times New Roman" w:cs="Times New Roman"/>
          <w:color w:val="212121"/>
        </w:rPr>
      </w:pPr>
      <w:r>
        <w:rPr>
          <w:rFonts w:ascii="Times New Roman" w:hAnsi="Times New Roman" w:cs="Times New Roman"/>
          <w:color w:val="212121"/>
        </w:rPr>
        <w:t xml:space="preserve">The definition of </w:t>
      </w:r>
      <w:r w:rsidRPr="00BC4CA0">
        <w:rPr>
          <w:rFonts w:ascii="Times New Roman" w:hAnsi="Times New Roman" w:cs="Times New Roman"/>
          <w:color w:val="212121"/>
        </w:rPr>
        <w:t>period of participation</w:t>
      </w:r>
      <w:r w:rsidR="00BC4CA0" w:rsidRPr="00BC4CA0">
        <w:rPr>
          <w:rFonts w:ascii="Times New Roman" w:hAnsi="Times New Roman" w:cs="Times New Roman"/>
          <w:color w:val="212121"/>
        </w:rPr>
        <w:t xml:space="preserve"> is described in a separate joint guidance document. A footnote to Table 4 provides an explanation </w:t>
      </w:r>
      <w:r w:rsidR="008342B5">
        <w:rPr>
          <w:rFonts w:ascii="Times New Roman" w:hAnsi="Times New Roman" w:cs="Times New Roman"/>
          <w:color w:val="212121"/>
        </w:rPr>
        <w:t>for</w:t>
      </w:r>
      <w:r w:rsidR="00BB1C72">
        <w:rPr>
          <w:rFonts w:ascii="Times New Roman" w:hAnsi="Times New Roman" w:cs="Times New Roman"/>
          <w:color w:val="212121"/>
        </w:rPr>
        <w:t xml:space="preserve"> how to</w:t>
      </w:r>
      <w:r w:rsidR="00BC4CA0" w:rsidRPr="00BC4CA0">
        <w:rPr>
          <w:rFonts w:ascii="Times New Roman" w:hAnsi="Times New Roman" w:cs="Times New Roman"/>
          <w:color w:val="212121"/>
        </w:rPr>
        <w:t xml:space="preserve"> report </w:t>
      </w:r>
      <w:r w:rsidR="00A210FF">
        <w:rPr>
          <w:rFonts w:ascii="Times New Roman" w:hAnsi="Times New Roman" w:cs="Times New Roman"/>
          <w:color w:val="212121"/>
        </w:rPr>
        <w:t>measurable skill gain</w:t>
      </w:r>
      <w:r w:rsidR="00BC4CA0" w:rsidRPr="00BC4CA0">
        <w:rPr>
          <w:rFonts w:ascii="Times New Roman" w:hAnsi="Times New Roman" w:cs="Times New Roman"/>
          <w:color w:val="212121"/>
        </w:rPr>
        <w:t xml:space="preserve">s for each </w:t>
      </w:r>
      <w:r w:rsidR="00D04372">
        <w:rPr>
          <w:rFonts w:ascii="Times New Roman" w:hAnsi="Times New Roman" w:cs="Times New Roman"/>
          <w:color w:val="212121"/>
        </w:rPr>
        <w:t>p</w:t>
      </w:r>
      <w:r w:rsidR="00F9411D">
        <w:rPr>
          <w:rFonts w:ascii="Times New Roman" w:hAnsi="Times New Roman" w:cs="Times New Roman"/>
          <w:color w:val="212121"/>
        </w:rPr>
        <w:t>eriod</w:t>
      </w:r>
      <w:r w:rsidR="00D04372">
        <w:rPr>
          <w:rFonts w:ascii="Times New Roman" w:hAnsi="Times New Roman" w:cs="Times New Roman"/>
          <w:color w:val="212121"/>
        </w:rPr>
        <w:t xml:space="preserve"> of p</w:t>
      </w:r>
      <w:r w:rsidR="00F9411D">
        <w:rPr>
          <w:rFonts w:ascii="Times New Roman" w:hAnsi="Times New Roman" w:cs="Times New Roman"/>
          <w:color w:val="212121"/>
        </w:rPr>
        <w:t>articipation</w:t>
      </w:r>
      <w:r w:rsidR="00BC4CA0" w:rsidRPr="00BC4CA0">
        <w:rPr>
          <w:rFonts w:ascii="Times New Roman" w:hAnsi="Times New Roman" w:cs="Times New Roman"/>
          <w:color w:val="212121"/>
        </w:rPr>
        <w:t>.</w:t>
      </w:r>
    </w:p>
    <w:p w14:paraId="4847DB51"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B52"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No change.</w:t>
      </w:r>
    </w:p>
    <w:p w14:paraId="4847DB59"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 xml:space="preserve">Comment </w:t>
      </w:r>
    </w:p>
    <w:p w14:paraId="4847DB5A" w14:textId="5F1B73CC" w:rsidR="00BC4CA0" w:rsidRPr="00BC4CA0" w:rsidRDefault="00072930" w:rsidP="00BC4CA0">
      <w:pPr>
        <w:rPr>
          <w:rFonts w:ascii="Times New Roman" w:hAnsi="Times New Roman" w:cs="Times New Roman"/>
          <w:color w:val="212121"/>
        </w:rPr>
      </w:pPr>
      <w:r>
        <w:rPr>
          <w:rFonts w:ascii="Times New Roman" w:hAnsi="Times New Roman" w:cs="Times New Roman"/>
          <w:color w:val="212121"/>
        </w:rPr>
        <w:t xml:space="preserve">We received several comments on </w:t>
      </w:r>
      <w:r w:rsidR="00BC4CA0" w:rsidRPr="00BC4CA0">
        <w:rPr>
          <w:rFonts w:ascii="Times New Roman" w:hAnsi="Times New Roman" w:cs="Times New Roman"/>
          <w:color w:val="212121"/>
        </w:rPr>
        <w:t xml:space="preserve">the instructions in a footnote for completing Table 3 concerning reporting of </w:t>
      </w:r>
      <w:r w:rsidR="00003D1C">
        <w:rPr>
          <w:rFonts w:ascii="Times New Roman" w:hAnsi="Times New Roman" w:cs="Times New Roman"/>
          <w:color w:val="212121"/>
        </w:rPr>
        <w:t xml:space="preserve">participants in </w:t>
      </w:r>
      <w:r w:rsidR="0026768E">
        <w:rPr>
          <w:rFonts w:ascii="Times New Roman" w:hAnsi="Times New Roman" w:cs="Times New Roman"/>
          <w:color w:val="212121"/>
        </w:rPr>
        <w:t xml:space="preserve">Integrated </w:t>
      </w:r>
      <w:r w:rsidR="00003D1C">
        <w:rPr>
          <w:rFonts w:ascii="Times New Roman" w:hAnsi="Times New Roman" w:cs="Times New Roman"/>
          <w:color w:val="212121"/>
        </w:rPr>
        <w:t>E</w:t>
      </w:r>
      <w:r w:rsidR="0026768E">
        <w:rPr>
          <w:rFonts w:ascii="Times New Roman" w:hAnsi="Times New Roman" w:cs="Times New Roman"/>
          <w:color w:val="212121"/>
        </w:rPr>
        <w:t xml:space="preserve">nglish Literacy and </w:t>
      </w:r>
      <w:r w:rsidR="00003D1C">
        <w:rPr>
          <w:rFonts w:ascii="Times New Roman" w:hAnsi="Times New Roman" w:cs="Times New Roman"/>
          <w:color w:val="212121"/>
        </w:rPr>
        <w:t>C</w:t>
      </w:r>
      <w:r w:rsidR="0026768E">
        <w:rPr>
          <w:rFonts w:ascii="Times New Roman" w:hAnsi="Times New Roman" w:cs="Times New Roman"/>
          <w:color w:val="212121"/>
        </w:rPr>
        <w:t xml:space="preserve">ivics </w:t>
      </w:r>
      <w:r w:rsidR="00003D1C">
        <w:rPr>
          <w:rFonts w:ascii="Times New Roman" w:hAnsi="Times New Roman" w:cs="Times New Roman"/>
          <w:color w:val="212121"/>
        </w:rPr>
        <w:t>E</w:t>
      </w:r>
      <w:r w:rsidR="0026768E">
        <w:rPr>
          <w:rFonts w:ascii="Times New Roman" w:hAnsi="Times New Roman" w:cs="Times New Roman"/>
          <w:color w:val="212121"/>
        </w:rPr>
        <w:t>ducation</w:t>
      </w:r>
      <w:r w:rsidR="00003D1C">
        <w:rPr>
          <w:rFonts w:ascii="Times New Roman" w:hAnsi="Times New Roman" w:cs="Times New Roman"/>
          <w:color w:val="212121"/>
        </w:rPr>
        <w:t xml:space="preserve"> programs</w:t>
      </w:r>
      <w:r w:rsidR="0026768E">
        <w:rPr>
          <w:rFonts w:ascii="Times New Roman" w:hAnsi="Times New Roman" w:cs="Times New Roman"/>
          <w:color w:val="212121"/>
        </w:rPr>
        <w:t xml:space="preserve"> (IELCE)</w:t>
      </w:r>
      <w:r w:rsidR="00003D1C">
        <w:rPr>
          <w:rFonts w:ascii="Times New Roman" w:hAnsi="Times New Roman" w:cs="Times New Roman"/>
          <w:color w:val="212121"/>
        </w:rPr>
        <w:t xml:space="preserve">, </w:t>
      </w:r>
      <w:r w:rsidR="00BC4CA0" w:rsidRPr="00BC4CA0">
        <w:rPr>
          <w:rFonts w:ascii="Times New Roman" w:hAnsi="Times New Roman" w:cs="Times New Roman"/>
          <w:color w:val="212121"/>
        </w:rPr>
        <w:t xml:space="preserve">provided under section </w:t>
      </w:r>
      <w:r w:rsidR="00003D1C" w:rsidRPr="00BC4CA0">
        <w:rPr>
          <w:rFonts w:ascii="Times New Roman" w:hAnsi="Times New Roman" w:cs="Times New Roman"/>
          <w:color w:val="212121"/>
        </w:rPr>
        <w:t>243</w:t>
      </w:r>
      <w:r w:rsidR="00003D1C">
        <w:rPr>
          <w:rFonts w:ascii="Times New Roman" w:hAnsi="Times New Roman" w:cs="Times New Roman"/>
          <w:color w:val="212121"/>
        </w:rPr>
        <w:t xml:space="preserve"> of </w:t>
      </w:r>
      <w:r w:rsidR="00BC4CA0" w:rsidRPr="00BC4CA0">
        <w:rPr>
          <w:rFonts w:ascii="Times New Roman" w:hAnsi="Times New Roman" w:cs="Times New Roman"/>
          <w:color w:val="212121"/>
        </w:rPr>
        <w:t>WIOA.  The footnote</w:t>
      </w:r>
      <w:r w:rsidR="00003D1C">
        <w:rPr>
          <w:rFonts w:ascii="Times New Roman" w:hAnsi="Times New Roman" w:cs="Times New Roman"/>
          <w:color w:val="212121"/>
        </w:rPr>
        <w:t xml:space="preserve"> states “This</w:t>
      </w:r>
      <w:r w:rsidR="00BC4CA0" w:rsidRPr="00BC4CA0">
        <w:rPr>
          <w:rFonts w:ascii="Times New Roman" w:hAnsi="Times New Roman" w:cs="Times New Roman"/>
          <w:color w:val="212121"/>
        </w:rPr>
        <w:t xml:space="preserve"> number includes those enrolled in IET programs.</w:t>
      </w:r>
      <w:r w:rsidR="00003D1C">
        <w:rPr>
          <w:rFonts w:ascii="Times New Roman" w:hAnsi="Times New Roman" w:cs="Times New Roman"/>
          <w:color w:val="212121"/>
        </w:rPr>
        <w:t xml:space="preserve"> </w:t>
      </w:r>
      <w:r w:rsidR="00BC4CA0" w:rsidRPr="00BC4CA0">
        <w:rPr>
          <w:rFonts w:ascii="Times New Roman" w:hAnsi="Times New Roman" w:cs="Times New Roman"/>
          <w:color w:val="212121"/>
        </w:rPr>
        <w:t xml:space="preserve"> It does not include those enrolled in ELA programs”.  The commenters state that this footnote needs to be revis</w:t>
      </w:r>
      <w:r w:rsidR="0025655A">
        <w:rPr>
          <w:rFonts w:ascii="Times New Roman" w:hAnsi="Times New Roman" w:cs="Times New Roman"/>
          <w:color w:val="212121"/>
        </w:rPr>
        <w:t xml:space="preserve">ed to clarify that participants, </w:t>
      </w:r>
      <w:r w:rsidR="00BC4CA0" w:rsidRPr="00BC4CA0">
        <w:rPr>
          <w:rFonts w:ascii="Times New Roman" w:hAnsi="Times New Roman" w:cs="Times New Roman"/>
          <w:color w:val="212121"/>
        </w:rPr>
        <w:t xml:space="preserve">served </w:t>
      </w:r>
      <w:r w:rsidR="0025655A">
        <w:rPr>
          <w:rFonts w:ascii="Times New Roman" w:hAnsi="Times New Roman" w:cs="Times New Roman"/>
          <w:color w:val="212121"/>
        </w:rPr>
        <w:t>under section 231 of WIOA,</w:t>
      </w:r>
      <w:r w:rsidR="00BC4CA0" w:rsidRPr="00BC4CA0">
        <w:rPr>
          <w:rFonts w:ascii="Times New Roman" w:hAnsi="Times New Roman" w:cs="Times New Roman"/>
          <w:color w:val="212121"/>
        </w:rPr>
        <w:t xml:space="preserve"> are not included here and to recognize that IELCE activities are not limited to instruction</w:t>
      </w:r>
      <w:r w:rsidR="0025655A" w:rsidRPr="0025655A">
        <w:rPr>
          <w:rFonts w:ascii="Times New Roman" w:hAnsi="Times New Roman" w:cs="Times New Roman"/>
          <w:color w:val="212121"/>
        </w:rPr>
        <w:t xml:space="preserve"> </w:t>
      </w:r>
      <w:r w:rsidR="0025655A">
        <w:rPr>
          <w:rFonts w:ascii="Times New Roman" w:hAnsi="Times New Roman" w:cs="Times New Roman"/>
          <w:color w:val="212121"/>
        </w:rPr>
        <w:t>for English language acquisition</w:t>
      </w:r>
      <w:r w:rsidR="00BC4CA0" w:rsidRPr="00BC4CA0">
        <w:rPr>
          <w:rFonts w:ascii="Times New Roman" w:hAnsi="Times New Roman" w:cs="Times New Roman"/>
          <w:color w:val="212121"/>
        </w:rPr>
        <w:t>.</w:t>
      </w:r>
    </w:p>
    <w:p w14:paraId="4847DB5B"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B5C" w14:textId="09524231" w:rsidR="00BC4CA0" w:rsidRPr="00BC4CA0" w:rsidRDefault="00BC4CA0" w:rsidP="00BC4CA0">
      <w:pPr>
        <w:rPr>
          <w:rFonts w:ascii="Times New Roman" w:hAnsi="Times New Roman" w:cs="Times New Roman"/>
          <w:b/>
          <w:color w:val="212121"/>
        </w:rPr>
      </w:pPr>
      <w:r w:rsidRPr="00BC4CA0">
        <w:rPr>
          <w:rFonts w:ascii="Times New Roman" w:hAnsi="Times New Roman" w:cs="Times New Roman"/>
          <w:color w:val="212121"/>
        </w:rPr>
        <w:t xml:space="preserve">Table 3 allows non-duplicative reporting of participants served in </w:t>
      </w:r>
      <w:r w:rsidR="0025655A" w:rsidRPr="00BC4CA0">
        <w:rPr>
          <w:rFonts w:ascii="Times New Roman" w:hAnsi="Times New Roman" w:cs="Times New Roman"/>
          <w:color w:val="212121"/>
        </w:rPr>
        <w:t xml:space="preserve">programs </w:t>
      </w:r>
      <w:r w:rsidR="0025655A">
        <w:rPr>
          <w:rFonts w:ascii="Times New Roman" w:hAnsi="Times New Roman" w:cs="Times New Roman"/>
          <w:color w:val="212121"/>
        </w:rPr>
        <w:t xml:space="preserve">under section 231 of WIOA </w:t>
      </w:r>
      <w:r w:rsidRPr="00BC4CA0">
        <w:rPr>
          <w:rFonts w:ascii="Times New Roman" w:hAnsi="Times New Roman" w:cs="Times New Roman"/>
          <w:color w:val="212121"/>
        </w:rPr>
        <w:t>(A</w:t>
      </w:r>
      <w:r w:rsidR="004A0572">
        <w:rPr>
          <w:rFonts w:ascii="Times New Roman" w:hAnsi="Times New Roman" w:cs="Times New Roman"/>
          <w:color w:val="212121"/>
        </w:rPr>
        <w:t>dult Basic Education</w:t>
      </w:r>
      <w:r w:rsidRPr="00BC4CA0">
        <w:rPr>
          <w:rFonts w:ascii="Times New Roman" w:hAnsi="Times New Roman" w:cs="Times New Roman"/>
          <w:color w:val="212121"/>
        </w:rPr>
        <w:t>, A</w:t>
      </w:r>
      <w:r w:rsidR="004A0572">
        <w:rPr>
          <w:rFonts w:ascii="Times New Roman" w:hAnsi="Times New Roman" w:cs="Times New Roman"/>
          <w:color w:val="212121"/>
        </w:rPr>
        <w:t>dult Secondary Education</w:t>
      </w:r>
      <w:r w:rsidRPr="00BC4CA0">
        <w:rPr>
          <w:rFonts w:ascii="Times New Roman" w:hAnsi="Times New Roman" w:cs="Times New Roman"/>
          <w:color w:val="212121"/>
        </w:rPr>
        <w:t xml:space="preserve"> and E</w:t>
      </w:r>
      <w:r w:rsidR="004A0572">
        <w:rPr>
          <w:rFonts w:ascii="Times New Roman" w:hAnsi="Times New Roman" w:cs="Times New Roman"/>
          <w:color w:val="212121"/>
        </w:rPr>
        <w:t>nglish Language Acquisition</w:t>
      </w:r>
      <w:r w:rsidRPr="00BC4CA0">
        <w:rPr>
          <w:rFonts w:ascii="Times New Roman" w:hAnsi="Times New Roman" w:cs="Times New Roman"/>
          <w:color w:val="212121"/>
        </w:rPr>
        <w:t xml:space="preserve">) and </w:t>
      </w:r>
      <w:r w:rsidR="0025655A">
        <w:rPr>
          <w:rFonts w:ascii="Times New Roman" w:hAnsi="Times New Roman" w:cs="Times New Roman"/>
          <w:color w:val="212121"/>
        </w:rPr>
        <w:t xml:space="preserve">in </w:t>
      </w:r>
      <w:r w:rsidR="0025655A" w:rsidRPr="00BC4CA0">
        <w:rPr>
          <w:rFonts w:ascii="Times New Roman" w:hAnsi="Times New Roman" w:cs="Times New Roman"/>
          <w:color w:val="212121"/>
        </w:rPr>
        <w:t>IELCE programs</w:t>
      </w:r>
      <w:r w:rsidR="0025655A">
        <w:rPr>
          <w:rFonts w:ascii="Times New Roman" w:hAnsi="Times New Roman" w:cs="Times New Roman"/>
          <w:color w:val="212121"/>
        </w:rPr>
        <w:t xml:space="preserve"> under section 243 of </w:t>
      </w:r>
      <w:r w:rsidRPr="00BC4CA0">
        <w:rPr>
          <w:rFonts w:ascii="Times New Roman" w:hAnsi="Times New Roman" w:cs="Times New Roman"/>
          <w:color w:val="212121"/>
        </w:rPr>
        <w:t>WIOA. In addition, IET participants are disaggregated separately for each program area.  The footnote in question also states the reporting row includes the “</w:t>
      </w:r>
      <w:r w:rsidRPr="00BC4CA0">
        <w:rPr>
          <w:rFonts w:ascii="Times New Roman" w:hAnsi="Times New Roman" w:cs="Times New Roman"/>
        </w:rPr>
        <w:t xml:space="preserve">Number of participants enrolled in IELCE programs (Sec. 243 of WIOA)” to clarify that this row is to include </w:t>
      </w:r>
      <w:r w:rsidR="00181710" w:rsidRPr="00BC4CA0">
        <w:rPr>
          <w:rFonts w:ascii="Times New Roman" w:hAnsi="Times New Roman" w:cs="Times New Roman"/>
        </w:rPr>
        <w:t xml:space="preserve">only </w:t>
      </w:r>
      <w:r w:rsidRPr="00BC4CA0">
        <w:rPr>
          <w:rFonts w:ascii="Times New Roman" w:hAnsi="Times New Roman" w:cs="Times New Roman"/>
        </w:rPr>
        <w:t xml:space="preserve">participants </w:t>
      </w:r>
      <w:r w:rsidR="00181710">
        <w:rPr>
          <w:rFonts w:ascii="Times New Roman" w:hAnsi="Times New Roman" w:cs="Times New Roman"/>
        </w:rPr>
        <w:t xml:space="preserve">served in </w:t>
      </w:r>
      <w:r w:rsidRPr="00BC4CA0">
        <w:rPr>
          <w:rFonts w:ascii="Times New Roman" w:hAnsi="Times New Roman" w:cs="Times New Roman"/>
        </w:rPr>
        <w:t xml:space="preserve">programs </w:t>
      </w:r>
      <w:r w:rsidR="00181710">
        <w:rPr>
          <w:rFonts w:ascii="Times New Roman" w:hAnsi="Times New Roman" w:cs="Times New Roman"/>
        </w:rPr>
        <w:t xml:space="preserve">under section 243 of WIOA </w:t>
      </w:r>
      <w:r w:rsidRPr="00BC4CA0">
        <w:rPr>
          <w:rFonts w:ascii="Times New Roman" w:hAnsi="Times New Roman" w:cs="Times New Roman"/>
        </w:rPr>
        <w:t xml:space="preserve">and not participants </w:t>
      </w:r>
      <w:r w:rsidR="00181710">
        <w:rPr>
          <w:rFonts w:ascii="Times New Roman" w:hAnsi="Times New Roman" w:cs="Times New Roman"/>
        </w:rPr>
        <w:t xml:space="preserve">served in </w:t>
      </w:r>
      <w:r w:rsidR="00181710">
        <w:rPr>
          <w:rFonts w:ascii="Times New Roman" w:hAnsi="Times New Roman" w:cs="Times New Roman"/>
          <w:color w:val="212121"/>
        </w:rPr>
        <w:t>English language acquisition</w:t>
      </w:r>
      <w:r w:rsidR="00181710" w:rsidRPr="00BC4CA0">
        <w:rPr>
          <w:rFonts w:ascii="Times New Roman" w:hAnsi="Times New Roman" w:cs="Times New Roman"/>
        </w:rPr>
        <w:t xml:space="preserve"> </w:t>
      </w:r>
      <w:r w:rsidR="00181710">
        <w:rPr>
          <w:rFonts w:ascii="Times New Roman" w:hAnsi="Times New Roman" w:cs="Times New Roman"/>
        </w:rPr>
        <w:t xml:space="preserve">programs </w:t>
      </w:r>
      <w:r w:rsidRPr="00BC4CA0">
        <w:rPr>
          <w:rFonts w:ascii="Times New Roman" w:hAnsi="Times New Roman" w:cs="Times New Roman"/>
        </w:rPr>
        <w:t xml:space="preserve">under </w:t>
      </w:r>
      <w:r w:rsidR="00181710">
        <w:rPr>
          <w:rFonts w:ascii="Times New Roman" w:hAnsi="Times New Roman" w:cs="Times New Roman"/>
        </w:rPr>
        <w:t>s</w:t>
      </w:r>
      <w:r w:rsidRPr="00BC4CA0">
        <w:rPr>
          <w:rFonts w:ascii="Times New Roman" w:hAnsi="Times New Roman" w:cs="Times New Roman"/>
        </w:rPr>
        <w:t>ection 231</w:t>
      </w:r>
      <w:r w:rsidR="00181710">
        <w:rPr>
          <w:rFonts w:ascii="Times New Roman" w:hAnsi="Times New Roman" w:cs="Times New Roman"/>
        </w:rPr>
        <w:t xml:space="preserve"> of WIOA.  </w:t>
      </w:r>
      <w:r w:rsidRPr="00BC4CA0">
        <w:rPr>
          <w:rFonts w:ascii="Times New Roman" w:hAnsi="Times New Roman" w:cs="Times New Roman"/>
        </w:rPr>
        <w:t xml:space="preserve">Although the footnote makes no reference to the services in IELCE programs, we agree that a clarification of </w:t>
      </w:r>
      <w:r w:rsidR="00AC4DCD">
        <w:rPr>
          <w:rFonts w:ascii="Times New Roman" w:hAnsi="Times New Roman" w:cs="Times New Roman"/>
        </w:rPr>
        <w:t>the footnote would be helpful.</w:t>
      </w:r>
    </w:p>
    <w:p w14:paraId="4847DB5D"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B5E" w14:textId="77777777" w:rsidR="00BC4CA0" w:rsidRPr="00181710" w:rsidRDefault="00BC4CA0" w:rsidP="00BC4CA0">
      <w:pPr>
        <w:rPr>
          <w:rFonts w:ascii="Times New Roman" w:hAnsi="Times New Roman" w:cs="Times New Roman"/>
          <w:color w:val="212121"/>
        </w:rPr>
      </w:pPr>
      <w:r w:rsidRPr="00181710">
        <w:rPr>
          <w:rFonts w:ascii="Times New Roman" w:hAnsi="Times New Roman" w:cs="Times New Roman"/>
          <w:color w:val="212121"/>
        </w:rPr>
        <w:t>The footnote is revised</w:t>
      </w:r>
      <w:r w:rsidR="00AE426A" w:rsidRPr="00181710">
        <w:rPr>
          <w:rFonts w:ascii="Times New Roman" w:hAnsi="Times New Roman" w:cs="Times New Roman"/>
          <w:color w:val="212121"/>
        </w:rPr>
        <w:t xml:space="preserve"> </w:t>
      </w:r>
      <w:r w:rsidR="00181710" w:rsidRPr="00181710">
        <w:rPr>
          <w:rFonts w:ascii="Times New Roman" w:hAnsi="Times New Roman" w:cs="Times New Roman"/>
          <w:color w:val="212121"/>
        </w:rPr>
        <w:t xml:space="preserve">to clarify that participants, </w:t>
      </w:r>
      <w:r w:rsidRPr="00181710">
        <w:rPr>
          <w:rFonts w:ascii="Times New Roman" w:hAnsi="Times New Roman" w:cs="Times New Roman"/>
          <w:color w:val="212121"/>
        </w:rPr>
        <w:t xml:space="preserve">reported </w:t>
      </w:r>
      <w:r w:rsidR="00181710" w:rsidRPr="00181710">
        <w:rPr>
          <w:rFonts w:ascii="Times New Roman" w:hAnsi="Times New Roman" w:cs="Times New Roman"/>
          <w:color w:val="212121"/>
        </w:rPr>
        <w:t>on</w:t>
      </w:r>
      <w:r w:rsidRPr="00181710">
        <w:rPr>
          <w:rFonts w:ascii="Times New Roman" w:hAnsi="Times New Roman" w:cs="Times New Roman"/>
          <w:color w:val="212121"/>
        </w:rPr>
        <w:t xml:space="preserve"> this table as enrolled in </w:t>
      </w:r>
      <w:r w:rsidR="00181710" w:rsidRPr="00181710">
        <w:rPr>
          <w:rFonts w:ascii="Times New Roman" w:hAnsi="Times New Roman" w:cs="Times New Roman"/>
          <w:color w:val="212121"/>
        </w:rPr>
        <w:t xml:space="preserve">IELCE </w:t>
      </w:r>
      <w:r w:rsidRPr="00181710">
        <w:rPr>
          <w:rFonts w:ascii="Times New Roman" w:hAnsi="Times New Roman" w:cs="Times New Roman"/>
          <w:color w:val="212121"/>
        </w:rPr>
        <w:t xml:space="preserve">programs under </w:t>
      </w:r>
      <w:r w:rsidR="00181710" w:rsidRPr="00181710">
        <w:rPr>
          <w:rFonts w:ascii="Times New Roman" w:hAnsi="Times New Roman" w:cs="Times New Roman"/>
          <w:color w:val="212121"/>
        </w:rPr>
        <w:t xml:space="preserve">section 243 of WIOA, </w:t>
      </w:r>
      <w:r w:rsidRPr="00181710">
        <w:rPr>
          <w:rFonts w:ascii="Times New Roman" w:hAnsi="Times New Roman" w:cs="Times New Roman"/>
          <w:color w:val="212121"/>
        </w:rPr>
        <w:t>should not be reported elsewhere in this table.</w:t>
      </w:r>
    </w:p>
    <w:p w14:paraId="4847DB5F"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 xml:space="preserve">Comment </w:t>
      </w:r>
    </w:p>
    <w:p w14:paraId="4847DB60"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A number of commenters not</w:t>
      </w:r>
      <w:r w:rsidR="00181710">
        <w:rPr>
          <w:rFonts w:ascii="Times New Roman" w:hAnsi="Times New Roman" w:cs="Times New Roman"/>
          <w:color w:val="212121"/>
        </w:rPr>
        <w:t xml:space="preserve">ed that the footnote in Table 5, </w:t>
      </w:r>
      <w:r w:rsidRPr="00BC4CA0">
        <w:rPr>
          <w:rFonts w:ascii="Times New Roman" w:hAnsi="Times New Roman" w:cs="Times New Roman"/>
          <w:color w:val="212121"/>
        </w:rPr>
        <w:t>for reporting participants who attain a p</w:t>
      </w:r>
      <w:r w:rsidR="00181710">
        <w:rPr>
          <w:rFonts w:ascii="Times New Roman" w:hAnsi="Times New Roman" w:cs="Times New Roman"/>
          <w:color w:val="212121"/>
        </w:rPr>
        <w:t xml:space="preserve">ostsecondary credential, </w:t>
      </w:r>
      <w:r w:rsidRPr="00BC4CA0">
        <w:rPr>
          <w:rFonts w:ascii="Times New Roman" w:hAnsi="Times New Roman" w:cs="Times New Roman"/>
          <w:color w:val="212121"/>
        </w:rPr>
        <w:t>limits this measure to participants enrolled in IET programs</w:t>
      </w:r>
      <w:r w:rsidR="00181710">
        <w:rPr>
          <w:rFonts w:ascii="Times New Roman" w:hAnsi="Times New Roman" w:cs="Times New Roman"/>
          <w:color w:val="212121"/>
        </w:rPr>
        <w:t xml:space="preserve">.  </w:t>
      </w:r>
      <w:r w:rsidRPr="00BC4CA0">
        <w:rPr>
          <w:rFonts w:ascii="Times New Roman" w:hAnsi="Times New Roman" w:cs="Times New Roman"/>
          <w:color w:val="212121"/>
        </w:rPr>
        <w:t xml:space="preserve">The commenters state that this instruction should be expanded to include all participants dually enrolled in adult </w:t>
      </w:r>
      <w:r w:rsidR="00181710">
        <w:rPr>
          <w:rFonts w:ascii="Times New Roman" w:hAnsi="Times New Roman" w:cs="Times New Roman"/>
          <w:color w:val="212121"/>
        </w:rPr>
        <w:t xml:space="preserve">education </w:t>
      </w:r>
      <w:r w:rsidRPr="00BC4CA0">
        <w:rPr>
          <w:rFonts w:ascii="Times New Roman" w:hAnsi="Times New Roman" w:cs="Times New Roman"/>
          <w:color w:val="212121"/>
        </w:rPr>
        <w:t>and any postsecondary education program, not only IET programs.</w:t>
      </w:r>
    </w:p>
    <w:p w14:paraId="4847DB61"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B62"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We agree that the footnote should be clarified to indicate that all participants jointly co-enrolled in adult </w:t>
      </w:r>
      <w:r w:rsidR="00181710">
        <w:rPr>
          <w:rFonts w:ascii="Times New Roman" w:hAnsi="Times New Roman" w:cs="Times New Roman"/>
          <w:color w:val="212121"/>
        </w:rPr>
        <w:t xml:space="preserve">education </w:t>
      </w:r>
      <w:r w:rsidRPr="00BC4CA0">
        <w:rPr>
          <w:rFonts w:ascii="Times New Roman" w:hAnsi="Times New Roman" w:cs="Times New Roman"/>
          <w:color w:val="212121"/>
        </w:rPr>
        <w:t>and postsecondary education should be included in the postsecondary credential portion of the indicator.</w:t>
      </w:r>
    </w:p>
    <w:p w14:paraId="4847DB63"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B64"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 xml:space="preserve">The footnote has been revised to indicate that reporting must include all participants co-enrolled in adult </w:t>
      </w:r>
      <w:r w:rsidR="00181710">
        <w:rPr>
          <w:rFonts w:ascii="Times New Roman" w:hAnsi="Times New Roman" w:cs="Times New Roman"/>
          <w:color w:val="212121"/>
        </w:rPr>
        <w:t xml:space="preserve">education </w:t>
      </w:r>
      <w:r w:rsidRPr="00BC4CA0">
        <w:rPr>
          <w:rFonts w:ascii="Times New Roman" w:hAnsi="Times New Roman" w:cs="Times New Roman"/>
          <w:color w:val="212121"/>
        </w:rPr>
        <w:t>and postsecondary education programs.</w:t>
      </w:r>
    </w:p>
    <w:p w14:paraId="4847DB65"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Comment</w:t>
      </w:r>
    </w:p>
    <w:p w14:paraId="4847DB66" w14:textId="389A5EAC"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Two commenters stated that the instructions on Table 5 should make it clearer that if a participant exits more than once during the</w:t>
      </w:r>
      <w:r w:rsidR="00A374C3">
        <w:rPr>
          <w:rFonts w:ascii="Times New Roman" w:hAnsi="Times New Roman" w:cs="Times New Roman"/>
          <w:color w:val="212121"/>
        </w:rPr>
        <w:t xml:space="preserve"> program</w:t>
      </w:r>
      <w:r w:rsidRPr="00BC4CA0">
        <w:rPr>
          <w:rFonts w:ascii="Times New Roman" w:hAnsi="Times New Roman" w:cs="Times New Roman"/>
          <w:color w:val="212121"/>
        </w:rPr>
        <w:t xml:space="preserve"> year the participant is included in the denominator once per exit.</w:t>
      </w:r>
    </w:p>
    <w:p w14:paraId="4847DB67"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B68" w14:textId="77777777" w:rsidR="00BC4CA0" w:rsidRPr="00BC4CA0" w:rsidRDefault="00BC4CA0" w:rsidP="00BC4CA0">
      <w:pPr>
        <w:rPr>
          <w:rFonts w:ascii="Times New Roman" w:hAnsi="Times New Roman" w:cs="Times New Roman"/>
          <w:color w:val="212121"/>
        </w:rPr>
      </w:pPr>
      <w:r w:rsidRPr="00BC4CA0">
        <w:rPr>
          <w:rFonts w:ascii="Times New Roman" w:hAnsi="Times New Roman" w:cs="Times New Roman"/>
          <w:color w:val="212121"/>
        </w:rPr>
        <w:t>Columns E and F in Table 5 are for reporting the total number of periods of participation for participants and number achieving outcomes, respectively. A footnote to the table for Column E indicates that all periods of participation should be reported and a footnote to the table for Column F indicates that all outcomes for periods of participation should be reported. The instruction requested by the commenters is already present.</w:t>
      </w:r>
    </w:p>
    <w:p w14:paraId="4847DB69"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Change</w:t>
      </w:r>
    </w:p>
    <w:p w14:paraId="4847DB6A" w14:textId="77777777" w:rsidR="00BC4CA0" w:rsidRDefault="00BC4CA0" w:rsidP="00BC4CA0">
      <w:pPr>
        <w:rPr>
          <w:rFonts w:ascii="Times New Roman" w:hAnsi="Times New Roman" w:cs="Times New Roman"/>
          <w:color w:val="212121"/>
        </w:rPr>
      </w:pPr>
      <w:r w:rsidRPr="00BC4CA0">
        <w:rPr>
          <w:rFonts w:ascii="Times New Roman" w:hAnsi="Times New Roman" w:cs="Times New Roman"/>
          <w:color w:val="212121"/>
        </w:rPr>
        <w:t>No change.</w:t>
      </w:r>
    </w:p>
    <w:p w14:paraId="4847DB6B" w14:textId="77777777" w:rsidR="00BC4CA0" w:rsidRPr="00BC4CA0" w:rsidRDefault="00BC4CA0" w:rsidP="00BC4CA0">
      <w:pPr>
        <w:rPr>
          <w:rFonts w:ascii="Times New Roman" w:hAnsi="Times New Roman" w:cs="Times New Roman"/>
          <w:color w:val="212121"/>
        </w:rPr>
      </w:pPr>
      <w:r w:rsidRPr="00D808F5">
        <w:rPr>
          <w:rFonts w:ascii="Times New Roman" w:hAnsi="Times New Roman" w:cs="Times New Roman"/>
          <w:b/>
          <w:color w:val="212121"/>
        </w:rPr>
        <w:t>Comment</w:t>
      </w:r>
      <w:r w:rsidRPr="00BC4CA0">
        <w:rPr>
          <w:rFonts w:ascii="Times New Roman" w:hAnsi="Times New Roman" w:cs="Times New Roman"/>
          <w:b/>
          <w:color w:val="212121"/>
        </w:rPr>
        <w:t xml:space="preserve"> </w:t>
      </w:r>
    </w:p>
    <w:p w14:paraId="4847DB6C" w14:textId="77777777" w:rsidR="00BC4CA0" w:rsidRPr="00BC4CA0" w:rsidRDefault="00BC4CA0" w:rsidP="00BC4CA0">
      <w:pPr>
        <w:pStyle w:val="LEAPBodyTextPostHeading"/>
        <w:rPr>
          <w:rFonts w:ascii="Times New Roman" w:hAnsi="Times New Roman" w:cs="Times New Roman"/>
          <w:sz w:val="24"/>
          <w:szCs w:val="24"/>
        </w:rPr>
      </w:pPr>
      <w:r w:rsidRPr="00BC4CA0">
        <w:rPr>
          <w:rFonts w:ascii="Times New Roman" w:hAnsi="Times New Roman" w:cs="Times New Roman"/>
          <w:sz w:val="24"/>
          <w:szCs w:val="24"/>
        </w:rPr>
        <w:t xml:space="preserve">A few commenters suggested enhancing the instructions in Table 5 for the secondary credential component of the credential indicator to recognize achievement of a diploma/equivalent in a language other English.  They noted that the footnote to the table states that the secondary credential is for students at a ninth grade equivalent or higher upon entry and there is no corollary for English language learners who may achieve a secondary credential in another language. The commenters state this makes it impossible to identify these students for the credential rate and recommended that language allowing the recognition of achievement of a diploma/equivalent in a language other than English be included in the footnote. </w:t>
      </w:r>
    </w:p>
    <w:p w14:paraId="4847DB6D" w14:textId="77777777" w:rsidR="00BC4CA0" w:rsidRPr="00BC4CA0" w:rsidRDefault="00BC4CA0" w:rsidP="00BC4CA0">
      <w:pPr>
        <w:pStyle w:val="LEAPBodyTextPostHeading"/>
        <w:rPr>
          <w:rFonts w:ascii="Times New Roman" w:hAnsi="Times New Roman" w:cs="Times New Roman"/>
        </w:rPr>
      </w:pPr>
    </w:p>
    <w:p w14:paraId="4847DB6E" w14:textId="77777777" w:rsidR="00BC4CA0" w:rsidRPr="00BC4CA0" w:rsidRDefault="00BC4CA0" w:rsidP="00BC4CA0">
      <w:pPr>
        <w:rPr>
          <w:rFonts w:ascii="Times New Roman" w:hAnsi="Times New Roman" w:cs="Times New Roman"/>
          <w:b/>
          <w:color w:val="212121"/>
        </w:rPr>
      </w:pPr>
      <w:r w:rsidRPr="00BC4CA0">
        <w:rPr>
          <w:rFonts w:ascii="Times New Roman" w:hAnsi="Times New Roman" w:cs="Times New Roman"/>
          <w:b/>
          <w:color w:val="212121"/>
        </w:rPr>
        <w:t>Discussion</w:t>
      </w:r>
    </w:p>
    <w:p w14:paraId="4847DB6F" w14:textId="77777777" w:rsid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Program Memorandum 17-2 OCTAE </w:t>
      </w:r>
      <w:r w:rsidRPr="00BC4CA0">
        <w:rPr>
          <w:rFonts w:ascii="Times New Roman" w:hAnsi="Times New Roman" w:cs="Times New Roman"/>
          <w:i/>
          <w:color w:val="212121"/>
          <w:sz w:val="24"/>
        </w:rPr>
        <w:t xml:space="preserve">Performance Accountability Guidance for Workforce Innovation and </w:t>
      </w:r>
      <w:r w:rsidRPr="00BC4CA0">
        <w:rPr>
          <w:rFonts w:ascii="Times New Roman" w:hAnsi="Times New Roman" w:cs="Times New Roman"/>
          <w:i/>
          <w:color w:val="212121"/>
          <w:sz w:val="24"/>
          <w:szCs w:val="24"/>
        </w:rPr>
        <w:t>Opportunity</w:t>
      </w:r>
      <w:r w:rsidRPr="00BC4CA0">
        <w:rPr>
          <w:rFonts w:ascii="Times New Roman" w:hAnsi="Times New Roman" w:cs="Times New Roman"/>
          <w:i/>
          <w:color w:val="212121"/>
          <w:sz w:val="24"/>
        </w:rPr>
        <w:t xml:space="preserve"> Act Title I, Title II, Title </w:t>
      </w:r>
      <w:r w:rsidRPr="00BC4CA0">
        <w:rPr>
          <w:rFonts w:ascii="Times New Roman" w:hAnsi="Times New Roman" w:cs="Times New Roman"/>
          <w:i/>
          <w:color w:val="212121"/>
          <w:sz w:val="24"/>
          <w:szCs w:val="24"/>
        </w:rPr>
        <w:t>III</w:t>
      </w:r>
      <w:r w:rsidRPr="00BC4CA0">
        <w:rPr>
          <w:rFonts w:ascii="Times New Roman" w:hAnsi="Times New Roman" w:cs="Times New Roman"/>
          <w:i/>
          <w:color w:val="212121"/>
          <w:sz w:val="24"/>
        </w:rPr>
        <w:t xml:space="preserve"> and Title IV Core Programs</w:t>
      </w:r>
      <w:r w:rsidRPr="00BC4CA0">
        <w:rPr>
          <w:rFonts w:ascii="Times New Roman" w:hAnsi="Times New Roman" w:cs="Times New Roman"/>
          <w:color w:val="212121"/>
          <w:sz w:val="24"/>
          <w:szCs w:val="24"/>
        </w:rPr>
        <w:t xml:space="preserve"> provides a definition of a secondary school diploma or equivalent.  A secondary diploma is one that is recognized by the State and that is included for accountability purposes under the Elementary and Secondary Education Act of 1965 as amended by the Every Student Succeeds Act.  A secondary school equivalency certification signifies that a student has completed the requirements for a high school education.  Types of equivalents are those recognized by the State.  If a participant receives a diploma in a language other than English, it may be counted as a secondary school credential if it is a diploma/equivalency recognized by the State.  The policies related to diplomas and equivalencies vary among States.  We believe the Program Memorandum is clear and no change is needed to the footnote on Table 5.</w:t>
      </w:r>
    </w:p>
    <w:p w14:paraId="4847DB70" w14:textId="77777777" w:rsidR="00BC4CA0" w:rsidRPr="00BC4CA0" w:rsidRDefault="00BC4CA0" w:rsidP="00BC4CA0">
      <w:pPr>
        <w:pStyle w:val="LEAPBodyTextPostHeading"/>
        <w:rPr>
          <w:rFonts w:ascii="Times New Roman" w:hAnsi="Times New Roman" w:cs="Times New Roman"/>
          <w:sz w:val="24"/>
          <w:szCs w:val="24"/>
        </w:rPr>
      </w:pPr>
    </w:p>
    <w:p w14:paraId="4847DB71"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72" w14:textId="77777777"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p>
    <w:p w14:paraId="4847DB73" w14:textId="77777777" w:rsidR="00BC4CA0" w:rsidRPr="00BC4CA0" w:rsidRDefault="00BC4CA0" w:rsidP="00BC4CA0">
      <w:pPr>
        <w:pStyle w:val="LEAPBodyTextPostHeading"/>
        <w:rPr>
          <w:rFonts w:ascii="Times New Roman" w:hAnsi="Times New Roman" w:cs="Times New Roman"/>
          <w:color w:val="212121"/>
          <w:sz w:val="24"/>
          <w:szCs w:val="24"/>
        </w:rPr>
      </w:pPr>
    </w:p>
    <w:p w14:paraId="4847DB74"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 xml:space="preserve">Comment </w:t>
      </w:r>
    </w:p>
    <w:p w14:paraId="4847DB75"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76" w14:textId="77777777"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A few commenters recommended that the credential rate indicator be broken out in an additional table by participants at the s</w:t>
      </w:r>
      <w:r w:rsidR="009C2D1A">
        <w:rPr>
          <w:rFonts w:ascii="Times New Roman" w:hAnsi="Times New Roman" w:cs="Times New Roman"/>
          <w:color w:val="212121"/>
          <w:sz w:val="24"/>
          <w:szCs w:val="24"/>
        </w:rPr>
        <w:t xml:space="preserve">econdary or postsecondary level, </w:t>
      </w:r>
      <w:r w:rsidRPr="00BC4CA0">
        <w:rPr>
          <w:rFonts w:ascii="Times New Roman" w:hAnsi="Times New Roman" w:cs="Times New Roman"/>
          <w:color w:val="212121"/>
          <w:sz w:val="24"/>
          <w:szCs w:val="24"/>
        </w:rPr>
        <w:t xml:space="preserve">in order to identify those who achieve a diploma/credential within a year of exit </w:t>
      </w:r>
      <w:r w:rsidR="009C2D1A">
        <w:rPr>
          <w:rFonts w:ascii="Times New Roman" w:hAnsi="Times New Roman" w:cs="Times New Roman"/>
          <w:color w:val="212121"/>
          <w:sz w:val="24"/>
          <w:szCs w:val="24"/>
        </w:rPr>
        <w:t xml:space="preserve">and whether they </w:t>
      </w:r>
      <w:r w:rsidR="0054336D">
        <w:rPr>
          <w:rFonts w:ascii="Times New Roman" w:hAnsi="Times New Roman" w:cs="Times New Roman"/>
          <w:color w:val="212121"/>
          <w:sz w:val="24"/>
          <w:szCs w:val="24"/>
        </w:rPr>
        <w:t xml:space="preserve">were both </w:t>
      </w:r>
      <w:r w:rsidR="009C2D1A">
        <w:rPr>
          <w:rFonts w:ascii="Times New Roman" w:hAnsi="Times New Roman" w:cs="Times New Roman"/>
          <w:color w:val="212121"/>
          <w:sz w:val="24"/>
          <w:szCs w:val="24"/>
        </w:rPr>
        <w:t>employed</w:t>
      </w:r>
      <w:r w:rsidR="0054336D">
        <w:rPr>
          <w:rFonts w:ascii="Times New Roman" w:hAnsi="Times New Roman" w:cs="Times New Roman"/>
          <w:color w:val="212121"/>
          <w:sz w:val="24"/>
          <w:szCs w:val="24"/>
        </w:rPr>
        <w:t xml:space="preserve"> and </w:t>
      </w:r>
      <w:r w:rsidRPr="00BC4CA0">
        <w:rPr>
          <w:rFonts w:ascii="Times New Roman" w:hAnsi="Times New Roman" w:cs="Times New Roman"/>
          <w:color w:val="212121"/>
          <w:sz w:val="24"/>
          <w:szCs w:val="24"/>
        </w:rPr>
        <w:t>enrolled</w:t>
      </w:r>
      <w:r w:rsidR="00AC4DCD">
        <w:rPr>
          <w:rFonts w:ascii="Times New Roman" w:hAnsi="Times New Roman" w:cs="Times New Roman"/>
          <w:color w:val="212121"/>
          <w:sz w:val="24"/>
          <w:szCs w:val="24"/>
        </w:rPr>
        <w:t xml:space="preserve"> in postsecondary education.</w:t>
      </w:r>
      <w:r w:rsidRPr="00BC4CA0">
        <w:rPr>
          <w:rFonts w:ascii="Times New Roman" w:hAnsi="Times New Roman" w:cs="Times New Roman"/>
          <w:color w:val="212121"/>
          <w:sz w:val="24"/>
          <w:szCs w:val="24"/>
        </w:rPr>
        <w:t xml:space="preserve"> </w:t>
      </w:r>
    </w:p>
    <w:p w14:paraId="4847DB77"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78"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Discussion</w:t>
      </w:r>
    </w:p>
    <w:p w14:paraId="4847DB79"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7A" w14:textId="17882559"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Table 5 allows </w:t>
      </w:r>
      <w:r w:rsidR="00C147D4">
        <w:rPr>
          <w:rFonts w:ascii="Times New Roman" w:hAnsi="Times New Roman" w:cs="Times New Roman"/>
          <w:color w:val="212121"/>
          <w:sz w:val="24"/>
          <w:szCs w:val="24"/>
        </w:rPr>
        <w:t xml:space="preserve">the </w:t>
      </w:r>
      <w:r w:rsidRPr="00BC4CA0">
        <w:rPr>
          <w:rFonts w:ascii="Times New Roman" w:hAnsi="Times New Roman" w:cs="Times New Roman"/>
          <w:color w:val="212121"/>
          <w:sz w:val="24"/>
          <w:szCs w:val="24"/>
        </w:rPr>
        <w:t xml:space="preserve">reporting of all </w:t>
      </w:r>
      <w:r w:rsidR="0054336D">
        <w:rPr>
          <w:rFonts w:ascii="Times New Roman" w:hAnsi="Times New Roman" w:cs="Times New Roman"/>
          <w:color w:val="212121"/>
          <w:sz w:val="24"/>
          <w:szCs w:val="24"/>
        </w:rPr>
        <w:t xml:space="preserve">required </w:t>
      </w:r>
      <w:r w:rsidRPr="00BC4CA0">
        <w:rPr>
          <w:rFonts w:ascii="Times New Roman" w:hAnsi="Times New Roman" w:cs="Times New Roman"/>
          <w:color w:val="212121"/>
          <w:sz w:val="24"/>
          <w:szCs w:val="24"/>
        </w:rPr>
        <w:t>elements of the credential indicator for each period of participation for all participants.  There is no WIOA re</w:t>
      </w:r>
      <w:r w:rsidR="0054336D">
        <w:rPr>
          <w:rFonts w:ascii="Times New Roman" w:hAnsi="Times New Roman" w:cs="Times New Roman"/>
          <w:color w:val="212121"/>
          <w:sz w:val="24"/>
          <w:szCs w:val="24"/>
        </w:rPr>
        <w:t xml:space="preserve">porting requirement to identify participants </w:t>
      </w:r>
      <w:r w:rsidRPr="00BC4CA0">
        <w:rPr>
          <w:rFonts w:ascii="Times New Roman" w:hAnsi="Times New Roman" w:cs="Times New Roman"/>
          <w:color w:val="212121"/>
          <w:sz w:val="24"/>
          <w:szCs w:val="24"/>
        </w:rPr>
        <w:t xml:space="preserve">who achieve a diploma/credential within a year of exit </w:t>
      </w:r>
      <w:r w:rsidR="009C2D1A">
        <w:rPr>
          <w:rFonts w:ascii="Times New Roman" w:hAnsi="Times New Roman" w:cs="Times New Roman"/>
          <w:color w:val="212121"/>
          <w:sz w:val="24"/>
          <w:szCs w:val="24"/>
        </w:rPr>
        <w:t xml:space="preserve">and </w:t>
      </w:r>
      <w:r w:rsidR="0054336D">
        <w:rPr>
          <w:rFonts w:ascii="Times New Roman" w:hAnsi="Times New Roman" w:cs="Times New Roman"/>
          <w:color w:val="212121"/>
          <w:sz w:val="24"/>
          <w:szCs w:val="24"/>
        </w:rPr>
        <w:t xml:space="preserve">to identify </w:t>
      </w:r>
      <w:r w:rsidR="009C2D1A">
        <w:rPr>
          <w:rFonts w:ascii="Times New Roman" w:hAnsi="Times New Roman" w:cs="Times New Roman"/>
          <w:color w:val="212121"/>
          <w:sz w:val="24"/>
          <w:szCs w:val="24"/>
        </w:rPr>
        <w:t xml:space="preserve">whether they </w:t>
      </w:r>
      <w:r w:rsidR="0054336D">
        <w:rPr>
          <w:rFonts w:ascii="Times New Roman" w:hAnsi="Times New Roman" w:cs="Times New Roman"/>
          <w:color w:val="212121"/>
          <w:sz w:val="24"/>
          <w:szCs w:val="24"/>
        </w:rPr>
        <w:t xml:space="preserve">were </w:t>
      </w:r>
      <w:r w:rsidRPr="00BC4CA0">
        <w:rPr>
          <w:rFonts w:ascii="Times New Roman" w:hAnsi="Times New Roman" w:cs="Times New Roman"/>
          <w:color w:val="212121"/>
          <w:sz w:val="24"/>
          <w:szCs w:val="24"/>
        </w:rPr>
        <w:t>both employed and enrol</w:t>
      </w:r>
      <w:r w:rsidR="0054336D">
        <w:rPr>
          <w:rFonts w:ascii="Times New Roman" w:hAnsi="Times New Roman" w:cs="Times New Roman"/>
          <w:color w:val="212121"/>
          <w:sz w:val="24"/>
          <w:szCs w:val="24"/>
        </w:rPr>
        <w:t>led in postsecondary education</w:t>
      </w:r>
      <w:r w:rsidRPr="00BC4CA0">
        <w:rPr>
          <w:rFonts w:ascii="Times New Roman" w:hAnsi="Times New Roman" w:cs="Times New Roman"/>
          <w:color w:val="212121"/>
          <w:sz w:val="24"/>
          <w:szCs w:val="24"/>
        </w:rPr>
        <w:t xml:space="preserve">. </w:t>
      </w:r>
      <w:r w:rsidR="00BD7816">
        <w:rPr>
          <w:rFonts w:ascii="Times New Roman" w:hAnsi="Times New Roman" w:cs="Times New Roman"/>
          <w:color w:val="212121"/>
          <w:sz w:val="24"/>
          <w:szCs w:val="24"/>
        </w:rPr>
        <w:t xml:space="preserve"> </w:t>
      </w:r>
      <w:r w:rsidRPr="00BC4CA0">
        <w:rPr>
          <w:rFonts w:ascii="Times New Roman" w:hAnsi="Times New Roman" w:cs="Times New Roman"/>
          <w:color w:val="212121"/>
          <w:sz w:val="24"/>
          <w:szCs w:val="24"/>
        </w:rPr>
        <w:t xml:space="preserve">We believe the addition of a new reporting table as recommended creates </w:t>
      </w:r>
      <w:r w:rsidR="00035EBF">
        <w:rPr>
          <w:rFonts w:ascii="Times New Roman" w:hAnsi="Times New Roman" w:cs="Times New Roman"/>
          <w:color w:val="212121"/>
          <w:sz w:val="24"/>
          <w:szCs w:val="24"/>
        </w:rPr>
        <w:t xml:space="preserve">an </w:t>
      </w:r>
      <w:r w:rsidRPr="00BC4CA0">
        <w:rPr>
          <w:rFonts w:ascii="Times New Roman" w:hAnsi="Times New Roman" w:cs="Times New Roman"/>
          <w:color w:val="212121"/>
          <w:sz w:val="24"/>
          <w:szCs w:val="24"/>
        </w:rPr>
        <w:t>unnecessary burden on States.</w:t>
      </w:r>
    </w:p>
    <w:p w14:paraId="4847DB7B" w14:textId="77777777" w:rsidR="00BC4CA0" w:rsidRPr="00BC4CA0" w:rsidRDefault="00BC4CA0" w:rsidP="00BC4CA0">
      <w:pPr>
        <w:pStyle w:val="LEAPBodyTextPostHeading"/>
        <w:rPr>
          <w:rFonts w:ascii="Times New Roman" w:hAnsi="Times New Roman" w:cs="Times New Roman"/>
          <w:b/>
          <w:color w:val="212121"/>
          <w:sz w:val="24"/>
          <w:szCs w:val="24"/>
        </w:rPr>
      </w:pPr>
    </w:p>
    <w:p w14:paraId="4847DB7C" w14:textId="77777777" w:rsidR="00BC4CA0" w:rsidRPr="00BC4CA0" w:rsidRDefault="00BC4CA0" w:rsidP="00BC4CA0">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Change</w:t>
      </w:r>
    </w:p>
    <w:p w14:paraId="4847DB7D" w14:textId="77777777" w:rsidR="00BC4CA0" w:rsidRPr="00BC4CA0" w:rsidRDefault="00BC4CA0" w:rsidP="00BC4CA0">
      <w:pPr>
        <w:pStyle w:val="LEAPBodyTextPostHeading"/>
        <w:rPr>
          <w:rFonts w:ascii="Times New Roman" w:hAnsi="Times New Roman" w:cs="Times New Roman"/>
          <w:color w:val="212121"/>
          <w:sz w:val="24"/>
          <w:szCs w:val="24"/>
        </w:rPr>
      </w:pPr>
    </w:p>
    <w:p w14:paraId="4847DB7E" w14:textId="77777777" w:rsidR="00BC4CA0" w:rsidRPr="00BC4CA0" w:rsidRDefault="00BC4CA0"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No change.</w:t>
      </w:r>
    </w:p>
    <w:p w14:paraId="4847DB7F" w14:textId="77777777" w:rsidR="00BC4CA0" w:rsidRPr="00BC4CA0" w:rsidRDefault="00BC4CA0" w:rsidP="00BC4CA0">
      <w:pPr>
        <w:pStyle w:val="LEAPBodyTextPostHeading"/>
        <w:rPr>
          <w:rFonts w:ascii="Times New Roman" w:hAnsi="Times New Roman" w:cs="Times New Roman"/>
          <w:color w:val="212121"/>
          <w:sz w:val="24"/>
          <w:szCs w:val="24"/>
        </w:rPr>
      </w:pPr>
    </w:p>
    <w:p w14:paraId="4847DB8C" w14:textId="77777777" w:rsidR="00AE426A" w:rsidRPr="00BC4CA0" w:rsidRDefault="00AE426A" w:rsidP="00AE426A">
      <w:pPr>
        <w:pStyle w:val="LEAPBodyTextPostHeading"/>
        <w:rPr>
          <w:rFonts w:ascii="Times New Roman" w:hAnsi="Times New Roman" w:cs="Times New Roman"/>
          <w:b/>
          <w:color w:val="212121"/>
          <w:sz w:val="24"/>
          <w:szCs w:val="24"/>
        </w:rPr>
      </w:pPr>
      <w:r w:rsidRPr="00BC4CA0">
        <w:rPr>
          <w:rFonts w:ascii="Times New Roman" w:hAnsi="Times New Roman" w:cs="Times New Roman"/>
          <w:b/>
          <w:color w:val="212121"/>
          <w:sz w:val="24"/>
          <w:szCs w:val="24"/>
        </w:rPr>
        <w:t>Other Comments not relevant to the ICR</w:t>
      </w:r>
    </w:p>
    <w:p w14:paraId="4847DB8D" w14:textId="77777777" w:rsidR="00AE426A" w:rsidRPr="00BC4CA0" w:rsidRDefault="00AE426A" w:rsidP="00AE426A">
      <w:pPr>
        <w:pStyle w:val="LEAPBodyTextPostHeading"/>
        <w:rPr>
          <w:rFonts w:ascii="Times New Roman" w:hAnsi="Times New Roman" w:cs="Times New Roman"/>
          <w:color w:val="212121"/>
          <w:sz w:val="24"/>
          <w:szCs w:val="24"/>
        </w:rPr>
      </w:pPr>
    </w:p>
    <w:p w14:paraId="4847DB8E" w14:textId="289BE045" w:rsidR="00BC4CA0" w:rsidRDefault="00AE426A" w:rsidP="00BC4CA0">
      <w:pPr>
        <w:pStyle w:val="LEAPBodyTextPostHeading"/>
        <w:rPr>
          <w:rFonts w:ascii="Times New Roman" w:hAnsi="Times New Roman" w:cs="Times New Roman"/>
          <w:color w:val="212121"/>
          <w:sz w:val="24"/>
          <w:szCs w:val="24"/>
        </w:rPr>
      </w:pPr>
      <w:r w:rsidRPr="00BC4CA0">
        <w:rPr>
          <w:rFonts w:ascii="Times New Roman" w:hAnsi="Times New Roman" w:cs="Times New Roman"/>
          <w:color w:val="212121"/>
          <w:sz w:val="24"/>
          <w:szCs w:val="24"/>
        </w:rPr>
        <w:t xml:space="preserve">Several comments were received that </w:t>
      </w:r>
      <w:r w:rsidR="003B4784">
        <w:rPr>
          <w:rFonts w:ascii="Times New Roman" w:hAnsi="Times New Roman" w:cs="Times New Roman"/>
          <w:color w:val="212121"/>
          <w:sz w:val="24"/>
          <w:szCs w:val="24"/>
        </w:rPr>
        <w:t>were</w:t>
      </w:r>
      <w:r w:rsidRPr="00BC4CA0">
        <w:rPr>
          <w:rFonts w:ascii="Times New Roman" w:hAnsi="Times New Roman" w:cs="Times New Roman"/>
          <w:color w:val="212121"/>
          <w:sz w:val="24"/>
          <w:szCs w:val="24"/>
        </w:rPr>
        <w:t xml:space="preserve"> </w:t>
      </w:r>
      <w:r w:rsidR="003B4784">
        <w:rPr>
          <w:rFonts w:ascii="Times New Roman" w:hAnsi="Times New Roman" w:cs="Times New Roman"/>
          <w:color w:val="212121"/>
          <w:sz w:val="24"/>
          <w:szCs w:val="24"/>
        </w:rPr>
        <w:t xml:space="preserve">on topics </w:t>
      </w:r>
      <w:r w:rsidRPr="00BC4CA0">
        <w:rPr>
          <w:rFonts w:ascii="Times New Roman" w:hAnsi="Times New Roman" w:cs="Times New Roman"/>
          <w:color w:val="212121"/>
          <w:sz w:val="24"/>
          <w:szCs w:val="24"/>
        </w:rPr>
        <w:t xml:space="preserve">not </w:t>
      </w:r>
      <w:r w:rsidR="003B4784">
        <w:rPr>
          <w:rFonts w:ascii="Times New Roman" w:hAnsi="Times New Roman" w:cs="Times New Roman"/>
          <w:color w:val="212121"/>
          <w:sz w:val="24"/>
          <w:szCs w:val="24"/>
        </w:rPr>
        <w:t xml:space="preserve">related </w:t>
      </w:r>
      <w:r w:rsidRPr="00BC4CA0">
        <w:rPr>
          <w:rFonts w:ascii="Times New Roman" w:hAnsi="Times New Roman" w:cs="Times New Roman"/>
          <w:color w:val="212121"/>
          <w:sz w:val="24"/>
          <w:szCs w:val="24"/>
        </w:rPr>
        <w:t xml:space="preserve">to the </w:t>
      </w:r>
      <w:r w:rsidR="003B4784">
        <w:rPr>
          <w:rFonts w:ascii="Times New Roman" w:hAnsi="Times New Roman" w:cs="Times New Roman"/>
          <w:color w:val="212121"/>
          <w:sz w:val="24"/>
          <w:szCs w:val="24"/>
        </w:rPr>
        <w:t>ICR. These included</w:t>
      </w:r>
      <w:r w:rsidRPr="00BC4CA0">
        <w:rPr>
          <w:rFonts w:ascii="Times New Roman" w:hAnsi="Times New Roman" w:cs="Times New Roman"/>
          <w:color w:val="212121"/>
          <w:sz w:val="24"/>
          <w:szCs w:val="24"/>
        </w:rPr>
        <w:t xml:space="preserve"> comments related to the statistical adjustment model required by WIOA for adjusting </w:t>
      </w:r>
      <w:r w:rsidR="008D1C0C">
        <w:rPr>
          <w:rFonts w:ascii="Times New Roman" w:hAnsi="Times New Roman" w:cs="Times New Roman"/>
          <w:color w:val="212121"/>
          <w:sz w:val="24"/>
          <w:szCs w:val="24"/>
        </w:rPr>
        <w:t>S</w:t>
      </w:r>
      <w:r w:rsidRPr="00BC4CA0">
        <w:rPr>
          <w:rFonts w:ascii="Times New Roman" w:hAnsi="Times New Roman" w:cs="Times New Roman"/>
          <w:color w:val="212121"/>
          <w:sz w:val="24"/>
          <w:szCs w:val="24"/>
        </w:rPr>
        <w:t xml:space="preserve">tate performance levels and how pretests and posttests are used to measure educational functioning level gain.  </w:t>
      </w:r>
      <w:r w:rsidR="003B4784">
        <w:rPr>
          <w:rFonts w:ascii="Times New Roman" w:hAnsi="Times New Roman" w:cs="Times New Roman"/>
          <w:color w:val="212121"/>
          <w:sz w:val="24"/>
          <w:szCs w:val="24"/>
        </w:rPr>
        <w:t>A</w:t>
      </w:r>
      <w:r w:rsidRPr="00BC4CA0">
        <w:rPr>
          <w:rFonts w:ascii="Times New Roman" w:hAnsi="Times New Roman" w:cs="Times New Roman"/>
          <w:color w:val="212121"/>
          <w:sz w:val="24"/>
          <w:szCs w:val="24"/>
        </w:rPr>
        <w:t>dditional information on these topics may be addressed in other guidance and technical assistance documents.</w:t>
      </w:r>
      <w:r w:rsidR="002478C7" w:rsidRPr="00BC4CA0">
        <w:rPr>
          <w:rFonts w:ascii="Times New Roman" w:hAnsi="Times New Roman" w:cs="Times New Roman"/>
          <w:color w:val="212121"/>
          <w:sz w:val="24"/>
          <w:szCs w:val="24"/>
        </w:rPr>
        <w:t xml:space="preserve"> </w:t>
      </w:r>
    </w:p>
    <w:p w14:paraId="294A602F" w14:textId="1B33CB0C" w:rsidR="00B664B7" w:rsidRDefault="00B664B7" w:rsidP="00BC4CA0">
      <w:pPr>
        <w:pStyle w:val="LEAPBodyTextPostHeading"/>
        <w:rPr>
          <w:rFonts w:ascii="Times New Roman" w:hAnsi="Times New Roman" w:cs="Times New Roman"/>
          <w:color w:val="212121"/>
          <w:sz w:val="24"/>
          <w:szCs w:val="24"/>
        </w:rPr>
      </w:pPr>
    </w:p>
    <w:p w14:paraId="4C1D4D85" w14:textId="735392E8" w:rsidR="00B664B7" w:rsidRDefault="00B664B7" w:rsidP="00BC4CA0">
      <w:pPr>
        <w:pStyle w:val="LEAPBodyTextPostHeading"/>
        <w:rPr>
          <w:rFonts w:ascii="Times New Roman" w:hAnsi="Times New Roman" w:cs="Times New Roman"/>
          <w:b/>
          <w:color w:val="212121"/>
          <w:sz w:val="24"/>
          <w:szCs w:val="24"/>
        </w:rPr>
      </w:pPr>
      <w:r>
        <w:rPr>
          <w:rFonts w:ascii="Times New Roman" w:hAnsi="Times New Roman" w:cs="Times New Roman"/>
          <w:b/>
          <w:color w:val="212121"/>
          <w:sz w:val="24"/>
          <w:szCs w:val="24"/>
        </w:rPr>
        <w:t>Technical and Conforming Changes</w:t>
      </w:r>
    </w:p>
    <w:p w14:paraId="0C3B2511" w14:textId="77777777" w:rsidR="00B664B7" w:rsidRDefault="00B664B7" w:rsidP="00BC4CA0">
      <w:pPr>
        <w:pStyle w:val="LEAPBodyTextPostHeading"/>
        <w:rPr>
          <w:rFonts w:ascii="Times New Roman" w:hAnsi="Times New Roman" w:cs="Times New Roman"/>
          <w:b/>
          <w:color w:val="212121"/>
          <w:sz w:val="24"/>
          <w:szCs w:val="24"/>
        </w:rPr>
      </w:pPr>
    </w:p>
    <w:p w14:paraId="2370610E" w14:textId="70B1B4E2" w:rsidR="00B664B7" w:rsidRPr="00BC4CA0" w:rsidRDefault="00B664B7" w:rsidP="00BC4CA0">
      <w:pPr>
        <w:pStyle w:val="LEAPBodyTextPostHeading"/>
        <w:rPr>
          <w:rFonts w:ascii="Times New Roman" w:hAnsi="Times New Roman" w:cs="Times New Roman"/>
          <w:color w:val="212121"/>
          <w:sz w:val="24"/>
          <w:szCs w:val="24"/>
        </w:rPr>
      </w:pPr>
      <w:r>
        <w:rPr>
          <w:rFonts w:ascii="Times New Roman" w:hAnsi="Times New Roman" w:cs="Times New Roman"/>
          <w:color w:val="212121"/>
          <w:sz w:val="24"/>
          <w:szCs w:val="24"/>
        </w:rPr>
        <w:t>In addition to the changes described above, OCTAE has made technical and conforming changes for purposes of clarity and for consistency with WIOA and the implementing NRS regulations at 34 CFR part 462.</w:t>
      </w:r>
    </w:p>
    <w:p w14:paraId="4847DB8F" w14:textId="77777777" w:rsidR="00BC4CA0" w:rsidRPr="00BC4CA0" w:rsidRDefault="00BC4CA0">
      <w:pPr>
        <w:rPr>
          <w:rFonts w:ascii="Times New Roman" w:hAnsi="Times New Roman" w:cs="Times New Roman"/>
        </w:rPr>
      </w:pPr>
    </w:p>
    <w:sectPr w:rsidR="00BC4CA0" w:rsidRPr="00BC4CA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B2021" w14:textId="77777777" w:rsidR="005E65AE" w:rsidRDefault="005E65AE" w:rsidP="00CC687B">
      <w:pPr>
        <w:spacing w:after="0" w:line="240" w:lineRule="auto"/>
      </w:pPr>
      <w:r>
        <w:separator/>
      </w:r>
    </w:p>
  </w:endnote>
  <w:endnote w:type="continuationSeparator" w:id="0">
    <w:p w14:paraId="3848BF72" w14:textId="77777777" w:rsidR="005E65AE" w:rsidRDefault="005E65AE" w:rsidP="00CC687B">
      <w:pPr>
        <w:spacing w:after="0" w:line="240" w:lineRule="auto"/>
      </w:pPr>
      <w:r>
        <w:continuationSeparator/>
      </w:r>
    </w:p>
  </w:endnote>
  <w:endnote w:type="continuationNotice" w:id="1">
    <w:p w14:paraId="30ED3152" w14:textId="77777777" w:rsidR="00CD73D5" w:rsidRDefault="00CD7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412608"/>
      <w:docPartObj>
        <w:docPartGallery w:val="Page Numbers (Bottom of Page)"/>
        <w:docPartUnique/>
      </w:docPartObj>
    </w:sdtPr>
    <w:sdtEndPr/>
    <w:sdtContent>
      <w:sdt>
        <w:sdtPr>
          <w:id w:val="860082579"/>
          <w:docPartObj>
            <w:docPartGallery w:val="Page Numbers (Top of Page)"/>
            <w:docPartUnique/>
          </w:docPartObj>
        </w:sdtPr>
        <w:sdtEndPr/>
        <w:sdtContent>
          <w:p w14:paraId="4847DB99" w14:textId="77777777" w:rsidR="00CC687B" w:rsidRDefault="00CC6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F0CA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0CAE">
              <w:rPr>
                <w:b/>
                <w:bCs/>
                <w:noProof/>
              </w:rPr>
              <w:t>11</w:t>
            </w:r>
            <w:r>
              <w:rPr>
                <w:b/>
                <w:bCs/>
                <w:sz w:val="24"/>
                <w:szCs w:val="24"/>
              </w:rPr>
              <w:fldChar w:fldCharType="end"/>
            </w:r>
          </w:p>
        </w:sdtContent>
      </w:sdt>
    </w:sdtContent>
  </w:sdt>
  <w:p w14:paraId="4847DB9A" w14:textId="77777777" w:rsidR="00CC687B" w:rsidRDefault="00CC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E4F7F" w14:textId="77777777" w:rsidR="005E65AE" w:rsidRDefault="005E65AE" w:rsidP="00CC687B">
      <w:pPr>
        <w:spacing w:after="0" w:line="240" w:lineRule="auto"/>
      </w:pPr>
      <w:r>
        <w:separator/>
      </w:r>
    </w:p>
  </w:footnote>
  <w:footnote w:type="continuationSeparator" w:id="0">
    <w:p w14:paraId="5B30424A" w14:textId="77777777" w:rsidR="005E65AE" w:rsidRDefault="005E65AE" w:rsidP="00CC687B">
      <w:pPr>
        <w:spacing w:after="0" w:line="240" w:lineRule="auto"/>
      </w:pPr>
      <w:r>
        <w:continuationSeparator/>
      </w:r>
    </w:p>
  </w:footnote>
  <w:footnote w:type="continuationNotice" w:id="1">
    <w:p w14:paraId="796107BA" w14:textId="77777777" w:rsidR="00CD73D5" w:rsidRDefault="00CD73D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DA"/>
    <w:rsid w:val="00003D1C"/>
    <w:rsid w:val="000053D8"/>
    <w:rsid w:val="00024A31"/>
    <w:rsid w:val="00025B1B"/>
    <w:rsid w:val="00035EBF"/>
    <w:rsid w:val="000458BD"/>
    <w:rsid w:val="00056B0E"/>
    <w:rsid w:val="00063ECA"/>
    <w:rsid w:val="00065500"/>
    <w:rsid w:val="00072930"/>
    <w:rsid w:val="000E28E0"/>
    <w:rsid w:val="000E3F7A"/>
    <w:rsid w:val="000E5148"/>
    <w:rsid w:val="000F40D3"/>
    <w:rsid w:val="00135478"/>
    <w:rsid w:val="00153A22"/>
    <w:rsid w:val="00162DB4"/>
    <w:rsid w:val="00181710"/>
    <w:rsid w:val="001922B8"/>
    <w:rsid w:val="00195312"/>
    <w:rsid w:val="001C7815"/>
    <w:rsid w:val="001D4ADA"/>
    <w:rsid w:val="001E04C8"/>
    <w:rsid w:val="001F7794"/>
    <w:rsid w:val="00201978"/>
    <w:rsid w:val="00212B86"/>
    <w:rsid w:val="0023256C"/>
    <w:rsid w:val="002452A0"/>
    <w:rsid w:val="002471C4"/>
    <w:rsid w:val="002478C7"/>
    <w:rsid w:val="0025655A"/>
    <w:rsid w:val="0026768E"/>
    <w:rsid w:val="002802AC"/>
    <w:rsid w:val="00294514"/>
    <w:rsid w:val="002C40F2"/>
    <w:rsid w:val="002E005F"/>
    <w:rsid w:val="002E6448"/>
    <w:rsid w:val="002E7506"/>
    <w:rsid w:val="00304D63"/>
    <w:rsid w:val="00313405"/>
    <w:rsid w:val="00317A33"/>
    <w:rsid w:val="00326ECC"/>
    <w:rsid w:val="003519D1"/>
    <w:rsid w:val="003578E4"/>
    <w:rsid w:val="0037530D"/>
    <w:rsid w:val="00377BF9"/>
    <w:rsid w:val="00381482"/>
    <w:rsid w:val="0039600C"/>
    <w:rsid w:val="003B4784"/>
    <w:rsid w:val="003D6615"/>
    <w:rsid w:val="00432B9E"/>
    <w:rsid w:val="004521D6"/>
    <w:rsid w:val="004561BF"/>
    <w:rsid w:val="004613FF"/>
    <w:rsid w:val="00494097"/>
    <w:rsid w:val="004A0572"/>
    <w:rsid w:val="004E72CF"/>
    <w:rsid w:val="004F602C"/>
    <w:rsid w:val="0054109E"/>
    <w:rsid w:val="0054336D"/>
    <w:rsid w:val="00550DA6"/>
    <w:rsid w:val="00563F80"/>
    <w:rsid w:val="00581907"/>
    <w:rsid w:val="005C31CD"/>
    <w:rsid w:val="005C3500"/>
    <w:rsid w:val="005E65AE"/>
    <w:rsid w:val="006072DB"/>
    <w:rsid w:val="006177B7"/>
    <w:rsid w:val="006430FE"/>
    <w:rsid w:val="00655E03"/>
    <w:rsid w:val="00673FAF"/>
    <w:rsid w:val="006B31AC"/>
    <w:rsid w:val="006C4AEB"/>
    <w:rsid w:val="006D0F1F"/>
    <w:rsid w:val="006D576A"/>
    <w:rsid w:val="00741AA5"/>
    <w:rsid w:val="00754C54"/>
    <w:rsid w:val="00772DF9"/>
    <w:rsid w:val="0078288C"/>
    <w:rsid w:val="007D75F2"/>
    <w:rsid w:val="007E55CB"/>
    <w:rsid w:val="007F07E0"/>
    <w:rsid w:val="008342B5"/>
    <w:rsid w:val="0085169F"/>
    <w:rsid w:val="0085736A"/>
    <w:rsid w:val="00867977"/>
    <w:rsid w:val="008815C3"/>
    <w:rsid w:val="00881B6D"/>
    <w:rsid w:val="008825F1"/>
    <w:rsid w:val="00885110"/>
    <w:rsid w:val="008A5C1A"/>
    <w:rsid w:val="008D13DB"/>
    <w:rsid w:val="008D1C0C"/>
    <w:rsid w:val="008F1575"/>
    <w:rsid w:val="008F1ECD"/>
    <w:rsid w:val="008F2A04"/>
    <w:rsid w:val="00952135"/>
    <w:rsid w:val="0095736C"/>
    <w:rsid w:val="009605A2"/>
    <w:rsid w:val="00972D82"/>
    <w:rsid w:val="00973135"/>
    <w:rsid w:val="009874B0"/>
    <w:rsid w:val="009C2797"/>
    <w:rsid w:val="009C2D1A"/>
    <w:rsid w:val="009E5990"/>
    <w:rsid w:val="009F7857"/>
    <w:rsid w:val="00A05E0D"/>
    <w:rsid w:val="00A210FF"/>
    <w:rsid w:val="00A215CC"/>
    <w:rsid w:val="00A33773"/>
    <w:rsid w:val="00A374C3"/>
    <w:rsid w:val="00A410ED"/>
    <w:rsid w:val="00A66B0D"/>
    <w:rsid w:val="00A73177"/>
    <w:rsid w:val="00A80C58"/>
    <w:rsid w:val="00A92256"/>
    <w:rsid w:val="00AC4DCD"/>
    <w:rsid w:val="00AD2868"/>
    <w:rsid w:val="00AE176F"/>
    <w:rsid w:val="00AE426A"/>
    <w:rsid w:val="00AE7F27"/>
    <w:rsid w:val="00AF3B8D"/>
    <w:rsid w:val="00AF7B85"/>
    <w:rsid w:val="00B40C05"/>
    <w:rsid w:val="00B62806"/>
    <w:rsid w:val="00B664B7"/>
    <w:rsid w:val="00B83D61"/>
    <w:rsid w:val="00BB1C72"/>
    <w:rsid w:val="00BC4CA0"/>
    <w:rsid w:val="00BD0C39"/>
    <w:rsid w:val="00BD7816"/>
    <w:rsid w:val="00BE0B2F"/>
    <w:rsid w:val="00C147D4"/>
    <w:rsid w:val="00C16AEA"/>
    <w:rsid w:val="00C17185"/>
    <w:rsid w:val="00C3188D"/>
    <w:rsid w:val="00C71FF2"/>
    <w:rsid w:val="00C7488C"/>
    <w:rsid w:val="00C77D68"/>
    <w:rsid w:val="00CA11BD"/>
    <w:rsid w:val="00CA1315"/>
    <w:rsid w:val="00CB1B82"/>
    <w:rsid w:val="00CC687B"/>
    <w:rsid w:val="00CC7827"/>
    <w:rsid w:val="00CD73D5"/>
    <w:rsid w:val="00CE4808"/>
    <w:rsid w:val="00D0435E"/>
    <w:rsid w:val="00D04372"/>
    <w:rsid w:val="00D04D0F"/>
    <w:rsid w:val="00D2272E"/>
    <w:rsid w:val="00D314A9"/>
    <w:rsid w:val="00D61728"/>
    <w:rsid w:val="00D71FD9"/>
    <w:rsid w:val="00D808F5"/>
    <w:rsid w:val="00D92F6F"/>
    <w:rsid w:val="00D9494F"/>
    <w:rsid w:val="00DB37F5"/>
    <w:rsid w:val="00DF0CAE"/>
    <w:rsid w:val="00E102D4"/>
    <w:rsid w:val="00E26426"/>
    <w:rsid w:val="00E83411"/>
    <w:rsid w:val="00E849FD"/>
    <w:rsid w:val="00E951F6"/>
    <w:rsid w:val="00E96224"/>
    <w:rsid w:val="00E968CA"/>
    <w:rsid w:val="00EC4156"/>
    <w:rsid w:val="00F1061D"/>
    <w:rsid w:val="00F13870"/>
    <w:rsid w:val="00F23F9D"/>
    <w:rsid w:val="00F83794"/>
    <w:rsid w:val="00F85D18"/>
    <w:rsid w:val="00F93E31"/>
    <w:rsid w:val="00F9411D"/>
    <w:rsid w:val="00F942B7"/>
    <w:rsid w:val="00FA0F93"/>
    <w:rsid w:val="00FB1C00"/>
    <w:rsid w:val="00FD1E26"/>
    <w:rsid w:val="00FF0861"/>
    <w:rsid w:val="00FF0E71"/>
    <w:rsid w:val="00FF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PBodyTextPostHeading">
    <w:name w:val="LEAP_Body Text_Post Heading"/>
    <w:basedOn w:val="Normal"/>
    <w:qFormat/>
    <w:rsid w:val="00BC4CA0"/>
    <w:pPr>
      <w:spacing w:after="0"/>
    </w:pPr>
  </w:style>
  <w:style w:type="character" w:styleId="CommentReference">
    <w:name w:val="annotation reference"/>
    <w:basedOn w:val="DefaultParagraphFont"/>
    <w:uiPriority w:val="99"/>
    <w:semiHidden/>
    <w:unhideWhenUsed/>
    <w:rsid w:val="00BC4CA0"/>
    <w:rPr>
      <w:sz w:val="16"/>
      <w:szCs w:val="16"/>
    </w:rPr>
  </w:style>
  <w:style w:type="paragraph" w:styleId="CommentText">
    <w:name w:val="annotation text"/>
    <w:basedOn w:val="Normal"/>
    <w:link w:val="CommentTextChar"/>
    <w:uiPriority w:val="99"/>
    <w:semiHidden/>
    <w:unhideWhenUsed/>
    <w:rsid w:val="00BC4CA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C4C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C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426A"/>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E426A"/>
    <w:rPr>
      <w:rFonts w:ascii="Times New Roman" w:hAnsi="Times New Roman" w:cs="Times New Roman"/>
      <w:b/>
      <w:bCs/>
      <w:sz w:val="20"/>
      <w:szCs w:val="20"/>
    </w:rPr>
  </w:style>
  <w:style w:type="paragraph" w:styleId="Header">
    <w:name w:val="header"/>
    <w:basedOn w:val="Normal"/>
    <w:link w:val="HeaderChar"/>
    <w:uiPriority w:val="99"/>
    <w:unhideWhenUsed/>
    <w:rsid w:val="00CC6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7B"/>
  </w:style>
  <w:style w:type="paragraph" w:styleId="Footer">
    <w:name w:val="footer"/>
    <w:basedOn w:val="Normal"/>
    <w:link w:val="FooterChar"/>
    <w:uiPriority w:val="99"/>
    <w:unhideWhenUsed/>
    <w:rsid w:val="00CC6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PBodyTextPostHeading">
    <w:name w:val="LEAP_Body Text_Post Heading"/>
    <w:basedOn w:val="Normal"/>
    <w:qFormat/>
    <w:rsid w:val="00BC4CA0"/>
    <w:pPr>
      <w:spacing w:after="0"/>
    </w:pPr>
  </w:style>
  <w:style w:type="character" w:styleId="CommentReference">
    <w:name w:val="annotation reference"/>
    <w:basedOn w:val="DefaultParagraphFont"/>
    <w:uiPriority w:val="99"/>
    <w:semiHidden/>
    <w:unhideWhenUsed/>
    <w:rsid w:val="00BC4CA0"/>
    <w:rPr>
      <w:sz w:val="16"/>
      <w:szCs w:val="16"/>
    </w:rPr>
  </w:style>
  <w:style w:type="paragraph" w:styleId="CommentText">
    <w:name w:val="annotation text"/>
    <w:basedOn w:val="Normal"/>
    <w:link w:val="CommentTextChar"/>
    <w:uiPriority w:val="99"/>
    <w:semiHidden/>
    <w:unhideWhenUsed/>
    <w:rsid w:val="00BC4CA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C4C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C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C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E426A"/>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E426A"/>
    <w:rPr>
      <w:rFonts w:ascii="Times New Roman" w:hAnsi="Times New Roman" w:cs="Times New Roman"/>
      <w:b/>
      <w:bCs/>
      <w:sz w:val="20"/>
      <w:szCs w:val="20"/>
    </w:rPr>
  </w:style>
  <w:style w:type="paragraph" w:styleId="Header">
    <w:name w:val="header"/>
    <w:basedOn w:val="Normal"/>
    <w:link w:val="HeaderChar"/>
    <w:uiPriority w:val="99"/>
    <w:unhideWhenUsed/>
    <w:rsid w:val="00CC6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7B"/>
  </w:style>
  <w:style w:type="paragraph" w:styleId="Footer">
    <w:name w:val="footer"/>
    <w:basedOn w:val="Normal"/>
    <w:link w:val="FooterChar"/>
    <w:uiPriority w:val="99"/>
    <w:unhideWhenUsed/>
    <w:rsid w:val="00CC6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7aded2605bc42ee769ff9e9655e03346">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330A-7E2C-4838-81F4-51B2489F6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FAF1DB-70A4-4699-AD20-5CE3DD29999C}">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D436F4B-A4C2-4AF2-A08C-A94645BB687E}">
  <ds:schemaRefs>
    <ds:schemaRef ds:uri="http://schemas.microsoft.com/sharepoint/v3/contenttype/forms"/>
  </ds:schemaRefs>
</ds:datastoreItem>
</file>

<file path=customXml/itemProps4.xml><?xml version="1.0" encoding="utf-8"?>
<ds:datastoreItem xmlns:ds="http://schemas.openxmlformats.org/officeDocument/2006/customXml" ds:itemID="{0689993B-783E-4EA8-B40E-63760542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3555</Words>
  <Characters>20269</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 Cheryl</dc:creator>
  <cp:lastModifiedBy>Washington, Tomakie</cp:lastModifiedBy>
  <cp:revision>2</cp:revision>
  <cp:lastPrinted>2016-12-27T17:22:00Z</cp:lastPrinted>
  <dcterms:created xsi:type="dcterms:W3CDTF">2017-03-21T11:55:00Z</dcterms:created>
  <dcterms:modified xsi:type="dcterms:W3CDTF">2017-03-21T11:55:00Z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0x010100CFD6D9829BB21D49AF2AFE791C5DD694</vt:lpwstr>
  </property>
</Properties>
</file>