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C971A8">
        <w:t>America’s PrepareAthon! National Day of Action Event Registration</w:t>
      </w:r>
    </w:p>
    <w:p w:rsidR="00BD0143" w:rsidRDefault="00BD0143" w:rsidP="00BD0143">
      <w:pPr>
        <w:jc w:val="center"/>
      </w:pPr>
      <w:r>
        <w:t xml:space="preserve">OMB </w:t>
      </w:r>
      <w:r w:rsidR="004B5421">
        <w:t xml:space="preserve">Control No.: </w:t>
      </w:r>
      <w:r w:rsidR="004B5421" w:rsidRPr="00E00FD7">
        <w:t>1660</w:t>
      </w:r>
      <w:r w:rsidR="00C971A8" w:rsidRPr="00E00FD7">
        <w:t>-0134</w:t>
      </w:r>
    </w:p>
    <w:p w:rsidR="00BD0143" w:rsidRDefault="00BD0143" w:rsidP="00BD0143">
      <w:pPr>
        <w:jc w:val="center"/>
      </w:pPr>
      <w:r>
        <w:t xml:space="preserve">Current Expiration Date: </w:t>
      </w:r>
      <w:r w:rsidR="00C971A8">
        <w:t>11/30/2016</w:t>
      </w:r>
    </w:p>
    <w:p w:rsidR="00E00FD7" w:rsidRDefault="00B11616" w:rsidP="00E00FD7">
      <w:pPr>
        <w:tabs>
          <w:tab w:val="left" w:pos="-720"/>
        </w:tabs>
        <w:suppressAutoHyphens/>
      </w:pPr>
      <w:r>
        <w:tab/>
      </w:r>
      <w:r>
        <w:tab/>
      </w:r>
      <w:r>
        <w:tab/>
      </w:r>
      <w:r>
        <w:tab/>
      </w:r>
      <w:r w:rsidR="00BD0143" w:rsidRPr="00065001">
        <w:t xml:space="preserve">Collection Instruments: </w:t>
      </w:r>
      <w:r w:rsidR="00E00FD7" w:rsidRPr="00CD0D36">
        <w:t>FEMA Form 008-0-8</w:t>
      </w:r>
    </w:p>
    <w:p w:rsidR="00E00FD7" w:rsidRDefault="00E00FD7" w:rsidP="00E00FD7">
      <w:pPr>
        <w:tabs>
          <w:tab w:val="left" w:pos="-720"/>
        </w:tabs>
        <w:suppressAutoHyphens/>
      </w:pPr>
    </w:p>
    <w:p w:rsidR="00BD0143" w:rsidRDefault="00BD0143" w:rsidP="00E00FD7">
      <w:pPr>
        <w:tabs>
          <w:tab w:val="left" w:pos="-720"/>
        </w:tabs>
        <w:suppressAutoHyphens/>
      </w:pPr>
      <w:r>
        <w:t>The following are</w:t>
      </w:r>
      <w:r w:rsidR="004E547A">
        <w:t xml:space="preserve"> the</w:t>
      </w:r>
      <w:r>
        <w:t xml:space="preserve"> </w:t>
      </w:r>
      <w:r w:rsidR="009619C6">
        <w:t>changes</w:t>
      </w:r>
      <w:r>
        <w:t xml:space="preserve"> to the collection:</w:t>
      </w:r>
    </w:p>
    <w:p w:rsidR="00C971A8" w:rsidRDefault="00C971A8" w:rsidP="00BD0143"/>
    <w:p w:rsidR="008E054B" w:rsidRDefault="00C971A8" w:rsidP="00BD0143">
      <w:r>
        <w:t xml:space="preserve">On the Supporting Statement for this </w:t>
      </w:r>
      <w:r w:rsidR="00E00FD7">
        <w:t>c</w:t>
      </w:r>
      <w:r>
        <w:t xml:space="preserve">ollection submitted on November 14, 2013, the OMB Control number was 1660-NW 79.  However, when it was approved, it was assigned Control No. 1660-0134.  The title of the collection was previously “Community Drill Day Registration” and it is now updated as “America’s PrepareAthon! National Day of Action Event Registration”.  </w:t>
      </w:r>
    </w:p>
    <w:p w:rsidR="008E054B" w:rsidRDefault="008E054B" w:rsidP="00BD0143"/>
    <w:p w:rsidR="00C971A8" w:rsidRDefault="008E054B" w:rsidP="00BD0143">
      <w:r>
        <w:t xml:space="preserve">On April 4, 2013, FEMA submitted a PTA for Community Drill Day.  It was reviewed by DHS Privacy on April 26, 2013.  For 2016, </w:t>
      </w:r>
      <w:r w:rsidR="00E00FD7">
        <w:t>t</w:t>
      </w:r>
      <w:r>
        <w:t>his collection will be covered under a PTA with a different title, but which includes thi</w:t>
      </w:r>
      <w:r w:rsidR="00112658">
        <w:t>s collection: It is the PTA for</w:t>
      </w:r>
      <w:r w:rsidR="00C971A8">
        <w:t xml:space="preserve"> </w:t>
      </w:r>
      <w:r w:rsidR="00112658">
        <w:rPr>
          <w:sz w:val="22"/>
        </w:rPr>
        <w:t xml:space="preserve">Community.Fema.Gov, and it </w:t>
      </w:r>
      <w:r w:rsidR="00E00FD7">
        <w:rPr>
          <w:sz w:val="22"/>
        </w:rPr>
        <w:t xml:space="preserve">was approved </w:t>
      </w:r>
      <w:r w:rsidR="00E00FD7" w:rsidRPr="00E00FD7">
        <w:rPr>
          <w:sz w:val="22"/>
        </w:rPr>
        <w:t>by DHS on June 22, 2016</w:t>
      </w:r>
      <w:r w:rsidR="00112658">
        <w:rPr>
          <w:sz w:val="22"/>
        </w:rPr>
        <w:t>.</w:t>
      </w:r>
      <w:r w:rsidR="005E69AD">
        <w:rPr>
          <w:sz w:val="22"/>
        </w:rPr>
        <w:t xml:space="preserve"> For changes to FEMA Form 008-0-8 see Forms Revision Chart.</w:t>
      </w:r>
      <w:bookmarkStart w:id="0" w:name="_GoBack"/>
      <w:bookmarkEnd w:id="0"/>
    </w:p>
    <w:p w:rsidR="00BD0143" w:rsidRDefault="00BD0143" w:rsidP="00BD0143"/>
    <w:p w:rsidR="00112658" w:rsidRDefault="00112658" w:rsidP="00BD0143">
      <w:r>
        <w:t xml:space="preserve">Changes to the Supporting Statement for this </w:t>
      </w:r>
      <w:r w:rsidR="00E00FD7">
        <w:t>c</w:t>
      </w:r>
      <w:r>
        <w:t xml:space="preserve">ollection as </w:t>
      </w:r>
      <w:r w:rsidR="00E00FD7">
        <w:t>c</w:t>
      </w:r>
      <w:r>
        <w:t>ompared to the Supporting Statement Submitted in 2013 are as follows:</w:t>
      </w:r>
    </w:p>
    <w:p w:rsidR="00112658" w:rsidRDefault="00112658" w:rsidP="00BD0143"/>
    <w:p w:rsidR="00112658" w:rsidRDefault="00112658" w:rsidP="00BD0143">
      <w:r w:rsidRPr="00112658">
        <w:rPr>
          <w:b/>
        </w:rPr>
        <w:t>Question 1</w:t>
      </w:r>
      <w:r w:rsidR="00E00FD7">
        <w:rPr>
          <w:b/>
        </w:rPr>
        <w:t xml:space="preserve"> – </w:t>
      </w:r>
      <w:r>
        <w:t>In addition to identifying Presidential Policy Directive 8 as supporting legal requirements, 6 U.S.C. Sec. 742 has been added.  Instead of this event referred to as “Community Drill Day” it is now referred to as a “National Day of Action.”  Additional verbiage was added:  These entities taking part in the National Day of Action register their planned events through this information collection effort.  This collection was previously titled, “Community Drill Day Registration and was OMB Control Number: 1660-NW 79.  It is now OMB Control Number 1660-0134.</w:t>
      </w:r>
    </w:p>
    <w:p w:rsidR="00112658" w:rsidRDefault="00112658" w:rsidP="00BD0143"/>
    <w:p w:rsidR="00112658" w:rsidRDefault="00112658" w:rsidP="00BD0143">
      <w:r w:rsidRPr="00112658">
        <w:rPr>
          <w:b/>
        </w:rPr>
        <w:t>Question 2</w:t>
      </w:r>
      <w:r w:rsidR="00E00FD7">
        <w:t xml:space="preserve"> – U</w:t>
      </w:r>
      <w:r w:rsidR="00BB27CA">
        <w:t>pdated to reflect current collection name: America’s PrepareAthon! National Day of Action Event Registration</w:t>
      </w:r>
      <w:r w:rsidR="00E00FD7">
        <w:t>.</w:t>
      </w:r>
    </w:p>
    <w:p w:rsidR="00BB27CA" w:rsidRDefault="00BB27CA" w:rsidP="00BD0143"/>
    <w:p w:rsidR="00BB27CA" w:rsidRPr="00E00FD7" w:rsidRDefault="00BB27CA" w:rsidP="00BB27CA">
      <w:r>
        <w:t xml:space="preserve">Also added explanation of how form has evolved since 2013: </w:t>
      </w:r>
      <w:r w:rsidRPr="00E00FD7">
        <w:t xml:space="preserve">The current registration form was changed since the last OMB approval.  FEMA Individual and Community Preparedness Division (ICPD) did update the name to America’s PrepareAthon! </w:t>
      </w:r>
      <w:proofErr w:type="gramStart"/>
      <w:r w:rsidRPr="00E00FD7">
        <w:t>because</w:t>
      </w:r>
      <w:proofErr w:type="gramEnd"/>
      <w:r w:rsidRPr="00E00FD7">
        <w:t xml:space="preserve"> that is the registered name associated with this National Day of Action.  FEMA did not add any questions, nor change the scope of any of the questions. However, ICPD did change the front end/landing page of the collection tool to make it easier to understand and to make the user interface more intuitive and user friendly. The previous format proved confusing for users, and required them to click through more screens to get to where they wanted to go. In the updated system, it’s much easier and less time-consuming for users to get to where they need to go, and it streamlines the users’ experience, which ultimately reduces their reporting burden.  </w:t>
      </w:r>
    </w:p>
    <w:p w:rsidR="00BB27CA" w:rsidRPr="00E00FD7" w:rsidRDefault="00BB27CA" w:rsidP="00BB27CA"/>
    <w:p w:rsidR="00BB27CA" w:rsidRPr="00BB27CA" w:rsidRDefault="00BB27CA" w:rsidP="00BB27CA">
      <w:r w:rsidRPr="00BB27CA">
        <w:rPr>
          <w:b/>
        </w:rPr>
        <w:lastRenderedPageBreak/>
        <w:t>Question 3</w:t>
      </w:r>
      <w:r>
        <w:t xml:space="preserve"> </w:t>
      </w:r>
      <w:r w:rsidR="00E00FD7">
        <w:t>– U</w:t>
      </w:r>
      <w:r>
        <w:t xml:space="preserve">pdated because the America’s PrepareAthon! </w:t>
      </w:r>
      <w:proofErr w:type="gramStart"/>
      <w:r>
        <w:t>website</w:t>
      </w:r>
      <w:proofErr w:type="gramEnd"/>
      <w:r>
        <w:t xml:space="preserve"> was not previously created in 2013.  </w:t>
      </w:r>
      <w:r w:rsidRPr="00BB27CA">
        <w:t xml:space="preserve">Requested information will be submitted through an electronic registration page on the FEMA website – </w:t>
      </w:r>
      <w:hyperlink r:id="rId6" w:history="1">
        <w:r w:rsidRPr="00BB27CA">
          <w:rPr>
            <w:color w:val="0000FF"/>
            <w:u w:val="single"/>
          </w:rPr>
          <w:t>www.community.fema.gov</w:t>
        </w:r>
      </w:hyperlink>
      <w:r w:rsidRPr="00BB27CA">
        <w:t xml:space="preserve"> or the redirect link </w:t>
      </w:r>
      <w:hyperlink r:id="rId7" w:history="1">
        <w:r w:rsidRPr="00BB27CA">
          <w:rPr>
            <w:color w:val="0000FF"/>
            <w:u w:val="single"/>
          </w:rPr>
          <w:t>www.ready.gov/prepare</w:t>
        </w:r>
      </w:hyperlink>
      <w:r w:rsidRPr="00BB27CA">
        <w:t>. This is a 100% electronic collection. There is no downloadable form.</w:t>
      </w:r>
    </w:p>
    <w:p w:rsidR="00BB27CA" w:rsidRPr="00BB27CA" w:rsidRDefault="00BB27CA" w:rsidP="00BB27CA">
      <w:pPr>
        <w:rPr>
          <w:color w:val="000000"/>
        </w:rPr>
      </w:pPr>
    </w:p>
    <w:p w:rsidR="00643FAF" w:rsidRDefault="00643FAF">
      <w:r w:rsidRPr="004552EC">
        <w:rPr>
          <w:b/>
        </w:rPr>
        <w:t>Question 8a</w:t>
      </w:r>
      <w:r>
        <w:t xml:space="preserve"> </w:t>
      </w:r>
      <w:r w:rsidR="00E00FD7">
        <w:t>– U</w:t>
      </w:r>
      <w:r>
        <w:t>pdated to reflect FRN publication information</w:t>
      </w:r>
      <w:r w:rsidR="004B5421">
        <w:t>.</w:t>
      </w:r>
    </w:p>
    <w:p w:rsidR="004552EC" w:rsidRDefault="004552EC"/>
    <w:p w:rsidR="007A3831" w:rsidRDefault="00C557B8">
      <w:r w:rsidRPr="004552EC">
        <w:rPr>
          <w:b/>
        </w:rPr>
        <w:t>Question 10</w:t>
      </w:r>
      <w:r w:rsidR="00BC014D">
        <w:t xml:space="preserve"> – U</w:t>
      </w:r>
      <w:r>
        <w:t>pdated to reflect current privacy information</w:t>
      </w:r>
      <w:r w:rsidR="004B5421">
        <w:t>.</w:t>
      </w:r>
    </w:p>
    <w:p w:rsidR="004552EC" w:rsidRDefault="004552EC"/>
    <w:p w:rsidR="00E00FD7" w:rsidRDefault="00A402B9" w:rsidP="00E00FD7">
      <w:r w:rsidRPr="00BC014D">
        <w:rPr>
          <w:b/>
        </w:rPr>
        <w:t>Question 12</w:t>
      </w:r>
      <w:r>
        <w:t xml:space="preserve"> – </w:t>
      </w:r>
      <w:r w:rsidR="00643FAF">
        <w:t xml:space="preserve">Number of forms </w:t>
      </w:r>
      <w:r w:rsidR="00055CB6">
        <w:t xml:space="preserve">and number of </w:t>
      </w:r>
      <w:r w:rsidR="007A3831">
        <w:t xml:space="preserve">respondents </w:t>
      </w:r>
      <w:r w:rsidR="00055CB6">
        <w:t xml:space="preserve">have remained the same.  </w:t>
      </w:r>
    </w:p>
    <w:p w:rsidR="00E00FD7" w:rsidRDefault="00E00FD7" w:rsidP="00E00FD7"/>
    <w:p w:rsidR="00E00FD7" w:rsidRPr="00E00FD7" w:rsidRDefault="00E00FD7" w:rsidP="00E00FD7">
      <w:pPr>
        <w:rPr>
          <w:bCs/>
        </w:rPr>
      </w:pPr>
    </w:p>
    <w:tbl>
      <w:tblPr>
        <w:tblW w:w="10218" w:type="dxa"/>
        <w:jc w:val="center"/>
        <w:tblLook w:val="04A0" w:firstRow="1" w:lastRow="0" w:firstColumn="1" w:lastColumn="0" w:noHBand="0" w:noVBand="1"/>
      </w:tblPr>
      <w:tblGrid>
        <w:gridCol w:w="1696"/>
        <w:gridCol w:w="1260"/>
        <w:gridCol w:w="900"/>
        <w:gridCol w:w="1153"/>
        <w:gridCol w:w="1007"/>
        <w:gridCol w:w="1170"/>
        <w:gridCol w:w="1018"/>
        <w:gridCol w:w="887"/>
        <w:gridCol w:w="1127"/>
      </w:tblGrid>
      <w:tr w:rsidR="00E00FD7" w:rsidRPr="00E00FD7" w:rsidTr="00692559">
        <w:trPr>
          <w:trHeight w:val="315"/>
          <w:jc w:val="center"/>
        </w:trPr>
        <w:tc>
          <w:tcPr>
            <w:tcW w:w="10218"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00FD7" w:rsidRPr="00E00FD7" w:rsidRDefault="00E00FD7" w:rsidP="00E00FD7">
            <w:pPr>
              <w:jc w:val="center"/>
              <w:rPr>
                <w:color w:val="000000"/>
                <w:sz w:val="18"/>
                <w:szCs w:val="18"/>
              </w:rPr>
            </w:pPr>
            <w:r w:rsidRPr="00E00FD7">
              <w:rPr>
                <w:color w:val="000000"/>
                <w:sz w:val="18"/>
                <w:szCs w:val="18"/>
              </w:rPr>
              <w:t>Estimated Annualized Burden Hours and Costs</w:t>
            </w:r>
          </w:p>
        </w:tc>
      </w:tr>
      <w:tr w:rsidR="00E00FD7" w:rsidRPr="00E00FD7" w:rsidTr="00692559">
        <w:trPr>
          <w:trHeight w:val="889"/>
          <w:jc w:val="center"/>
        </w:trPr>
        <w:tc>
          <w:tcPr>
            <w:tcW w:w="1696" w:type="dxa"/>
            <w:tcBorders>
              <w:top w:val="nil"/>
              <w:left w:val="single" w:sz="8" w:space="0" w:color="auto"/>
              <w:bottom w:val="single" w:sz="8" w:space="0" w:color="auto"/>
              <w:right w:val="single" w:sz="8" w:space="0" w:color="auto"/>
            </w:tcBorders>
            <w:shd w:val="clear" w:color="auto" w:fill="0083E6"/>
            <w:vAlign w:val="bottom"/>
            <w:hideMark/>
          </w:tcPr>
          <w:p w:rsidR="00E00FD7" w:rsidRPr="00E00FD7" w:rsidRDefault="00E00FD7" w:rsidP="00E00FD7">
            <w:pPr>
              <w:jc w:val="center"/>
              <w:rPr>
                <w:b/>
                <w:bCs/>
                <w:color w:val="000000"/>
                <w:sz w:val="18"/>
                <w:szCs w:val="18"/>
              </w:rPr>
            </w:pPr>
            <w:r w:rsidRPr="00E00FD7">
              <w:rPr>
                <w:b/>
                <w:bCs/>
                <w:color w:val="000000"/>
                <w:sz w:val="18"/>
                <w:szCs w:val="18"/>
              </w:rPr>
              <w:t>Type of Respondent</w:t>
            </w:r>
          </w:p>
        </w:tc>
        <w:tc>
          <w:tcPr>
            <w:tcW w:w="1260" w:type="dxa"/>
            <w:tcBorders>
              <w:top w:val="nil"/>
              <w:left w:val="nil"/>
              <w:bottom w:val="single" w:sz="8" w:space="0" w:color="auto"/>
              <w:right w:val="single" w:sz="8" w:space="0" w:color="auto"/>
            </w:tcBorders>
            <w:shd w:val="clear" w:color="auto" w:fill="0083E6"/>
            <w:vAlign w:val="bottom"/>
            <w:hideMark/>
          </w:tcPr>
          <w:p w:rsidR="00E00FD7" w:rsidRPr="00E00FD7" w:rsidRDefault="00E00FD7" w:rsidP="00E00FD7">
            <w:pPr>
              <w:jc w:val="center"/>
              <w:rPr>
                <w:b/>
                <w:bCs/>
                <w:color w:val="000000"/>
                <w:sz w:val="18"/>
                <w:szCs w:val="18"/>
              </w:rPr>
            </w:pPr>
            <w:r w:rsidRPr="00E00FD7">
              <w:rPr>
                <w:b/>
                <w:bCs/>
                <w:color w:val="000000"/>
                <w:sz w:val="18"/>
                <w:szCs w:val="18"/>
              </w:rPr>
              <w:t>Form Name / Form Number</w:t>
            </w:r>
          </w:p>
        </w:tc>
        <w:tc>
          <w:tcPr>
            <w:tcW w:w="900" w:type="dxa"/>
            <w:tcBorders>
              <w:top w:val="nil"/>
              <w:left w:val="nil"/>
              <w:bottom w:val="single" w:sz="8" w:space="0" w:color="auto"/>
              <w:right w:val="single" w:sz="8" w:space="0" w:color="auto"/>
            </w:tcBorders>
            <w:shd w:val="clear" w:color="auto" w:fill="0083E6"/>
            <w:vAlign w:val="bottom"/>
            <w:hideMark/>
          </w:tcPr>
          <w:p w:rsidR="00E00FD7" w:rsidRPr="00E00FD7" w:rsidRDefault="00E00FD7" w:rsidP="00E00FD7">
            <w:pPr>
              <w:jc w:val="center"/>
              <w:rPr>
                <w:b/>
                <w:bCs/>
                <w:color w:val="000000"/>
                <w:sz w:val="18"/>
                <w:szCs w:val="18"/>
              </w:rPr>
            </w:pPr>
            <w:r w:rsidRPr="00E00FD7">
              <w:rPr>
                <w:b/>
                <w:bCs/>
                <w:color w:val="000000"/>
                <w:sz w:val="18"/>
                <w:szCs w:val="18"/>
              </w:rPr>
              <w:t xml:space="preserve">No. of </w:t>
            </w:r>
            <w:proofErr w:type="spellStart"/>
            <w:r w:rsidRPr="00E00FD7">
              <w:rPr>
                <w:b/>
                <w:bCs/>
                <w:color w:val="000000"/>
                <w:sz w:val="18"/>
                <w:szCs w:val="18"/>
              </w:rPr>
              <w:t>Respon</w:t>
            </w:r>
            <w:proofErr w:type="spellEnd"/>
            <w:r w:rsidRPr="00E00FD7">
              <w:rPr>
                <w:b/>
                <w:bCs/>
                <w:color w:val="000000"/>
                <w:sz w:val="18"/>
                <w:szCs w:val="18"/>
              </w:rPr>
              <w:t>-dents</w:t>
            </w:r>
          </w:p>
        </w:tc>
        <w:tc>
          <w:tcPr>
            <w:tcW w:w="1153" w:type="dxa"/>
            <w:tcBorders>
              <w:top w:val="nil"/>
              <w:left w:val="nil"/>
              <w:bottom w:val="single" w:sz="8" w:space="0" w:color="auto"/>
              <w:right w:val="single" w:sz="8" w:space="0" w:color="auto"/>
            </w:tcBorders>
            <w:shd w:val="clear" w:color="auto" w:fill="0083E6"/>
            <w:vAlign w:val="bottom"/>
            <w:hideMark/>
          </w:tcPr>
          <w:p w:rsidR="00E00FD7" w:rsidRPr="00E00FD7" w:rsidRDefault="00E00FD7" w:rsidP="00E00FD7">
            <w:pPr>
              <w:jc w:val="center"/>
              <w:rPr>
                <w:b/>
                <w:bCs/>
                <w:color w:val="000000"/>
                <w:sz w:val="18"/>
                <w:szCs w:val="18"/>
              </w:rPr>
            </w:pPr>
            <w:r w:rsidRPr="00E00FD7">
              <w:rPr>
                <w:b/>
                <w:bCs/>
                <w:color w:val="000000"/>
                <w:sz w:val="18"/>
                <w:szCs w:val="18"/>
              </w:rPr>
              <w:t xml:space="preserve">No. of Responses per </w:t>
            </w:r>
            <w:proofErr w:type="spellStart"/>
            <w:r w:rsidRPr="00E00FD7">
              <w:rPr>
                <w:b/>
                <w:bCs/>
                <w:color w:val="000000"/>
                <w:sz w:val="18"/>
                <w:szCs w:val="18"/>
              </w:rPr>
              <w:t>Respon</w:t>
            </w:r>
            <w:proofErr w:type="spellEnd"/>
            <w:r w:rsidRPr="00E00FD7">
              <w:rPr>
                <w:b/>
                <w:bCs/>
                <w:color w:val="000000"/>
                <w:sz w:val="18"/>
                <w:szCs w:val="18"/>
              </w:rPr>
              <w:t>-dent</w:t>
            </w:r>
          </w:p>
        </w:tc>
        <w:tc>
          <w:tcPr>
            <w:tcW w:w="1007" w:type="dxa"/>
            <w:tcBorders>
              <w:top w:val="nil"/>
              <w:left w:val="nil"/>
              <w:bottom w:val="single" w:sz="8" w:space="0" w:color="auto"/>
              <w:right w:val="single" w:sz="8" w:space="0" w:color="auto"/>
            </w:tcBorders>
            <w:shd w:val="clear" w:color="auto" w:fill="0083E6"/>
            <w:vAlign w:val="bottom"/>
            <w:hideMark/>
          </w:tcPr>
          <w:p w:rsidR="00E00FD7" w:rsidRPr="00E00FD7" w:rsidRDefault="00E00FD7" w:rsidP="00E00FD7">
            <w:pPr>
              <w:jc w:val="center"/>
              <w:rPr>
                <w:b/>
                <w:bCs/>
                <w:color w:val="000000"/>
                <w:sz w:val="18"/>
                <w:szCs w:val="18"/>
              </w:rPr>
            </w:pPr>
            <w:r w:rsidRPr="00E00FD7">
              <w:rPr>
                <w:b/>
                <w:bCs/>
                <w:color w:val="000000"/>
                <w:sz w:val="18"/>
                <w:szCs w:val="18"/>
              </w:rPr>
              <w:t>Total No. of Responses</w:t>
            </w:r>
          </w:p>
        </w:tc>
        <w:tc>
          <w:tcPr>
            <w:tcW w:w="1170" w:type="dxa"/>
            <w:tcBorders>
              <w:top w:val="nil"/>
              <w:left w:val="nil"/>
              <w:bottom w:val="single" w:sz="8" w:space="0" w:color="auto"/>
              <w:right w:val="single" w:sz="8" w:space="0" w:color="auto"/>
            </w:tcBorders>
            <w:shd w:val="clear" w:color="auto" w:fill="0083E6"/>
            <w:vAlign w:val="bottom"/>
            <w:hideMark/>
          </w:tcPr>
          <w:p w:rsidR="00E00FD7" w:rsidRPr="00E00FD7" w:rsidRDefault="00E00FD7" w:rsidP="00E00FD7">
            <w:pPr>
              <w:jc w:val="center"/>
              <w:rPr>
                <w:b/>
                <w:bCs/>
                <w:color w:val="000000"/>
                <w:sz w:val="18"/>
                <w:szCs w:val="18"/>
              </w:rPr>
            </w:pPr>
            <w:r w:rsidRPr="00E00FD7">
              <w:rPr>
                <w:b/>
                <w:bCs/>
                <w:color w:val="000000"/>
                <w:sz w:val="18"/>
                <w:szCs w:val="18"/>
              </w:rPr>
              <w:t>Avg. Burden per Response (in hours)</w:t>
            </w:r>
          </w:p>
        </w:tc>
        <w:tc>
          <w:tcPr>
            <w:tcW w:w="1018" w:type="dxa"/>
            <w:tcBorders>
              <w:top w:val="nil"/>
              <w:left w:val="nil"/>
              <w:bottom w:val="single" w:sz="8" w:space="0" w:color="auto"/>
              <w:right w:val="single" w:sz="8" w:space="0" w:color="auto"/>
            </w:tcBorders>
            <w:shd w:val="clear" w:color="auto" w:fill="0083E6"/>
            <w:vAlign w:val="bottom"/>
            <w:hideMark/>
          </w:tcPr>
          <w:p w:rsidR="00E00FD7" w:rsidRPr="00E00FD7" w:rsidRDefault="00E00FD7" w:rsidP="00E00FD7">
            <w:pPr>
              <w:jc w:val="center"/>
              <w:rPr>
                <w:b/>
                <w:bCs/>
                <w:color w:val="000000"/>
                <w:sz w:val="18"/>
                <w:szCs w:val="18"/>
              </w:rPr>
            </w:pPr>
            <w:r w:rsidRPr="00E00FD7">
              <w:rPr>
                <w:b/>
                <w:bCs/>
                <w:color w:val="000000"/>
                <w:sz w:val="18"/>
                <w:szCs w:val="18"/>
              </w:rPr>
              <w:t>Total Annual Burden (in hours)</w:t>
            </w:r>
          </w:p>
        </w:tc>
        <w:tc>
          <w:tcPr>
            <w:tcW w:w="887" w:type="dxa"/>
            <w:tcBorders>
              <w:top w:val="nil"/>
              <w:left w:val="nil"/>
              <w:bottom w:val="single" w:sz="8" w:space="0" w:color="auto"/>
              <w:right w:val="single" w:sz="8" w:space="0" w:color="auto"/>
            </w:tcBorders>
            <w:shd w:val="clear" w:color="auto" w:fill="0083E6"/>
            <w:vAlign w:val="bottom"/>
            <w:hideMark/>
          </w:tcPr>
          <w:p w:rsidR="00E00FD7" w:rsidRPr="00E00FD7" w:rsidRDefault="00E00FD7" w:rsidP="00E00FD7">
            <w:pPr>
              <w:jc w:val="center"/>
              <w:rPr>
                <w:b/>
                <w:bCs/>
                <w:color w:val="000000"/>
                <w:sz w:val="18"/>
                <w:szCs w:val="18"/>
              </w:rPr>
            </w:pPr>
            <w:r w:rsidRPr="00E00FD7">
              <w:rPr>
                <w:b/>
                <w:bCs/>
                <w:color w:val="000000"/>
                <w:sz w:val="18"/>
                <w:szCs w:val="18"/>
              </w:rPr>
              <w:t>Avg. Hourly Wage Rate</w:t>
            </w:r>
          </w:p>
        </w:tc>
        <w:tc>
          <w:tcPr>
            <w:tcW w:w="1127" w:type="dxa"/>
            <w:tcBorders>
              <w:top w:val="nil"/>
              <w:left w:val="nil"/>
              <w:bottom w:val="single" w:sz="8" w:space="0" w:color="auto"/>
              <w:right w:val="single" w:sz="8" w:space="0" w:color="auto"/>
            </w:tcBorders>
            <w:shd w:val="clear" w:color="auto" w:fill="0083E6"/>
            <w:vAlign w:val="bottom"/>
            <w:hideMark/>
          </w:tcPr>
          <w:p w:rsidR="00E00FD7" w:rsidRPr="00E00FD7" w:rsidRDefault="00E00FD7" w:rsidP="00E00FD7">
            <w:pPr>
              <w:jc w:val="center"/>
              <w:rPr>
                <w:b/>
                <w:bCs/>
                <w:color w:val="000000"/>
                <w:sz w:val="18"/>
                <w:szCs w:val="18"/>
              </w:rPr>
            </w:pPr>
            <w:r w:rsidRPr="00E00FD7">
              <w:rPr>
                <w:b/>
                <w:bCs/>
                <w:color w:val="000000"/>
                <w:sz w:val="18"/>
                <w:szCs w:val="18"/>
              </w:rPr>
              <w:t>Total Annual Respondent Cost</w:t>
            </w:r>
          </w:p>
        </w:tc>
      </w:tr>
      <w:tr w:rsidR="00E00FD7" w:rsidRPr="00E00FD7" w:rsidTr="00692559">
        <w:trPr>
          <w:trHeight w:val="315"/>
          <w:jc w:val="center"/>
        </w:trPr>
        <w:tc>
          <w:tcPr>
            <w:tcW w:w="1696" w:type="dxa"/>
            <w:tcBorders>
              <w:top w:val="nil"/>
              <w:left w:val="single" w:sz="8" w:space="0" w:color="auto"/>
              <w:bottom w:val="single" w:sz="8" w:space="0" w:color="auto"/>
              <w:right w:val="single" w:sz="8" w:space="0" w:color="auto"/>
            </w:tcBorders>
            <w:shd w:val="clear" w:color="auto" w:fill="auto"/>
            <w:vAlign w:val="bottom"/>
          </w:tcPr>
          <w:p w:rsidR="00E00FD7" w:rsidRPr="00E00FD7" w:rsidRDefault="00E00FD7" w:rsidP="00E00FD7">
            <w:pPr>
              <w:rPr>
                <w:color w:val="000000"/>
                <w:sz w:val="18"/>
                <w:szCs w:val="18"/>
              </w:rPr>
            </w:pPr>
            <w:r w:rsidRPr="00E00FD7">
              <w:rPr>
                <w:sz w:val="18"/>
                <w:szCs w:val="18"/>
              </w:rPr>
              <w:t>Individuals or Households; Farms; Business or other for-profit; Federal Government; Not-for-profit Institutions; State, local or Tribal Government</w:t>
            </w:r>
          </w:p>
        </w:tc>
        <w:tc>
          <w:tcPr>
            <w:tcW w:w="1260" w:type="dxa"/>
            <w:tcBorders>
              <w:top w:val="nil"/>
              <w:left w:val="nil"/>
              <w:bottom w:val="single" w:sz="8" w:space="0" w:color="auto"/>
              <w:right w:val="single" w:sz="8" w:space="0" w:color="auto"/>
            </w:tcBorders>
            <w:shd w:val="clear" w:color="auto" w:fill="auto"/>
            <w:vAlign w:val="bottom"/>
            <w:hideMark/>
          </w:tcPr>
          <w:p w:rsidR="00E00FD7" w:rsidRPr="00E00FD7" w:rsidRDefault="00E00FD7" w:rsidP="00E00FD7">
            <w:pPr>
              <w:rPr>
                <w:color w:val="000000"/>
                <w:sz w:val="18"/>
                <w:szCs w:val="18"/>
              </w:rPr>
            </w:pPr>
            <w:r w:rsidRPr="00E00FD7">
              <w:rPr>
                <w:color w:val="000000"/>
                <w:sz w:val="18"/>
                <w:szCs w:val="18"/>
              </w:rPr>
              <w:t xml:space="preserve">National Day of Action Registration / FEMA Form 008-0-8  </w:t>
            </w:r>
          </w:p>
        </w:tc>
        <w:tc>
          <w:tcPr>
            <w:tcW w:w="900" w:type="dxa"/>
            <w:tcBorders>
              <w:top w:val="nil"/>
              <w:left w:val="nil"/>
              <w:bottom w:val="single" w:sz="8" w:space="0" w:color="auto"/>
              <w:right w:val="single" w:sz="8" w:space="0" w:color="auto"/>
            </w:tcBorders>
            <w:shd w:val="clear" w:color="auto" w:fill="auto"/>
            <w:vAlign w:val="bottom"/>
            <w:hideMark/>
          </w:tcPr>
          <w:p w:rsidR="00E00FD7" w:rsidRPr="00E00FD7" w:rsidRDefault="00E00FD7" w:rsidP="00E00FD7">
            <w:pPr>
              <w:jc w:val="center"/>
              <w:rPr>
                <w:color w:val="000000"/>
                <w:sz w:val="18"/>
                <w:szCs w:val="18"/>
              </w:rPr>
            </w:pPr>
            <w:r w:rsidRPr="00E00FD7">
              <w:rPr>
                <w:color w:val="000000"/>
                <w:sz w:val="18"/>
                <w:szCs w:val="18"/>
              </w:rPr>
              <w:t>50,000</w:t>
            </w:r>
          </w:p>
        </w:tc>
        <w:tc>
          <w:tcPr>
            <w:tcW w:w="1153" w:type="dxa"/>
            <w:tcBorders>
              <w:top w:val="nil"/>
              <w:left w:val="nil"/>
              <w:bottom w:val="single" w:sz="8" w:space="0" w:color="auto"/>
              <w:right w:val="single" w:sz="8" w:space="0" w:color="auto"/>
            </w:tcBorders>
            <w:shd w:val="clear" w:color="auto" w:fill="auto"/>
            <w:vAlign w:val="bottom"/>
            <w:hideMark/>
          </w:tcPr>
          <w:p w:rsidR="00E00FD7" w:rsidRPr="00E00FD7" w:rsidRDefault="00E00FD7" w:rsidP="00E00FD7">
            <w:pPr>
              <w:jc w:val="center"/>
              <w:rPr>
                <w:color w:val="000000"/>
                <w:sz w:val="18"/>
                <w:szCs w:val="18"/>
              </w:rPr>
            </w:pPr>
            <w:r w:rsidRPr="00E00FD7">
              <w:rPr>
                <w:color w:val="000000"/>
                <w:sz w:val="18"/>
                <w:szCs w:val="18"/>
              </w:rPr>
              <w:t>1</w:t>
            </w:r>
          </w:p>
        </w:tc>
        <w:tc>
          <w:tcPr>
            <w:tcW w:w="1007" w:type="dxa"/>
            <w:tcBorders>
              <w:top w:val="nil"/>
              <w:left w:val="nil"/>
              <w:bottom w:val="single" w:sz="8" w:space="0" w:color="auto"/>
              <w:right w:val="single" w:sz="8" w:space="0" w:color="auto"/>
            </w:tcBorders>
            <w:shd w:val="clear" w:color="auto" w:fill="auto"/>
            <w:vAlign w:val="bottom"/>
            <w:hideMark/>
          </w:tcPr>
          <w:p w:rsidR="00E00FD7" w:rsidRPr="00E00FD7" w:rsidRDefault="00E00FD7" w:rsidP="00E00FD7">
            <w:pPr>
              <w:jc w:val="center"/>
              <w:rPr>
                <w:color w:val="000000"/>
                <w:sz w:val="18"/>
                <w:szCs w:val="18"/>
              </w:rPr>
            </w:pPr>
            <w:r w:rsidRPr="00E00FD7">
              <w:rPr>
                <w:color w:val="000000"/>
                <w:sz w:val="18"/>
                <w:szCs w:val="18"/>
              </w:rPr>
              <w:t>50,000</w:t>
            </w:r>
          </w:p>
        </w:tc>
        <w:tc>
          <w:tcPr>
            <w:tcW w:w="1170" w:type="dxa"/>
            <w:tcBorders>
              <w:top w:val="nil"/>
              <w:left w:val="nil"/>
              <w:bottom w:val="single" w:sz="8" w:space="0" w:color="auto"/>
              <w:right w:val="single" w:sz="8" w:space="0" w:color="auto"/>
            </w:tcBorders>
            <w:shd w:val="clear" w:color="auto" w:fill="auto"/>
            <w:vAlign w:val="bottom"/>
            <w:hideMark/>
          </w:tcPr>
          <w:p w:rsidR="00E00FD7" w:rsidRPr="00E00FD7" w:rsidRDefault="00E00FD7" w:rsidP="00E00FD7">
            <w:pPr>
              <w:jc w:val="center"/>
              <w:rPr>
                <w:color w:val="000000"/>
                <w:sz w:val="18"/>
                <w:szCs w:val="18"/>
              </w:rPr>
            </w:pPr>
            <w:r w:rsidRPr="00E00FD7">
              <w:rPr>
                <w:color w:val="000000"/>
                <w:sz w:val="18"/>
                <w:szCs w:val="18"/>
              </w:rPr>
              <w:t>.3 hour</w:t>
            </w:r>
          </w:p>
          <w:p w:rsidR="00E00FD7" w:rsidRPr="00E00FD7" w:rsidRDefault="00E00FD7" w:rsidP="00E00FD7">
            <w:pPr>
              <w:jc w:val="center"/>
              <w:rPr>
                <w:color w:val="000000"/>
                <w:sz w:val="18"/>
                <w:szCs w:val="18"/>
              </w:rPr>
            </w:pPr>
            <w:r w:rsidRPr="00E00FD7">
              <w:rPr>
                <w:color w:val="000000"/>
                <w:sz w:val="18"/>
                <w:szCs w:val="18"/>
              </w:rPr>
              <w:t>(18 mins.)</w:t>
            </w:r>
          </w:p>
        </w:tc>
        <w:tc>
          <w:tcPr>
            <w:tcW w:w="1018" w:type="dxa"/>
            <w:tcBorders>
              <w:top w:val="nil"/>
              <w:left w:val="nil"/>
              <w:bottom w:val="single" w:sz="8" w:space="0" w:color="auto"/>
              <w:right w:val="single" w:sz="8" w:space="0" w:color="auto"/>
            </w:tcBorders>
            <w:shd w:val="clear" w:color="auto" w:fill="auto"/>
            <w:vAlign w:val="bottom"/>
            <w:hideMark/>
          </w:tcPr>
          <w:p w:rsidR="00E00FD7" w:rsidRPr="00E00FD7" w:rsidRDefault="00E00FD7" w:rsidP="00E00FD7">
            <w:pPr>
              <w:jc w:val="center"/>
              <w:rPr>
                <w:color w:val="000000"/>
                <w:sz w:val="18"/>
                <w:szCs w:val="18"/>
              </w:rPr>
            </w:pPr>
            <w:r w:rsidRPr="00E00FD7">
              <w:rPr>
                <w:color w:val="000000"/>
                <w:sz w:val="18"/>
                <w:szCs w:val="18"/>
              </w:rPr>
              <w:t>15,000</w:t>
            </w:r>
          </w:p>
        </w:tc>
        <w:tc>
          <w:tcPr>
            <w:tcW w:w="887" w:type="dxa"/>
            <w:tcBorders>
              <w:top w:val="nil"/>
              <w:left w:val="nil"/>
              <w:bottom w:val="single" w:sz="8" w:space="0" w:color="auto"/>
              <w:right w:val="single" w:sz="8" w:space="0" w:color="auto"/>
            </w:tcBorders>
            <w:shd w:val="clear" w:color="auto" w:fill="auto"/>
            <w:vAlign w:val="bottom"/>
            <w:hideMark/>
          </w:tcPr>
          <w:p w:rsidR="00E00FD7" w:rsidRPr="00E00FD7" w:rsidRDefault="00E00FD7" w:rsidP="00E00FD7">
            <w:pPr>
              <w:jc w:val="center"/>
              <w:rPr>
                <w:color w:val="000000"/>
                <w:sz w:val="18"/>
                <w:szCs w:val="18"/>
              </w:rPr>
            </w:pPr>
            <w:r w:rsidRPr="00E00FD7">
              <w:rPr>
                <w:color w:val="000000"/>
                <w:sz w:val="18"/>
                <w:szCs w:val="18"/>
              </w:rPr>
              <w:t>$32.52*</w:t>
            </w:r>
          </w:p>
        </w:tc>
        <w:tc>
          <w:tcPr>
            <w:tcW w:w="1127" w:type="dxa"/>
            <w:tcBorders>
              <w:top w:val="nil"/>
              <w:left w:val="nil"/>
              <w:bottom w:val="single" w:sz="8" w:space="0" w:color="auto"/>
              <w:right w:val="single" w:sz="8" w:space="0" w:color="auto"/>
            </w:tcBorders>
            <w:shd w:val="clear" w:color="auto" w:fill="auto"/>
            <w:vAlign w:val="bottom"/>
            <w:hideMark/>
          </w:tcPr>
          <w:p w:rsidR="00E00FD7" w:rsidRPr="00E00FD7" w:rsidRDefault="00E00FD7" w:rsidP="00E00FD7">
            <w:pPr>
              <w:jc w:val="center"/>
              <w:rPr>
                <w:color w:val="000000"/>
                <w:sz w:val="18"/>
                <w:szCs w:val="18"/>
              </w:rPr>
            </w:pPr>
            <w:r w:rsidRPr="00E00FD7">
              <w:rPr>
                <w:color w:val="000000"/>
                <w:sz w:val="18"/>
                <w:szCs w:val="18"/>
              </w:rPr>
              <w:t>$487,830</w:t>
            </w:r>
          </w:p>
        </w:tc>
      </w:tr>
      <w:tr w:rsidR="00E00FD7" w:rsidRPr="00E00FD7" w:rsidTr="00692559">
        <w:trPr>
          <w:trHeight w:val="315"/>
          <w:jc w:val="center"/>
        </w:trPr>
        <w:tc>
          <w:tcPr>
            <w:tcW w:w="1696" w:type="dxa"/>
            <w:tcBorders>
              <w:top w:val="nil"/>
              <w:left w:val="single" w:sz="8" w:space="0" w:color="auto"/>
              <w:bottom w:val="single" w:sz="8" w:space="0" w:color="auto"/>
              <w:right w:val="single" w:sz="8" w:space="0" w:color="auto"/>
            </w:tcBorders>
            <w:shd w:val="clear" w:color="auto" w:fill="auto"/>
            <w:vAlign w:val="bottom"/>
            <w:hideMark/>
          </w:tcPr>
          <w:p w:rsidR="00E00FD7" w:rsidRPr="00E00FD7" w:rsidRDefault="00E00FD7" w:rsidP="00E00FD7">
            <w:pPr>
              <w:jc w:val="center"/>
              <w:rPr>
                <w:b/>
                <w:bCs/>
                <w:color w:val="000000"/>
                <w:sz w:val="18"/>
                <w:szCs w:val="18"/>
              </w:rPr>
            </w:pPr>
            <w:r w:rsidRPr="00E00FD7">
              <w:rPr>
                <w:b/>
                <w:bCs/>
                <w:color w:val="000000"/>
                <w:sz w:val="18"/>
                <w:szCs w:val="18"/>
              </w:rPr>
              <w:t>Total</w:t>
            </w:r>
          </w:p>
        </w:tc>
        <w:tc>
          <w:tcPr>
            <w:tcW w:w="1260" w:type="dxa"/>
            <w:tcBorders>
              <w:top w:val="nil"/>
              <w:left w:val="nil"/>
              <w:bottom w:val="single" w:sz="8" w:space="0" w:color="auto"/>
              <w:right w:val="single" w:sz="8" w:space="0" w:color="auto"/>
            </w:tcBorders>
            <w:shd w:val="clear" w:color="000000" w:fill="000000"/>
            <w:vAlign w:val="bottom"/>
            <w:hideMark/>
          </w:tcPr>
          <w:p w:rsidR="00E00FD7" w:rsidRPr="00E00FD7" w:rsidRDefault="00E00FD7" w:rsidP="00E00FD7">
            <w:pPr>
              <w:jc w:val="center"/>
              <w:rPr>
                <w:color w:val="000000"/>
                <w:sz w:val="18"/>
                <w:szCs w:val="18"/>
              </w:rPr>
            </w:pPr>
            <w:r w:rsidRPr="00E00FD7">
              <w:rPr>
                <w:color w:val="000000"/>
                <w:sz w:val="18"/>
                <w:szCs w:val="18"/>
              </w:rPr>
              <w:t> </w:t>
            </w:r>
          </w:p>
        </w:tc>
        <w:tc>
          <w:tcPr>
            <w:tcW w:w="900" w:type="dxa"/>
            <w:tcBorders>
              <w:top w:val="nil"/>
              <w:left w:val="nil"/>
              <w:bottom w:val="single" w:sz="8" w:space="0" w:color="auto"/>
              <w:right w:val="single" w:sz="8" w:space="0" w:color="auto"/>
            </w:tcBorders>
            <w:shd w:val="clear" w:color="auto" w:fill="auto"/>
            <w:vAlign w:val="bottom"/>
            <w:hideMark/>
          </w:tcPr>
          <w:p w:rsidR="00E00FD7" w:rsidRPr="00E00FD7" w:rsidRDefault="00E00FD7" w:rsidP="00E00FD7">
            <w:pPr>
              <w:jc w:val="center"/>
              <w:rPr>
                <w:b/>
                <w:bCs/>
                <w:color w:val="000000"/>
                <w:sz w:val="18"/>
                <w:szCs w:val="18"/>
              </w:rPr>
            </w:pPr>
            <w:r w:rsidRPr="00E00FD7">
              <w:rPr>
                <w:b/>
                <w:bCs/>
                <w:color w:val="000000"/>
                <w:sz w:val="18"/>
                <w:szCs w:val="18"/>
              </w:rPr>
              <w:t>50,000</w:t>
            </w:r>
          </w:p>
        </w:tc>
        <w:tc>
          <w:tcPr>
            <w:tcW w:w="1153" w:type="dxa"/>
            <w:tcBorders>
              <w:top w:val="nil"/>
              <w:left w:val="nil"/>
              <w:bottom w:val="single" w:sz="8" w:space="0" w:color="auto"/>
              <w:right w:val="single" w:sz="8" w:space="0" w:color="auto"/>
            </w:tcBorders>
            <w:shd w:val="clear" w:color="000000" w:fill="000000"/>
            <w:vAlign w:val="bottom"/>
            <w:hideMark/>
          </w:tcPr>
          <w:p w:rsidR="00E00FD7" w:rsidRPr="00E00FD7" w:rsidRDefault="00E00FD7" w:rsidP="00E00FD7">
            <w:pPr>
              <w:jc w:val="center"/>
              <w:rPr>
                <w:b/>
                <w:color w:val="000000"/>
                <w:sz w:val="18"/>
                <w:szCs w:val="18"/>
              </w:rPr>
            </w:pPr>
          </w:p>
        </w:tc>
        <w:tc>
          <w:tcPr>
            <w:tcW w:w="1007" w:type="dxa"/>
            <w:tcBorders>
              <w:top w:val="nil"/>
              <w:left w:val="nil"/>
              <w:bottom w:val="single" w:sz="8" w:space="0" w:color="auto"/>
              <w:right w:val="single" w:sz="8" w:space="0" w:color="auto"/>
            </w:tcBorders>
            <w:shd w:val="clear" w:color="000000" w:fill="FFFFFF"/>
            <w:vAlign w:val="bottom"/>
            <w:hideMark/>
          </w:tcPr>
          <w:p w:rsidR="00E00FD7" w:rsidRPr="00E00FD7" w:rsidRDefault="00E00FD7" w:rsidP="00E00FD7">
            <w:pPr>
              <w:jc w:val="center"/>
              <w:rPr>
                <w:b/>
                <w:color w:val="000000"/>
                <w:sz w:val="18"/>
                <w:szCs w:val="18"/>
              </w:rPr>
            </w:pPr>
            <w:r w:rsidRPr="00E00FD7">
              <w:rPr>
                <w:b/>
                <w:color w:val="000000"/>
                <w:sz w:val="18"/>
                <w:szCs w:val="18"/>
              </w:rPr>
              <w:t>50,000</w:t>
            </w:r>
          </w:p>
        </w:tc>
        <w:tc>
          <w:tcPr>
            <w:tcW w:w="1170" w:type="dxa"/>
            <w:tcBorders>
              <w:top w:val="nil"/>
              <w:left w:val="nil"/>
              <w:bottom w:val="single" w:sz="8" w:space="0" w:color="auto"/>
              <w:right w:val="single" w:sz="8" w:space="0" w:color="auto"/>
            </w:tcBorders>
            <w:shd w:val="clear" w:color="000000" w:fill="000000"/>
            <w:vAlign w:val="bottom"/>
            <w:hideMark/>
          </w:tcPr>
          <w:p w:rsidR="00E00FD7" w:rsidRPr="00E00FD7" w:rsidRDefault="00E00FD7" w:rsidP="00E00FD7">
            <w:pPr>
              <w:jc w:val="center"/>
              <w:rPr>
                <w:b/>
                <w:color w:val="000000"/>
                <w:sz w:val="18"/>
                <w:szCs w:val="18"/>
              </w:rPr>
            </w:pPr>
          </w:p>
        </w:tc>
        <w:tc>
          <w:tcPr>
            <w:tcW w:w="1018" w:type="dxa"/>
            <w:tcBorders>
              <w:top w:val="nil"/>
              <w:left w:val="nil"/>
              <w:bottom w:val="single" w:sz="8" w:space="0" w:color="auto"/>
              <w:right w:val="single" w:sz="8" w:space="0" w:color="auto"/>
            </w:tcBorders>
            <w:shd w:val="clear" w:color="auto" w:fill="auto"/>
            <w:vAlign w:val="bottom"/>
            <w:hideMark/>
          </w:tcPr>
          <w:p w:rsidR="00E00FD7" w:rsidRPr="00E00FD7" w:rsidRDefault="00E00FD7" w:rsidP="00E00FD7">
            <w:pPr>
              <w:jc w:val="center"/>
              <w:rPr>
                <w:b/>
                <w:bCs/>
                <w:color w:val="000000"/>
                <w:sz w:val="18"/>
                <w:szCs w:val="18"/>
              </w:rPr>
            </w:pPr>
            <w:r w:rsidRPr="00E00FD7">
              <w:rPr>
                <w:b/>
                <w:bCs/>
                <w:color w:val="000000"/>
                <w:sz w:val="18"/>
                <w:szCs w:val="18"/>
              </w:rPr>
              <w:t>15,000</w:t>
            </w:r>
          </w:p>
        </w:tc>
        <w:tc>
          <w:tcPr>
            <w:tcW w:w="887" w:type="dxa"/>
            <w:tcBorders>
              <w:top w:val="nil"/>
              <w:left w:val="nil"/>
              <w:bottom w:val="single" w:sz="8" w:space="0" w:color="auto"/>
              <w:right w:val="single" w:sz="8" w:space="0" w:color="auto"/>
            </w:tcBorders>
            <w:shd w:val="clear" w:color="000000" w:fill="000000"/>
            <w:vAlign w:val="bottom"/>
            <w:hideMark/>
          </w:tcPr>
          <w:p w:rsidR="00E00FD7" w:rsidRPr="00E00FD7" w:rsidRDefault="00E00FD7" w:rsidP="00E00FD7">
            <w:pPr>
              <w:jc w:val="center"/>
              <w:rPr>
                <w:b/>
                <w:color w:val="000000"/>
                <w:sz w:val="18"/>
                <w:szCs w:val="18"/>
              </w:rPr>
            </w:pPr>
          </w:p>
        </w:tc>
        <w:tc>
          <w:tcPr>
            <w:tcW w:w="1127" w:type="dxa"/>
            <w:tcBorders>
              <w:top w:val="nil"/>
              <w:left w:val="nil"/>
              <w:bottom w:val="single" w:sz="8" w:space="0" w:color="auto"/>
              <w:right w:val="single" w:sz="8" w:space="0" w:color="auto"/>
            </w:tcBorders>
            <w:shd w:val="clear" w:color="auto" w:fill="auto"/>
            <w:vAlign w:val="bottom"/>
            <w:hideMark/>
          </w:tcPr>
          <w:p w:rsidR="00E00FD7" w:rsidRPr="00E00FD7" w:rsidRDefault="00E00FD7" w:rsidP="00E00FD7">
            <w:pPr>
              <w:jc w:val="center"/>
              <w:rPr>
                <w:b/>
                <w:bCs/>
                <w:color w:val="000000"/>
                <w:sz w:val="18"/>
                <w:szCs w:val="18"/>
              </w:rPr>
            </w:pPr>
            <w:r w:rsidRPr="00E00FD7">
              <w:rPr>
                <w:b/>
                <w:color w:val="000000"/>
                <w:sz w:val="18"/>
                <w:szCs w:val="18"/>
              </w:rPr>
              <w:t>$487,830</w:t>
            </w:r>
          </w:p>
        </w:tc>
      </w:tr>
    </w:tbl>
    <w:p w:rsidR="00E00FD7" w:rsidRPr="00E00FD7" w:rsidRDefault="00E00FD7" w:rsidP="00E00FD7">
      <w:pPr>
        <w:tabs>
          <w:tab w:val="left" w:pos="-720"/>
        </w:tabs>
        <w:suppressAutoHyphens/>
        <w:ind w:left="720"/>
      </w:pPr>
      <w:r w:rsidRPr="00E00FD7">
        <w:t>*</w:t>
      </w:r>
      <w:r w:rsidRPr="00E00FD7">
        <w:rPr>
          <w:b/>
          <w:sz w:val="16"/>
          <w:szCs w:val="16"/>
        </w:rPr>
        <w:t>Note</w:t>
      </w:r>
      <w:r w:rsidRPr="00E00FD7">
        <w:rPr>
          <w:sz w:val="16"/>
          <w:szCs w:val="16"/>
        </w:rPr>
        <w:t xml:space="preserve">: The “Avg. Hourly Wage Rate” for each respondent includes a </w:t>
      </w:r>
      <w:r w:rsidRPr="00E00FD7">
        <w:rPr>
          <w:b/>
          <w:sz w:val="16"/>
          <w:szCs w:val="16"/>
        </w:rPr>
        <w:t>1.4 multiplier</w:t>
      </w:r>
      <w:r w:rsidRPr="00E00FD7">
        <w:rPr>
          <w:sz w:val="16"/>
          <w:szCs w:val="16"/>
        </w:rPr>
        <w:t xml:space="preserve"> to reflect a fully-loaded wage rate.</w:t>
      </w:r>
    </w:p>
    <w:p w:rsidR="00E00FD7" w:rsidRDefault="00E00FD7"/>
    <w:p w:rsidR="00643FAF" w:rsidRDefault="00643FAF">
      <w:pPr>
        <w:rPr>
          <w:color w:val="000000"/>
        </w:rPr>
      </w:pPr>
      <w:r w:rsidRPr="00BC014D">
        <w:rPr>
          <w:b/>
          <w:color w:val="000000"/>
        </w:rPr>
        <w:t>Question 14</w:t>
      </w:r>
      <w:r>
        <w:rPr>
          <w:color w:val="000000"/>
        </w:rPr>
        <w:t xml:space="preserve"> </w:t>
      </w:r>
      <w:r w:rsidR="00BC014D">
        <w:rPr>
          <w:color w:val="000000"/>
        </w:rPr>
        <w:t>– C</w:t>
      </w:r>
      <w:r>
        <w:rPr>
          <w:color w:val="000000"/>
        </w:rPr>
        <w:t>osts to the Federal Government updated</w:t>
      </w:r>
      <w:r w:rsidR="004B5421">
        <w:rPr>
          <w:color w:val="000000"/>
        </w:rPr>
        <w:t>.</w:t>
      </w:r>
    </w:p>
    <w:p w:rsidR="00643FAF" w:rsidRDefault="00643FAF">
      <w:pPr>
        <w:rPr>
          <w:color w:val="000000"/>
        </w:rPr>
      </w:pPr>
    </w:p>
    <w:p w:rsidR="00E00FD7" w:rsidRPr="00E00FD7" w:rsidRDefault="001927FD" w:rsidP="00E00FD7">
      <w:pPr>
        <w:rPr>
          <w:bCs/>
        </w:rPr>
      </w:pPr>
      <w:r w:rsidRPr="00BC014D">
        <w:rPr>
          <w:b/>
          <w:color w:val="000000"/>
        </w:rPr>
        <w:t>Question 15</w:t>
      </w:r>
      <w:r>
        <w:rPr>
          <w:color w:val="000000"/>
        </w:rPr>
        <w:t xml:space="preserve"> – </w:t>
      </w:r>
      <w:r w:rsidR="00643FAF">
        <w:rPr>
          <w:color w:val="000000"/>
        </w:rPr>
        <w:t>Burden hou</w:t>
      </w:r>
      <w:r w:rsidR="00643FAF" w:rsidRPr="00E00FD7">
        <w:t xml:space="preserve">r </w:t>
      </w:r>
      <w:r w:rsidR="00055CB6" w:rsidRPr="00E00FD7">
        <w:t>remained the same</w:t>
      </w:r>
      <w:r w:rsidR="004B5421" w:rsidRPr="00E00FD7">
        <w:t>.</w:t>
      </w:r>
    </w:p>
    <w:p w:rsidR="00E00FD7" w:rsidRPr="00E00FD7" w:rsidRDefault="00E00FD7" w:rsidP="00E00FD7">
      <w:pPr>
        <w:rPr>
          <w:i/>
          <w:sz w:val="20"/>
          <w:szCs w:val="20"/>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E00FD7" w:rsidRPr="00E00FD7" w:rsidTr="00692559">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E00FD7" w:rsidRPr="00E00FD7" w:rsidRDefault="00E00FD7" w:rsidP="00E00FD7">
            <w:pPr>
              <w:jc w:val="center"/>
              <w:rPr>
                <w:b/>
                <w:bCs/>
                <w:sz w:val="18"/>
                <w:szCs w:val="18"/>
              </w:rPr>
            </w:pPr>
            <w:r w:rsidRPr="00E00FD7">
              <w:rPr>
                <w:b/>
                <w:bCs/>
                <w:sz w:val="18"/>
                <w:szCs w:val="18"/>
              </w:rPr>
              <w:t>Itemized Changes in Annual Burden Hours</w:t>
            </w:r>
          </w:p>
        </w:tc>
      </w:tr>
      <w:tr w:rsidR="00E00FD7" w:rsidRPr="00E00FD7" w:rsidTr="00692559">
        <w:trPr>
          <w:trHeight w:val="1455"/>
          <w:jc w:val="center"/>
        </w:trPr>
        <w:tc>
          <w:tcPr>
            <w:tcW w:w="2340" w:type="dxa"/>
            <w:tcBorders>
              <w:top w:val="nil"/>
              <w:left w:val="single" w:sz="8" w:space="0" w:color="auto"/>
              <w:bottom w:val="single" w:sz="8" w:space="0" w:color="auto"/>
              <w:right w:val="single" w:sz="8" w:space="0" w:color="auto"/>
            </w:tcBorders>
            <w:shd w:val="clear" w:color="auto" w:fill="0083E6"/>
            <w:vAlign w:val="bottom"/>
          </w:tcPr>
          <w:p w:rsidR="00E00FD7" w:rsidRPr="00E00FD7" w:rsidRDefault="00E00FD7" w:rsidP="00E00FD7">
            <w:pPr>
              <w:jc w:val="center"/>
              <w:rPr>
                <w:b/>
                <w:bCs/>
                <w:sz w:val="18"/>
                <w:szCs w:val="18"/>
              </w:rPr>
            </w:pPr>
            <w:r w:rsidRPr="00E00FD7">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0083E6"/>
            <w:vAlign w:val="bottom"/>
          </w:tcPr>
          <w:p w:rsidR="00E00FD7" w:rsidRPr="00E00FD7" w:rsidRDefault="00E00FD7" w:rsidP="00E00FD7">
            <w:pPr>
              <w:jc w:val="center"/>
              <w:rPr>
                <w:b/>
                <w:bCs/>
                <w:sz w:val="18"/>
                <w:szCs w:val="18"/>
              </w:rPr>
            </w:pPr>
            <w:r w:rsidRPr="00E00FD7">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0083E6"/>
            <w:vAlign w:val="bottom"/>
          </w:tcPr>
          <w:p w:rsidR="00E00FD7" w:rsidRPr="00E00FD7" w:rsidRDefault="00E00FD7" w:rsidP="00E00FD7">
            <w:pPr>
              <w:jc w:val="center"/>
              <w:rPr>
                <w:b/>
                <w:bCs/>
                <w:sz w:val="18"/>
                <w:szCs w:val="18"/>
              </w:rPr>
            </w:pPr>
            <w:r w:rsidRPr="00E00FD7">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83E6"/>
            <w:vAlign w:val="bottom"/>
          </w:tcPr>
          <w:p w:rsidR="00E00FD7" w:rsidRPr="00E00FD7" w:rsidRDefault="00E00FD7" w:rsidP="00E00FD7">
            <w:pPr>
              <w:jc w:val="center"/>
              <w:rPr>
                <w:b/>
                <w:bCs/>
                <w:sz w:val="18"/>
                <w:szCs w:val="18"/>
              </w:rPr>
            </w:pPr>
            <w:r w:rsidRPr="00E00FD7">
              <w:rPr>
                <w:b/>
                <w:bCs/>
                <w:sz w:val="18"/>
                <w:szCs w:val="18"/>
              </w:rPr>
              <w:t>Difference</w:t>
            </w:r>
          </w:p>
        </w:tc>
        <w:tc>
          <w:tcPr>
            <w:tcW w:w="1400" w:type="dxa"/>
            <w:tcBorders>
              <w:top w:val="nil"/>
              <w:left w:val="nil"/>
              <w:bottom w:val="single" w:sz="8" w:space="0" w:color="auto"/>
              <w:right w:val="single" w:sz="8" w:space="0" w:color="auto"/>
            </w:tcBorders>
            <w:shd w:val="clear" w:color="auto" w:fill="0083E6"/>
            <w:vAlign w:val="bottom"/>
          </w:tcPr>
          <w:p w:rsidR="00E00FD7" w:rsidRPr="00E00FD7" w:rsidRDefault="00E00FD7" w:rsidP="00E00FD7">
            <w:pPr>
              <w:jc w:val="center"/>
              <w:rPr>
                <w:b/>
                <w:bCs/>
                <w:sz w:val="18"/>
                <w:szCs w:val="18"/>
              </w:rPr>
            </w:pPr>
            <w:r w:rsidRPr="00E00FD7">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0083E6"/>
            <w:vAlign w:val="bottom"/>
          </w:tcPr>
          <w:p w:rsidR="00E00FD7" w:rsidRPr="00E00FD7" w:rsidRDefault="00E00FD7" w:rsidP="00E00FD7">
            <w:pPr>
              <w:jc w:val="center"/>
              <w:rPr>
                <w:b/>
                <w:bCs/>
                <w:sz w:val="18"/>
                <w:szCs w:val="18"/>
              </w:rPr>
            </w:pPr>
            <w:r w:rsidRPr="00E00FD7">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0083E6"/>
            <w:vAlign w:val="bottom"/>
          </w:tcPr>
          <w:p w:rsidR="00E00FD7" w:rsidRPr="00E00FD7" w:rsidRDefault="00E00FD7" w:rsidP="00E00FD7">
            <w:pPr>
              <w:jc w:val="center"/>
              <w:rPr>
                <w:b/>
                <w:bCs/>
                <w:sz w:val="18"/>
                <w:szCs w:val="18"/>
              </w:rPr>
            </w:pPr>
            <w:r w:rsidRPr="00E00FD7">
              <w:rPr>
                <w:b/>
                <w:bCs/>
                <w:sz w:val="18"/>
                <w:szCs w:val="18"/>
              </w:rPr>
              <w:t>Difference</w:t>
            </w:r>
          </w:p>
        </w:tc>
      </w:tr>
      <w:tr w:rsidR="00E00FD7" w:rsidRPr="00E00FD7" w:rsidTr="0069255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E00FD7" w:rsidRPr="00E00FD7" w:rsidRDefault="00E00FD7" w:rsidP="00E00FD7">
            <w:pPr>
              <w:rPr>
                <w:sz w:val="18"/>
                <w:szCs w:val="18"/>
              </w:rPr>
            </w:pPr>
            <w:r w:rsidRPr="00E00FD7">
              <w:rPr>
                <w:color w:val="000000"/>
                <w:sz w:val="18"/>
                <w:szCs w:val="18"/>
              </w:rPr>
              <w:t xml:space="preserve">National Day of Action Registration / FEMA Form 008-0-8  </w:t>
            </w:r>
          </w:p>
        </w:tc>
        <w:tc>
          <w:tcPr>
            <w:tcW w:w="1240" w:type="dxa"/>
            <w:tcBorders>
              <w:top w:val="nil"/>
              <w:left w:val="nil"/>
              <w:bottom w:val="single" w:sz="8" w:space="0" w:color="auto"/>
              <w:right w:val="single" w:sz="8" w:space="0" w:color="auto"/>
            </w:tcBorders>
            <w:shd w:val="clear" w:color="auto" w:fill="auto"/>
            <w:vAlign w:val="bottom"/>
          </w:tcPr>
          <w:p w:rsidR="00E00FD7" w:rsidRPr="00E00FD7" w:rsidRDefault="00E00FD7" w:rsidP="00E00FD7">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bottom"/>
          </w:tcPr>
          <w:p w:rsidR="00E00FD7" w:rsidRPr="00E00FD7" w:rsidRDefault="00E00FD7" w:rsidP="00E00FD7">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vAlign w:val="bottom"/>
          </w:tcPr>
          <w:p w:rsidR="00E00FD7" w:rsidRPr="00E00FD7" w:rsidRDefault="00E00FD7" w:rsidP="00E00FD7">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vAlign w:val="bottom"/>
          </w:tcPr>
          <w:p w:rsidR="00E00FD7" w:rsidRPr="00E00FD7" w:rsidRDefault="00E00FD7" w:rsidP="00E00FD7">
            <w:pPr>
              <w:jc w:val="center"/>
              <w:rPr>
                <w:sz w:val="18"/>
                <w:szCs w:val="18"/>
              </w:rPr>
            </w:pPr>
            <w:r w:rsidRPr="00E00FD7">
              <w:rPr>
                <w:sz w:val="18"/>
                <w:szCs w:val="18"/>
              </w:rPr>
              <w:t>15,000</w:t>
            </w:r>
          </w:p>
        </w:tc>
        <w:tc>
          <w:tcPr>
            <w:tcW w:w="1420" w:type="dxa"/>
            <w:tcBorders>
              <w:top w:val="nil"/>
              <w:left w:val="nil"/>
              <w:bottom w:val="single" w:sz="8" w:space="0" w:color="auto"/>
              <w:right w:val="single" w:sz="8" w:space="0" w:color="auto"/>
            </w:tcBorders>
            <w:shd w:val="clear" w:color="auto" w:fill="auto"/>
            <w:vAlign w:val="bottom"/>
          </w:tcPr>
          <w:p w:rsidR="00E00FD7" w:rsidRPr="00E00FD7" w:rsidRDefault="00E00FD7" w:rsidP="00E00FD7">
            <w:pPr>
              <w:jc w:val="center"/>
              <w:rPr>
                <w:sz w:val="18"/>
                <w:szCs w:val="18"/>
              </w:rPr>
            </w:pPr>
            <w:r w:rsidRPr="00E00FD7">
              <w:rPr>
                <w:sz w:val="18"/>
                <w:szCs w:val="18"/>
              </w:rPr>
              <w:t>15,000</w:t>
            </w:r>
          </w:p>
        </w:tc>
        <w:tc>
          <w:tcPr>
            <w:tcW w:w="1740" w:type="dxa"/>
            <w:tcBorders>
              <w:top w:val="nil"/>
              <w:left w:val="nil"/>
              <w:bottom w:val="single" w:sz="8" w:space="0" w:color="auto"/>
              <w:right w:val="single" w:sz="8" w:space="0" w:color="auto"/>
            </w:tcBorders>
            <w:shd w:val="clear" w:color="auto" w:fill="auto"/>
            <w:vAlign w:val="bottom"/>
          </w:tcPr>
          <w:p w:rsidR="00E00FD7" w:rsidRPr="00E00FD7" w:rsidRDefault="00E00FD7" w:rsidP="00E00FD7">
            <w:pPr>
              <w:jc w:val="center"/>
              <w:rPr>
                <w:sz w:val="18"/>
                <w:szCs w:val="18"/>
              </w:rPr>
            </w:pPr>
            <w:r w:rsidRPr="00E00FD7">
              <w:rPr>
                <w:sz w:val="18"/>
                <w:szCs w:val="18"/>
              </w:rPr>
              <w:t>0</w:t>
            </w:r>
          </w:p>
        </w:tc>
      </w:tr>
      <w:tr w:rsidR="00E00FD7" w:rsidRPr="00E00FD7" w:rsidTr="0069255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E00FD7" w:rsidRPr="00E00FD7" w:rsidRDefault="00E00FD7" w:rsidP="00E00FD7">
            <w:pPr>
              <w:jc w:val="center"/>
              <w:rPr>
                <w:rFonts w:ascii="Arial" w:hAnsi="Arial" w:cs="Arial"/>
                <w:b/>
                <w:bCs/>
                <w:sz w:val="18"/>
                <w:szCs w:val="18"/>
              </w:rPr>
            </w:pPr>
            <w:r w:rsidRPr="00E00FD7">
              <w:rPr>
                <w:rFonts w:ascii="Arial" w:hAnsi="Arial" w:cs="Arial"/>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E00FD7" w:rsidRPr="00E00FD7" w:rsidRDefault="00E00FD7" w:rsidP="00E00FD7">
            <w:pPr>
              <w:jc w:val="center"/>
              <w:rPr>
                <w:rFonts w:ascii="Arial" w:hAnsi="Arial" w:cs="Arial"/>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E00FD7" w:rsidRPr="00E00FD7" w:rsidRDefault="00E00FD7" w:rsidP="00E00FD7">
            <w:pPr>
              <w:jc w:val="center"/>
              <w:rPr>
                <w:rFonts w:ascii="Arial" w:hAnsi="Arial" w:cs="Arial"/>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E00FD7" w:rsidRPr="00E00FD7" w:rsidRDefault="00E00FD7" w:rsidP="00E00FD7">
            <w:pPr>
              <w:jc w:val="center"/>
              <w:rPr>
                <w:rFonts w:ascii="Arial" w:hAnsi="Arial" w:cs="Arial"/>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E00FD7" w:rsidRPr="00E00FD7" w:rsidRDefault="00E00FD7" w:rsidP="00E00FD7">
            <w:pPr>
              <w:jc w:val="center"/>
              <w:rPr>
                <w:b/>
                <w:bCs/>
                <w:sz w:val="18"/>
                <w:szCs w:val="18"/>
              </w:rPr>
            </w:pPr>
            <w:r w:rsidRPr="00E00FD7">
              <w:rPr>
                <w:b/>
                <w:bCs/>
                <w:sz w:val="18"/>
                <w:szCs w:val="18"/>
              </w:rPr>
              <w:t>15,000</w:t>
            </w:r>
          </w:p>
        </w:tc>
        <w:tc>
          <w:tcPr>
            <w:tcW w:w="1420" w:type="dxa"/>
            <w:tcBorders>
              <w:top w:val="nil"/>
              <w:left w:val="nil"/>
              <w:bottom w:val="single" w:sz="8" w:space="0" w:color="auto"/>
              <w:right w:val="single" w:sz="8" w:space="0" w:color="auto"/>
            </w:tcBorders>
            <w:shd w:val="clear" w:color="auto" w:fill="auto"/>
            <w:vAlign w:val="bottom"/>
          </w:tcPr>
          <w:p w:rsidR="00E00FD7" w:rsidRPr="00E00FD7" w:rsidRDefault="00E00FD7" w:rsidP="00E00FD7">
            <w:pPr>
              <w:jc w:val="center"/>
              <w:rPr>
                <w:b/>
                <w:bCs/>
                <w:sz w:val="18"/>
                <w:szCs w:val="18"/>
              </w:rPr>
            </w:pPr>
            <w:r w:rsidRPr="00E00FD7">
              <w:rPr>
                <w:b/>
                <w:bCs/>
                <w:sz w:val="18"/>
                <w:szCs w:val="18"/>
              </w:rPr>
              <w:t>15,000</w:t>
            </w:r>
          </w:p>
        </w:tc>
        <w:tc>
          <w:tcPr>
            <w:tcW w:w="1740" w:type="dxa"/>
            <w:tcBorders>
              <w:top w:val="nil"/>
              <w:left w:val="nil"/>
              <w:bottom w:val="single" w:sz="8" w:space="0" w:color="auto"/>
              <w:right w:val="single" w:sz="8" w:space="0" w:color="auto"/>
            </w:tcBorders>
            <w:shd w:val="clear" w:color="auto" w:fill="auto"/>
            <w:vAlign w:val="bottom"/>
          </w:tcPr>
          <w:p w:rsidR="00E00FD7" w:rsidRPr="00E00FD7" w:rsidRDefault="00E00FD7" w:rsidP="00E00FD7">
            <w:pPr>
              <w:jc w:val="center"/>
              <w:rPr>
                <w:b/>
                <w:bCs/>
                <w:sz w:val="18"/>
                <w:szCs w:val="18"/>
              </w:rPr>
            </w:pPr>
            <w:r w:rsidRPr="00E00FD7">
              <w:rPr>
                <w:b/>
                <w:bCs/>
                <w:sz w:val="18"/>
                <w:szCs w:val="18"/>
              </w:rPr>
              <w:t>0</w:t>
            </w:r>
          </w:p>
        </w:tc>
      </w:tr>
    </w:tbl>
    <w:p w:rsidR="00E00FD7" w:rsidRPr="00E00FD7" w:rsidRDefault="00E00FD7" w:rsidP="00E00FD7">
      <w:pPr>
        <w:rPr>
          <w:b/>
          <w:bCs/>
          <w:i/>
        </w:rPr>
      </w:pPr>
    </w:p>
    <w:p w:rsidR="00E00FD7" w:rsidRDefault="00E00FD7" w:rsidP="00E00FD7">
      <w:pPr>
        <w:rPr>
          <w:bCs/>
          <w:i/>
        </w:rPr>
      </w:pPr>
      <w:r w:rsidRPr="00E00FD7">
        <w:rPr>
          <w:b/>
          <w:bCs/>
          <w:i/>
        </w:rPr>
        <w:t>Explain:</w:t>
      </w:r>
      <w:r w:rsidRPr="00E00FD7">
        <w:rPr>
          <w:bCs/>
          <w:i/>
        </w:rPr>
        <w:t xml:space="preserve"> </w:t>
      </w:r>
    </w:p>
    <w:p w:rsidR="00E00FD7" w:rsidRPr="00E00FD7" w:rsidRDefault="00E00FD7" w:rsidP="00E00FD7">
      <w:pPr>
        <w:rPr>
          <w:bCs/>
          <w:i/>
        </w:rPr>
      </w:pPr>
    </w:p>
    <w:p w:rsidR="004B5421" w:rsidRDefault="00E00FD7" w:rsidP="00800B00">
      <w:pPr>
        <w:rPr>
          <w:color w:val="000000"/>
        </w:rPr>
      </w:pPr>
      <w:r w:rsidRPr="00E00FD7">
        <w:rPr>
          <w:bCs/>
        </w:rPr>
        <w:t xml:space="preserve">There are no changes to the annual hour burden previously reported. However, there were a few changes to FEMA Form 008-0-8 to make it </w:t>
      </w:r>
      <w:r w:rsidRPr="00E00FD7">
        <w:t xml:space="preserve">easier to understand and to make the user interface more intuitive and user friendly. </w:t>
      </w:r>
      <w:r w:rsidRPr="00E00FD7">
        <w:rPr>
          <w:bCs/>
        </w:rPr>
        <w:t>There has been no change to the information being collected.</w:t>
      </w:r>
    </w:p>
    <w:sectPr w:rsidR="004B542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3"/>
    <w:rsid w:val="000018CF"/>
    <w:rsid w:val="000239DF"/>
    <w:rsid w:val="00037293"/>
    <w:rsid w:val="00055CB6"/>
    <w:rsid w:val="00112658"/>
    <w:rsid w:val="00140471"/>
    <w:rsid w:val="001567A0"/>
    <w:rsid w:val="001927FD"/>
    <w:rsid w:val="001B5711"/>
    <w:rsid w:val="001D32C1"/>
    <w:rsid w:val="00201F20"/>
    <w:rsid w:val="00287348"/>
    <w:rsid w:val="00315CC4"/>
    <w:rsid w:val="00325DE8"/>
    <w:rsid w:val="00356095"/>
    <w:rsid w:val="003811EC"/>
    <w:rsid w:val="003C782D"/>
    <w:rsid w:val="00425814"/>
    <w:rsid w:val="004552EC"/>
    <w:rsid w:val="00461A94"/>
    <w:rsid w:val="004A3609"/>
    <w:rsid w:val="004A5C77"/>
    <w:rsid w:val="004B5421"/>
    <w:rsid w:val="004E547A"/>
    <w:rsid w:val="005629F5"/>
    <w:rsid w:val="00590D48"/>
    <w:rsid w:val="005B3D80"/>
    <w:rsid w:val="005E02C4"/>
    <w:rsid w:val="005E69AD"/>
    <w:rsid w:val="006044E3"/>
    <w:rsid w:val="00630C5B"/>
    <w:rsid w:val="00643FAF"/>
    <w:rsid w:val="006630A0"/>
    <w:rsid w:val="0066759F"/>
    <w:rsid w:val="006A5FB6"/>
    <w:rsid w:val="006F6F42"/>
    <w:rsid w:val="00734551"/>
    <w:rsid w:val="007A3831"/>
    <w:rsid w:val="007E4127"/>
    <w:rsid w:val="00800B00"/>
    <w:rsid w:val="0081654B"/>
    <w:rsid w:val="00841715"/>
    <w:rsid w:val="008744E8"/>
    <w:rsid w:val="008E054B"/>
    <w:rsid w:val="008E5764"/>
    <w:rsid w:val="0090707B"/>
    <w:rsid w:val="009619C6"/>
    <w:rsid w:val="009718EB"/>
    <w:rsid w:val="00A402B9"/>
    <w:rsid w:val="00AE7A98"/>
    <w:rsid w:val="00B11616"/>
    <w:rsid w:val="00B96CCF"/>
    <w:rsid w:val="00BB27CA"/>
    <w:rsid w:val="00BC014D"/>
    <w:rsid w:val="00BC4A3D"/>
    <w:rsid w:val="00BD0143"/>
    <w:rsid w:val="00BF0EB5"/>
    <w:rsid w:val="00BF527D"/>
    <w:rsid w:val="00C557B8"/>
    <w:rsid w:val="00C971A8"/>
    <w:rsid w:val="00D068CF"/>
    <w:rsid w:val="00D13036"/>
    <w:rsid w:val="00D20FD6"/>
    <w:rsid w:val="00D43E73"/>
    <w:rsid w:val="00D7452B"/>
    <w:rsid w:val="00D82232"/>
    <w:rsid w:val="00E00FD7"/>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BC5D4-466E-4F59-9388-BBD57B8B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eady.gov/prep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munity.fem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8BEFA-B862-42F0-B548-48F88EC0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Greene, Sherina</cp:lastModifiedBy>
  <cp:revision>6</cp:revision>
  <dcterms:created xsi:type="dcterms:W3CDTF">2016-11-07T21:29:00Z</dcterms:created>
  <dcterms:modified xsi:type="dcterms:W3CDTF">2016-11-07T21:43:00Z</dcterms:modified>
</cp:coreProperties>
</file>