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7EC" w:rsidRPr="00CF6A74" w:rsidRDefault="00F919C2" w:rsidP="00373ED8">
      <w:pPr>
        <w:tabs>
          <w:tab w:val="center" w:pos="4680"/>
        </w:tabs>
        <w:rPr>
          <w:rFonts w:ascii="Times New Roman" w:hAnsi="Times New Roman"/>
          <w:b/>
          <w:bCs/>
        </w:rPr>
      </w:pPr>
      <w:r w:rsidRPr="00CF6A74">
        <w:rPr>
          <w:rFonts w:ascii="Times New Roman" w:hAnsi="Times New Roman"/>
        </w:rPr>
        <w:t xml:space="preserve">                                                         </w:t>
      </w:r>
      <w:r w:rsidR="00EA17EC" w:rsidRPr="00CF6A74">
        <w:rPr>
          <w:rFonts w:ascii="Times New Roman" w:hAnsi="Times New Roman"/>
        </w:rPr>
        <w:tab/>
      </w:r>
      <w:r w:rsidR="00EA17EC" w:rsidRPr="00CF6A74">
        <w:rPr>
          <w:rFonts w:ascii="Times New Roman" w:hAnsi="Times New Roman"/>
          <w:b/>
          <w:bCs/>
        </w:rPr>
        <w:t>Supporting Statement</w:t>
      </w:r>
      <w:r w:rsidR="00CD6002" w:rsidRPr="00CF6A74">
        <w:rPr>
          <w:rFonts w:ascii="Times New Roman" w:hAnsi="Times New Roman"/>
          <w:b/>
          <w:bCs/>
        </w:rPr>
        <w:t xml:space="preserve"> </w:t>
      </w:r>
    </w:p>
    <w:p w:rsidR="00EA17EC" w:rsidRPr="00CF6A74" w:rsidRDefault="00EA4151" w:rsidP="0016712A">
      <w:pPr>
        <w:tabs>
          <w:tab w:val="center" w:pos="4680"/>
        </w:tabs>
        <w:jc w:val="center"/>
        <w:rPr>
          <w:rFonts w:ascii="Times New Roman" w:hAnsi="Times New Roman"/>
          <w:b/>
        </w:rPr>
      </w:pPr>
      <w:r w:rsidRPr="00CF6A74">
        <w:rPr>
          <w:rFonts w:ascii="Times New Roman" w:hAnsi="Times New Roman"/>
          <w:b/>
        </w:rPr>
        <w:t xml:space="preserve">Appraisals for </w:t>
      </w:r>
      <w:r w:rsidR="00764BA9" w:rsidRPr="00CF6A74">
        <w:rPr>
          <w:rFonts w:ascii="Times New Roman" w:hAnsi="Times New Roman"/>
          <w:b/>
        </w:rPr>
        <w:t>Higher-</w:t>
      </w:r>
      <w:r w:rsidRPr="00CF6A74">
        <w:rPr>
          <w:rFonts w:ascii="Times New Roman" w:hAnsi="Times New Roman"/>
          <w:b/>
        </w:rPr>
        <w:t>Priced Mortgage Loans</w:t>
      </w:r>
      <w:r w:rsidR="005F2224" w:rsidRPr="00CF6A74">
        <w:rPr>
          <w:rFonts w:ascii="Times New Roman" w:hAnsi="Times New Roman"/>
          <w:b/>
        </w:rPr>
        <w:t xml:space="preserve"> </w:t>
      </w:r>
    </w:p>
    <w:p w:rsidR="00E67B7F" w:rsidRPr="00CF6A74" w:rsidRDefault="00E67B7F" w:rsidP="00E67B7F">
      <w:pPr>
        <w:pStyle w:val="Heading1"/>
        <w:rPr>
          <w:rFonts w:ascii="Times New Roman" w:hAnsi="Times New Roman"/>
        </w:rPr>
      </w:pPr>
      <w:r w:rsidRPr="00CF6A74">
        <w:rPr>
          <w:rFonts w:ascii="Times New Roman" w:hAnsi="Times New Roman"/>
        </w:rPr>
        <w:t>OMB Control No. 1557-0313</w:t>
      </w:r>
    </w:p>
    <w:p w:rsidR="00EA17EC" w:rsidRPr="00CF6A74" w:rsidRDefault="00EA17EC" w:rsidP="00373ED8">
      <w:pPr>
        <w:rPr>
          <w:rFonts w:ascii="Times New Roman" w:hAnsi="Times New Roman"/>
        </w:rPr>
      </w:pPr>
    </w:p>
    <w:p w:rsidR="00EA17EC" w:rsidRPr="00CF6A74" w:rsidRDefault="00EA17EC" w:rsidP="00373ED8">
      <w:pPr>
        <w:rPr>
          <w:rFonts w:ascii="Times New Roman" w:hAnsi="Times New Roman"/>
          <w:bCs/>
        </w:rPr>
      </w:pPr>
    </w:p>
    <w:p w:rsidR="00EA17EC" w:rsidRPr="00CF6A74" w:rsidRDefault="00EA17EC" w:rsidP="006C15B4">
      <w:pPr>
        <w:tabs>
          <w:tab w:val="left" w:pos="-1440"/>
        </w:tabs>
        <w:ind w:left="720" w:hanging="720"/>
        <w:rPr>
          <w:rFonts w:ascii="Times New Roman" w:hAnsi="Times New Roman"/>
          <w:b/>
          <w:u w:val="single"/>
        </w:rPr>
      </w:pPr>
      <w:r w:rsidRPr="00CF6A74">
        <w:rPr>
          <w:rFonts w:ascii="Times New Roman" w:hAnsi="Times New Roman"/>
          <w:b/>
        </w:rPr>
        <w:t>A.</w:t>
      </w:r>
      <w:r w:rsidRPr="00CF6A74">
        <w:rPr>
          <w:rFonts w:ascii="Times New Roman" w:hAnsi="Times New Roman"/>
          <w:b/>
        </w:rPr>
        <w:tab/>
      </w:r>
      <w:r w:rsidRPr="00CF6A74">
        <w:rPr>
          <w:rFonts w:ascii="Times New Roman" w:hAnsi="Times New Roman"/>
          <w:b/>
          <w:u w:val="single"/>
        </w:rPr>
        <w:t>Justification.</w:t>
      </w:r>
    </w:p>
    <w:p w:rsidR="00CD46EF" w:rsidRPr="00CF6A74" w:rsidRDefault="00CD46EF" w:rsidP="006C15B4">
      <w:pPr>
        <w:tabs>
          <w:tab w:val="left" w:pos="-1440"/>
        </w:tabs>
        <w:ind w:left="720" w:hanging="720"/>
        <w:rPr>
          <w:rFonts w:ascii="Times New Roman" w:hAnsi="Times New Roman"/>
          <w:i/>
          <w:u w:val="single"/>
        </w:rPr>
      </w:pPr>
    </w:p>
    <w:p w:rsidR="00CD46EF" w:rsidRPr="00CF6A74" w:rsidRDefault="00CD46EF" w:rsidP="00CD46EF">
      <w:pPr>
        <w:tabs>
          <w:tab w:val="left" w:pos="-1440"/>
        </w:tabs>
        <w:ind w:left="720" w:hanging="720"/>
        <w:rPr>
          <w:rFonts w:ascii="Times New Roman" w:hAnsi="Times New Roman"/>
          <w:b/>
          <w:i/>
        </w:rPr>
      </w:pPr>
      <w:r w:rsidRPr="00CF6A74">
        <w:rPr>
          <w:rFonts w:ascii="Times New Roman" w:hAnsi="Times New Roman"/>
          <w:b/>
          <w:i/>
        </w:rPr>
        <w:t>1.</w:t>
      </w:r>
      <w:r w:rsidRPr="00CF6A74">
        <w:rPr>
          <w:rFonts w:ascii="Times New Roman" w:hAnsi="Times New Roman"/>
          <w:b/>
          <w:i/>
        </w:rPr>
        <w:tab/>
        <w:t>Circumstances that make the collection necessary:</w:t>
      </w:r>
    </w:p>
    <w:p w:rsidR="00CD46EF" w:rsidRPr="00CF6A74" w:rsidRDefault="00CD46EF" w:rsidP="00CD46EF">
      <w:pPr>
        <w:rPr>
          <w:rFonts w:ascii="Times New Roman" w:hAnsi="Times New Roman"/>
        </w:rPr>
      </w:pPr>
    </w:p>
    <w:p w:rsidR="00BD3805" w:rsidRPr="00CF6A74" w:rsidRDefault="002B6B40" w:rsidP="00BD3805">
      <w:pPr>
        <w:rPr>
          <w:rFonts w:ascii="Times New Roman" w:hAnsi="Times New Roman"/>
        </w:rPr>
      </w:pPr>
      <w:r w:rsidRPr="00CF6A74">
        <w:rPr>
          <w:rFonts w:ascii="Times New Roman" w:hAnsi="Times New Roman"/>
        </w:rPr>
        <w:tab/>
      </w:r>
      <w:r w:rsidR="00CD46EF" w:rsidRPr="00CF6A74">
        <w:rPr>
          <w:rFonts w:ascii="Times New Roman" w:hAnsi="Times New Roman"/>
        </w:rPr>
        <w:t xml:space="preserve">This information collection relates </w:t>
      </w:r>
      <w:r w:rsidR="001332DD" w:rsidRPr="00CF6A74">
        <w:rPr>
          <w:rFonts w:ascii="Times New Roman" w:hAnsi="Times New Roman"/>
        </w:rPr>
        <w:t>to section 1471 of the Dodd-Frank Act, which created new Truth in Lending Act (TILA) section 129H establishing special appraisal requirements for “higher-risk mortgages.”</w:t>
      </w:r>
      <w:r w:rsidR="00B243B9" w:rsidRPr="00CF6A74">
        <w:rPr>
          <w:rFonts w:ascii="Times New Roman" w:hAnsi="Times New Roman"/>
        </w:rPr>
        <w:t xml:space="preserve">  </w:t>
      </w:r>
      <w:r w:rsidR="001332DD" w:rsidRPr="00CF6A74">
        <w:rPr>
          <w:rFonts w:ascii="Times New Roman" w:hAnsi="Times New Roman"/>
        </w:rPr>
        <w:t>For certain mortgages with an annual percentage rate that exceeds the average prime offer rate by a specified percentage, creditors must obtain an appraisal or appraisals meeting certain specified standards, provide applicants with a notification regarding the use of the appraisals, and give applicants a copy o</w:t>
      </w:r>
      <w:r w:rsidR="000E1FD4" w:rsidRPr="00CF6A74">
        <w:rPr>
          <w:rFonts w:ascii="Times New Roman" w:hAnsi="Times New Roman"/>
        </w:rPr>
        <w:t>f the written appraisals used.  The statute permits the OCC to include exemptions from the requirements in any final rule.</w:t>
      </w:r>
      <w:r w:rsidR="00BD3805" w:rsidRPr="00CF6A74">
        <w:rPr>
          <w:rFonts w:ascii="Times New Roman" w:hAnsi="Times New Roman"/>
        </w:rPr>
        <w:t xml:space="preserve">  The OCC implemented these requirements and exemptions thereto in 2013.</w:t>
      </w:r>
      <w:r w:rsidR="00BD3805" w:rsidRPr="00CF6A74">
        <w:rPr>
          <w:rStyle w:val="FootnoteReference"/>
          <w:rFonts w:ascii="Times New Roman" w:hAnsi="Times New Roman"/>
          <w:vertAlign w:val="superscript"/>
        </w:rPr>
        <w:footnoteReference w:id="1"/>
      </w:r>
    </w:p>
    <w:p w:rsidR="003B45B3" w:rsidRPr="00CF6A74" w:rsidRDefault="003B45B3" w:rsidP="00BD3805">
      <w:pPr>
        <w:rPr>
          <w:rFonts w:ascii="Times New Roman" w:hAnsi="Times New Roman"/>
          <w:i/>
        </w:rPr>
      </w:pPr>
    </w:p>
    <w:p w:rsidR="00EA17EC" w:rsidRPr="00CF6A74" w:rsidRDefault="00EA17EC" w:rsidP="006C15B4">
      <w:pPr>
        <w:rPr>
          <w:rFonts w:ascii="Times New Roman" w:hAnsi="Times New Roman"/>
          <w:b/>
          <w:i/>
        </w:rPr>
      </w:pPr>
      <w:r w:rsidRPr="00CF6A74">
        <w:rPr>
          <w:rFonts w:ascii="Times New Roman" w:hAnsi="Times New Roman"/>
          <w:b/>
          <w:i/>
        </w:rPr>
        <w:t>2.</w:t>
      </w:r>
      <w:r w:rsidRPr="00CF6A74">
        <w:rPr>
          <w:rFonts w:ascii="Times New Roman" w:hAnsi="Times New Roman"/>
          <w:b/>
          <w:i/>
        </w:rPr>
        <w:tab/>
        <w:t>Use of the information:</w:t>
      </w:r>
    </w:p>
    <w:p w:rsidR="00EA17EC" w:rsidRPr="00CF6A74" w:rsidRDefault="00EA17EC" w:rsidP="006C15B4">
      <w:pPr>
        <w:rPr>
          <w:rFonts w:ascii="Times New Roman" w:hAnsi="Times New Roman"/>
        </w:rPr>
      </w:pPr>
    </w:p>
    <w:p w:rsidR="00007350" w:rsidRPr="00CF6A74" w:rsidRDefault="00007350" w:rsidP="00007350">
      <w:pPr>
        <w:ind w:firstLine="720"/>
        <w:outlineLvl w:val="4"/>
        <w:rPr>
          <w:rFonts w:ascii="Times New Roman" w:hAnsi="Times New Roman"/>
        </w:rPr>
      </w:pPr>
      <w:r w:rsidRPr="00CF6A74">
        <w:rPr>
          <w:rFonts w:ascii="Times New Roman" w:hAnsi="Times New Roman"/>
        </w:rPr>
        <w:t xml:space="preserve">The </w:t>
      </w:r>
      <w:r w:rsidR="007231BA" w:rsidRPr="00CF6A74">
        <w:rPr>
          <w:rFonts w:ascii="Times New Roman" w:hAnsi="Times New Roman"/>
        </w:rPr>
        <w:t xml:space="preserve">information </w:t>
      </w:r>
      <w:r w:rsidRPr="00CF6A74">
        <w:rPr>
          <w:rFonts w:ascii="Times New Roman" w:hAnsi="Times New Roman"/>
        </w:rPr>
        <w:t>collection</w:t>
      </w:r>
      <w:r w:rsidR="007231BA" w:rsidRPr="00CF6A74">
        <w:rPr>
          <w:rFonts w:ascii="Times New Roman" w:hAnsi="Times New Roman"/>
        </w:rPr>
        <w:t xml:space="preserve"> requirements are</w:t>
      </w:r>
      <w:r w:rsidRPr="00CF6A74">
        <w:rPr>
          <w:rFonts w:ascii="Times New Roman" w:hAnsi="Times New Roman"/>
        </w:rPr>
        <w:t xml:space="preserve"> found in </w:t>
      </w:r>
      <w:r w:rsidR="00124D1D" w:rsidRPr="00CF6A74">
        <w:rPr>
          <w:rFonts w:ascii="Times New Roman" w:hAnsi="Times New Roman"/>
        </w:rPr>
        <w:t>12 CFR 34.203(c</w:t>
      </w:r>
      <w:proofErr w:type="gramStart"/>
      <w:r w:rsidR="00124D1D" w:rsidRPr="00CF6A74">
        <w:rPr>
          <w:rFonts w:ascii="Times New Roman" w:hAnsi="Times New Roman"/>
        </w:rPr>
        <w:t>)(</w:t>
      </w:r>
      <w:proofErr w:type="gramEnd"/>
      <w:r w:rsidR="00124D1D" w:rsidRPr="00CF6A74">
        <w:rPr>
          <w:rFonts w:ascii="Times New Roman" w:hAnsi="Times New Roman"/>
        </w:rPr>
        <w:t>1), (c)(2), (d), (e) and (f).</w:t>
      </w:r>
      <w:r w:rsidRPr="00CF6A74">
        <w:rPr>
          <w:rFonts w:ascii="Times New Roman" w:hAnsi="Times New Roman"/>
        </w:rPr>
        <w:t xml:space="preserve">  This information is required to protect consumers and promote the safety and soundness of creditors making </w:t>
      </w:r>
      <w:r w:rsidR="004478ED" w:rsidRPr="00CF6A74">
        <w:rPr>
          <w:rFonts w:ascii="Times New Roman" w:hAnsi="Times New Roman"/>
        </w:rPr>
        <w:t>higher-priced mortgage loans (</w:t>
      </w:r>
      <w:r w:rsidRPr="00CF6A74">
        <w:rPr>
          <w:rFonts w:ascii="Times New Roman" w:hAnsi="Times New Roman"/>
        </w:rPr>
        <w:t>HPMLs</w:t>
      </w:r>
      <w:r w:rsidR="004478ED" w:rsidRPr="00CF6A74">
        <w:rPr>
          <w:rFonts w:ascii="Times New Roman" w:hAnsi="Times New Roman"/>
        </w:rPr>
        <w:t>)</w:t>
      </w:r>
      <w:r w:rsidRPr="00CF6A74">
        <w:rPr>
          <w:rFonts w:ascii="Times New Roman" w:hAnsi="Times New Roman"/>
        </w:rPr>
        <w:t xml:space="preserve"> subject to 12 CFR </w:t>
      </w:r>
      <w:r w:rsidR="00F36D0B" w:rsidRPr="00CF6A74">
        <w:rPr>
          <w:rFonts w:ascii="Times New Roman" w:hAnsi="Times New Roman"/>
        </w:rPr>
        <w:t>part 34, subpart G</w:t>
      </w:r>
      <w:r w:rsidRPr="00CF6A74">
        <w:rPr>
          <w:rFonts w:ascii="Times New Roman" w:hAnsi="Times New Roman"/>
        </w:rPr>
        <w:t xml:space="preserve">.  This information is used by creditors to evaluate real estate collateral securing HPMLs subject to 12 CFR 1026.35(c) and by consumers entering these transactions.  The collections of information are mandatory for creditors making HPMLs subject to 12 CFR </w:t>
      </w:r>
      <w:r w:rsidR="00F36D0B" w:rsidRPr="00CF6A74">
        <w:rPr>
          <w:rFonts w:ascii="Times New Roman" w:hAnsi="Times New Roman"/>
        </w:rPr>
        <w:t>part 34, subpart G</w:t>
      </w:r>
      <w:r w:rsidRPr="00CF6A74">
        <w:rPr>
          <w:rFonts w:ascii="Times New Roman" w:hAnsi="Times New Roman"/>
        </w:rPr>
        <w:t xml:space="preserve">.  </w:t>
      </w:r>
    </w:p>
    <w:p w:rsidR="00E747D3" w:rsidRPr="00CF6A74" w:rsidRDefault="00E747D3" w:rsidP="00007350">
      <w:pPr>
        <w:ind w:firstLine="720"/>
        <w:outlineLvl w:val="4"/>
        <w:rPr>
          <w:rFonts w:ascii="Times New Roman" w:hAnsi="Times New Roman"/>
        </w:rPr>
      </w:pPr>
    </w:p>
    <w:p w:rsidR="00007350" w:rsidRPr="00CF6A74" w:rsidRDefault="000979FC" w:rsidP="00007350">
      <w:pPr>
        <w:ind w:firstLine="720"/>
        <w:outlineLvl w:val="4"/>
        <w:rPr>
          <w:rFonts w:ascii="Times New Roman" w:hAnsi="Times New Roman"/>
        </w:rPr>
      </w:pPr>
      <w:r w:rsidRPr="00CF6A74">
        <w:rPr>
          <w:rFonts w:ascii="Times New Roman" w:hAnsi="Times New Roman"/>
        </w:rPr>
        <w:t xml:space="preserve">Under 12 CFR 34.203(e) and (f), a creditor must, no later than the third </w:t>
      </w:r>
      <w:r w:rsidR="00007350" w:rsidRPr="00CF6A74">
        <w:rPr>
          <w:rFonts w:ascii="Times New Roman" w:hAnsi="Times New Roman"/>
        </w:rPr>
        <w:t xml:space="preserve">business day </w:t>
      </w:r>
      <w:r w:rsidRPr="00CF6A74">
        <w:rPr>
          <w:rFonts w:ascii="Times New Roman" w:hAnsi="Times New Roman"/>
        </w:rPr>
        <w:t xml:space="preserve">after the creditor receives a customer’s application for a HPML, </w:t>
      </w:r>
      <w:r w:rsidR="00007350" w:rsidRPr="00CF6A74">
        <w:rPr>
          <w:rFonts w:ascii="Times New Roman" w:hAnsi="Times New Roman"/>
        </w:rPr>
        <w:t>provide a disclosure that informs consumers of the purpose of the appraisal, that the creditor will provide the consumer a copy of any appraisal, and that the consumer may choose to have a separate appraisal conducted at the expense of the consumer (Initial Appraisal Disclosure</w:t>
      </w:r>
      <w:r w:rsidR="00907E2C" w:rsidRPr="00CF6A74">
        <w:rPr>
          <w:rFonts w:ascii="Times New Roman" w:hAnsi="Times New Roman"/>
        </w:rPr>
        <w:t>)</w:t>
      </w:r>
      <w:r w:rsidR="00124D1D" w:rsidRPr="00CF6A74">
        <w:rPr>
          <w:rFonts w:ascii="Times New Roman" w:hAnsi="Times New Roman"/>
        </w:rPr>
        <w:t xml:space="preserve">.  </w:t>
      </w:r>
      <w:r w:rsidR="00007350" w:rsidRPr="00CF6A74">
        <w:rPr>
          <w:rFonts w:ascii="Times New Roman" w:hAnsi="Times New Roman"/>
        </w:rPr>
        <w:t xml:space="preserve">If a loan is a HPML subject to 12 CFR 1026.35(c), then the creditor is required to obtain a written appraisal prepared by a certified or licensed appraiser who conducts a physical visit of the interior of the property that will secure the transaction (Written Appraisal), and provide a copy of the Written Appraisal to the consumer.  To qualify for the safe harbor provided under the </w:t>
      </w:r>
      <w:r w:rsidR="00124D1D" w:rsidRPr="00CF6A74">
        <w:rPr>
          <w:rFonts w:ascii="Times New Roman" w:hAnsi="Times New Roman"/>
        </w:rPr>
        <w:t>Febr</w:t>
      </w:r>
      <w:r w:rsidR="00007350" w:rsidRPr="00CF6A74">
        <w:rPr>
          <w:rFonts w:ascii="Times New Roman" w:hAnsi="Times New Roman"/>
        </w:rPr>
        <w:t>uary 2013 Final Rule, a creditor is required to review the Written Appraisal</w:t>
      </w:r>
      <w:r w:rsidR="00124D1D" w:rsidRPr="00CF6A74">
        <w:rPr>
          <w:rFonts w:ascii="Times New Roman" w:hAnsi="Times New Roman"/>
        </w:rPr>
        <w:t>.</w:t>
      </w:r>
      <w:r w:rsidR="00007350" w:rsidRPr="00CF6A74">
        <w:rPr>
          <w:rFonts w:ascii="Times New Roman" w:hAnsi="Times New Roman"/>
        </w:rPr>
        <w:t xml:space="preserve">  </w:t>
      </w:r>
    </w:p>
    <w:p w:rsidR="00E747D3" w:rsidRPr="00CF6A74" w:rsidRDefault="00E747D3" w:rsidP="00007350">
      <w:pPr>
        <w:ind w:firstLine="720"/>
        <w:outlineLvl w:val="4"/>
        <w:rPr>
          <w:rFonts w:ascii="Times New Roman" w:hAnsi="Times New Roman"/>
        </w:rPr>
      </w:pPr>
    </w:p>
    <w:p w:rsidR="00B35ADE" w:rsidRPr="00CF6A74" w:rsidRDefault="000979FC" w:rsidP="00007350">
      <w:pPr>
        <w:ind w:firstLine="720"/>
        <w:outlineLvl w:val="4"/>
        <w:rPr>
          <w:rFonts w:ascii="Times New Roman" w:hAnsi="Times New Roman"/>
        </w:rPr>
      </w:pPr>
      <w:r w:rsidRPr="00CF6A74">
        <w:rPr>
          <w:rFonts w:ascii="Times New Roman" w:hAnsi="Times New Roman"/>
        </w:rPr>
        <w:t>Under 12 CFR 34.203(d)(1), a</w:t>
      </w:r>
      <w:r w:rsidR="00007350" w:rsidRPr="00CF6A74">
        <w:rPr>
          <w:rFonts w:ascii="Times New Roman" w:hAnsi="Times New Roman"/>
        </w:rPr>
        <w:t xml:space="preserve"> creditor is required to obtain an additional appraisal (Additional Written Appraisal) for a HPML that is subject to 12 CFR </w:t>
      </w:r>
      <w:r w:rsidR="00690FB0" w:rsidRPr="00CF6A74">
        <w:rPr>
          <w:rFonts w:ascii="Times New Roman" w:hAnsi="Times New Roman"/>
        </w:rPr>
        <w:t>part 34, subpart G</w:t>
      </w:r>
      <w:r w:rsidR="00007350" w:rsidRPr="00CF6A74">
        <w:rPr>
          <w:rFonts w:ascii="Times New Roman" w:hAnsi="Times New Roman"/>
        </w:rPr>
        <w:t xml:space="preserve"> </w:t>
      </w:r>
      <w:r w:rsidRPr="00CF6A74">
        <w:rPr>
          <w:rFonts w:ascii="Times New Roman" w:hAnsi="Times New Roman"/>
        </w:rPr>
        <w:t>if</w:t>
      </w:r>
      <w:r w:rsidR="009933AE" w:rsidRPr="00CF6A74">
        <w:rPr>
          <w:rFonts w:ascii="Times New Roman" w:hAnsi="Times New Roman"/>
        </w:rPr>
        <w:t xml:space="preserve">: </w:t>
      </w:r>
      <w:r w:rsidRPr="00CF6A74">
        <w:rPr>
          <w:rFonts w:ascii="Times New Roman" w:hAnsi="Times New Roman"/>
        </w:rPr>
        <w:t xml:space="preserve"> (1) </w:t>
      </w:r>
      <w:r w:rsidR="00007350" w:rsidRPr="00CF6A74">
        <w:rPr>
          <w:rFonts w:ascii="Times New Roman" w:hAnsi="Times New Roman"/>
        </w:rPr>
        <w:t xml:space="preserve">the seller acquired the property securing the loan 90 or fewer days prior to the date of the consumer’s agreement to acquire the property and the resale price exceeds the seller’s </w:t>
      </w:r>
      <w:r w:rsidR="00007350" w:rsidRPr="00CF6A74">
        <w:rPr>
          <w:rFonts w:ascii="Times New Roman" w:hAnsi="Times New Roman"/>
        </w:rPr>
        <w:lastRenderedPageBreak/>
        <w:t xml:space="preserve">acquisition price by more than 10 percent; or (2) the seller acquired the property securing the loan 91 to 180 days prior to the date of the consumer’s agreement to acquire the property and the resale price exceeds the seller’s acquisition price by more than 20 percent.  </w:t>
      </w:r>
    </w:p>
    <w:p w:rsidR="00B35ADE" w:rsidRPr="00CF6A74" w:rsidRDefault="00B35ADE" w:rsidP="00007350">
      <w:pPr>
        <w:ind w:firstLine="720"/>
        <w:outlineLvl w:val="4"/>
        <w:rPr>
          <w:rFonts w:ascii="Times New Roman" w:hAnsi="Times New Roman"/>
        </w:rPr>
      </w:pPr>
    </w:p>
    <w:p w:rsidR="00007350" w:rsidRPr="00CF6A74" w:rsidRDefault="000979FC" w:rsidP="00007350">
      <w:pPr>
        <w:ind w:firstLine="720"/>
        <w:outlineLvl w:val="4"/>
        <w:rPr>
          <w:rFonts w:ascii="Times New Roman" w:hAnsi="Times New Roman"/>
        </w:rPr>
      </w:pPr>
      <w:r w:rsidRPr="00CF6A74">
        <w:rPr>
          <w:rFonts w:ascii="Times New Roman" w:hAnsi="Times New Roman"/>
        </w:rPr>
        <w:t xml:space="preserve">Under 12 CFR 34.203(d)(3) and (4), the </w:t>
      </w:r>
      <w:r w:rsidR="00007350" w:rsidRPr="00CF6A74">
        <w:rPr>
          <w:rFonts w:ascii="Times New Roman" w:hAnsi="Times New Roman"/>
        </w:rPr>
        <w:t xml:space="preserve">Additional Written Appraisal must meet the requirements described </w:t>
      </w:r>
      <w:r w:rsidR="00F96CC3" w:rsidRPr="00CF6A74">
        <w:rPr>
          <w:rFonts w:ascii="Times New Roman" w:hAnsi="Times New Roman"/>
        </w:rPr>
        <w:t>in 12 CFR 34.203(c)</w:t>
      </w:r>
      <w:r w:rsidRPr="00CF6A74">
        <w:rPr>
          <w:rFonts w:ascii="Times New Roman" w:hAnsi="Times New Roman"/>
        </w:rPr>
        <w:t xml:space="preserve">(1) </w:t>
      </w:r>
      <w:r w:rsidR="00007350" w:rsidRPr="00CF6A74">
        <w:rPr>
          <w:rFonts w:ascii="Times New Roman" w:hAnsi="Times New Roman"/>
        </w:rPr>
        <w:t xml:space="preserve">and also </w:t>
      </w:r>
      <w:r w:rsidRPr="00CF6A74">
        <w:rPr>
          <w:rFonts w:ascii="Times New Roman" w:hAnsi="Times New Roman"/>
        </w:rPr>
        <w:t>include an analysis of</w:t>
      </w:r>
      <w:r w:rsidR="00007350" w:rsidRPr="00CF6A74">
        <w:rPr>
          <w:rFonts w:ascii="Times New Roman" w:hAnsi="Times New Roman"/>
        </w:rPr>
        <w:t xml:space="preserve">: </w:t>
      </w:r>
      <w:r w:rsidR="009933AE" w:rsidRPr="00CF6A74">
        <w:rPr>
          <w:rFonts w:ascii="Times New Roman" w:hAnsi="Times New Roman"/>
        </w:rPr>
        <w:t xml:space="preserve"> </w:t>
      </w:r>
      <w:r w:rsidR="00007350" w:rsidRPr="00CF6A74">
        <w:rPr>
          <w:rFonts w:ascii="Times New Roman" w:hAnsi="Times New Roman"/>
        </w:rPr>
        <w:t xml:space="preserve">(1) the difference between the price at which the seller acquired the property and the price the consumer agreed to pay; (2) changes in market conditions between the date the seller acquired the property and the date the consumer agreed to acquire the property; and (3) any improvements made to the property between the date the seller acquired the property and the date on which the consumer agreed to acquire the property.  </w:t>
      </w:r>
      <w:r w:rsidRPr="00CF6A74">
        <w:rPr>
          <w:rFonts w:ascii="Times New Roman" w:hAnsi="Times New Roman"/>
        </w:rPr>
        <w:t>Under 12 CFR 34.203(f), a</w:t>
      </w:r>
      <w:r w:rsidR="00007350" w:rsidRPr="00CF6A74">
        <w:rPr>
          <w:rFonts w:ascii="Times New Roman" w:hAnsi="Times New Roman"/>
        </w:rPr>
        <w:t xml:space="preserve"> creditor is required to provide a copy of </w:t>
      </w:r>
      <w:r w:rsidRPr="00CF6A74">
        <w:rPr>
          <w:rFonts w:ascii="Times New Roman" w:hAnsi="Times New Roman"/>
        </w:rPr>
        <w:t>any</w:t>
      </w:r>
      <w:r w:rsidR="00007350" w:rsidRPr="00CF6A74">
        <w:rPr>
          <w:rFonts w:ascii="Times New Roman" w:hAnsi="Times New Roman"/>
        </w:rPr>
        <w:t xml:space="preserve"> Additional Writ</w:t>
      </w:r>
      <w:r w:rsidR="00B35ADE" w:rsidRPr="00CF6A74">
        <w:rPr>
          <w:rFonts w:ascii="Times New Roman" w:hAnsi="Times New Roman"/>
        </w:rPr>
        <w:t xml:space="preserve">ten Appraisal to the consumer. </w:t>
      </w:r>
      <w:r w:rsidR="00007350" w:rsidRPr="00CF6A74">
        <w:rPr>
          <w:rFonts w:ascii="Times New Roman" w:hAnsi="Times New Roman"/>
        </w:rPr>
        <w:t xml:space="preserve"> </w:t>
      </w:r>
    </w:p>
    <w:p w:rsidR="00691C16" w:rsidRPr="00CF6A74" w:rsidRDefault="00691C16" w:rsidP="006C15B4">
      <w:pPr>
        <w:pStyle w:val="ListParagraph"/>
        <w:ind w:left="1080"/>
        <w:rPr>
          <w:rFonts w:cs="Times New Roman"/>
          <w:szCs w:val="24"/>
        </w:rPr>
      </w:pPr>
    </w:p>
    <w:p w:rsidR="00EA17EC" w:rsidRPr="00CF6A74" w:rsidRDefault="00EA17EC" w:rsidP="006C15B4">
      <w:pPr>
        <w:tabs>
          <w:tab w:val="left" w:pos="-1440"/>
        </w:tabs>
        <w:ind w:left="720" w:hanging="720"/>
        <w:rPr>
          <w:rFonts w:ascii="Times New Roman" w:hAnsi="Times New Roman"/>
          <w:b/>
          <w:i/>
        </w:rPr>
      </w:pPr>
      <w:r w:rsidRPr="00CF6A74">
        <w:rPr>
          <w:rFonts w:ascii="Times New Roman" w:hAnsi="Times New Roman"/>
          <w:b/>
          <w:i/>
        </w:rPr>
        <w:t>3.</w:t>
      </w:r>
      <w:r w:rsidRPr="00CF6A74">
        <w:rPr>
          <w:rFonts w:ascii="Times New Roman" w:hAnsi="Times New Roman"/>
          <w:b/>
          <w:i/>
        </w:rPr>
        <w:tab/>
        <w:t>Consideration of the use of improved information technology:</w:t>
      </w:r>
    </w:p>
    <w:p w:rsidR="00EA17EC" w:rsidRPr="00CF6A74" w:rsidRDefault="00EA17EC" w:rsidP="006C15B4">
      <w:pPr>
        <w:rPr>
          <w:rFonts w:ascii="Times New Roman" w:hAnsi="Times New Roman"/>
        </w:rPr>
      </w:pPr>
    </w:p>
    <w:p w:rsidR="008349A5" w:rsidRPr="00CF6A74" w:rsidRDefault="00D061A7" w:rsidP="00477DFB">
      <w:pPr>
        <w:ind w:firstLine="720"/>
        <w:rPr>
          <w:rFonts w:ascii="Times New Roman" w:hAnsi="Times New Roman"/>
        </w:rPr>
      </w:pPr>
      <w:r w:rsidRPr="00CF6A74">
        <w:rPr>
          <w:rFonts w:ascii="Times New Roman" w:hAnsi="Times New Roman"/>
        </w:rPr>
        <w:t>Respondents may use any type of improved information technology they have available to meet the requirements of this regulation.</w:t>
      </w:r>
    </w:p>
    <w:p w:rsidR="007A12D6" w:rsidRPr="00CF6A74" w:rsidRDefault="007A12D6" w:rsidP="006C15B4">
      <w:pPr>
        <w:ind w:left="720"/>
        <w:rPr>
          <w:rFonts w:ascii="Times New Roman" w:hAnsi="Times New Roman"/>
        </w:rPr>
      </w:pPr>
    </w:p>
    <w:p w:rsidR="00EA17EC" w:rsidRPr="00CF6A74" w:rsidRDefault="00EA17EC" w:rsidP="006C15B4">
      <w:pPr>
        <w:tabs>
          <w:tab w:val="left" w:pos="-1440"/>
        </w:tabs>
        <w:ind w:left="720" w:hanging="720"/>
        <w:rPr>
          <w:rFonts w:ascii="Times New Roman" w:hAnsi="Times New Roman"/>
          <w:b/>
          <w:i/>
        </w:rPr>
      </w:pPr>
      <w:r w:rsidRPr="00CF6A74">
        <w:rPr>
          <w:rFonts w:ascii="Times New Roman" w:hAnsi="Times New Roman"/>
          <w:b/>
          <w:i/>
        </w:rPr>
        <w:t>4.</w:t>
      </w:r>
      <w:r w:rsidRPr="00CF6A74">
        <w:rPr>
          <w:rFonts w:ascii="Times New Roman" w:hAnsi="Times New Roman"/>
          <w:b/>
          <w:i/>
        </w:rPr>
        <w:tab/>
        <w:t>Efforts to identify duplication:</w:t>
      </w:r>
    </w:p>
    <w:p w:rsidR="00EA17EC" w:rsidRPr="00CF6A74" w:rsidRDefault="00EA17EC" w:rsidP="006C15B4">
      <w:pPr>
        <w:rPr>
          <w:rFonts w:ascii="Times New Roman" w:hAnsi="Times New Roman"/>
        </w:rPr>
      </w:pPr>
    </w:p>
    <w:p w:rsidR="00EA17EC" w:rsidRPr="00CF6A74" w:rsidRDefault="00D061A7" w:rsidP="006C15B4">
      <w:pPr>
        <w:rPr>
          <w:rFonts w:ascii="Times New Roman" w:hAnsi="Times New Roman"/>
        </w:rPr>
      </w:pPr>
      <w:r w:rsidRPr="00CF6A74">
        <w:rPr>
          <w:rFonts w:ascii="Times New Roman" w:hAnsi="Times New Roman"/>
        </w:rPr>
        <w:tab/>
        <w:t>This information is not available elsewhere.</w:t>
      </w:r>
    </w:p>
    <w:p w:rsidR="00D061A7" w:rsidRPr="00CF6A74" w:rsidRDefault="00D061A7" w:rsidP="006C15B4">
      <w:pPr>
        <w:rPr>
          <w:rFonts w:ascii="Times New Roman" w:hAnsi="Times New Roman"/>
        </w:rPr>
      </w:pPr>
    </w:p>
    <w:p w:rsidR="00467825" w:rsidRPr="00CF6A74" w:rsidRDefault="00467825" w:rsidP="00467825">
      <w:pPr>
        <w:pStyle w:val="BodyText"/>
        <w:ind w:left="100" w:right="861"/>
        <w:rPr>
          <w:b w:val="0"/>
          <w:i/>
        </w:rPr>
      </w:pPr>
      <w:r w:rsidRPr="00CF6A74">
        <w:rPr>
          <w:i/>
          <w:iCs/>
        </w:rPr>
        <w:t>5.</w:t>
      </w:r>
      <w:r w:rsidRPr="00CF6A74">
        <w:rPr>
          <w:i/>
          <w:iCs/>
        </w:rPr>
        <w:tab/>
      </w:r>
      <w:r w:rsidRPr="00CF6A74">
        <w:rPr>
          <w:i/>
          <w:spacing w:val="-2"/>
        </w:rPr>
        <w:t>If</w:t>
      </w:r>
      <w:r w:rsidRPr="00CF6A74">
        <w:rPr>
          <w:i/>
          <w:spacing w:val="-8"/>
        </w:rPr>
        <w:t xml:space="preserve"> </w:t>
      </w:r>
      <w:r w:rsidRPr="00CF6A74">
        <w:rPr>
          <w:i/>
        </w:rPr>
        <w:t>the</w:t>
      </w:r>
      <w:r w:rsidRPr="00CF6A74">
        <w:rPr>
          <w:i/>
          <w:spacing w:val="-7"/>
        </w:rPr>
        <w:t xml:space="preserve"> </w:t>
      </w:r>
      <w:r w:rsidRPr="00CF6A74">
        <w:rPr>
          <w:i/>
          <w:spacing w:val="-1"/>
        </w:rPr>
        <w:t>collection</w:t>
      </w:r>
      <w:r w:rsidRPr="00CF6A74">
        <w:rPr>
          <w:i/>
          <w:spacing w:val="-7"/>
        </w:rPr>
        <w:t xml:space="preserve"> </w:t>
      </w:r>
      <w:r w:rsidRPr="00CF6A74">
        <w:rPr>
          <w:i/>
        </w:rPr>
        <w:t>of</w:t>
      </w:r>
      <w:r w:rsidRPr="00CF6A74">
        <w:rPr>
          <w:i/>
          <w:spacing w:val="-8"/>
        </w:rPr>
        <w:t xml:space="preserve"> </w:t>
      </w:r>
      <w:r w:rsidRPr="00CF6A74">
        <w:rPr>
          <w:i/>
          <w:spacing w:val="-1"/>
        </w:rPr>
        <w:t>information</w:t>
      </w:r>
      <w:r w:rsidRPr="00CF6A74">
        <w:rPr>
          <w:i/>
          <w:spacing w:val="-7"/>
        </w:rPr>
        <w:t xml:space="preserve"> </w:t>
      </w:r>
      <w:r w:rsidRPr="00CF6A74">
        <w:rPr>
          <w:i/>
          <w:spacing w:val="-1"/>
        </w:rPr>
        <w:t>impacts</w:t>
      </w:r>
      <w:r w:rsidRPr="00CF6A74">
        <w:rPr>
          <w:i/>
          <w:spacing w:val="-6"/>
        </w:rPr>
        <w:t xml:space="preserve"> </w:t>
      </w:r>
      <w:r w:rsidRPr="00CF6A74">
        <w:rPr>
          <w:i/>
          <w:spacing w:val="-1"/>
        </w:rPr>
        <w:t>small</w:t>
      </w:r>
      <w:r w:rsidRPr="00CF6A74">
        <w:rPr>
          <w:i/>
          <w:spacing w:val="-7"/>
        </w:rPr>
        <w:t xml:space="preserve"> </w:t>
      </w:r>
      <w:r w:rsidRPr="00CF6A74">
        <w:rPr>
          <w:i/>
          <w:spacing w:val="-1"/>
        </w:rPr>
        <w:t>businesses</w:t>
      </w:r>
      <w:r w:rsidRPr="00CF6A74">
        <w:rPr>
          <w:i/>
          <w:spacing w:val="-6"/>
        </w:rPr>
        <w:t xml:space="preserve"> </w:t>
      </w:r>
      <w:r w:rsidRPr="00CF6A74">
        <w:rPr>
          <w:i/>
        </w:rPr>
        <w:t>or</w:t>
      </w:r>
      <w:r w:rsidRPr="00CF6A74">
        <w:rPr>
          <w:i/>
          <w:spacing w:val="-8"/>
        </w:rPr>
        <w:t xml:space="preserve"> </w:t>
      </w:r>
      <w:r w:rsidRPr="00CF6A74">
        <w:rPr>
          <w:i/>
          <w:spacing w:val="1"/>
        </w:rPr>
        <w:t>other</w:t>
      </w:r>
      <w:r w:rsidRPr="00CF6A74">
        <w:rPr>
          <w:i/>
          <w:spacing w:val="-7"/>
        </w:rPr>
        <w:t xml:space="preserve"> </w:t>
      </w:r>
      <w:r w:rsidRPr="00CF6A74">
        <w:rPr>
          <w:i/>
          <w:spacing w:val="-1"/>
        </w:rPr>
        <w:t>small</w:t>
      </w:r>
      <w:r w:rsidRPr="00CF6A74">
        <w:rPr>
          <w:i/>
          <w:spacing w:val="-6"/>
        </w:rPr>
        <w:t xml:space="preserve"> </w:t>
      </w:r>
      <w:r w:rsidRPr="00CF6A74">
        <w:rPr>
          <w:i/>
        </w:rPr>
        <w:t>entities, describe</w:t>
      </w:r>
      <w:r w:rsidRPr="00CF6A74">
        <w:rPr>
          <w:i/>
          <w:spacing w:val="-7"/>
        </w:rPr>
        <w:t xml:space="preserve"> </w:t>
      </w:r>
      <w:r w:rsidRPr="00CF6A74">
        <w:rPr>
          <w:i/>
          <w:spacing w:val="1"/>
        </w:rPr>
        <w:t>any</w:t>
      </w:r>
      <w:r w:rsidRPr="00CF6A74">
        <w:rPr>
          <w:i/>
          <w:spacing w:val="-11"/>
        </w:rPr>
        <w:t xml:space="preserve"> </w:t>
      </w:r>
      <w:r w:rsidRPr="00CF6A74">
        <w:rPr>
          <w:i/>
          <w:spacing w:val="-1"/>
        </w:rPr>
        <w:t>methods</w:t>
      </w:r>
      <w:r w:rsidRPr="00CF6A74">
        <w:rPr>
          <w:i/>
          <w:spacing w:val="-8"/>
        </w:rPr>
        <w:t xml:space="preserve"> </w:t>
      </w:r>
      <w:r w:rsidRPr="00CF6A74">
        <w:rPr>
          <w:i/>
          <w:spacing w:val="-1"/>
        </w:rPr>
        <w:t>used</w:t>
      </w:r>
      <w:r w:rsidRPr="00CF6A74">
        <w:rPr>
          <w:i/>
          <w:spacing w:val="-8"/>
        </w:rPr>
        <w:t xml:space="preserve"> </w:t>
      </w:r>
      <w:r w:rsidRPr="00CF6A74">
        <w:rPr>
          <w:i/>
        </w:rPr>
        <w:t>to</w:t>
      </w:r>
      <w:r w:rsidRPr="00CF6A74">
        <w:rPr>
          <w:i/>
          <w:spacing w:val="-8"/>
        </w:rPr>
        <w:t xml:space="preserve"> </w:t>
      </w:r>
      <w:r w:rsidRPr="00CF6A74">
        <w:rPr>
          <w:i/>
        </w:rPr>
        <w:t>minimize</w:t>
      </w:r>
      <w:r w:rsidRPr="00CF6A74">
        <w:rPr>
          <w:i/>
          <w:spacing w:val="-8"/>
        </w:rPr>
        <w:t xml:space="preserve"> </w:t>
      </w:r>
      <w:r w:rsidRPr="00CF6A74">
        <w:rPr>
          <w:i/>
          <w:spacing w:val="-1"/>
        </w:rPr>
        <w:t>burden.</w:t>
      </w:r>
    </w:p>
    <w:p w:rsidR="00467825" w:rsidRPr="00CF6A74" w:rsidRDefault="00467825" w:rsidP="00467825">
      <w:pPr>
        <w:rPr>
          <w:rFonts w:ascii="Times New Roman" w:hAnsi="Times New Roman"/>
        </w:rPr>
      </w:pPr>
    </w:p>
    <w:p w:rsidR="00467825" w:rsidRPr="00CF6A74" w:rsidRDefault="00467825" w:rsidP="00467825">
      <w:pPr>
        <w:ind w:firstLine="720"/>
        <w:rPr>
          <w:rFonts w:ascii="Times New Roman" w:hAnsi="Times New Roman"/>
          <w:color w:val="000000"/>
        </w:rPr>
      </w:pPr>
      <w:r w:rsidRPr="00CF6A74">
        <w:rPr>
          <w:rFonts w:ascii="Times New Roman" w:hAnsi="Times New Roman"/>
          <w:color w:val="000000"/>
        </w:rPr>
        <w:t>There are no alternatives that would result in lowering the burden on small institutions, while still accomplishing the purpose of the rule.</w:t>
      </w:r>
    </w:p>
    <w:p w:rsidR="00D061A7" w:rsidRPr="00CF6A74" w:rsidRDefault="00D061A7" w:rsidP="006C15B4">
      <w:pPr>
        <w:rPr>
          <w:rFonts w:ascii="Times New Roman" w:hAnsi="Times New Roman"/>
        </w:rPr>
      </w:pPr>
    </w:p>
    <w:p w:rsidR="00EA17EC" w:rsidRPr="00CF6A74" w:rsidRDefault="00EA17EC" w:rsidP="006C15B4">
      <w:pPr>
        <w:tabs>
          <w:tab w:val="left" w:pos="-1440"/>
        </w:tabs>
        <w:ind w:left="720" w:hanging="720"/>
        <w:rPr>
          <w:rFonts w:ascii="Times New Roman" w:hAnsi="Times New Roman"/>
          <w:b/>
          <w:i/>
        </w:rPr>
      </w:pPr>
      <w:r w:rsidRPr="00CF6A74">
        <w:rPr>
          <w:rFonts w:ascii="Times New Roman" w:hAnsi="Times New Roman"/>
          <w:b/>
          <w:i/>
        </w:rPr>
        <w:t>6.</w:t>
      </w:r>
      <w:r w:rsidRPr="00CF6A74">
        <w:rPr>
          <w:rFonts w:ascii="Times New Roman" w:hAnsi="Times New Roman"/>
          <w:b/>
          <w:i/>
        </w:rPr>
        <w:tab/>
        <w:t>Consequences to the Federal program if the collection were conducted less frequently:</w:t>
      </w:r>
    </w:p>
    <w:p w:rsidR="00EA17EC" w:rsidRPr="00CF6A74" w:rsidRDefault="00EA17EC" w:rsidP="006C15B4">
      <w:pPr>
        <w:rPr>
          <w:rFonts w:ascii="Times New Roman" w:hAnsi="Times New Roman"/>
        </w:rPr>
      </w:pPr>
    </w:p>
    <w:p w:rsidR="00D061A7" w:rsidRPr="00CF6A74" w:rsidRDefault="00D061A7" w:rsidP="006C15B4">
      <w:pPr>
        <w:rPr>
          <w:rFonts w:ascii="Times New Roman" w:hAnsi="Times New Roman"/>
        </w:rPr>
      </w:pPr>
      <w:r w:rsidRPr="00CF6A74">
        <w:rPr>
          <w:rFonts w:ascii="Times New Roman" w:hAnsi="Times New Roman"/>
        </w:rPr>
        <w:tab/>
        <w:t>Less frequent collection would result in safety and soundness concerns.</w:t>
      </w:r>
    </w:p>
    <w:p w:rsidR="00EA17EC" w:rsidRPr="00CF6A74" w:rsidRDefault="00EA17EC" w:rsidP="006C15B4">
      <w:pPr>
        <w:rPr>
          <w:rFonts w:ascii="Times New Roman" w:hAnsi="Times New Roman"/>
        </w:rPr>
      </w:pPr>
    </w:p>
    <w:p w:rsidR="00EA17EC" w:rsidRPr="00CF6A74" w:rsidRDefault="00EA17EC" w:rsidP="006C15B4">
      <w:pPr>
        <w:tabs>
          <w:tab w:val="left" w:pos="-1440"/>
        </w:tabs>
        <w:ind w:left="720" w:hanging="720"/>
        <w:rPr>
          <w:rFonts w:ascii="Times New Roman" w:hAnsi="Times New Roman"/>
          <w:b/>
          <w:i/>
        </w:rPr>
      </w:pPr>
      <w:r w:rsidRPr="00CF6A74">
        <w:rPr>
          <w:rFonts w:ascii="Times New Roman" w:hAnsi="Times New Roman"/>
          <w:b/>
          <w:i/>
        </w:rPr>
        <w:t>7.</w:t>
      </w:r>
      <w:r w:rsidRPr="00CF6A74">
        <w:rPr>
          <w:rFonts w:ascii="Times New Roman" w:hAnsi="Times New Roman"/>
          <w:b/>
          <w:i/>
        </w:rPr>
        <w:tab/>
        <w:t xml:space="preserve">Special circumstances necessitating collection inconsistent with 5 CFR </w:t>
      </w:r>
      <w:r w:rsidR="00BD3805" w:rsidRPr="00CF6A74">
        <w:rPr>
          <w:rFonts w:ascii="Times New Roman" w:hAnsi="Times New Roman"/>
          <w:b/>
          <w:i/>
        </w:rPr>
        <w:t>p</w:t>
      </w:r>
      <w:r w:rsidRPr="00CF6A74">
        <w:rPr>
          <w:rFonts w:ascii="Times New Roman" w:hAnsi="Times New Roman"/>
          <w:b/>
          <w:i/>
        </w:rPr>
        <w:t>art 1320:</w:t>
      </w:r>
    </w:p>
    <w:p w:rsidR="00EA17EC" w:rsidRPr="00CF6A74" w:rsidRDefault="00EA17EC" w:rsidP="006C15B4">
      <w:pPr>
        <w:rPr>
          <w:rFonts w:ascii="Times New Roman" w:hAnsi="Times New Roman"/>
        </w:rPr>
      </w:pPr>
    </w:p>
    <w:p w:rsidR="00EA17EC" w:rsidRPr="00CF6A74" w:rsidRDefault="00EA17EC" w:rsidP="006C15B4">
      <w:pPr>
        <w:ind w:firstLine="720"/>
        <w:rPr>
          <w:rFonts w:ascii="Times New Roman" w:hAnsi="Times New Roman"/>
        </w:rPr>
      </w:pPr>
      <w:r w:rsidRPr="00CF6A74">
        <w:rPr>
          <w:rFonts w:ascii="Times New Roman" w:hAnsi="Times New Roman"/>
        </w:rPr>
        <w:t xml:space="preserve">This collection is conducted in accordance with the guidelines in 5 CFR </w:t>
      </w:r>
      <w:r w:rsidR="00BD3805" w:rsidRPr="00CF6A74">
        <w:rPr>
          <w:rFonts w:ascii="Times New Roman" w:hAnsi="Times New Roman"/>
        </w:rPr>
        <w:t xml:space="preserve">part </w:t>
      </w:r>
      <w:r w:rsidRPr="00CF6A74">
        <w:rPr>
          <w:rFonts w:ascii="Times New Roman" w:hAnsi="Times New Roman"/>
        </w:rPr>
        <w:t>1320.</w:t>
      </w:r>
    </w:p>
    <w:p w:rsidR="00EA17EC" w:rsidRPr="00CF6A74" w:rsidRDefault="00EA17EC" w:rsidP="006C15B4">
      <w:pPr>
        <w:rPr>
          <w:rFonts w:ascii="Times New Roman" w:hAnsi="Times New Roman"/>
        </w:rPr>
      </w:pPr>
    </w:p>
    <w:p w:rsidR="00EA17EC" w:rsidRPr="00CF6A74" w:rsidRDefault="00EA17EC" w:rsidP="006C15B4">
      <w:pPr>
        <w:tabs>
          <w:tab w:val="left" w:pos="-1440"/>
        </w:tabs>
        <w:ind w:left="720" w:hanging="720"/>
        <w:rPr>
          <w:rFonts w:ascii="Times New Roman" w:hAnsi="Times New Roman"/>
          <w:b/>
          <w:i/>
        </w:rPr>
      </w:pPr>
      <w:r w:rsidRPr="00CF6A74">
        <w:rPr>
          <w:rFonts w:ascii="Times New Roman" w:hAnsi="Times New Roman"/>
          <w:b/>
          <w:i/>
        </w:rPr>
        <w:t>8.</w:t>
      </w:r>
      <w:r w:rsidRPr="00CF6A74">
        <w:rPr>
          <w:rFonts w:ascii="Times New Roman" w:hAnsi="Times New Roman"/>
          <w:b/>
          <w:i/>
        </w:rPr>
        <w:tab/>
        <w:t>Efforts to consult with persons outside the agency:</w:t>
      </w:r>
    </w:p>
    <w:p w:rsidR="00EA17EC" w:rsidRPr="00CF6A74" w:rsidRDefault="00EA17EC" w:rsidP="006C15B4">
      <w:pPr>
        <w:widowControl/>
        <w:rPr>
          <w:rFonts w:ascii="Times New Roman" w:hAnsi="Times New Roman"/>
        </w:rPr>
      </w:pPr>
    </w:p>
    <w:p w:rsidR="00EA17EC" w:rsidRPr="00CF6A74" w:rsidRDefault="007231BA" w:rsidP="00477DFB">
      <w:pPr>
        <w:pStyle w:val="Heading2"/>
        <w:ind w:firstLine="720"/>
        <w:jc w:val="left"/>
        <w:rPr>
          <w:rFonts w:ascii="Times New Roman" w:hAnsi="Times New Roman"/>
          <w:i w:val="0"/>
          <w:iCs/>
          <w:szCs w:val="24"/>
        </w:rPr>
      </w:pPr>
      <w:r w:rsidRPr="00CF6A74">
        <w:rPr>
          <w:rFonts w:ascii="Times New Roman" w:hAnsi="Times New Roman"/>
          <w:i w:val="0"/>
          <w:iCs/>
          <w:szCs w:val="24"/>
        </w:rPr>
        <w:t xml:space="preserve">On </w:t>
      </w:r>
      <w:r w:rsidR="00467825" w:rsidRPr="00CF6A74">
        <w:rPr>
          <w:rFonts w:ascii="Times New Roman" w:hAnsi="Times New Roman"/>
          <w:i w:val="0"/>
          <w:iCs/>
          <w:szCs w:val="24"/>
        </w:rPr>
        <w:t>November 4</w:t>
      </w:r>
      <w:r w:rsidRPr="00CF6A74">
        <w:rPr>
          <w:rFonts w:ascii="Times New Roman" w:hAnsi="Times New Roman"/>
          <w:i w:val="0"/>
          <w:iCs/>
          <w:szCs w:val="24"/>
        </w:rPr>
        <w:t>, 2016, the OCC issued a notice for 60 days of comment regarding t</w:t>
      </w:r>
      <w:r w:rsidR="00467825" w:rsidRPr="00CF6A74">
        <w:rPr>
          <w:rFonts w:ascii="Times New Roman" w:hAnsi="Times New Roman"/>
          <w:i w:val="0"/>
          <w:iCs/>
          <w:szCs w:val="24"/>
        </w:rPr>
        <w:t>his collection, 81 FR 77001.  No</w:t>
      </w:r>
      <w:r w:rsidRPr="00CF6A74">
        <w:rPr>
          <w:rFonts w:ascii="Times New Roman" w:hAnsi="Times New Roman"/>
          <w:i w:val="0"/>
          <w:iCs/>
          <w:szCs w:val="24"/>
        </w:rPr>
        <w:t xml:space="preserve"> comments were received.</w:t>
      </w:r>
    </w:p>
    <w:p w:rsidR="00CF6A74" w:rsidRPr="00CF6A74" w:rsidRDefault="00CF6A74" w:rsidP="00CF6A74">
      <w:pPr>
        <w:rPr>
          <w:rFonts w:ascii="Times New Roman" w:hAnsi="Times New Roman"/>
        </w:rPr>
      </w:pPr>
    </w:p>
    <w:p w:rsidR="00CF6A74" w:rsidRPr="00CF6A74" w:rsidRDefault="00CF6A74" w:rsidP="00CF6A74">
      <w:pPr>
        <w:ind w:firstLine="720"/>
        <w:rPr>
          <w:rFonts w:ascii="Times New Roman" w:hAnsi="Times New Roman"/>
        </w:rPr>
      </w:pPr>
      <w:r w:rsidRPr="00CF6A74">
        <w:rPr>
          <w:rFonts w:ascii="Times New Roman" w:hAnsi="Times New Roman"/>
        </w:rPr>
        <w:t>The OCC issued a notice for 30 days of comment on January 24, 2017, 82 FR 8259.  One comment was received from an individual.</w:t>
      </w:r>
    </w:p>
    <w:p w:rsidR="00CF6A74" w:rsidRPr="00CF6A74" w:rsidRDefault="00CF6A74" w:rsidP="00CF6A74">
      <w:pPr>
        <w:ind w:firstLine="720"/>
        <w:rPr>
          <w:rFonts w:ascii="Times New Roman" w:hAnsi="Times New Roman"/>
        </w:rPr>
      </w:pPr>
    </w:p>
    <w:p w:rsidR="00CF6A74" w:rsidRPr="00CF6A74" w:rsidRDefault="00CF6A74" w:rsidP="00CF6A74">
      <w:pPr>
        <w:ind w:firstLine="720"/>
        <w:rPr>
          <w:rFonts w:ascii="Times New Roman" w:hAnsi="Times New Roman"/>
        </w:rPr>
      </w:pPr>
      <w:r w:rsidRPr="00CF6A74">
        <w:rPr>
          <w:rFonts w:ascii="Times New Roman" w:hAnsi="Times New Roman"/>
        </w:rPr>
        <w:t xml:space="preserve">The commenter expressed their opinion that the OCC does not consider public comment and that OMB should ensure that the OCC addresses all legitimate and reasonable public comments in a final rulemaking before an OMB Control Number is assigned or renewed.  It is the OCC’s practice to consider all comments received and respond to those comments in its </w:t>
      </w:r>
      <w:r w:rsidRPr="00CF6A74">
        <w:rPr>
          <w:rFonts w:ascii="Times New Roman" w:hAnsi="Times New Roman"/>
          <w:i/>
        </w:rPr>
        <w:t>Federal Register</w:t>
      </w:r>
      <w:r w:rsidRPr="00CF6A74">
        <w:rPr>
          <w:rFonts w:ascii="Times New Roman" w:hAnsi="Times New Roman"/>
        </w:rPr>
        <w:t xml:space="preserve"> Notices and Supporting Statements.  </w:t>
      </w:r>
    </w:p>
    <w:p w:rsidR="00CF6A74" w:rsidRPr="00CF6A74" w:rsidRDefault="00CF6A74" w:rsidP="00CF6A74">
      <w:pPr>
        <w:rPr>
          <w:rFonts w:ascii="Times New Roman" w:hAnsi="Times New Roman"/>
        </w:rPr>
      </w:pPr>
    </w:p>
    <w:p w:rsidR="00CF6A74" w:rsidRPr="00CF6A74" w:rsidRDefault="00CF6A74" w:rsidP="00CF6A74">
      <w:pPr>
        <w:ind w:firstLine="720"/>
        <w:rPr>
          <w:rFonts w:ascii="Times New Roman" w:hAnsi="Times New Roman"/>
        </w:rPr>
      </w:pPr>
      <w:r w:rsidRPr="00CF6A74">
        <w:rPr>
          <w:rFonts w:ascii="Times New Roman" w:hAnsi="Times New Roman"/>
        </w:rPr>
        <w:t xml:space="preserve">The commenter believes that the OCC should specifically address in its regulation whether written appraisals performed by certified or licensed appraisers are required on loans less than $250,000 when the interest rate on that loan exceeds the average prime offer rate by 1.5 points or more.  The commenter pointed out that § 34.43(a) does not require appraisals on real estate transactions less than $250,000 while § 34.203(c) </w:t>
      </w:r>
      <w:r w:rsidRPr="00CF6A74">
        <w:rPr>
          <w:rFonts w:ascii="Times New Roman" w:hAnsi="Times New Roman"/>
          <w:iCs/>
        </w:rPr>
        <w:t>seems to suggest</w:t>
      </w:r>
      <w:r w:rsidRPr="00CF6A74">
        <w:rPr>
          <w:rFonts w:ascii="Times New Roman" w:hAnsi="Times New Roman"/>
          <w:i/>
          <w:iCs/>
        </w:rPr>
        <w:t xml:space="preserve"> </w:t>
      </w:r>
      <w:r w:rsidRPr="00CF6A74">
        <w:rPr>
          <w:rFonts w:ascii="Times New Roman" w:hAnsi="Times New Roman"/>
        </w:rPr>
        <w:t>that appraisals are required if interest rate on the mortgage exceeds the average prime offer rate by 1.5</w:t>
      </w:r>
      <w:r w:rsidRPr="00CF6A74">
        <w:rPr>
          <w:rFonts w:ascii="Times New Roman" w:hAnsi="Times New Roman"/>
          <w:i/>
          <w:iCs/>
        </w:rPr>
        <w:t xml:space="preserve"> </w:t>
      </w:r>
      <w:r w:rsidRPr="00CF6A74">
        <w:rPr>
          <w:rFonts w:ascii="Times New Roman" w:hAnsi="Times New Roman"/>
        </w:rPr>
        <w:t>points or more.  The requirements in § 34.203(c) for appraisals for higher-priced mortgage loans (HPMLs) apply to all loans that meet the definition of HPMLs that are not within the exemptions contained in the HPML rule.  As such, the HPML rule applies to loans below $250,000.  The agencies addressed the interaction of the appraisal rule (and the $250,000 threshold exemption) and the HPML rule in the preamble to the final HPML rule.</w:t>
      </w:r>
      <w:r w:rsidRPr="00CF6A74">
        <w:rPr>
          <w:rStyle w:val="FootnoteReference"/>
          <w:rFonts w:ascii="Times New Roman" w:hAnsi="Times New Roman"/>
        </w:rPr>
        <w:footnoteReference w:id="2"/>
      </w:r>
      <w:r w:rsidRPr="00CF6A74">
        <w:rPr>
          <w:rFonts w:ascii="Times New Roman" w:hAnsi="Times New Roman"/>
        </w:rPr>
        <w:t xml:space="preserve">  As stated in the preamble, the $250,000 threshold exemption in the appraisal rule does not apply to HPML loans.</w:t>
      </w:r>
    </w:p>
    <w:p w:rsidR="00CF6A74" w:rsidRPr="00CF6A74" w:rsidRDefault="00CF6A74" w:rsidP="00CF6A74">
      <w:pPr>
        <w:ind w:firstLine="720"/>
        <w:rPr>
          <w:rFonts w:ascii="Times New Roman" w:hAnsi="Times New Roman"/>
          <w:i/>
          <w:iCs/>
        </w:rPr>
      </w:pPr>
    </w:p>
    <w:p w:rsidR="00CF6A74" w:rsidRPr="00CF6A74" w:rsidRDefault="00CF6A74" w:rsidP="00CF6A74">
      <w:pPr>
        <w:ind w:firstLine="720"/>
        <w:rPr>
          <w:rFonts w:ascii="Times New Roman" w:hAnsi="Times New Roman"/>
        </w:rPr>
      </w:pPr>
      <w:r w:rsidRPr="00CF6A74">
        <w:rPr>
          <w:rFonts w:ascii="Times New Roman" w:hAnsi="Times New Roman"/>
        </w:rPr>
        <w:t xml:space="preserve">The commenter believes that the OCC should improve the quality of its rulemaking by thoughtful consideration of existing regulations and not adopt new, overlapping and duplicative regulations.  The commenter cited, as an example of multiple federal regulations on a single topic, § 34.203(e) and (f) as duplicative of 12 CFR 1002.14.  In proposing and adopting new regulations, the OCC carefully considers whether existing regulations address the issue at hand or can be relied on to reduce the scope or burden of a new rule.  While there may appear to be overlap in some regulations, such as those cited by the commenter, rules issued by two different agencies typical cover different parties.  As such, a rule issued by one agency would not legally bind parties who are subject to the rules of a different agency.  </w:t>
      </w:r>
    </w:p>
    <w:p w:rsidR="00CF6A74" w:rsidRPr="00CF6A74" w:rsidRDefault="00CF6A74" w:rsidP="00CF6A74">
      <w:pPr>
        <w:ind w:firstLine="720"/>
        <w:rPr>
          <w:rFonts w:ascii="Times New Roman" w:hAnsi="Times New Roman"/>
        </w:rPr>
      </w:pPr>
    </w:p>
    <w:p w:rsidR="00CF6A74" w:rsidRPr="00CF6A74" w:rsidRDefault="00CF6A74" w:rsidP="00CF6A74">
      <w:pPr>
        <w:ind w:firstLine="720"/>
        <w:rPr>
          <w:rFonts w:ascii="Times New Roman" w:hAnsi="Times New Roman"/>
        </w:rPr>
      </w:pPr>
      <w:r w:rsidRPr="00CF6A74">
        <w:rPr>
          <w:rFonts w:ascii="Times New Roman" w:hAnsi="Times New Roman"/>
        </w:rPr>
        <w:t xml:space="preserve">The commenter requested clarification of why a </w:t>
      </w:r>
      <w:r w:rsidRPr="00CF6A74">
        <w:rPr>
          <w:rFonts w:ascii="Times New Roman" w:hAnsi="Times New Roman"/>
          <w:iCs/>
        </w:rPr>
        <w:t xml:space="preserve">single </w:t>
      </w:r>
      <w:r w:rsidRPr="00CF6A74">
        <w:rPr>
          <w:rFonts w:ascii="Times New Roman" w:hAnsi="Times New Roman"/>
        </w:rPr>
        <w:t xml:space="preserve">act of omission by a bank should violate multiple regulations, such as in 12 CFR 1002.14 and 34.2003, when a creditor that fails to provide a copy of the appraisal to the consumer three business days prior to consummation of the transaction.  A single act or omission by a person or entity may legally violate different applicable provisions of law.  </w:t>
      </w:r>
    </w:p>
    <w:p w:rsidR="00CF6A74" w:rsidRPr="00CF6A74" w:rsidRDefault="00CF6A74" w:rsidP="00CF6A74">
      <w:pPr>
        <w:ind w:firstLine="720"/>
        <w:rPr>
          <w:rFonts w:ascii="Times New Roman" w:hAnsi="Times New Roman"/>
        </w:rPr>
      </w:pPr>
    </w:p>
    <w:p w:rsidR="00CF6A74" w:rsidRPr="00CF6A74" w:rsidRDefault="00CF6A74" w:rsidP="00CF6A74">
      <w:pPr>
        <w:ind w:firstLine="720"/>
        <w:rPr>
          <w:rFonts w:ascii="Times New Roman" w:hAnsi="Times New Roman"/>
        </w:rPr>
      </w:pPr>
      <w:r w:rsidRPr="00CF6A74">
        <w:rPr>
          <w:rFonts w:ascii="Times New Roman" w:hAnsi="Times New Roman"/>
        </w:rPr>
        <w:t>The OCC, pursuant to section 2222 of the Economic Growth and Regulatory Paperwork Reduction Act of 1996,</w:t>
      </w:r>
      <w:r w:rsidRPr="00CF6A74">
        <w:rPr>
          <w:rStyle w:val="FootnoteReference"/>
          <w:rFonts w:ascii="Times New Roman" w:hAnsi="Times New Roman"/>
        </w:rPr>
        <w:footnoteReference w:id="3"/>
      </w:r>
      <w:r w:rsidRPr="00CF6A74">
        <w:rPr>
          <w:rFonts w:ascii="Times New Roman" w:hAnsi="Times New Roman"/>
        </w:rPr>
        <w:t xml:space="preserve"> published several notices (EGRPRA) to identify outdated or otherwise unnecessary regulatory requirements imposed on insured depository institutions, one of which included 12 CFR part 34, subpart G.</w:t>
      </w:r>
      <w:r w:rsidRPr="00CF6A74">
        <w:rPr>
          <w:rStyle w:val="FootnoteReference"/>
          <w:rFonts w:ascii="Times New Roman" w:hAnsi="Times New Roman"/>
        </w:rPr>
        <w:footnoteReference w:id="4"/>
      </w:r>
      <w:r w:rsidRPr="00CF6A74">
        <w:rPr>
          <w:rFonts w:ascii="Times New Roman" w:hAnsi="Times New Roman"/>
        </w:rPr>
        <w:t xml:space="preserve">  No comments were received regarding this regulation during that process and, as a result, no changes were made in the final rule.</w:t>
      </w:r>
      <w:r w:rsidRPr="00CF6A74">
        <w:rPr>
          <w:rStyle w:val="FootnoteReference"/>
          <w:rFonts w:ascii="Times New Roman" w:hAnsi="Times New Roman"/>
        </w:rPr>
        <w:footnoteReference w:id="5"/>
      </w:r>
      <w:r w:rsidRPr="00CF6A74">
        <w:rPr>
          <w:rFonts w:ascii="Times New Roman" w:hAnsi="Times New Roman"/>
        </w:rPr>
        <w:t xml:space="preserve">  In addition, the change requested by the commenter cannot be made in this PRA notice as it would require a rulemaking.</w:t>
      </w:r>
    </w:p>
    <w:p w:rsidR="00F55FA6" w:rsidRPr="00CF6A74" w:rsidRDefault="00F55FA6" w:rsidP="006C15B4">
      <w:pPr>
        <w:rPr>
          <w:rFonts w:ascii="Times New Roman" w:hAnsi="Times New Roman"/>
          <w:b/>
          <w:i/>
        </w:rPr>
      </w:pPr>
      <w:bookmarkStart w:id="0" w:name="_GoBack"/>
      <w:bookmarkEnd w:id="0"/>
    </w:p>
    <w:p w:rsidR="00EA17EC" w:rsidRPr="00CF6A74" w:rsidRDefault="00EA17EC" w:rsidP="006C15B4">
      <w:pPr>
        <w:rPr>
          <w:rFonts w:ascii="Times New Roman" w:hAnsi="Times New Roman"/>
          <w:b/>
          <w:i/>
        </w:rPr>
      </w:pPr>
      <w:r w:rsidRPr="00CF6A74">
        <w:rPr>
          <w:rFonts w:ascii="Times New Roman" w:hAnsi="Times New Roman"/>
          <w:b/>
          <w:i/>
        </w:rPr>
        <w:t>9.</w:t>
      </w:r>
      <w:r w:rsidRPr="00CF6A74">
        <w:rPr>
          <w:rFonts w:ascii="Times New Roman" w:hAnsi="Times New Roman"/>
          <w:b/>
          <w:i/>
        </w:rPr>
        <w:tab/>
        <w:t>Payment to respondents.</w:t>
      </w:r>
    </w:p>
    <w:p w:rsidR="00EA17EC" w:rsidRPr="00CF6A74" w:rsidRDefault="00EA17EC" w:rsidP="006C15B4">
      <w:pPr>
        <w:rPr>
          <w:rFonts w:ascii="Times New Roman" w:hAnsi="Times New Roman"/>
          <w:u w:val="single"/>
        </w:rPr>
      </w:pPr>
    </w:p>
    <w:p w:rsidR="00EA17EC" w:rsidRPr="00CF6A74" w:rsidRDefault="00EA17EC" w:rsidP="006C15B4">
      <w:pPr>
        <w:ind w:firstLine="720"/>
        <w:rPr>
          <w:rFonts w:ascii="Times New Roman" w:hAnsi="Times New Roman"/>
        </w:rPr>
      </w:pPr>
      <w:r w:rsidRPr="00CF6A74">
        <w:rPr>
          <w:rFonts w:ascii="Times New Roman" w:hAnsi="Times New Roman"/>
        </w:rPr>
        <w:t>There is no payment to respondents.</w:t>
      </w:r>
    </w:p>
    <w:p w:rsidR="00BD3805" w:rsidRPr="00CF6A74" w:rsidRDefault="00BD3805" w:rsidP="006C15B4">
      <w:pPr>
        <w:tabs>
          <w:tab w:val="left" w:pos="-1440"/>
        </w:tabs>
        <w:ind w:left="720" w:hanging="720"/>
        <w:rPr>
          <w:rFonts w:ascii="Times New Roman" w:hAnsi="Times New Roman"/>
          <w:b/>
          <w:i/>
        </w:rPr>
      </w:pPr>
    </w:p>
    <w:p w:rsidR="00EA17EC" w:rsidRPr="00CF6A74" w:rsidRDefault="00EA17EC" w:rsidP="006C15B4">
      <w:pPr>
        <w:tabs>
          <w:tab w:val="left" w:pos="-1440"/>
        </w:tabs>
        <w:ind w:left="720" w:hanging="720"/>
        <w:rPr>
          <w:rFonts w:ascii="Times New Roman" w:hAnsi="Times New Roman"/>
          <w:b/>
          <w:i/>
        </w:rPr>
      </w:pPr>
      <w:r w:rsidRPr="00CF6A74">
        <w:rPr>
          <w:rFonts w:ascii="Times New Roman" w:hAnsi="Times New Roman"/>
          <w:b/>
          <w:i/>
        </w:rPr>
        <w:t>10.</w:t>
      </w:r>
      <w:r w:rsidRPr="00CF6A74">
        <w:rPr>
          <w:rFonts w:ascii="Times New Roman" w:hAnsi="Times New Roman"/>
          <w:b/>
          <w:i/>
        </w:rPr>
        <w:tab/>
        <w:t>Any assurance of confidentiality:</w:t>
      </w:r>
    </w:p>
    <w:p w:rsidR="00EA17EC" w:rsidRPr="00CF6A74" w:rsidRDefault="00EA17EC" w:rsidP="006C15B4">
      <w:pPr>
        <w:rPr>
          <w:rFonts w:ascii="Times New Roman" w:hAnsi="Times New Roman"/>
        </w:rPr>
      </w:pPr>
    </w:p>
    <w:p w:rsidR="00EA17EC" w:rsidRPr="00CF6A74" w:rsidRDefault="003B45B3" w:rsidP="006C15B4">
      <w:pPr>
        <w:ind w:firstLine="720"/>
        <w:rPr>
          <w:rFonts w:ascii="Times New Roman" w:hAnsi="Times New Roman"/>
        </w:rPr>
      </w:pPr>
      <w:r w:rsidRPr="00CF6A74">
        <w:rPr>
          <w:rFonts w:ascii="Times New Roman" w:hAnsi="Times New Roman"/>
        </w:rPr>
        <w:t>There is n</w:t>
      </w:r>
      <w:r w:rsidR="00EA17EC" w:rsidRPr="00CF6A74">
        <w:rPr>
          <w:rFonts w:ascii="Times New Roman" w:hAnsi="Times New Roman"/>
        </w:rPr>
        <w:t>o assurance of confidentiality</w:t>
      </w:r>
      <w:r w:rsidRPr="00CF6A74">
        <w:rPr>
          <w:rFonts w:ascii="Times New Roman" w:hAnsi="Times New Roman"/>
        </w:rPr>
        <w:t>.</w:t>
      </w:r>
      <w:r w:rsidR="00EA17EC" w:rsidRPr="00CF6A74">
        <w:rPr>
          <w:rFonts w:ascii="Times New Roman" w:hAnsi="Times New Roman"/>
        </w:rPr>
        <w:tab/>
      </w:r>
    </w:p>
    <w:p w:rsidR="00EA17EC" w:rsidRPr="00CF6A74" w:rsidRDefault="00EA17EC" w:rsidP="006C15B4">
      <w:pPr>
        <w:rPr>
          <w:rFonts w:ascii="Times New Roman" w:hAnsi="Times New Roman"/>
        </w:rPr>
      </w:pPr>
    </w:p>
    <w:p w:rsidR="00EA17EC" w:rsidRPr="00CF6A74" w:rsidRDefault="00EA17EC" w:rsidP="006C15B4">
      <w:pPr>
        <w:tabs>
          <w:tab w:val="left" w:pos="-1440"/>
        </w:tabs>
        <w:ind w:left="720" w:hanging="720"/>
        <w:rPr>
          <w:rFonts w:ascii="Times New Roman" w:hAnsi="Times New Roman"/>
          <w:b/>
          <w:i/>
        </w:rPr>
      </w:pPr>
      <w:r w:rsidRPr="00CF6A74">
        <w:rPr>
          <w:rFonts w:ascii="Times New Roman" w:hAnsi="Times New Roman"/>
          <w:b/>
          <w:i/>
        </w:rPr>
        <w:t>11.</w:t>
      </w:r>
      <w:r w:rsidRPr="00CF6A74">
        <w:rPr>
          <w:rFonts w:ascii="Times New Roman" w:hAnsi="Times New Roman"/>
          <w:b/>
          <w:i/>
        </w:rPr>
        <w:tab/>
        <w:t>Justification for questions of a sensitive nature:</w:t>
      </w:r>
    </w:p>
    <w:p w:rsidR="00EA17EC" w:rsidRPr="00CF6A74" w:rsidRDefault="00EA17EC" w:rsidP="006C15B4">
      <w:pPr>
        <w:rPr>
          <w:rFonts w:ascii="Times New Roman" w:hAnsi="Times New Roman"/>
        </w:rPr>
      </w:pPr>
    </w:p>
    <w:p w:rsidR="00FA5900" w:rsidRPr="00CF6A74" w:rsidRDefault="00D936AB" w:rsidP="006C15B4">
      <w:pPr>
        <w:ind w:firstLine="720"/>
        <w:rPr>
          <w:rFonts w:ascii="Times New Roman" w:hAnsi="Times New Roman"/>
        </w:rPr>
      </w:pPr>
      <w:r w:rsidRPr="00CF6A74">
        <w:rPr>
          <w:rFonts w:ascii="Times New Roman" w:hAnsi="Times New Roman"/>
        </w:rPr>
        <w:t>Not applicable</w:t>
      </w:r>
      <w:r w:rsidR="003B45B3" w:rsidRPr="00CF6A74">
        <w:rPr>
          <w:rFonts w:ascii="Times New Roman" w:hAnsi="Times New Roman"/>
        </w:rPr>
        <w:t>.</w:t>
      </w:r>
      <w:r w:rsidR="00DB3D9A" w:rsidRPr="00CF6A74">
        <w:rPr>
          <w:rFonts w:ascii="Times New Roman" w:hAnsi="Times New Roman"/>
        </w:rPr>
        <w:t xml:space="preserve">  No personally identifiable information is collected.</w:t>
      </w:r>
    </w:p>
    <w:p w:rsidR="006023E3" w:rsidRPr="00CF6A74" w:rsidRDefault="006023E3" w:rsidP="006C15B4">
      <w:pPr>
        <w:tabs>
          <w:tab w:val="left" w:pos="-1440"/>
        </w:tabs>
        <w:rPr>
          <w:rFonts w:ascii="Times New Roman" w:hAnsi="Times New Roman"/>
        </w:rPr>
      </w:pPr>
    </w:p>
    <w:p w:rsidR="00EA17EC" w:rsidRPr="00CF6A74" w:rsidRDefault="00EA17EC" w:rsidP="006C15B4">
      <w:pPr>
        <w:tabs>
          <w:tab w:val="left" w:pos="-1440"/>
        </w:tabs>
        <w:rPr>
          <w:rFonts w:ascii="Times New Roman" w:hAnsi="Times New Roman"/>
          <w:b/>
          <w:i/>
        </w:rPr>
      </w:pPr>
      <w:r w:rsidRPr="00CF6A74">
        <w:rPr>
          <w:rFonts w:ascii="Times New Roman" w:hAnsi="Times New Roman"/>
          <w:b/>
          <w:i/>
        </w:rPr>
        <w:t>12.</w:t>
      </w:r>
      <w:r w:rsidRPr="00CF6A74">
        <w:rPr>
          <w:rFonts w:ascii="Times New Roman" w:hAnsi="Times New Roman"/>
          <w:b/>
          <w:i/>
        </w:rPr>
        <w:tab/>
      </w:r>
      <w:r w:rsidR="00A04829" w:rsidRPr="00CF6A74">
        <w:rPr>
          <w:rFonts w:ascii="Times New Roman" w:hAnsi="Times New Roman"/>
          <w:b/>
          <w:i/>
        </w:rPr>
        <w:t xml:space="preserve">Estimate of Hour </w:t>
      </w:r>
      <w:r w:rsidRPr="00CF6A74">
        <w:rPr>
          <w:rFonts w:ascii="Times New Roman" w:hAnsi="Times New Roman"/>
          <w:b/>
          <w:i/>
        </w:rPr>
        <w:t xml:space="preserve">Burden </w:t>
      </w:r>
      <w:r w:rsidR="00A04829" w:rsidRPr="00CF6A74">
        <w:rPr>
          <w:rFonts w:ascii="Times New Roman" w:hAnsi="Times New Roman"/>
          <w:b/>
          <w:i/>
        </w:rPr>
        <w:t>Including Annualized Hourly Costs</w:t>
      </w:r>
      <w:r w:rsidRPr="00CF6A74">
        <w:rPr>
          <w:rFonts w:ascii="Times New Roman" w:hAnsi="Times New Roman"/>
          <w:b/>
          <w:i/>
        </w:rPr>
        <w:t>:</w:t>
      </w:r>
    </w:p>
    <w:p w:rsidR="004C718D" w:rsidRPr="00CF6A74" w:rsidRDefault="004C718D" w:rsidP="00F422EA">
      <w:pPr>
        <w:pStyle w:val="Default"/>
        <w:rPr>
          <w:i/>
          <w:iCs/>
        </w:rPr>
      </w:pPr>
    </w:p>
    <w:p w:rsidR="00F422EA" w:rsidRPr="00CF6A74" w:rsidRDefault="00E57182" w:rsidP="00F422EA">
      <w:pPr>
        <w:ind w:firstLine="720"/>
        <w:rPr>
          <w:rFonts w:ascii="Times New Roman" w:hAnsi="Times New Roman"/>
        </w:rPr>
      </w:pPr>
      <w:r w:rsidRPr="00CF6A74">
        <w:rPr>
          <w:rFonts w:ascii="Times New Roman" w:hAnsi="Times New Roman"/>
        </w:rPr>
        <w:t>F</w:t>
      </w:r>
      <w:r w:rsidR="00F422EA" w:rsidRPr="00CF6A74">
        <w:rPr>
          <w:rFonts w:ascii="Times New Roman" w:hAnsi="Times New Roman"/>
        </w:rPr>
        <w:t>or the Initial Appraisal Disclosure, the creditor is required to provide a short, written disclosure within three business days of application.  Because this disclosure is supplied by the federal government for purpose of disclosure to the public, this is not classified as an info</w:t>
      </w:r>
      <w:r w:rsidR="006B574D" w:rsidRPr="00CF6A74">
        <w:rPr>
          <w:rFonts w:ascii="Times New Roman" w:hAnsi="Times New Roman"/>
        </w:rPr>
        <w:t xml:space="preserve">rmation </w:t>
      </w:r>
      <w:proofErr w:type="gramStart"/>
      <w:r w:rsidR="006B574D" w:rsidRPr="00CF6A74">
        <w:rPr>
          <w:rFonts w:ascii="Times New Roman" w:hAnsi="Times New Roman"/>
        </w:rPr>
        <w:t>collection</w:t>
      </w:r>
      <w:proofErr w:type="gramEnd"/>
      <w:r w:rsidR="00F422EA" w:rsidRPr="00CF6A74">
        <w:rPr>
          <w:rFonts w:ascii="Times New Roman" w:hAnsi="Times New Roman"/>
        </w:rPr>
        <w:t xml:space="preserve">, and </w:t>
      </w:r>
      <w:r w:rsidR="00A11968" w:rsidRPr="00CF6A74">
        <w:rPr>
          <w:rFonts w:ascii="Times New Roman" w:hAnsi="Times New Roman"/>
        </w:rPr>
        <w:t>no burden is</w:t>
      </w:r>
      <w:r w:rsidR="00F422EA" w:rsidRPr="00CF6A74">
        <w:rPr>
          <w:rFonts w:ascii="Times New Roman" w:hAnsi="Times New Roman"/>
        </w:rPr>
        <w:t xml:space="preserve"> assigned </w:t>
      </w:r>
      <w:r w:rsidR="00A11968" w:rsidRPr="00CF6A74">
        <w:rPr>
          <w:rFonts w:ascii="Times New Roman" w:hAnsi="Times New Roman"/>
        </w:rPr>
        <w:t xml:space="preserve">to </w:t>
      </w:r>
      <w:r w:rsidR="00F422EA" w:rsidRPr="00CF6A74">
        <w:rPr>
          <w:rFonts w:ascii="Times New Roman" w:hAnsi="Times New Roman"/>
        </w:rPr>
        <w:t xml:space="preserve">it for purposes of this PRA analysis. </w:t>
      </w:r>
    </w:p>
    <w:p w:rsidR="004C718D" w:rsidRPr="00CF6A74" w:rsidRDefault="004C718D" w:rsidP="00F422EA">
      <w:pPr>
        <w:ind w:firstLine="720"/>
        <w:rPr>
          <w:rFonts w:ascii="Times New Roman" w:hAnsi="Times New Roman"/>
        </w:rPr>
      </w:pPr>
    </w:p>
    <w:p w:rsidR="00F422EA" w:rsidRPr="00CF6A74" w:rsidRDefault="00F422EA" w:rsidP="00F422EA">
      <w:pPr>
        <w:pStyle w:val="Default"/>
        <w:ind w:firstLine="720"/>
      </w:pPr>
      <w:r w:rsidRPr="00CF6A74">
        <w:t xml:space="preserve">The estimated burden for the Written Appraisal requirements includes the creditor’s burden of reviewing the Written Appraisal in order to satisfy the safe harbor criteria and providing a copy of the Written Appraisal to the consumer.  Additionally, an Additional Written Appraisal containing additional analyses is required in certain circumstances.  The Additional Written Appraisal must meet the standards of the Written Appraisal.  The Additional Written Appraisal is also required to be prepared by a certified or licensed appraiser different from the appraiser performing the Written Appraisal, and a copy of the Additional Written Appraisal must be provided to the consumer.  The creditor must separately review the Additional Written Appraisal in order to qualify for the safe harbor </w:t>
      </w:r>
      <w:r w:rsidR="00977994" w:rsidRPr="00CF6A74">
        <w:t>provision</w:t>
      </w:r>
      <w:r w:rsidRPr="00CF6A74">
        <w:t xml:space="preserve">.  </w:t>
      </w:r>
    </w:p>
    <w:p w:rsidR="004C718D" w:rsidRPr="00CF6A74" w:rsidRDefault="004C718D" w:rsidP="00F422EA">
      <w:pPr>
        <w:pStyle w:val="Default"/>
        <w:ind w:firstLine="720"/>
      </w:pPr>
    </w:p>
    <w:p w:rsidR="004C718D" w:rsidRPr="00CF6A74" w:rsidRDefault="00A11968" w:rsidP="00F422EA">
      <w:pPr>
        <w:pStyle w:val="Default"/>
        <w:ind w:firstLine="720"/>
      </w:pPr>
      <w:r w:rsidRPr="00CF6A74">
        <w:t>It is estimated</w:t>
      </w:r>
      <w:r w:rsidR="00F422EA" w:rsidRPr="00CF6A74">
        <w:t xml:space="preserve"> that respondents will take, on average, 15 minutes for each HPML to review the Written Appraisal and to provide a copy of the Written Appraisal.  </w:t>
      </w:r>
      <w:r w:rsidRPr="00CF6A74">
        <w:t>It is also estimated that</w:t>
      </w:r>
      <w:r w:rsidR="00F422EA" w:rsidRPr="00CF6A74">
        <w:t xml:space="preserve"> respondents will take, on average, 15 minutes for each HPML to investigate and verify the need for an Additional Written Appraisal and, where necessary, an additional 15 minutes to review the Additional Written Appraisal and to provide a copy of the Additional Written Appraisal.  For the small fraction of loans requiring an Additional Written Appraisal, the burden is similar to that of the Written Appraisal. </w:t>
      </w:r>
    </w:p>
    <w:p w:rsidR="00A11968" w:rsidRPr="00CF6A74" w:rsidRDefault="00A11968" w:rsidP="00F422EA">
      <w:pPr>
        <w:pStyle w:val="Default"/>
        <w:ind w:firstLine="720"/>
      </w:pPr>
    </w:p>
    <w:p w:rsidR="00690FB0" w:rsidRPr="00CF6A74" w:rsidRDefault="00B464E2" w:rsidP="00690FB0">
      <w:pPr>
        <w:pStyle w:val="Default"/>
      </w:pPr>
      <w:r w:rsidRPr="00CF6A74">
        <w:t>Exemption 1</w:t>
      </w:r>
    </w:p>
    <w:p w:rsidR="00690FB0" w:rsidRPr="00CF6A74" w:rsidRDefault="00690FB0" w:rsidP="00F422EA">
      <w:pPr>
        <w:pStyle w:val="Default"/>
        <w:ind w:firstLine="720"/>
      </w:pPr>
    </w:p>
    <w:p w:rsidR="00F422EA" w:rsidRPr="00CF6A74" w:rsidRDefault="00A11968" w:rsidP="00F422EA">
      <w:pPr>
        <w:ind w:firstLine="720"/>
        <w:rPr>
          <w:rFonts w:ascii="Times New Roman" w:hAnsi="Times New Roman"/>
        </w:rPr>
      </w:pPr>
      <w:r w:rsidRPr="00CF6A74">
        <w:rPr>
          <w:rFonts w:ascii="Times New Roman" w:hAnsi="Times New Roman"/>
        </w:rPr>
        <w:t>O</w:t>
      </w:r>
      <w:r w:rsidR="00F422EA" w:rsidRPr="00CF6A74">
        <w:rPr>
          <w:rFonts w:ascii="Times New Roman" w:hAnsi="Times New Roman"/>
        </w:rPr>
        <w:t xml:space="preserve">nly a small minority of refinances involve cash out beyond the levels permitted for this exemption.  </w:t>
      </w:r>
      <w:r w:rsidRPr="00CF6A74">
        <w:rPr>
          <w:rFonts w:ascii="Times New Roman" w:hAnsi="Times New Roman"/>
        </w:rPr>
        <w:t>Therefore,</w:t>
      </w:r>
      <w:r w:rsidR="00F422EA" w:rsidRPr="00CF6A74">
        <w:rPr>
          <w:rFonts w:ascii="Times New Roman" w:hAnsi="Times New Roman"/>
        </w:rPr>
        <w:t xml:space="preserve"> most refinance loans may qualify for this exemption.  </w:t>
      </w:r>
      <w:r w:rsidRPr="00CF6A74">
        <w:rPr>
          <w:rFonts w:ascii="Times New Roman" w:hAnsi="Times New Roman"/>
        </w:rPr>
        <w:t>It is assumed</w:t>
      </w:r>
      <w:r w:rsidR="00F422EA" w:rsidRPr="00CF6A74">
        <w:rPr>
          <w:rFonts w:ascii="Times New Roman" w:hAnsi="Times New Roman"/>
        </w:rPr>
        <w:t xml:space="preserve"> that the exemptio</w:t>
      </w:r>
      <w:r w:rsidR="003C42C2" w:rsidRPr="00CF6A74">
        <w:rPr>
          <w:rFonts w:ascii="Times New Roman" w:hAnsi="Times New Roman"/>
        </w:rPr>
        <w:t xml:space="preserve">n for certain refinances in the </w:t>
      </w:r>
      <w:r w:rsidR="009933AE" w:rsidRPr="00CF6A74">
        <w:rPr>
          <w:rFonts w:ascii="Times New Roman" w:hAnsi="Times New Roman"/>
        </w:rPr>
        <w:t>December 2013</w:t>
      </w:r>
      <w:r w:rsidR="003C42C2" w:rsidRPr="00CF6A74">
        <w:rPr>
          <w:rFonts w:ascii="Times New Roman" w:hAnsi="Times New Roman"/>
        </w:rPr>
        <w:t xml:space="preserve"> Final Rule</w:t>
      </w:r>
      <w:r w:rsidR="00F422EA" w:rsidRPr="00CF6A74">
        <w:rPr>
          <w:rFonts w:ascii="Times New Roman" w:hAnsi="Times New Roman"/>
        </w:rPr>
        <w:t xml:space="preserve"> affects all of the refinance loans analyzed under Section 1022(b)(2) of the </w:t>
      </w:r>
      <w:r w:rsidR="00823AA1" w:rsidRPr="00CF6A74">
        <w:rPr>
          <w:rFonts w:ascii="Times New Roman" w:hAnsi="Times New Roman"/>
        </w:rPr>
        <w:t>February</w:t>
      </w:r>
      <w:r w:rsidR="00F422EA" w:rsidRPr="00CF6A74">
        <w:rPr>
          <w:rFonts w:ascii="Times New Roman" w:hAnsi="Times New Roman"/>
        </w:rPr>
        <w:t xml:space="preserve"> 2013 Final Rule.  </w:t>
      </w:r>
      <w:r w:rsidR="00811BA4" w:rsidRPr="00CF6A74">
        <w:rPr>
          <w:rFonts w:ascii="Times New Roman" w:hAnsi="Times New Roman"/>
        </w:rPr>
        <w:t>It was</w:t>
      </w:r>
      <w:r w:rsidR="00F422EA" w:rsidRPr="00CF6A74">
        <w:rPr>
          <w:rFonts w:ascii="Times New Roman" w:hAnsi="Times New Roman"/>
        </w:rPr>
        <w:t xml:space="preserve"> estimated that a total of 3,800 new Written Appraisals would occur as a result of the </w:t>
      </w:r>
      <w:r w:rsidR="00823AA1" w:rsidRPr="00CF6A74">
        <w:rPr>
          <w:rFonts w:ascii="Times New Roman" w:hAnsi="Times New Roman"/>
        </w:rPr>
        <w:t>February</w:t>
      </w:r>
      <w:r w:rsidR="00F422EA" w:rsidRPr="00CF6A74">
        <w:rPr>
          <w:rFonts w:ascii="Times New Roman" w:hAnsi="Times New Roman"/>
        </w:rPr>
        <w:t xml:space="preserve"> 2013 Final Rule (including home purchase, home equity, and refinance loans).  In the </w:t>
      </w:r>
      <w:r w:rsidR="009933AE" w:rsidRPr="00CF6A74">
        <w:rPr>
          <w:rFonts w:ascii="Times New Roman" w:hAnsi="Times New Roman"/>
        </w:rPr>
        <w:t>December 2013</w:t>
      </w:r>
      <w:r w:rsidR="000A3B00" w:rsidRPr="00CF6A74">
        <w:rPr>
          <w:rFonts w:ascii="Times New Roman" w:hAnsi="Times New Roman"/>
        </w:rPr>
        <w:t xml:space="preserve"> Final Rule</w:t>
      </w:r>
      <w:r w:rsidR="00F422EA" w:rsidRPr="00CF6A74">
        <w:rPr>
          <w:rFonts w:ascii="Times New Roman" w:hAnsi="Times New Roman"/>
        </w:rPr>
        <w:t xml:space="preserve">, </w:t>
      </w:r>
      <w:r w:rsidR="00811BA4" w:rsidRPr="00CF6A74">
        <w:rPr>
          <w:rFonts w:ascii="Times New Roman" w:hAnsi="Times New Roman"/>
        </w:rPr>
        <w:t xml:space="preserve">it was estimated that </w:t>
      </w:r>
      <w:r w:rsidR="00F422EA" w:rsidRPr="00CF6A74">
        <w:rPr>
          <w:rFonts w:ascii="Times New Roman" w:hAnsi="Times New Roman"/>
        </w:rPr>
        <w:t xml:space="preserve">refinances would account for approximately 1,200 of these 3,800 new Written Appraisals that would occur as a result of the </w:t>
      </w:r>
      <w:r w:rsidR="00333E07" w:rsidRPr="00CF6A74">
        <w:rPr>
          <w:rFonts w:ascii="Times New Roman" w:hAnsi="Times New Roman"/>
        </w:rPr>
        <w:t>February</w:t>
      </w:r>
      <w:r w:rsidR="00F422EA" w:rsidRPr="00CF6A74">
        <w:rPr>
          <w:rFonts w:ascii="Times New Roman" w:hAnsi="Times New Roman"/>
        </w:rPr>
        <w:t xml:space="preserve"> 2013 Final Rule.  Thus, the exemption for certain refinances in </w:t>
      </w:r>
      <w:r w:rsidR="009933AE" w:rsidRPr="00CF6A74">
        <w:rPr>
          <w:rFonts w:ascii="Times New Roman" w:hAnsi="Times New Roman"/>
        </w:rPr>
        <w:t>December 2013</w:t>
      </w:r>
      <w:r w:rsidR="003C42C2" w:rsidRPr="00CF6A74">
        <w:rPr>
          <w:rFonts w:ascii="Times New Roman" w:hAnsi="Times New Roman"/>
        </w:rPr>
        <w:t xml:space="preserve"> Final Rule</w:t>
      </w:r>
      <w:r w:rsidR="00F422EA" w:rsidRPr="00CF6A74">
        <w:rPr>
          <w:rFonts w:ascii="Times New Roman" w:hAnsi="Times New Roman"/>
        </w:rPr>
        <w:t xml:space="preserve"> eliminate</w:t>
      </w:r>
      <w:r w:rsidR="000A3B00" w:rsidRPr="00CF6A74">
        <w:rPr>
          <w:rFonts w:ascii="Times New Roman" w:hAnsi="Times New Roman"/>
        </w:rPr>
        <w:t>d</w:t>
      </w:r>
      <w:r w:rsidR="00F422EA" w:rsidRPr="00CF6A74">
        <w:rPr>
          <w:rFonts w:ascii="Times New Roman" w:hAnsi="Times New Roman"/>
        </w:rPr>
        <w:t xml:space="preserve"> approximately 32 percent of the new Written Appraisals that were estimated to occur as a result of the </w:t>
      </w:r>
      <w:r w:rsidR="00333E07" w:rsidRPr="00CF6A74">
        <w:rPr>
          <w:rFonts w:ascii="Times New Roman" w:hAnsi="Times New Roman"/>
        </w:rPr>
        <w:t>February</w:t>
      </w:r>
      <w:r w:rsidR="00F422EA" w:rsidRPr="00CF6A74">
        <w:rPr>
          <w:rFonts w:ascii="Times New Roman" w:hAnsi="Times New Roman"/>
        </w:rPr>
        <w:t xml:space="preserve"> 2013 Final Rule. </w:t>
      </w:r>
    </w:p>
    <w:p w:rsidR="00B464E2" w:rsidRPr="00CF6A74" w:rsidRDefault="00B464E2" w:rsidP="00F422EA">
      <w:pPr>
        <w:ind w:firstLine="720"/>
        <w:rPr>
          <w:rFonts w:ascii="Times New Roman" w:hAnsi="Times New Roman"/>
        </w:rPr>
      </w:pPr>
    </w:p>
    <w:p w:rsidR="00B464E2" w:rsidRPr="00CF6A74" w:rsidRDefault="00B464E2" w:rsidP="00B464E2">
      <w:pPr>
        <w:rPr>
          <w:rFonts w:ascii="Times New Roman" w:hAnsi="Times New Roman"/>
        </w:rPr>
      </w:pPr>
      <w:r w:rsidRPr="00CF6A74">
        <w:rPr>
          <w:rFonts w:ascii="Times New Roman" w:hAnsi="Times New Roman"/>
        </w:rPr>
        <w:t>Exemption 2</w:t>
      </w:r>
    </w:p>
    <w:p w:rsidR="00CC6A75" w:rsidRPr="00CF6A74" w:rsidRDefault="00CC6A75" w:rsidP="00F422EA">
      <w:pPr>
        <w:ind w:firstLine="720"/>
        <w:rPr>
          <w:rFonts w:ascii="Times New Roman" w:hAnsi="Times New Roman"/>
        </w:rPr>
      </w:pPr>
    </w:p>
    <w:p w:rsidR="00F422EA" w:rsidRPr="00CF6A74" w:rsidRDefault="00B464E2" w:rsidP="00F422EA">
      <w:pPr>
        <w:pStyle w:val="Default"/>
        <w:ind w:firstLine="720"/>
      </w:pPr>
      <w:r w:rsidRPr="00CF6A74">
        <w:t>B</w:t>
      </w:r>
      <w:r w:rsidR="000A3B00" w:rsidRPr="00CF6A74">
        <w:t xml:space="preserve">ased on </w:t>
      </w:r>
      <w:r w:rsidR="00F422EA" w:rsidRPr="00CF6A74">
        <w:t>HMDA data, 12 percent of a</w:t>
      </w:r>
      <w:r w:rsidR="00A11968" w:rsidRPr="00CF6A74">
        <w:t>ll HPMLs are under $25,000.  This</w:t>
      </w:r>
      <w:r w:rsidR="00F422EA" w:rsidRPr="00CF6A74">
        <w:t xml:space="preserve"> implies that there will be, proportionately, 12 percent fewer appraisals based on the exemption for small dollar loans.</w:t>
      </w:r>
    </w:p>
    <w:p w:rsidR="00B464E2" w:rsidRPr="00CF6A74" w:rsidRDefault="00B464E2" w:rsidP="00F422EA">
      <w:pPr>
        <w:pStyle w:val="Default"/>
        <w:ind w:firstLine="720"/>
      </w:pPr>
    </w:p>
    <w:p w:rsidR="00B464E2" w:rsidRPr="00CF6A74" w:rsidRDefault="00B464E2" w:rsidP="00B464E2">
      <w:pPr>
        <w:pStyle w:val="Default"/>
      </w:pPr>
      <w:r w:rsidRPr="00CF6A74">
        <w:t>Exemption 3</w:t>
      </w:r>
    </w:p>
    <w:p w:rsidR="00CC6A75" w:rsidRPr="00CF6A74" w:rsidRDefault="00CC6A75" w:rsidP="00F422EA">
      <w:pPr>
        <w:pStyle w:val="Default"/>
        <w:ind w:firstLine="720"/>
      </w:pPr>
    </w:p>
    <w:p w:rsidR="00001AD7" w:rsidRPr="00CF6A74" w:rsidRDefault="00A11968" w:rsidP="00F422EA">
      <w:pPr>
        <w:pStyle w:val="Default"/>
        <w:ind w:firstLine="720"/>
      </w:pPr>
      <w:r w:rsidRPr="00CF6A74">
        <w:t>Many</w:t>
      </w:r>
      <w:r w:rsidR="00F422EA" w:rsidRPr="00CF6A74">
        <w:t xml:space="preserve"> of the transactions secured by</w:t>
      </w:r>
      <w:r w:rsidR="00F422EA" w:rsidRPr="00CF6A74">
        <w:rPr>
          <w:b/>
        </w:rPr>
        <w:t xml:space="preserve"> </w:t>
      </w:r>
      <w:r w:rsidR="00F422EA" w:rsidRPr="00CF6A74">
        <w:t>manufactured homes involve either refinances (all of which are conservatively assumed to be covered by the exemption for certain refinances), or smaller dollar loans (which cover many types of manufactured housing transactions).</w:t>
      </w:r>
      <w:r w:rsidR="00F422EA" w:rsidRPr="00CF6A74">
        <w:rPr>
          <w:vertAlign w:val="superscript"/>
        </w:rPr>
        <w:t xml:space="preserve"> </w:t>
      </w:r>
      <w:r w:rsidR="00F422EA" w:rsidRPr="00CF6A74">
        <w:t xml:space="preserve"> While covered HPMLs above smaller dollar levels that are secured by existing manufactured homes and not land may be newly-exempted, these transactions will need alternative valuations under the </w:t>
      </w:r>
      <w:r w:rsidR="00F25023" w:rsidRPr="00CF6A74">
        <w:t>February 2013 Final Rule</w:t>
      </w:r>
      <w:r w:rsidR="00F422EA" w:rsidRPr="00CF6A74">
        <w:t xml:space="preserve">.  In addition, such loans secured by new manufactured homes and not land also will need alternative valuations.  </w:t>
      </w:r>
      <w:r w:rsidR="00F22226" w:rsidRPr="00CF6A74">
        <w:t>S</w:t>
      </w:r>
      <w:r w:rsidR="00F422EA" w:rsidRPr="00CF6A74">
        <w:t xml:space="preserve">uch loans secured by new manufactured homes and land will need an appraisal.  </w:t>
      </w:r>
    </w:p>
    <w:p w:rsidR="000A3B00" w:rsidRPr="00CF6A74" w:rsidRDefault="000A3B00" w:rsidP="00F422EA">
      <w:pPr>
        <w:pStyle w:val="Default"/>
        <w:ind w:firstLine="720"/>
        <w:rPr>
          <w:b/>
        </w:rPr>
      </w:pPr>
    </w:p>
    <w:p w:rsidR="0006747A" w:rsidRPr="00CF6A74" w:rsidRDefault="0006747A">
      <w:pPr>
        <w:rPr>
          <w:rFonts w:ascii="Times New Roman" w:hAnsi="Times New Roman"/>
        </w:rPr>
      </w:pPr>
      <w:r w:rsidRPr="00CF6A74">
        <w:rPr>
          <w:rFonts w:ascii="Times New Roman" w:hAnsi="Times New Roman"/>
        </w:rPr>
        <w:br w:type="page"/>
      </w:r>
    </w:p>
    <w:tbl>
      <w:tblPr>
        <w:tblW w:w="0" w:type="auto"/>
        <w:tblLayout w:type="fixed"/>
        <w:tblLook w:val="04A0" w:firstRow="1" w:lastRow="0" w:firstColumn="1" w:lastColumn="0" w:noHBand="0" w:noVBand="1"/>
      </w:tblPr>
      <w:tblGrid>
        <w:gridCol w:w="3888"/>
        <w:gridCol w:w="1350"/>
        <w:gridCol w:w="1260"/>
        <w:gridCol w:w="1170"/>
        <w:gridCol w:w="1468"/>
      </w:tblGrid>
      <w:tr w:rsidR="00F422EA" w:rsidRPr="00CF6A74" w:rsidTr="00836A14">
        <w:trPr>
          <w:trHeight w:val="90"/>
        </w:trPr>
        <w:tc>
          <w:tcPr>
            <w:tcW w:w="9136" w:type="dxa"/>
            <w:gridSpan w:val="5"/>
            <w:tcBorders>
              <w:top w:val="nil"/>
              <w:left w:val="nil"/>
              <w:bottom w:val="single" w:sz="4" w:space="0" w:color="auto"/>
              <w:right w:val="nil"/>
            </w:tcBorders>
          </w:tcPr>
          <w:p w:rsidR="00F422EA" w:rsidRPr="00CF6A74" w:rsidRDefault="00F422EA" w:rsidP="00836A14">
            <w:pPr>
              <w:pStyle w:val="Default"/>
              <w:rPr>
                <w:i/>
                <w:iCs/>
              </w:rPr>
            </w:pPr>
          </w:p>
          <w:p w:rsidR="00F422EA" w:rsidRPr="00CF6A74" w:rsidRDefault="00F422EA" w:rsidP="00836A14">
            <w:pPr>
              <w:pStyle w:val="Default"/>
              <w:rPr>
                <w:i/>
                <w:iCs/>
              </w:rPr>
            </w:pPr>
          </w:p>
          <w:p w:rsidR="00F422EA" w:rsidRPr="00CF6A74" w:rsidRDefault="00F422EA" w:rsidP="000A3B00">
            <w:pPr>
              <w:pStyle w:val="Default"/>
            </w:pPr>
            <w:r w:rsidRPr="00CF6A74">
              <w:rPr>
                <w:b/>
                <w:bCs/>
              </w:rPr>
              <w:t>Summary of PRA Burden Hours</w:t>
            </w:r>
          </w:p>
        </w:tc>
      </w:tr>
      <w:tr w:rsidR="00F422EA" w:rsidRPr="00CF6A74" w:rsidTr="00836A14">
        <w:trPr>
          <w:trHeight w:val="309"/>
        </w:trPr>
        <w:tc>
          <w:tcPr>
            <w:tcW w:w="3888" w:type="dxa"/>
            <w:tcBorders>
              <w:top w:val="single" w:sz="4" w:space="0" w:color="auto"/>
              <w:left w:val="nil"/>
              <w:bottom w:val="nil"/>
              <w:right w:val="nil"/>
            </w:tcBorders>
            <w:vAlign w:val="center"/>
          </w:tcPr>
          <w:p w:rsidR="00F422EA" w:rsidRPr="00CF6A74" w:rsidRDefault="00F422EA" w:rsidP="00836A14">
            <w:pPr>
              <w:pStyle w:val="Default"/>
              <w:jc w:val="center"/>
            </w:pPr>
          </w:p>
        </w:tc>
        <w:tc>
          <w:tcPr>
            <w:tcW w:w="1350" w:type="dxa"/>
            <w:tcBorders>
              <w:top w:val="single" w:sz="4" w:space="0" w:color="auto"/>
              <w:left w:val="nil"/>
              <w:bottom w:val="nil"/>
              <w:right w:val="nil"/>
            </w:tcBorders>
            <w:vAlign w:val="center"/>
            <w:hideMark/>
          </w:tcPr>
          <w:p w:rsidR="00F422EA" w:rsidRPr="00CF6A74" w:rsidRDefault="00F422EA" w:rsidP="00836A14">
            <w:pPr>
              <w:pStyle w:val="Default"/>
              <w:jc w:val="center"/>
            </w:pPr>
            <w:r w:rsidRPr="00CF6A74">
              <w:t>Estimated Number of Respondents</w:t>
            </w:r>
          </w:p>
        </w:tc>
        <w:tc>
          <w:tcPr>
            <w:tcW w:w="1260" w:type="dxa"/>
            <w:tcBorders>
              <w:top w:val="single" w:sz="4" w:space="0" w:color="auto"/>
              <w:left w:val="nil"/>
              <w:bottom w:val="nil"/>
              <w:right w:val="nil"/>
            </w:tcBorders>
            <w:vAlign w:val="center"/>
            <w:hideMark/>
          </w:tcPr>
          <w:p w:rsidR="00F422EA" w:rsidRPr="00CF6A74" w:rsidRDefault="00F422EA" w:rsidP="000A3B00">
            <w:pPr>
              <w:pStyle w:val="Default"/>
              <w:jc w:val="center"/>
            </w:pPr>
            <w:r w:rsidRPr="00CF6A74">
              <w:t>Estimated Number of  Appraisals Per Respondent</w:t>
            </w:r>
          </w:p>
        </w:tc>
        <w:tc>
          <w:tcPr>
            <w:tcW w:w="1170" w:type="dxa"/>
            <w:tcBorders>
              <w:top w:val="single" w:sz="4" w:space="0" w:color="auto"/>
              <w:left w:val="nil"/>
              <w:bottom w:val="nil"/>
              <w:right w:val="nil"/>
            </w:tcBorders>
            <w:vAlign w:val="center"/>
            <w:hideMark/>
          </w:tcPr>
          <w:p w:rsidR="00F422EA" w:rsidRPr="00CF6A74" w:rsidRDefault="00F422EA" w:rsidP="00836A14">
            <w:pPr>
              <w:pStyle w:val="Default"/>
              <w:jc w:val="center"/>
            </w:pPr>
            <w:r w:rsidRPr="00CF6A74">
              <w:t>Estimated Burden Hours Per Appraisal</w:t>
            </w:r>
          </w:p>
        </w:tc>
        <w:tc>
          <w:tcPr>
            <w:tcW w:w="1468" w:type="dxa"/>
            <w:tcBorders>
              <w:top w:val="single" w:sz="4" w:space="0" w:color="auto"/>
              <w:left w:val="nil"/>
              <w:bottom w:val="nil"/>
              <w:right w:val="nil"/>
            </w:tcBorders>
            <w:vAlign w:val="center"/>
            <w:hideMark/>
          </w:tcPr>
          <w:p w:rsidR="00F422EA" w:rsidRPr="00CF6A74" w:rsidRDefault="00F422EA" w:rsidP="00836A14">
            <w:pPr>
              <w:pStyle w:val="Default"/>
              <w:jc w:val="center"/>
            </w:pPr>
            <w:r w:rsidRPr="00CF6A74">
              <w:t>Estimated Total Annual Burden Hours</w:t>
            </w:r>
            <w:r w:rsidR="00171270" w:rsidRPr="00CF6A74">
              <w:rPr>
                <w:rStyle w:val="FootnoteReference"/>
                <w:vertAlign w:val="superscript"/>
              </w:rPr>
              <w:footnoteReference w:id="6"/>
            </w:r>
          </w:p>
        </w:tc>
      </w:tr>
      <w:tr w:rsidR="00F422EA" w:rsidRPr="00CF6A74" w:rsidTr="00836A14">
        <w:trPr>
          <w:trHeight w:val="90"/>
        </w:trPr>
        <w:tc>
          <w:tcPr>
            <w:tcW w:w="3888" w:type="dxa"/>
            <w:tcBorders>
              <w:top w:val="nil"/>
              <w:left w:val="nil"/>
              <w:bottom w:val="single" w:sz="4" w:space="0" w:color="auto"/>
              <w:right w:val="nil"/>
            </w:tcBorders>
            <w:vAlign w:val="center"/>
          </w:tcPr>
          <w:p w:rsidR="00F422EA" w:rsidRPr="00CF6A74" w:rsidRDefault="00F422EA" w:rsidP="00836A14">
            <w:pPr>
              <w:pStyle w:val="Default"/>
              <w:jc w:val="center"/>
            </w:pPr>
          </w:p>
        </w:tc>
        <w:tc>
          <w:tcPr>
            <w:tcW w:w="1350" w:type="dxa"/>
            <w:tcBorders>
              <w:top w:val="nil"/>
              <w:left w:val="nil"/>
              <w:bottom w:val="single" w:sz="4" w:space="0" w:color="auto"/>
              <w:right w:val="nil"/>
            </w:tcBorders>
            <w:vAlign w:val="center"/>
            <w:hideMark/>
          </w:tcPr>
          <w:p w:rsidR="00F422EA" w:rsidRPr="00CF6A74" w:rsidRDefault="00F422EA" w:rsidP="00836A14">
            <w:pPr>
              <w:pStyle w:val="Default"/>
              <w:jc w:val="center"/>
            </w:pPr>
            <w:r w:rsidRPr="00CF6A74">
              <w:t>[a]</w:t>
            </w:r>
          </w:p>
        </w:tc>
        <w:tc>
          <w:tcPr>
            <w:tcW w:w="1260" w:type="dxa"/>
            <w:tcBorders>
              <w:top w:val="nil"/>
              <w:left w:val="nil"/>
              <w:bottom w:val="single" w:sz="4" w:space="0" w:color="auto"/>
              <w:right w:val="nil"/>
            </w:tcBorders>
            <w:vAlign w:val="center"/>
            <w:hideMark/>
          </w:tcPr>
          <w:p w:rsidR="00F422EA" w:rsidRPr="00CF6A74" w:rsidRDefault="00F422EA" w:rsidP="00836A14">
            <w:pPr>
              <w:pStyle w:val="Default"/>
              <w:jc w:val="center"/>
            </w:pPr>
            <w:r w:rsidRPr="00CF6A74">
              <w:t>[b]</w:t>
            </w:r>
          </w:p>
        </w:tc>
        <w:tc>
          <w:tcPr>
            <w:tcW w:w="1170" w:type="dxa"/>
            <w:tcBorders>
              <w:top w:val="nil"/>
              <w:left w:val="nil"/>
              <w:bottom w:val="single" w:sz="4" w:space="0" w:color="auto"/>
              <w:right w:val="nil"/>
            </w:tcBorders>
            <w:vAlign w:val="center"/>
            <w:hideMark/>
          </w:tcPr>
          <w:p w:rsidR="00F422EA" w:rsidRPr="00CF6A74" w:rsidRDefault="00F422EA" w:rsidP="00836A14">
            <w:pPr>
              <w:pStyle w:val="Default"/>
              <w:jc w:val="center"/>
            </w:pPr>
            <w:r w:rsidRPr="00CF6A74">
              <w:t>[c]</w:t>
            </w:r>
          </w:p>
        </w:tc>
        <w:tc>
          <w:tcPr>
            <w:tcW w:w="1468" w:type="dxa"/>
            <w:tcBorders>
              <w:top w:val="nil"/>
              <w:left w:val="nil"/>
              <w:bottom w:val="single" w:sz="4" w:space="0" w:color="auto"/>
              <w:right w:val="nil"/>
            </w:tcBorders>
            <w:vAlign w:val="center"/>
            <w:hideMark/>
          </w:tcPr>
          <w:p w:rsidR="00F422EA" w:rsidRPr="00CF6A74" w:rsidRDefault="00F422EA" w:rsidP="00836A14">
            <w:pPr>
              <w:pStyle w:val="Default"/>
              <w:jc w:val="center"/>
            </w:pPr>
            <w:r w:rsidRPr="00CF6A74">
              <w:t>[d] = (a*b*c)</w:t>
            </w:r>
          </w:p>
        </w:tc>
      </w:tr>
      <w:tr w:rsidR="00F422EA" w:rsidRPr="00CF6A74" w:rsidTr="00836A14">
        <w:trPr>
          <w:trHeight w:val="90"/>
        </w:trPr>
        <w:tc>
          <w:tcPr>
            <w:tcW w:w="9136" w:type="dxa"/>
            <w:gridSpan w:val="5"/>
            <w:tcBorders>
              <w:top w:val="single" w:sz="4" w:space="0" w:color="auto"/>
              <w:left w:val="nil"/>
              <w:bottom w:val="single" w:sz="4" w:space="0" w:color="auto"/>
              <w:right w:val="nil"/>
            </w:tcBorders>
            <w:vAlign w:val="center"/>
            <w:hideMark/>
          </w:tcPr>
          <w:p w:rsidR="00F422EA" w:rsidRPr="00CF6A74" w:rsidRDefault="00F422EA" w:rsidP="00836A14">
            <w:pPr>
              <w:pStyle w:val="Default"/>
              <w:jc w:val="center"/>
            </w:pPr>
            <w:r w:rsidRPr="00CF6A74">
              <w:rPr>
                <w:b/>
                <w:bCs/>
              </w:rPr>
              <w:t>Review and Provide a Copy of Written Appraisal</w:t>
            </w:r>
          </w:p>
        </w:tc>
      </w:tr>
      <w:tr w:rsidR="00F422EA" w:rsidRPr="00CF6A74" w:rsidTr="00483695">
        <w:trPr>
          <w:trHeight w:val="200"/>
        </w:trPr>
        <w:tc>
          <w:tcPr>
            <w:tcW w:w="3888" w:type="dxa"/>
            <w:tcBorders>
              <w:top w:val="single" w:sz="4" w:space="0" w:color="auto"/>
              <w:left w:val="nil"/>
              <w:bottom w:val="nil"/>
              <w:right w:val="nil"/>
            </w:tcBorders>
            <w:vAlign w:val="bottom"/>
          </w:tcPr>
          <w:p w:rsidR="00F422EA" w:rsidRPr="00CF6A74" w:rsidRDefault="00F422EA" w:rsidP="00836A14">
            <w:pPr>
              <w:pStyle w:val="Default"/>
            </w:pPr>
          </w:p>
        </w:tc>
        <w:tc>
          <w:tcPr>
            <w:tcW w:w="1350" w:type="dxa"/>
            <w:tcBorders>
              <w:top w:val="single" w:sz="4" w:space="0" w:color="auto"/>
              <w:left w:val="nil"/>
              <w:bottom w:val="nil"/>
              <w:right w:val="nil"/>
            </w:tcBorders>
            <w:vAlign w:val="bottom"/>
          </w:tcPr>
          <w:p w:rsidR="00F422EA" w:rsidRPr="00CF6A74" w:rsidRDefault="00F422EA" w:rsidP="00836A14">
            <w:pPr>
              <w:pStyle w:val="Default"/>
              <w:jc w:val="center"/>
            </w:pPr>
          </w:p>
        </w:tc>
        <w:tc>
          <w:tcPr>
            <w:tcW w:w="1260" w:type="dxa"/>
            <w:tcBorders>
              <w:top w:val="single" w:sz="4" w:space="0" w:color="auto"/>
              <w:left w:val="nil"/>
              <w:bottom w:val="nil"/>
              <w:right w:val="nil"/>
            </w:tcBorders>
            <w:vAlign w:val="bottom"/>
          </w:tcPr>
          <w:p w:rsidR="00F422EA" w:rsidRPr="00CF6A74" w:rsidRDefault="00F422EA" w:rsidP="00836A14">
            <w:pPr>
              <w:pStyle w:val="Default"/>
            </w:pPr>
          </w:p>
        </w:tc>
        <w:tc>
          <w:tcPr>
            <w:tcW w:w="1170" w:type="dxa"/>
            <w:tcBorders>
              <w:top w:val="single" w:sz="4" w:space="0" w:color="auto"/>
              <w:left w:val="nil"/>
              <w:bottom w:val="nil"/>
              <w:right w:val="nil"/>
            </w:tcBorders>
            <w:vAlign w:val="bottom"/>
          </w:tcPr>
          <w:p w:rsidR="00F422EA" w:rsidRPr="00CF6A74" w:rsidRDefault="00F422EA" w:rsidP="00836A14">
            <w:pPr>
              <w:pStyle w:val="Default"/>
              <w:jc w:val="center"/>
            </w:pPr>
          </w:p>
        </w:tc>
        <w:tc>
          <w:tcPr>
            <w:tcW w:w="1468" w:type="dxa"/>
            <w:tcBorders>
              <w:top w:val="single" w:sz="4" w:space="0" w:color="auto"/>
              <w:left w:val="nil"/>
              <w:bottom w:val="nil"/>
              <w:right w:val="nil"/>
            </w:tcBorders>
            <w:vAlign w:val="bottom"/>
          </w:tcPr>
          <w:p w:rsidR="00F422EA" w:rsidRPr="00CF6A74" w:rsidRDefault="00F422EA" w:rsidP="00836A14">
            <w:pPr>
              <w:pStyle w:val="Default"/>
              <w:jc w:val="center"/>
            </w:pPr>
          </w:p>
        </w:tc>
      </w:tr>
      <w:tr w:rsidR="00F422EA" w:rsidRPr="00CF6A74" w:rsidTr="00483695">
        <w:trPr>
          <w:trHeight w:val="91"/>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483695">
        <w:trPr>
          <w:trHeight w:val="91"/>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483695">
        <w:trPr>
          <w:trHeight w:val="114"/>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836A14">
        <w:trPr>
          <w:trHeight w:val="91"/>
        </w:trPr>
        <w:tc>
          <w:tcPr>
            <w:tcW w:w="3888" w:type="dxa"/>
            <w:vAlign w:val="bottom"/>
            <w:hideMark/>
          </w:tcPr>
          <w:p w:rsidR="00F422EA" w:rsidRPr="00CF6A74" w:rsidRDefault="00F422EA" w:rsidP="00836A14">
            <w:pPr>
              <w:pStyle w:val="Default"/>
            </w:pPr>
          </w:p>
        </w:tc>
        <w:tc>
          <w:tcPr>
            <w:tcW w:w="1350" w:type="dxa"/>
            <w:vAlign w:val="bottom"/>
            <w:hideMark/>
          </w:tcPr>
          <w:p w:rsidR="00F422EA" w:rsidRPr="00CF6A74" w:rsidRDefault="00F422EA" w:rsidP="00836A14">
            <w:pPr>
              <w:pStyle w:val="Default"/>
              <w:jc w:val="center"/>
            </w:pPr>
            <w:r w:rsidRPr="00CF6A74">
              <w:t>1,399</w:t>
            </w:r>
          </w:p>
        </w:tc>
        <w:tc>
          <w:tcPr>
            <w:tcW w:w="1260" w:type="dxa"/>
            <w:vAlign w:val="bottom"/>
            <w:hideMark/>
          </w:tcPr>
          <w:p w:rsidR="00F422EA" w:rsidRPr="00CF6A74" w:rsidRDefault="00F422EA" w:rsidP="00836A14">
            <w:pPr>
              <w:pStyle w:val="Default"/>
            </w:pPr>
            <w:r w:rsidRPr="00CF6A74">
              <w:t xml:space="preserve">      0.16</w:t>
            </w:r>
          </w:p>
        </w:tc>
        <w:tc>
          <w:tcPr>
            <w:tcW w:w="1170" w:type="dxa"/>
            <w:vAlign w:val="bottom"/>
            <w:hideMark/>
          </w:tcPr>
          <w:p w:rsidR="00F422EA" w:rsidRPr="00CF6A74" w:rsidRDefault="00F422EA" w:rsidP="00836A14">
            <w:pPr>
              <w:pStyle w:val="Default"/>
              <w:jc w:val="center"/>
            </w:pPr>
            <w:r w:rsidRPr="00CF6A74">
              <w:t>0.25</w:t>
            </w:r>
          </w:p>
        </w:tc>
        <w:tc>
          <w:tcPr>
            <w:tcW w:w="1468" w:type="dxa"/>
            <w:vAlign w:val="bottom"/>
            <w:hideMark/>
          </w:tcPr>
          <w:p w:rsidR="00F422EA" w:rsidRPr="00CF6A74" w:rsidRDefault="00F422EA" w:rsidP="00836A14">
            <w:pPr>
              <w:pStyle w:val="Default"/>
              <w:jc w:val="center"/>
              <w:rPr>
                <w:b/>
              </w:rPr>
            </w:pPr>
            <w:r w:rsidRPr="00CF6A74">
              <w:t xml:space="preserve">   </w:t>
            </w:r>
            <w:r w:rsidRPr="00CF6A74">
              <w:rPr>
                <w:b/>
              </w:rPr>
              <w:t>55</w:t>
            </w:r>
          </w:p>
        </w:tc>
      </w:tr>
      <w:tr w:rsidR="00F422EA" w:rsidRPr="00CF6A74" w:rsidTr="00483695">
        <w:trPr>
          <w:trHeight w:val="91"/>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483695">
        <w:trPr>
          <w:trHeight w:val="91"/>
        </w:trPr>
        <w:tc>
          <w:tcPr>
            <w:tcW w:w="3888" w:type="dxa"/>
            <w:tcBorders>
              <w:top w:val="nil"/>
              <w:left w:val="nil"/>
              <w:bottom w:val="single" w:sz="4" w:space="0" w:color="auto"/>
              <w:right w:val="nil"/>
            </w:tcBorders>
            <w:vAlign w:val="bottom"/>
          </w:tcPr>
          <w:p w:rsidR="00F422EA" w:rsidRPr="00CF6A74" w:rsidRDefault="00F422EA" w:rsidP="00836A14">
            <w:pPr>
              <w:pStyle w:val="Default"/>
            </w:pPr>
          </w:p>
        </w:tc>
        <w:tc>
          <w:tcPr>
            <w:tcW w:w="1350" w:type="dxa"/>
            <w:tcBorders>
              <w:top w:val="nil"/>
              <w:left w:val="nil"/>
              <w:bottom w:val="single" w:sz="4" w:space="0" w:color="auto"/>
              <w:right w:val="nil"/>
            </w:tcBorders>
            <w:vAlign w:val="bottom"/>
          </w:tcPr>
          <w:p w:rsidR="00F422EA" w:rsidRPr="00CF6A74" w:rsidRDefault="00F422EA" w:rsidP="00836A14">
            <w:pPr>
              <w:pStyle w:val="Default"/>
              <w:jc w:val="center"/>
            </w:pPr>
          </w:p>
        </w:tc>
        <w:tc>
          <w:tcPr>
            <w:tcW w:w="1260" w:type="dxa"/>
            <w:tcBorders>
              <w:top w:val="nil"/>
              <w:left w:val="nil"/>
              <w:bottom w:val="single" w:sz="4" w:space="0" w:color="auto"/>
              <w:right w:val="nil"/>
            </w:tcBorders>
            <w:vAlign w:val="bottom"/>
          </w:tcPr>
          <w:p w:rsidR="00F422EA" w:rsidRPr="00CF6A74" w:rsidRDefault="00F422EA" w:rsidP="00836A14">
            <w:pPr>
              <w:pStyle w:val="Default"/>
              <w:jc w:val="center"/>
            </w:pPr>
          </w:p>
        </w:tc>
        <w:tc>
          <w:tcPr>
            <w:tcW w:w="1170" w:type="dxa"/>
            <w:tcBorders>
              <w:top w:val="nil"/>
              <w:left w:val="nil"/>
              <w:bottom w:val="single" w:sz="4" w:space="0" w:color="auto"/>
              <w:right w:val="nil"/>
            </w:tcBorders>
            <w:vAlign w:val="bottom"/>
          </w:tcPr>
          <w:p w:rsidR="00F422EA" w:rsidRPr="00CF6A74" w:rsidRDefault="00F422EA" w:rsidP="00836A14">
            <w:pPr>
              <w:pStyle w:val="Default"/>
              <w:jc w:val="center"/>
            </w:pPr>
          </w:p>
        </w:tc>
        <w:tc>
          <w:tcPr>
            <w:tcW w:w="1468" w:type="dxa"/>
            <w:tcBorders>
              <w:top w:val="nil"/>
              <w:left w:val="nil"/>
              <w:bottom w:val="single" w:sz="4" w:space="0" w:color="auto"/>
              <w:right w:val="nil"/>
            </w:tcBorders>
            <w:vAlign w:val="bottom"/>
          </w:tcPr>
          <w:p w:rsidR="00F422EA" w:rsidRPr="00CF6A74" w:rsidRDefault="00F422EA" w:rsidP="00836A14">
            <w:pPr>
              <w:pStyle w:val="Default"/>
              <w:jc w:val="center"/>
            </w:pPr>
          </w:p>
        </w:tc>
      </w:tr>
      <w:tr w:rsidR="00F422EA" w:rsidRPr="00CF6A74" w:rsidTr="00836A14">
        <w:trPr>
          <w:trHeight w:val="90"/>
        </w:trPr>
        <w:tc>
          <w:tcPr>
            <w:tcW w:w="9136" w:type="dxa"/>
            <w:gridSpan w:val="5"/>
            <w:tcBorders>
              <w:top w:val="single" w:sz="4" w:space="0" w:color="auto"/>
              <w:left w:val="nil"/>
              <w:bottom w:val="single" w:sz="4" w:space="0" w:color="auto"/>
              <w:right w:val="nil"/>
            </w:tcBorders>
            <w:vAlign w:val="center"/>
            <w:hideMark/>
          </w:tcPr>
          <w:p w:rsidR="00F422EA" w:rsidRPr="00CF6A74" w:rsidRDefault="00F422EA" w:rsidP="00836A14">
            <w:pPr>
              <w:pStyle w:val="Default"/>
              <w:jc w:val="center"/>
            </w:pPr>
            <w:r w:rsidRPr="00CF6A74">
              <w:rPr>
                <w:b/>
                <w:bCs/>
              </w:rPr>
              <w:t>Investigate and Verify Requirement for Additional Written Appraisal</w:t>
            </w:r>
          </w:p>
        </w:tc>
      </w:tr>
      <w:tr w:rsidR="00F422EA" w:rsidRPr="00CF6A74" w:rsidTr="00483695">
        <w:trPr>
          <w:trHeight w:val="199"/>
        </w:trPr>
        <w:tc>
          <w:tcPr>
            <w:tcW w:w="3888" w:type="dxa"/>
            <w:tcBorders>
              <w:top w:val="single" w:sz="4" w:space="0" w:color="auto"/>
              <w:left w:val="nil"/>
              <w:bottom w:val="nil"/>
              <w:right w:val="nil"/>
            </w:tcBorders>
            <w:vAlign w:val="bottom"/>
          </w:tcPr>
          <w:p w:rsidR="00F422EA" w:rsidRPr="00CF6A74" w:rsidRDefault="00F422EA" w:rsidP="00836A14">
            <w:pPr>
              <w:pStyle w:val="Default"/>
            </w:pPr>
          </w:p>
        </w:tc>
        <w:tc>
          <w:tcPr>
            <w:tcW w:w="1350" w:type="dxa"/>
            <w:tcBorders>
              <w:top w:val="single" w:sz="4" w:space="0" w:color="auto"/>
              <w:left w:val="nil"/>
              <w:bottom w:val="nil"/>
              <w:right w:val="nil"/>
            </w:tcBorders>
            <w:vAlign w:val="bottom"/>
          </w:tcPr>
          <w:p w:rsidR="00F422EA" w:rsidRPr="00CF6A74" w:rsidRDefault="00F422EA" w:rsidP="00836A14">
            <w:pPr>
              <w:pStyle w:val="Default"/>
              <w:jc w:val="center"/>
            </w:pPr>
          </w:p>
        </w:tc>
        <w:tc>
          <w:tcPr>
            <w:tcW w:w="1260" w:type="dxa"/>
            <w:tcBorders>
              <w:top w:val="single" w:sz="4" w:space="0" w:color="auto"/>
              <w:left w:val="nil"/>
              <w:bottom w:val="nil"/>
              <w:right w:val="nil"/>
            </w:tcBorders>
            <w:vAlign w:val="bottom"/>
          </w:tcPr>
          <w:p w:rsidR="00F422EA" w:rsidRPr="00CF6A74" w:rsidRDefault="00F422EA" w:rsidP="00836A14">
            <w:pPr>
              <w:pStyle w:val="Default"/>
            </w:pPr>
          </w:p>
        </w:tc>
        <w:tc>
          <w:tcPr>
            <w:tcW w:w="1170" w:type="dxa"/>
            <w:tcBorders>
              <w:top w:val="single" w:sz="4" w:space="0" w:color="auto"/>
              <w:left w:val="nil"/>
              <w:bottom w:val="nil"/>
              <w:right w:val="nil"/>
            </w:tcBorders>
            <w:vAlign w:val="bottom"/>
          </w:tcPr>
          <w:p w:rsidR="00F422EA" w:rsidRPr="00CF6A74" w:rsidRDefault="00F422EA" w:rsidP="00836A14">
            <w:pPr>
              <w:pStyle w:val="Default"/>
              <w:jc w:val="center"/>
            </w:pPr>
          </w:p>
        </w:tc>
        <w:tc>
          <w:tcPr>
            <w:tcW w:w="1468" w:type="dxa"/>
            <w:tcBorders>
              <w:top w:val="single" w:sz="4" w:space="0" w:color="auto"/>
              <w:left w:val="nil"/>
              <w:bottom w:val="nil"/>
              <w:right w:val="nil"/>
            </w:tcBorders>
            <w:vAlign w:val="bottom"/>
          </w:tcPr>
          <w:p w:rsidR="00F422EA" w:rsidRPr="00CF6A74" w:rsidRDefault="00F422EA" w:rsidP="00836A14">
            <w:pPr>
              <w:pStyle w:val="Default"/>
              <w:jc w:val="center"/>
            </w:pPr>
          </w:p>
        </w:tc>
      </w:tr>
      <w:tr w:rsidR="00F422EA" w:rsidRPr="00CF6A74" w:rsidTr="00483695">
        <w:trPr>
          <w:trHeight w:val="91"/>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jc w:val="center"/>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483695">
        <w:trPr>
          <w:trHeight w:val="91"/>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jc w:val="center"/>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483695">
        <w:trPr>
          <w:trHeight w:val="91"/>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jc w:val="center"/>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836A14">
        <w:trPr>
          <w:trHeight w:val="91"/>
        </w:trPr>
        <w:tc>
          <w:tcPr>
            <w:tcW w:w="3888" w:type="dxa"/>
            <w:vAlign w:val="bottom"/>
            <w:hideMark/>
          </w:tcPr>
          <w:p w:rsidR="00F422EA" w:rsidRPr="00CF6A74" w:rsidRDefault="00F422EA" w:rsidP="00836A14">
            <w:pPr>
              <w:pStyle w:val="Default"/>
            </w:pPr>
          </w:p>
        </w:tc>
        <w:tc>
          <w:tcPr>
            <w:tcW w:w="1350" w:type="dxa"/>
            <w:vAlign w:val="bottom"/>
            <w:hideMark/>
          </w:tcPr>
          <w:p w:rsidR="00F422EA" w:rsidRPr="00CF6A74" w:rsidRDefault="00F422EA" w:rsidP="00836A14">
            <w:pPr>
              <w:pStyle w:val="Default"/>
              <w:jc w:val="center"/>
            </w:pPr>
            <w:r w:rsidRPr="00CF6A74">
              <w:t>1,399</w:t>
            </w:r>
          </w:p>
        </w:tc>
        <w:tc>
          <w:tcPr>
            <w:tcW w:w="1260" w:type="dxa"/>
            <w:vAlign w:val="bottom"/>
            <w:hideMark/>
          </w:tcPr>
          <w:p w:rsidR="00F422EA" w:rsidRPr="00CF6A74" w:rsidRDefault="00F422EA" w:rsidP="00836A14">
            <w:pPr>
              <w:pStyle w:val="Default"/>
              <w:jc w:val="center"/>
            </w:pPr>
            <w:r w:rsidRPr="00CF6A74">
              <w:t xml:space="preserve"> 0.85</w:t>
            </w:r>
          </w:p>
        </w:tc>
        <w:tc>
          <w:tcPr>
            <w:tcW w:w="1170" w:type="dxa"/>
            <w:vAlign w:val="bottom"/>
            <w:hideMark/>
          </w:tcPr>
          <w:p w:rsidR="00F422EA" w:rsidRPr="00CF6A74" w:rsidRDefault="00F422EA" w:rsidP="00836A14">
            <w:pPr>
              <w:pStyle w:val="Default"/>
              <w:jc w:val="center"/>
            </w:pPr>
            <w:r w:rsidRPr="00CF6A74">
              <w:t>0.25</w:t>
            </w:r>
          </w:p>
        </w:tc>
        <w:tc>
          <w:tcPr>
            <w:tcW w:w="1468" w:type="dxa"/>
            <w:vAlign w:val="bottom"/>
            <w:hideMark/>
          </w:tcPr>
          <w:p w:rsidR="00F422EA" w:rsidRPr="00CF6A74" w:rsidRDefault="00F422EA" w:rsidP="00836A14">
            <w:pPr>
              <w:pStyle w:val="Default"/>
              <w:jc w:val="center"/>
              <w:rPr>
                <w:b/>
              </w:rPr>
            </w:pPr>
            <w:r w:rsidRPr="00CF6A74">
              <w:t xml:space="preserve">   </w:t>
            </w:r>
            <w:r w:rsidRPr="00CF6A74">
              <w:rPr>
                <w:b/>
              </w:rPr>
              <w:t>299</w:t>
            </w:r>
          </w:p>
        </w:tc>
      </w:tr>
      <w:tr w:rsidR="00F422EA" w:rsidRPr="00CF6A74" w:rsidTr="00483695">
        <w:trPr>
          <w:trHeight w:val="91"/>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jc w:val="center"/>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483695">
        <w:trPr>
          <w:trHeight w:val="91"/>
        </w:trPr>
        <w:tc>
          <w:tcPr>
            <w:tcW w:w="3888" w:type="dxa"/>
            <w:tcBorders>
              <w:top w:val="nil"/>
              <w:left w:val="nil"/>
              <w:bottom w:val="single" w:sz="4" w:space="0" w:color="auto"/>
              <w:right w:val="nil"/>
            </w:tcBorders>
            <w:vAlign w:val="bottom"/>
          </w:tcPr>
          <w:p w:rsidR="00F422EA" w:rsidRPr="00CF6A74" w:rsidRDefault="00F422EA" w:rsidP="00836A14">
            <w:pPr>
              <w:pStyle w:val="Default"/>
            </w:pPr>
          </w:p>
        </w:tc>
        <w:tc>
          <w:tcPr>
            <w:tcW w:w="1350" w:type="dxa"/>
            <w:tcBorders>
              <w:top w:val="nil"/>
              <w:left w:val="nil"/>
              <w:bottom w:val="single" w:sz="4" w:space="0" w:color="auto"/>
              <w:right w:val="nil"/>
            </w:tcBorders>
            <w:vAlign w:val="bottom"/>
          </w:tcPr>
          <w:p w:rsidR="00F422EA" w:rsidRPr="00CF6A74" w:rsidRDefault="00F422EA" w:rsidP="00836A14">
            <w:pPr>
              <w:pStyle w:val="Default"/>
              <w:jc w:val="center"/>
            </w:pPr>
          </w:p>
        </w:tc>
        <w:tc>
          <w:tcPr>
            <w:tcW w:w="1260" w:type="dxa"/>
            <w:tcBorders>
              <w:top w:val="nil"/>
              <w:left w:val="nil"/>
              <w:bottom w:val="single" w:sz="4" w:space="0" w:color="auto"/>
              <w:right w:val="nil"/>
            </w:tcBorders>
            <w:vAlign w:val="bottom"/>
          </w:tcPr>
          <w:p w:rsidR="00F422EA" w:rsidRPr="00CF6A74" w:rsidRDefault="00F422EA" w:rsidP="00836A14">
            <w:pPr>
              <w:pStyle w:val="Default"/>
              <w:jc w:val="center"/>
            </w:pPr>
          </w:p>
        </w:tc>
        <w:tc>
          <w:tcPr>
            <w:tcW w:w="1170" w:type="dxa"/>
            <w:tcBorders>
              <w:top w:val="nil"/>
              <w:left w:val="nil"/>
              <w:bottom w:val="single" w:sz="4" w:space="0" w:color="auto"/>
              <w:right w:val="nil"/>
            </w:tcBorders>
            <w:vAlign w:val="bottom"/>
          </w:tcPr>
          <w:p w:rsidR="00F422EA" w:rsidRPr="00CF6A74" w:rsidRDefault="00F422EA" w:rsidP="00836A14">
            <w:pPr>
              <w:pStyle w:val="Default"/>
              <w:jc w:val="center"/>
            </w:pPr>
          </w:p>
        </w:tc>
        <w:tc>
          <w:tcPr>
            <w:tcW w:w="1468" w:type="dxa"/>
            <w:tcBorders>
              <w:top w:val="nil"/>
              <w:left w:val="nil"/>
              <w:bottom w:val="single" w:sz="4" w:space="0" w:color="auto"/>
              <w:right w:val="nil"/>
            </w:tcBorders>
            <w:vAlign w:val="bottom"/>
          </w:tcPr>
          <w:p w:rsidR="00F422EA" w:rsidRPr="00CF6A74" w:rsidRDefault="00F422EA" w:rsidP="00836A14">
            <w:pPr>
              <w:pStyle w:val="Default"/>
              <w:jc w:val="center"/>
            </w:pPr>
          </w:p>
        </w:tc>
      </w:tr>
      <w:tr w:rsidR="00F422EA" w:rsidRPr="00CF6A74" w:rsidTr="00836A14">
        <w:trPr>
          <w:trHeight w:val="90"/>
        </w:trPr>
        <w:tc>
          <w:tcPr>
            <w:tcW w:w="9136" w:type="dxa"/>
            <w:gridSpan w:val="5"/>
            <w:tcBorders>
              <w:top w:val="single" w:sz="4" w:space="0" w:color="auto"/>
              <w:left w:val="nil"/>
              <w:bottom w:val="single" w:sz="4" w:space="0" w:color="auto"/>
              <w:right w:val="nil"/>
            </w:tcBorders>
            <w:vAlign w:val="center"/>
            <w:hideMark/>
          </w:tcPr>
          <w:p w:rsidR="00F422EA" w:rsidRPr="00CF6A74" w:rsidRDefault="00F422EA" w:rsidP="00836A14">
            <w:pPr>
              <w:pStyle w:val="Default"/>
              <w:jc w:val="center"/>
            </w:pPr>
            <w:r w:rsidRPr="00CF6A74">
              <w:rPr>
                <w:b/>
                <w:bCs/>
              </w:rPr>
              <w:t>Review and Provide a Copy of Additional Written Appraisal</w:t>
            </w:r>
          </w:p>
        </w:tc>
      </w:tr>
      <w:tr w:rsidR="00F422EA" w:rsidRPr="00CF6A74" w:rsidTr="00483695">
        <w:trPr>
          <w:trHeight w:val="332"/>
        </w:trPr>
        <w:tc>
          <w:tcPr>
            <w:tcW w:w="3888" w:type="dxa"/>
            <w:tcBorders>
              <w:top w:val="single" w:sz="4" w:space="0" w:color="auto"/>
              <w:left w:val="nil"/>
              <w:bottom w:val="nil"/>
              <w:right w:val="nil"/>
            </w:tcBorders>
            <w:vAlign w:val="bottom"/>
          </w:tcPr>
          <w:p w:rsidR="00F422EA" w:rsidRPr="00CF6A74" w:rsidRDefault="00F422EA" w:rsidP="00836A14">
            <w:pPr>
              <w:pStyle w:val="Default"/>
            </w:pPr>
          </w:p>
        </w:tc>
        <w:tc>
          <w:tcPr>
            <w:tcW w:w="1350" w:type="dxa"/>
            <w:tcBorders>
              <w:top w:val="single" w:sz="4" w:space="0" w:color="auto"/>
              <w:left w:val="nil"/>
              <w:bottom w:val="nil"/>
              <w:right w:val="nil"/>
            </w:tcBorders>
            <w:vAlign w:val="bottom"/>
          </w:tcPr>
          <w:p w:rsidR="00F422EA" w:rsidRPr="00CF6A74" w:rsidRDefault="00F422EA" w:rsidP="00836A14">
            <w:pPr>
              <w:pStyle w:val="Default"/>
              <w:jc w:val="center"/>
            </w:pPr>
          </w:p>
        </w:tc>
        <w:tc>
          <w:tcPr>
            <w:tcW w:w="1260" w:type="dxa"/>
            <w:tcBorders>
              <w:top w:val="single" w:sz="4" w:space="0" w:color="auto"/>
              <w:left w:val="nil"/>
              <w:bottom w:val="nil"/>
              <w:right w:val="nil"/>
            </w:tcBorders>
            <w:vAlign w:val="bottom"/>
          </w:tcPr>
          <w:p w:rsidR="00F422EA" w:rsidRPr="00CF6A74" w:rsidRDefault="00F422EA" w:rsidP="00836A14">
            <w:pPr>
              <w:pStyle w:val="Default"/>
              <w:jc w:val="center"/>
            </w:pPr>
          </w:p>
        </w:tc>
        <w:tc>
          <w:tcPr>
            <w:tcW w:w="1170" w:type="dxa"/>
            <w:tcBorders>
              <w:top w:val="single" w:sz="4" w:space="0" w:color="auto"/>
              <w:left w:val="nil"/>
              <w:bottom w:val="nil"/>
              <w:right w:val="nil"/>
            </w:tcBorders>
            <w:vAlign w:val="bottom"/>
          </w:tcPr>
          <w:p w:rsidR="00F422EA" w:rsidRPr="00CF6A74" w:rsidRDefault="00F422EA" w:rsidP="00836A14">
            <w:pPr>
              <w:pStyle w:val="Default"/>
              <w:jc w:val="center"/>
            </w:pPr>
          </w:p>
        </w:tc>
        <w:tc>
          <w:tcPr>
            <w:tcW w:w="1468" w:type="dxa"/>
            <w:tcBorders>
              <w:top w:val="single" w:sz="4" w:space="0" w:color="auto"/>
              <w:left w:val="nil"/>
              <w:bottom w:val="nil"/>
              <w:right w:val="nil"/>
            </w:tcBorders>
            <w:vAlign w:val="bottom"/>
          </w:tcPr>
          <w:p w:rsidR="00F422EA" w:rsidRPr="00CF6A74" w:rsidRDefault="00F422EA" w:rsidP="00836A14">
            <w:pPr>
              <w:pStyle w:val="Default"/>
              <w:jc w:val="center"/>
            </w:pPr>
          </w:p>
        </w:tc>
      </w:tr>
      <w:tr w:rsidR="00F422EA" w:rsidRPr="00CF6A74" w:rsidTr="00483695">
        <w:trPr>
          <w:trHeight w:val="91"/>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jc w:val="center"/>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483695">
        <w:trPr>
          <w:trHeight w:val="91"/>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jc w:val="center"/>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483695">
        <w:trPr>
          <w:trHeight w:val="91"/>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jc w:val="center"/>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836A14">
        <w:trPr>
          <w:trHeight w:val="91"/>
        </w:trPr>
        <w:tc>
          <w:tcPr>
            <w:tcW w:w="3888" w:type="dxa"/>
            <w:vAlign w:val="bottom"/>
            <w:hideMark/>
          </w:tcPr>
          <w:p w:rsidR="00F422EA" w:rsidRPr="00CF6A74" w:rsidRDefault="00F422EA" w:rsidP="00836A14">
            <w:pPr>
              <w:pStyle w:val="Default"/>
            </w:pPr>
          </w:p>
        </w:tc>
        <w:tc>
          <w:tcPr>
            <w:tcW w:w="1350" w:type="dxa"/>
            <w:vAlign w:val="bottom"/>
            <w:hideMark/>
          </w:tcPr>
          <w:p w:rsidR="00F422EA" w:rsidRPr="00CF6A74" w:rsidRDefault="00F422EA" w:rsidP="00836A14">
            <w:pPr>
              <w:pStyle w:val="Default"/>
              <w:jc w:val="center"/>
            </w:pPr>
            <w:r w:rsidRPr="00CF6A74">
              <w:t>1,399</w:t>
            </w:r>
          </w:p>
        </w:tc>
        <w:tc>
          <w:tcPr>
            <w:tcW w:w="1260" w:type="dxa"/>
            <w:vAlign w:val="bottom"/>
            <w:hideMark/>
          </w:tcPr>
          <w:p w:rsidR="00F422EA" w:rsidRPr="00CF6A74" w:rsidRDefault="00F422EA" w:rsidP="00836A14">
            <w:pPr>
              <w:pStyle w:val="Default"/>
              <w:jc w:val="center"/>
            </w:pPr>
            <w:r w:rsidRPr="00CF6A74">
              <w:t xml:space="preserve">      0.02</w:t>
            </w:r>
          </w:p>
        </w:tc>
        <w:tc>
          <w:tcPr>
            <w:tcW w:w="1170" w:type="dxa"/>
            <w:vAlign w:val="bottom"/>
            <w:hideMark/>
          </w:tcPr>
          <w:p w:rsidR="00F422EA" w:rsidRPr="00CF6A74" w:rsidRDefault="00F422EA" w:rsidP="00836A14">
            <w:pPr>
              <w:pStyle w:val="Default"/>
              <w:jc w:val="center"/>
            </w:pPr>
            <w:r w:rsidRPr="00CF6A74">
              <w:t>0.25</w:t>
            </w:r>
          </w:p>
        </w:tc>
        <w:tc>
          <w:tcPr>
            <w:tcW w:w="1468" w:type="dxa"/>
            <w:vAlign w:val="bottom"/>
            <w:hideMark/>
          </w:tcPr>
          <w:p w:rsidR="00F422EA" w:rsidRPr="00CF6A74" w:rsidRDefault="00F422EA" w:rsidP="00836A14">
            <w:pPr>
              <w:pStyle w:val="Default"/>
              <w:jc w:val="center"/>
              <w:rPr>
                <w:b/>
              </w:rPr>
            </w:pPr>
            <w:r w:rsidRPr="00CF6A74">
              <w:rPr>
                <w:b/>
              </w:rPr>
              <w:t xml:space="preserve">      8</w:t>
            </w:r>
          </w:p>
        </w:tc>
      </w:tr>
      <w:tr w:rsidR="00F422EA" w:rsidRPr="00CF6A74" w:rsidTr="00483695">
        <w:trPr>
          <w:trHeight w:val="91"/>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jc w:val="center"/>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483695">
        <w:trPr>
          <w:trHeight w:val="91"/>
        </w:trPr>
        <w:tc>
          <w:tcPr>
            <w:tcW w:w="3888" w:type="dxa"/>
            <w:vAlign w:val="bottom"/>
          </w:tcPr>
          <w:p w:rsidR="00F422EA" w:rsidRPr="00CF6A74" w:rsidRDefault="00F422EA" w:rsidP="00836A14">
            <w:pPr>
              <w:pStyle w:val="Default"/>
            </w:pPr>
          </w:p>
        </w:tc>
        <w:tc>
          <w:tcPr>
            <w:tcW w:w="1350" w:type="dxa"/>
            <w:vAlign w:val="bottom"/>
          </w:tcPr>
          <w:p w:rsidR="00F422EA" w:rsidRPr="00CF6A74" w:rsidRDefault="00F422EA" w:rsidP="00836A14">
            <w:pPr>
              <w:pStyle w:val="Default"/>
              <w:jc w:val="center"/>
            </w:pPr>
          </w:p>
        </w:tc>
        <w:tc>
          <w:tcPr>
            <w:tcW w:w="1260" w:type="dxa"/>
            <w:vAlign w:val="bottom"/>
          </w:tcPr>
          <w:p w:rsidR="00F422EA" w:rsidRPr="00CF6A74" w:rsidRDefault="00F422EA" w:rsidP="00836A14">
            <w:pPr>
              <w:pStyle w:val="Default"/>
              <w:jc w:val="center"/>
            </w:pPr>
          </w:p>
        </w:tc>
        <w:tc>
          <w:tcPr>
            <w:tcW w:w="1170" w:type="dxa"/>
            <w:vAlign w:val="bottom"/>
          </w:tcPr>
          <w:p w:rsidR="00F422EA" w:rsidRPr="00CF6A74" w:rsidRDefault="00F422EA" w:rsidP="00836A14">
            <w:pPr>
              <w:pStyle w:val="Default"/>
              <w:jc w:val="center"/>
            </w:pPr>
          </w:p>
        </w:tc>
        <w:tc>
          <w:tcPr>
            <w:tcW w:w="1468" w:type="dxa"/>
            <w:vAlign w:val="bottom"/>
          </w:tcPr>
          <w:p w:rsidR="00F422EA" w:rsidRPr="00CF6A74" w:rsidRDefault="00F422EA" w:rsidP="00836A14">
            <w:pPr>
              <w:pStyle w:val="Default"/>
              <w:jc w:val="center"/>
            </w:pPr>
          </w:p>
        </w:tc>
      </w:tr>
      <w:tr w:rsidR="00F422EA" w:rsidRPr="00CF6A74" w:rsidTr="00836A14">
        <w:trPr>
          <w:trHeight w:val="420"/>
        </w:trPr>
        <w:tc>
          <w:tcPr>
            <w:tcW w:w="9136" w:type="dxa"/>
            <w:gridSpan w:val="5"/>
          </w:tcPr>
          <w:p w:rsidR="00F422EA" w:rsidRPr="00CF6A74" w:rsidRDefault="00F422EA" w:rsidP="00333E07">
            <w:pPr>
              <w:pStyle w:val="Default"/>
            </w:pPr>
          </w:p>
        </w:tc>
      </w:tr>
    </w:tbl>
    <w:p w:rsidR="00192769" w:rsidRPr="00CF6A74" w:rsidRDefault="005219C9" w:rsidP="00F422EA">
      <w:pPr>
        <w:pStyle w:val="Default"/>
        <w:ind w:firstLine="720"/>
      </w:pPr>
      <w:r w:rsidRPr="00CF6A74">
        <w:t>R</w:t>
      </w:r>
      <w:r w:rsidR="00F422EA" w:rsidRPr="00CF6A74">
        <w:t xml:space="preserve">espondents must also review the instructions and legal guidance associated with the </w:t>
      </w:r>
      <w:r w:rsidR="00F25023" w:rsidRPr="00CF6A74">
        <w:t xml:space="preserve">February 2013 </w:t>
      </w:r>
      <w:r w:rsidR="00F422EA" w:rsidRPr="00CF6A74">
        <w:t xml:space="preserve">Final Rule and train loan officers regarding the requirements of the </w:t>
      </w:r>
      <w:r w:rsidR="00F25023" w:rsidRPr="00CF6A74">
        <w:t xml:space="preserve">February 2013 </w:t>
      </w:r>
      <w:r w:rsidR="00F422EA" w:rsidRPr="00CF6A74">
        <w:t xml:space="preserve">Final Rule.  </w:t>
      </w:r>
      <w:r w:rsidR="00F55FA6" w:rsidRPr="00CF6A74">
        <w:t>T</w:t>
      </w:r>
      <w:r w:rsidR="00F422EA" w:rsidRPr="00CF6A74">
        <w:t xml:space="preserve">hese one-time costs are as follows:  </w:t>
      </w:r>
    </w:p>
    <w:p w:rsidR="00192769" w:rsidRPr="00CF6A74" w:rsidRDefault="00192769" w:rsidP="00F422EA">
      <w:pPr>
        <w:pStyle w:val="Default"/>
        <w:ind w:firstLine="720"/>
      </w:pPr>
    </w:p>
    <w:p w:rsidR="00F422EA" w:rsidRPr="00CF6A74" w:rsidRDefault="00F422EA" w:rsidP="00F422EA">
      <w:pPr>
        <w:pStyle w:val="Default"/>
        <w:ind w:firstLine="720"/>
      </w:pPr>
      <w:r w:rsidRPr="00CF6A74">
        <w:rPr>
          <w:b/>
        </w:rPr>
        <w:t>19,586 hours</w:t>
      </w:r>
      <w:r w:rsidR="00333E07" w:rsidRPr="00CF6A74">
        <w:rPr>
          <w:b/>
        </w:rPr>
        <w:t>.</w:t>
      </w:r>
      <w:r w:rsidRPr="00CF6A74">
        <w:t xml:space="preserve"> </w:t>
      </w:r>
    </w:p>
    <w:p w:rsidR="009D11FD" w:rsidRPr="00CF6A74" w:rsidRDefault="009D11FD" w:rsidP="00F422EA">
      <w:pPr>
        <w:pStyle w:val="Default"/>
        <w:ind w:firstLine="720"/>
      </w:pPr>
    </w:p>
    <w:p w:rsidR="009D11FD" w:rsidRPr="00CF6A74" w:rsidRDefault="009D11FD" w:rsidP="009D11FD">
      <w:pPr>
        <w:pStyle w:val="Default"/>
        <w:rPr>
          <w:b/>
        </w:rPr>
      </w:pPr>
      <w:r w:rsidRPr="00CF6A74">
        <w:rPr>
          <w:b/>
        </w:rPr>
        <w:t>Total Burden:  19,946 hours</w:t>
      </w:r>
      <w:r w:rsidR="00BD3805" w:rsidRPr="00CF6A74">
        <w:rPr>
          <w:b/>
        </w:rPr>
        <w:t>.</w:t>
      </w:r>
    </w:p>
    <w:p w:rsidR="001A6A04" w:rsidRPr="00CF6A74" w:rsidRDefault="001A6A04" w:rsidP="009D11FD">
      <w:pPr>
        <w:pStyle w:val="Default"/>
        <w:rPr>
          <w:b/>
        </w:rPr>
      </w:pPr>
    </w:p>
    <w:p w:rsidR="001A6A04" w:rsidRPr="00CF6A74" w:rsidRDefault="001A6A04" w:rsidP="001A6A04">
      <w:pPr>
        <w:rPr>
          <w:rFonts w:ascii="Times New Roman" w:hAnsi="Times New Roman"/>
          <w:b/>
        </w:rPr>
      </w:pPr>
      <w:r w:rsidRPr="00CF6A74">
        <w:rPr>
          <w:rFonts w:ascii="Times New Roman" w:hAnsi="Times New Roman"/>
          <w:b/>
        </w:rPr>
        <w:t>Cost of Hour Burden:</w:t>
      </w:r>
    </w:p>
    <w:p w:rsidR="001A6A04" w:rsidRPr="00CF6A74" w:rsidRDefault="001A6A04" w:rsidP="001A6A04">
      <w:pPr>
        <w:rPr>
          <w:rFonts w:ascii="Times New Roman" w:hAnsi="Times New Roman"/>
          <w:b/>
        </w:rPr>
      </w:pPr>
    </w:p>
    <w:p w:rsidR="001A6A04" w:rsidRPr="00CF6A74" w:rsidRDefault="001A6A04" w:rsidP="001A6A04">
      <w:pPr>
        <w:rPr>
          <w:rFonts w:ascii="Times New Roman" w:hAnsi="Times New Roman"/>
          <w:b/>
        </w:rPr>
      </w:pPr>
      <w:r w:rsidRPr="00CF6A74">
        <w:rPr>
          <w:rFonts w:ascii="Times New Roman" w:hAnsi="Times New Roman"/>
          <w:b/>
        </w:rPr>
        <w:t>19,948 x $107 = $ 2,134,436.</w:t>
      </w:r>
    </w:p>
    <w:p w:rsidR="001A6A04" w:rsidRPr="00CF6A74" w:rsidRDefault="001A6A04" w:rsidP="001A6A04">
      <w:pPr>
        <w:rPr>
          <w:rFonts w:ascii="Times New Roman" w:hAnsi="Times New Roman"/>
        </w:rPr>
      </w:pPr>
    </w:p>
    <w:p w:rsidR="001A6A04" w:rsidRPr="00CF6A74" w:rsidRDefault="001A6A04" w:rsidP="001A6A04">
      <w:pPr>
        <w:rPr>
          <w:rFonts w:ascii="Times New Roman" w:hAnsi="Times New Roman"/>
        </w:rPr>
      </w:pPr>
      <w:r w:rsidRPr="00CF6A74">
        <w:rPr>
          <w:rFonts w:ascii="Times New Roman" w:hAnsi="Times New Roman"/>
        </w:rPr>
        <w:t xml:space="preserve">To estimate average hourly wages we reviewed data from May 2015 (released in March 2016) for wages (by industry and occupation) from the U.S. Bureau of Labor Statistics (BLS) for depository credit intermediation (NAICS 522100).  To estimate compensation costs associated with the rule, we use $107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EA17EC" w:rsidRPr="00CF6A74" w:rsidRDefault="007800F7" w:rsidP="00375B0B">
      <w:pPr>
        <w:tabs>
          <w:tab w:val="left" w:pos="-1440"/>
        </w:tabs>
        <w:ind w:left="720" w:hanging="720"/>
        <w:rPr>
          <w:rFonts w:ascii="Times New Roman" w:hAnsi="Times New Roman"/>
        </w:rPr>
      </w:pPr>
      <w:r w:rsidRPr="00CF6A74">
        <w:rPr>
          <w:rFonts w:ascii="Times New Roman" w:hAnsi="Times New Roman"/>
        </w:rPr>
        <w:tab/>
      </w:r>
    </w:p>
    <w:p w:rsidR="00EA17EC" w:rsidRPr="00CF6A74" w:rsidRDefault="00EA17EC" w:rsidP="00373ED8">
      <w:pPr>
        <w:tabs>
          <w:tab w:val="left" w:pos="-1440"/>
        </w:tabs>
        <w:ind w:left="720" w:hanging="720"/>
        <w:rPr>
          <w:rFonts w:ascii="Times New Roman" w:hAnsi="Times New Roman"/>
          <w:b/>
          <w:i/>
        </w:rPr>
      </w:pPr>
      <w:r w:rsidRPr="00CF6A74">
        <w:rPr>
          <w:rFonts w:ascii="Times New Roman" w:hAnsi="Times New Roman"/>
          <w:b/>
          <w:i/>
        </w:rPr>
        <w:t>13.</w:t>
      </w:r>
      <w:r w:rsidRPr="00CF6A74">
        <w:rPr>
          <w:rFonts w:ascii="Times New Roman" w:hAnsi="Times New Roman"/>
          <w:b/>
          <w:i/>
        </w:rPr>
        <w:tab/>
        <w:t>Estimate of annualized costs to respondents:</w:t>
      </w:r>
    </w:p>
    <w:p w:rsidR="00EA17EC" w:rsidRPr="00CF6A74" w:rsidRDefault="00EA17EC" w:rsidP="00373ED8">
      <w:pPr>
        <w:ind w:firstLine="720"/>
        <w:rPr>
          <w:rFonts w:ascii="Times New Roman" w:hAnsi="Times New Roman"/>
        </w:rPr>
      </w:pPr>
    </w:p>
    <w:p w:rsidR="00EA17EC" w:rsidRPr="00CF6A74" w:rsidRDefault="00EA17EC" w:rsidP="00373ED8">
      <w:pPr>
        <w:ind w:firstLine="720"/>
        <w:rPr>
          <w:rFonts w:ascii="Times New Roman" w:hAnsi="Times New Roman"/>
        </w:rPr>
      </w:pPr>
      <w:r w:rsidRPr="00CF6A74">
        <w:rPr>
          <w:rFonts w:ascii="Times New Roman" w:hAnsi="Times New Roman"/>
        </w:rPr>
        <w:t>None.</w:t>
      </w:r>
    </w:p>
    <w:p w:rsidR="00EA17EC" w:rsidRPr="00CF6A74" w:rsidRDefault="00EA17EC" w:rsidP="00373ED8">
      <w:pPr>
        <w:rPr>
          <w:rFonts w:ascii="Times New Roman" w:hAnsi="Times New Roman"/>
        </w:rPr>
      </w:pPr>
    </w:p>
    <w:p w:rsidR="00EA17EC" w:rsidRPr="00CF6A74" w:rsidRDefault="00EA17EC" w:rsidP="00373ED8">
      <w:pPr>
        <w:rPr>
          <w:rFonts w:ascii="Times New Roman" w:hAnsi="Times New Roman"/>
          <w:b/>
          <w:i/>
        </w:rPr>
      </w:pPr>
      <w:r w:rsidRPr="00CF6A74">
        <w:rPr>
          <w:rFonts w:ascii="Times New Roman" w:hAnsi="Times New Roman"/>
          <w:b/>
          <w:i/>
        </w:rPr>
        <w:t>14.  Estimate of annualized costs to the government:</w:t>
      </w:r>
    </w:p>
    <w:p w:rsidR="00EA17EC" w:rsidRPr="00CF6A74" w:rsidRDefault="00EA17EC" w:rsidP="00373ED8">
      <w:pPr>
        <w:rPr>
          <w:rFonts w:ascii="Times New Roman" w:hAnsi="Times New Roman"/>
        </w:rPr>
      </w:pPr>
    </w:p>
    <w:p w:rsidR="00EA17EC" w:rsidRPr="00CF6A74" w:rsidRDefault="00EA17EC" w:rsidP="00373ED8">
      <w:pPr>
        <w:ind w:firstLine="720"/>
        <w:rPr>
          <w:rFonts w:ascii="Times New Roman" w:hAnsi="Times New Roman"/>
        </w:rPr>
      </w:pPr>
      <w:r w:rsidRPr="00CF6A74">
        <w:rPr>
          <w:rFonts w:ascii="Times New Roman" w:hAnsi="Times New Roman"/>
        </w:rPr>
        <w:t>None.</w:t>
      </w:r>
    </w:p>
    <w:p w:rsidR="00EA17EC" w:rsidRPr="00CF6A74" w:rsidRDefault="00EA17EC" w:rsidP="00373ED8">
      <w:pPr>
        <w:rPr>
          <w:rFonts w:ascii="Times New Roman" w:hAnsi="Times New Roman"/>
        </w:rPr>
      </w:pPr>
    </w:p>
    <w:p w:rsidR="00EA17EC" w:rsidRPr="00CF6A74" w:rsidRDefault="00EA17EC" w:rsidP="00373ED8">
      <w:pPr>
        <w:tabs>
          <w:tab w:val="left" w:pos="-1440"/>
        </w:tabs>
        <w:ind w:left="720" w:hanging="720"/>
        <w:rPr>
          <w:rFonts w:ascii="Times New Roman" w:hAnsi="Times New Roman"/>
          <w:b/>
          <w:i/>
        </w:rPr>
      </w:pPr>
      <w:r w:rsidRPr="00CF6A74">
        <w:rPr>
          <w:rFonts w:ascii="Times New Roman" w:hAnsi="Times New Roman"/>
          <w:b/>
          <w:i/>
        </w:rPr>
        <w:t>15.</w:t>
      </w:r>
      <w:r w:rsidRPr="00CF6A74">
        <w:rPr>
          <w:rFonts w:ascii="Times New Roman" w:hAnsi="Times New Roman"/>
          <w:b/>
          <w:i/>
        </w:rPr>
        <w:tab/>
        <w:t>Changes in burden:</w:t>
      </w:r>
    </w:p>
    <w:p w:rsidR="00E17ED0" w:rsidRPr="00CF6A74" w:rsidRDefault="00E17ED0" w:rsidP="00373ED8">
      <w:pPr>
        <w:tabs>
          <w:tab w:val="left" w:pos="-1440"/>
        </w:tabs>
        <w:ind w:left="720" w:hanging="720"/>
        <w:rPr>
          <w:rFonts w:ascii="Times New Roman" w:hAnsi="Times New Roman"/>
          <w:u w:val="single"/>
        </w:rPr>
      </w:pPr>
    </w:p>
    <w:p w:rsidR="00E17ED0" w:rsidRPr="00CF6A74" w:rsidRDefault="00A11968" w:rsidP="00E17ED0">
      <w:pPr>
        <w:tabs>
          <w:tab w:val="left" w:pos="-1440"/>
        </w:tabs>
        <w:ind w:left="720"/>
        <w:rPr>
          <w:rFonts w:ascii="Times New Roman" w:hAnsi="Times New Roman"/>
        </w:rPr>
      </w:pPr>
      <w:r w:rsidRPr="00CF6A74">
        <w:rPr>
          <w:rFonts w:ascii="Times New Roman" w:hAnsi="Times New Roman"/>
        </w:rPr>
        <w:t>There are no changes in burden.</w:t>
      </w:r>
    </w:p>
    <w:p w:rsidR="006A0AE9" w:rsidRPr="00CF6A74" w:rsidRDefault="006A0AE9" w:rsidP="006A0AE9">
      <w:pPr>
        <w:rPr>
          <w:rFonts w:ascii="Times New Roman" w:hAnsi="Times New Roman"/>
          <w:color w:val="000000"/>
        </w:rPr>
      </w:pPr>
    </w:p>
    <w:p w:rsidR="00EA17EC" w:rsidRPr="00CF6A74" w:rsidRDefault="00EA17EC" w:rsidP="00373ED8">
      <w:pPr>
        <w:tabs>
          <w:tab w:val="left" w:pos="-1440"/>
        </w:tabs>
        <w:ind w:left="720" w:hanging="720"/>
        <w:rPr>
          <w:rFonts w:ascii="Times New Roman" w:hAnsi="Times New Roman"/>
          <w:b/>
          <w:i/>
        </w:rPr>
      </w:pPr>
      <w:r w:rsidRPr="00CF6A74">
        <w:rPr>
          <w:rFonts w:ascii="Times New Roman" w:hAnsi="Times New Roman"/>
          <w:b/>
          <w:i/>
        </w:rPr>
        <w:t>16.</w:t>
      </w:r>
      <w:r w:rsidRPr="00CF6A74">
        <w:rPr>
          <w:rFonts w:ascii="Times New Roman" w:hAnsi="Times New Roman"/>
          <w:b/>
          <w:i/>
        </w:rPr>
        <w:tab/>
        <w:t>Information regarding collections whose results are planned to be published for statistical use:</w:t>
      </w:r>
    </w:p>
    <w:p w:rsidR="00EA17EC" w:rsidRPr="00CF6A74" w:rsidRDefault="00EA17EC" w:rsidP="00373ED8">
      <w:pPr>
        <w:rPr>
          <w:rFonts w:ascii="Times New Roman" w:hAnsi="Times New Roman"/>
        </w:rPr>
      </w:pPr>
    </w:p>
    <w:p w:rsidR="00EA17EC" w:rsidRPr="00CF6A74" w:rsidRDefault="00EA17EC" w:rsidP="00373ED8">
      <w:pPr>
        <w:ind w:firstLine="720"/>
        <w:rPr>
          <w:rFonts w:ascii="Times New Roman" w:hAnsi="Times New Roman"/>
        </w:rPr>
      </w:pPr>
      <w:r w:rsidRPr="00CF6A74">
        <w:rPr>
          <w:rFonts w:ascii="Times New Roman" w:hAnsi="Times New Roman"/>
        </w:rPr>
        <w:t>The OCC has no plans to publish the information for statistical use.</w:t>
      </w:r>
    </w:p>
    <w:p w:rsidR="00EA17EC" w:rsidRPr="00CF6A74" w:rsidRDefault="00EA17EC" w:rsidP="00373ED8">
      <w:pPr>
        <w:rPr>
          <w:rFonts w:ascii="Times New Roman" w:hAnsi="Times New Roman"/>
        </w:rPr>
      </w:pPr>
    </w:p>
    <w:p w:rsidR="00EA17EC" w:rsidRPr="00CF6A74" w:rsidRDefault="00EA17EC" w:rsidP="00373ED8">
      <w:pPr>
        <w:rPr>
          <w:rFonts w:ascii="Times New Roman" w:hAnsi="Times New Roman"/>
          <w:b/>
          <w:i/>
        </w:rPr>
      </w:pPr>
      <w:r w:rsidRPr="00CF6A74">
        <w:rPr>
          <w:rFonts w:ascii="Times New Roman" w:hAnsi="Times New Roman"/>
          <w:b/>
          <w:i/>
        </w:rPr>
        <w:t>17.</w:t>
      </w:r>
      <w:r w:rsidRPr="00CF6A74">
        <w:rPr>
          <w:rFonts w:ascii="Times New Roman" w:hAnsi="Times New Roman"/>
          <w:b/>
          <w:i/>
        </w:rPr>
        <w:tab/>
        <w:t>Display of expiration date.</w:t>
      </w:r>
    </w:p>
    <w:p w:rsidR="00EA17EC" w:rsidRPr="00CF6A74" w:rsidRDefault="00EA17EC" w:rsidP="00373ED8">
      <w:pPr>
        <w:ind w:firstLine="720"/>
        <w:rPr>
          <w:rFonts w:ascii="Times New Roman" w:hAnsi="Times New Roman"/>
          <w:u w:val="single"/>
        </w:rPr>
      </w:pPr>
    </w:p>
    <w:p w:rsidR="00192769" w:rsidRPr="00CF6A74" w:rsidRDefault="00EA17EC" w:rsidP="00F55FA6">
      <w:pPr>
        <w:ind w:firstLine="720"/>
        <w:rPr>
          <w:rFonts w:ascii="Times New Roman" w:hAnsi="Times New Roman"/>
        </w:rPr>
      </w:pPr>
      <w:r w:rsidRPr="00CF6A74">
        <w:rPr>
          <w:rFonts w:ascii="Times New Roman" w:hAnsi="Times New Roman"/>
        </w:rPr>
        <w:t>Not applicable.</w:t>
      </w:r>
    </w:p>
    <w:p w:rsidR="00EA17EC" w:rsidRPr="00CF6A74" w:rsidRDefault="00EA17EC" w:rsidP="00373ED8">
      <w:pPr>
        <w:rPr>
          <w:rFonts w:ascii="Times New Roman" w:hAnsi="Times New Roman"/>
          <w:b/>
          <w:i/>
        </w:rPr>
      </w:pPr>
      <w:r w:rsidRPr="00CF6A74">
        <w:rPr>
          <w:rFonts w:ascii="Times New Roman" w:hAnsi="Times New Roman"/>
          <w:b/>
          <w:i/>
        </w:rPr>
        <w:t>18.</w:t>
      </w:r>
      <w:r w:rsidRPr="00CF6A74">
        <w:rPr>
          <w:rFonts w:ascii="Times New Roman" w:hAnsi="Times New Roman"/>
          <w:b/>
          <w:i/>
        </w:rPr>
        <w:tab/>
        <w:t>Exceptions to certification statement.</w:t>
      </w:r>
    </w:p>
    <w:p w:rsidR="00EA17EC" w:rsidRPr="00CF6A74" w:rsidRDefault="00EA17EC" w:rsidP="00373ED8">
      <w:pPr>
        <w:rPr>
          <w:rFonts w:ascii="Times New Roman" w:hAnsi="Times New Roman"/>
        </w:rPr>
      </w:pPr>
    </w:p>
    <w:p w:rsidR="00EA17EC" w:rsidRPr="00CF6A74" w:rsidRDefault="00EA17EC" w:rsidP="00373ED8">
      <w:pPr>
        <w:ind w:firstLine="720"/>
        <w:rPr>
          <w:rFonts w:ascii="Times New Roman" w:hAnsi="Times New Roman"/>
          <w:u w:val="single"/>
        </w:rPr>
      </w:pPr>
      <w:r w:rsidRPr="00CF6A74">
        <w:rPr>
          <w:rFonts w:ascii="Times New Roman" w:hAnsi="Times New Roman"/>
        </w:rPr>
        <w:t xml:space="preserve">None. </w:t>
      </w:r>
    </w:p>
    <w:p w:rsidR="00EA17EC" w:rsidRPr="00CF6A74" w:rsidRDefault="00EA17EC" w:rsidP="00373ED8">
      <w:pPr>
        <w:rPr>
          <w:rFonts w:ascii="Times New Roman" w:hAnsi="Times New Roman"/>
          <w:u w:val="single"/>
        </w:rPr>
      </w:pPr>
    </w:p>
    <w:p w:rsidR="00EA17EC" w:rsidRPr="00CF6A74" w:rsidRDefault="00EA17EC" w:rsidP="00373ED8">
      <w:pPr>
        <w:tabs>
          <w:tab w:val="left" w:pos="-1440"/>
        </w:tabs>
        <w:ind w:left="720" w:hanging="720"/>
        <w:rPr>
          <w:rFonts w:ascii="Times New Roman" w:hAnsi="Times New Roman"/>
          <w:b/>
          <w:u w:val="single"/>
        </w:rPr>
      </w:pPr>
      <w:r w:rsidRPr="00CF6A74">
        <w:rPr>
          <w:rFonts w:ascii="Times New Roman" w:hAnsi="Times New Roman"/>
          <w:b/>
        </w:rPr>
        <w:t>B.</w:t>
      </w:r>
      <w:r w:rsidRPr="00CF6A74">
        <w:rPr>
          <w:rFonts w:ascii="Times New Roman" w:hAnsi="Times New Roman"/>
          <w:b/>
        </w:rPr>
        <w:tab/>
      </w:r>
      <w:r w:rsidRPr="00CF6A74">
        <w:rPr>
          <w:rFonts w:ascii="Times New Roman" w:hAnsi="Times New Roman"/>
          <w:b/>
          <w:u w:val="single"/>
        </w:rPr>
        <w:t>Collections of Information Employing Statistical Methods.</w:t>
      </w:r>
    </w:p>
    <w:p w:rsidR="00EA17EC" w:rsidRPr="00CF6A74" w:rsidRDefault="00EA17EC" w:rsidP="00373ED8">
      <w:pPr>
        <w:rPr>
          <w:rFonts w:ascii="Times New Roman" w:hAnsi="Times New Roman"/>
          <w:u w:val="single"/>
        </w:rPr>
      </w:pPr>
    </w:p>
    <w:p w:rsidR="00EA17EC" w:rsidRPr="00CF6A74" w:rsidRDefault="00EA17EC" w:rsidP="00134BF7">
      <w:pPr>
        <w:ind w:firstLine="720"/>
        <w:rPr>
          <w:rFonts w:ascii="Times New Roman" w:hAnsi="Times New Roman"/>
        </w:rPr>
      </w:pPr>
      <w:r w:rsidRPr="00CF6A74">
        <w:rPr>
          <w:rFonts w:ascii="Times New Roman" w:hAnsi="Times New Roman"/>
        </w:rPr>
        <w:t>Not applicable.</w:t>
      </w:r>
    </w:p>
    <w:sectPr w:rsidR="00EA17EC" w:rsidRPr="00CF6A74" w:rsidSect="00F01C5E">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06B" w:rsidRDefault="0049006B">
      <w:r>
        <w:separator/>
      </w:r>
    </w:p>
  </w:endnote>
  <w:endnote w:type="continuationSeparator" w:id="0">
    <w:p w:rsidR="0049006B" w:rsidRDefault="0049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A8" w:rsidRDefault="003221A8" w:rsidP="00087F1F">
    <w:pPr>
      <w:pStyle w:val="Footer"/>
      <w:framePr w:wrap="around" w:vAnchor="text" w:hAnchor="margin" w:xAlign="center" w:y="1"/>
      <w:rPr>
        <w:rStyle w:val="PageNumber"/>
      </w:rPr>
    </w:pPr>
  </w:p>
  <w:p w:rsidR="00721656" w:rsidRPr="003221A8" w:rsidRDefault="00357878" w:rsidP="003221A8">
    <w:pPr>
      <w:pStyle w:val="Footer"/>
      <w:framePr w:wrap="around" w:vAnchor="text" w:hAnchor="margin" w:xAlign="center" w:y="1"/>
      <w:jc w:val="center"/>
      <w:rPr>
        <w:rStyle w:val="PageNumber"/>
        <w:rFonts w:ascii="Times New Roman" w:hAnsi="Times New Roman"/>
      </w:rPr>
    </w:pPr>
    <w:r w:rsidRPr="003221A8">
      <w:rPr>
        <w:rStyle w:val="PageNumber"/>
        <w:rFonts w:ascii="Times New Roman" w:hAnsi="Times New Roman"/>
      </w:rPr>
      <w:fldChar w:fldCharType="begin"/>
    </w:r>
    <w:r w:rsidR="00721656" w:rsidRPr="003221A8">
      <w:rPr>
        <w:rStyle w:val="PageNumber"/>
        <w:rFonts w:ascii="Times New Roman" w:hAnsi="Times New Roman"/>
      </w:rPr>
      <w:instrText xml:space="preserve">PAGE  </w:instrText>
    </w:r>
    <w:r w:rsidRPr="003221A8">
      <w:rPr>
        <w:rStyle w:val="PageNumber"/>
        <w:rFonts w:ascii="Times New Roman" w:hAnsi="Times New Roman"/>
      </w:rPr>
      <w:fldChar w:fldCharType="separate"/>
    </w:r>
    <w:r w:rsidR="00CF6A74">
      <w:rPr>
        <w:rStyle w:val="PageNumber"/>
        <w:rFonts w:ascii="Times New Roman" w:hAnsi="Times New Roman"/>
        <w:noProof/>
      </w:rPr>
      <w:t>2</w:t>
    </w:r>
    <w:r w:rsidRPr="003221A8">
      <w:rPr>
        <w:rStyle w:val="PageNumber"/>
        <w:rFonts w:ascii="Times New Roman" w:hAnsi="Times New Roman"/>
      </w:rPr>
      <w:fldChar w:fldCharType="end"/>
    </w:r>
  </w:p>
  <w:p w:rsidR="00721656" w:rsidRDefault="007216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A8" w:rsidRDefault="00322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06B" w:rsidRDefault="0049006B">
      <w:r>
        <w:separator/>
      </w:r>
    </w:p>
  </w:footnote>
  <w:footnote w:type="continuationSeparator" w:id="0">
    <w:p w:rsidR="0049006B" w:rsidRDefault="0049006B">
      <w:r>
        <w:continuationSeparator/>
      </w:r>
    </w:p>
  </w:footnote>
  <w:footnote w:id="1">
    <w:p w:rsidR="00BD3805" w:rsidRDefault="00BD3805" w:rsidP="00BD3805">
      <w:pPr>
        <w:pStyle w:val="FootnoteText"/>
      </w:pPr>
      <w:r w:rsidRPr="008B01AF">
        <w:rPr>
          <w:rStyle w:val="FootnoteReference"/>
          <w:vertAlign w:val="superscript"/>
        </w:rPr>
        <w:footnoteRef/>
      </w:r>
      <w:r>
        <w:t xml:space="preserve"> 78 FR 10368 (February 13, 2013)</w:t>
      </w:r>
      <w:r w:rsidR="003E2A93">
        <w:t xml:space="preserve"> (February 2013 Final Rule)</w:t>
      </w:r>
      <w:r>
        <w:t xml:space="preserve"> and 78 FR 78519 (December 26, 2013)</w:t>
      </w:r>
      <w:r w:rsidR="003E2A93">
        <w:t xml:space="preserve"> (December 2013 Final Rule)</w:t>
      </w:r>
      <w:r>
        <w:t>.</w:t>
      </w:r>
    </w:p>
  </w:footnote>
  <w:footnote w:id="2">
    <w:p w:rsidR="00CF6A74" w:rsidRDefault="00CF6A74" w:rsidP="00CF6A74">
      <w:pPr>
        <w:pStyle w:val="FootnoteText"/>
      </w:pPr>
      <w:r>
        <w:rPr>
          <w:rStyle w:val="FootnoteReference"/>
        </w:rPr>
        <w:footnoteRef/>
      </w:r>
      <w:r>
        <w:t xml:space="preserve"> </w:t>
      </w:r>
      <w:r>
        <w:rPr>
          <w:i/>
        </w:rPr>
        <w:t xml:space="preserve">See </w:t>
      </w:r>
      <w:r>
        <w:t>78 FR 10368, 10375-10376 (February 13, 2013).</w:t>
      </w:r>
    </w:p>
  </w:footnote>
  <w:footnote w:id="3">
    <w:p w:rsidR="00CF6A74" w:rsidRDefault="00CF6A74" w:rsidP="00CF6A74">
      <w:pPr>
        <w:rPr>
          <w:sz w:val="20"/>
          <w:szCs w:val="20"/>
        </w:rPr>
      </w:pPr>
      <w:r>
        <w:rPr>
          <w:rStyle w:val="FootnoteReference"/>
          <w:sz w:val="20"/>
          <w:szCs w:val="20"/>
        </w:rPr>
        <w:footnoteRef/>
      </w:r>
      <w:r>
        <w:rPr>
          <w:sz w:val="20"/>
          <w:szCs w:val="20"/>
        </w:rPr>
        <w:t xml:space="preserve"> </w:t>
      </w:r>
      <w:r>
        <w:rPr>
          <w:i/>
          <w:sz w:val="20"/>
          <w:szCs w:val="20"/>
        </w:rPr>
        <w:t>See</w:t>
      </w:r>
      <w:r>
        <w:rPr>
          <w:sz w:val="20"/>
          <w:szCs w:val="20"/>
        </w:rPr>
        <w:t xml:space="preserve"> Public Law 104–208 (1996), codified at 12 U.S.C. 3311(b).</w:t>
      </w:r>
    </w:p>
  </w:footnote>
  <w:footnote w:id="4">
    <w:p w:rsidR="00CF6A74" w:rsidRDefault="00CF6A74" w:rsidP="00CF6A74">
      <w:pPr>
        <w:pStyle w:val="FootnoteText"/>
      </w:pPr>
      <w:r>
        <w:rPr>
          <w:rStyle w:val="FootnoteReference"/>
        </w:rPr>
        <w:footnoteRef/>
      </w:r>
      <w:r>
        <w:t xml:space="preserve"> </w:t>
      </w:r>
      <w:r>
        <w:rPr>
          <w:i/>
        </w:rPr>
        <w:t>See</w:t>
      </w:r>
      <w:r>
        <w:t xml:space="preserve"> 80 FR 79724 (December 23, 2015).</w:t>
      </w:r>
    </w:p>
  </w:footnote>
  <w:footnote w:id="5">
    <w:p w:rsidR="00CF6A74" w:rsidRDefault="00CF6A74" w:rsidP="00CF6A74">
      <w:r>
        <w:rPr>
          <w:rStyle w:val="FootnoteReference"/>
        </w:rPr>
        <w:footnoteRef/>
      </w:r>
      <w:r>
        <w:t xml:space="preserve"> </w:t>
      </w:r>
      <w:r>
        <w:rPr>
          <w:sz w:val="20"/>
          <w:szCs w:val="20"/>
        </w:rPr>
        <w:t>82 FR 8082 (January 23, 2017).</w:t>
      </w:r>
    </w:p>
    <w:p w:rsidR="00CF6A74" w:rsidRDefault="00CF6A74" w:rsidP="00CF6A74">
      <w:pPr>
        <w:pStyle w:val="FootnoteText"/>
      </w:pPr>
    </w:p>
  </w:footnote>
  <w:footnote w:id="6">
    <w:p w:rsidR="00171270" w:rsidRDefault="00171270">
      <w:pPr>
        <w:pStyle w:val="FootnoteText"/>
      </w:pPr>
      <w:r w:rsidRPr="00171270">
        <w:rPr>
          <w:rStyle w:val="FootnoteReference"/>
          <w:vertAlign w:val="superscript"/>
        </w:rPr>
        <w:footnoteRef/>
      </w:r>
      <w:r>
        <w:t xml:space="preserve"> Totals rounded.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A8" w:rsidRDefault="003221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56" w:rsidRDefault="00721656"/>
  <w:p w:rsidR="00721656" w:rsidRDefault="00721656">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A8" w:rsidRDefault="00322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B60"/>
    <w:multiLevelType w:val="hybridMultilevel"/>
    <w:tmpl w:val="F1FC0A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6A7A89"/>
    <w:multiLevelType w:val="hybridMultilevel"/>
    <w:tmpl w:val="564070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80641FE"/>
    <w:multiLevelType w:val="hybridMultilevel"/>
    <w:tmpl w:val="CBC4D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0B3481"/>
    <w:multiLevelType w:val="hybridMultilevel"/>
    <w:tmpl w:val="E0C8D9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705212"/>
    <w:multiLevelType w:val="hybridMultilevel"/>
    <w:tmpl w:val="81AAB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34175A"/>
    <w:multiLevelType w:val="hybridMultilevel"/>
    <w:tmpl w:val="23BC6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5422713"/>
    <w:multiLevelType w:val="hybridMultilevel"/>
    <w:tmpl w:val="835E0C36"/>
    <w:lvl w:ilvl="0" w:tplc="E0A0169A">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7"/>
  </w:num>
  <w:num w:numId="3">
    <w:abstractNumId w:val="1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6"/>
  </w:num>
  <w:num w:numId="7">
    <w:abstractNumId w:val="10"/>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6"/>
  </w:num>
  <w:num w:numId="12">
    <w:abstractNumId w:val="9"/>
  </w:num>
  <w:num w:numId="13">
    <w:abstractNumId w:val="4"/>
  </w:num>
  <w:num w:numId="14">
    <w:abstractNumId w:val="11"/>
  </w:num>
  <w:num w:numId="15">
    <w:abstractNumId w:val="0"/>
  </w:num>
  <w:num w:numId="16">
    <w:abstractNumId w:val="8"/>
  </w:num>
  <w:num w:numId="17">
    <w:abstractNumId w:val="5"/>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3C"/>
    <w:rsid w:val="0000014C"/>
    <w:rsid w:val="00001AD7"/>
    <w:rsid w:val="00007350"/>
    <w:rsid w:val="000348F8"/>
    <w:rsid w:val="0006747A"/>
    <w:rsid w:val="00087F1F"/>
    <w:rsid w:val="000915DD"/>
    <w:rsid w:val="000971BE"/>
    <w:rsid w:val="000979FC"/>
    <w:rsid w:val="000A3B00"/>
    <w:rsid w:val="000D602E"/>
    <w:rsid w:val="000E1FD4"/>
    <w:rsid w:val="000E510A"/>
    <w:rsid w:val="00106526"/>
    <w:rsid w:val="00114980"/>
    <w:rsid w:val="00124D1D"/>
    <w:rsid w:val="001332DD"/>
    <w:rsid w:val="00134BF7"/>
    <w:rsid w:val="00136AC6"/>
    <w:rsid w:val="001403B3"/>
    <w:rsid w:val="0014450E"/>
    <w:rsid w:val="001635C1"/>
    <w:rsid w:val="00164BC1"/>
    <w:rsid w:val="0016712A"/>
    <w:rsid w:val="00171270"/>
    <w:rsid w:val="00186793"/>
    <w:rsid w:val="001924CE"/>
    <w:rsid w:val="00192769"/>
    <w:rsid w:val="001A1BDF"/>
    <w:rsid w:val="001A6A04"/>
    <w:rsid w:val="001B282D"/>
    <w:rsid w:val="001D028F"/>
    <w:rsid w:val="001D6A9B"/>
    <w:rsid w:val="001D7A47"/>
    <w:rsid w:val="001E02AE"/>
    <w:rsid w:val="001E611A"/>
    <w:rsid w:val="00202514"/>
    <w:rsid w:val="00204553"/>
    <w:rsid w:val="0022097C"/>
    <w:rsid w:val="00240373"/>
    <w:rsid w:val="00294E05"/>
    <w:rsid w:val="002A359A"/>
    <w:rsid w:val="002B6089"/>
    <w:rsid w:val="002B6B40"/>
    <w:rsid w:val="002B6E8E"/>
    <w:rsid w:val="002C47CD"/>
    <w:rsid w:val="002C73B8"/>
    <w:rsid w:val="002D73D8"/>
    <w:rsid w:val="002E0DD5"/>
    <w:rsid w:val="002F549C"/>
    <w:rsid w:val="00301497"/>
    <w:rsid w:val="00305A30"/>
    <w:rsid w:val="00307470"/>
    <w:rsid w:val="00315977"/>
    <w:rsid w:val="003221A8"/>
    <w:rsid w:val="0032536B"/>
    <w:rsid w:val="00331859"/>
    <w:rsid w:val="00333E07"/>
    <w:rsid w:val="003342B6"/>
    <w:rsid w:val="00344D0B"/>
    <w:rsid w:val="0035537C"/>
    <w:rsid w:val="00357878"/>
    <w:rsid w:val="0036427A"/>
    <w:rsid w:val="00373ED8"/>
    <w:rsid w:val="00375B0B"/>
    <w:rsid w:val="00380888"/>
    <w:rsid w:val="00382642"/>
    <w:rsid w:val="00391009"/>
    <w:rsid w:val="003A5AF4"/>
    <w:rsid w:val="003B45B3"/>
    <w:rsid w:val="003C42C2"/>
    <w:rsid w:val="003E2A93"/>
    <w:rsid w:val="003F5D09"/>
    <w:rsid w:val="003F62D1"/>
    <w:rsid w:val="00434E1A"/>
    <w:rsid w:val="00440C41"/>
    <w:rsid w:val="00442AE0"/>
    <w:rsid w:val="00443E6B"/>
    <w:rsid w:val="004478ED"/>
    <w:rsid w:val="00464677"/>
    <w:rsid w:val="0046618F"/>
    <w:rsid w:val="00467825"/>
    <w:rsid w:val="00477DFB"/>
    <w:rsid w:val="00483695"/>
    <w:rsid w:val="0049006B"/>
    <w:rsid w:val="004915AB"/>
    <w:rsid w:val="00492B27"/>
    <w:rsid w:val="00495B4D"/>
    <w:rsid w:val="004A63EC"/>
    <w:rsid w:val="004B3230"/>
    <w:rsid w:val="004C486D"/>
    <w:rsid w:val="004C718D"/>
    <w:rsid w:val="004D7066"/>
    <w:rsid w:val="00500358"/>
    <w:rsid w:val="005212E2"/>
    <w:rsid w:val="005219C9"/>
    <w:rsid w:val="00531EB9"/>
    <w:rsid w:val="00534D68"/>
    <w:rsid w:val="005812A1"/>
    <w:rsid w:val="00585685"/>
    <w:rsid w:val="00596A0F"/>
    <w:rsid w:val="005A3EAC"/>
    <w:rsid w:val="005A6600"/>
    <w:rsid w:val="005A6A67"/>
    <w:rsid w:val="005B15B3"/>
    <w:rsid w:val="005B4065"/>
    <w:rsid w:val="005D017A"/>
    <w:rsid w:val="005D7286"/>
    <w:rsid w:val="005E5398"/>
    <w:rsid w:val="005F2224"/>
    <w:rsid w:val="005F7EA0"/>
    <w:rsid w:val="006023E3"/>
    <w:rsid w:val="00602E5F"/>
    <w:rsid w:val="006062D4"/>
    <w:rsid w:val="006144B8"/>
    <w:rsid w:val="00630182"/>
    <w:rsid w:val="00631F74"/>
    <w:rsid w:val="0063340F"/>
    <w:rsid w:val="0064380D"/>
    <w:rsid w:val="00645D67"/>
    <w:rsid w:val="00646A7B"/>
    <w:rsid w:val="00647188"/>
    <w:rsid w:val="00651021"/>
    <w:rsid w:val="00662669"/>
    <w:rsid w:val="006635FC"/>
    <w:rsid w:val="0067139A"/>
    <w:rsid w:val="006776BD"/>
    <w:rsid w:val="00681B4F"/>
    <w:rsid w:val="00683D1B"/>
    <w:rsid w:val="00690B8A"/>
    <w:rsid w:val="00690FB0"/>
    <w:rsid w:val="00691C16"/>
    <w:rsid w:val="006A0172"/>
    <w:rsid w:val="006A0AE9"/>
    <w:rsid w:val="006B248D"/>
    <w:rsid w:val="006B574D"/>
    <w:rsid w:val="006B6BC9"/>
    <w:rsid w:val="006C15B4"/>
    <w:rsid w:val="006D0DDB"/>
    <w:rsid w:val="006D33C2"/>
    <w:rsid w:val="006E144E"/>
    <w:rsid w:val="006F1A91"/>
    <w:rsid w:val="0070248A"/>
    <w:rsid w:val="00706B9C"/>
    <w:rsid w:val="00707FBA"/>
    <w:rsid w:val="00721656"/>
    <w:rsid w:val="007231BA"/>
    <w:rsid w:val="00764BA9"/>
    <w:rsid w:val="00766A67"/>
    <w:rsid w:val="00777581"/>
    <w:rsid w:val="007800F7"/>
    <w:rsid w:val="00790477"/>
    <w:rsid w:val="0079095A"/>
    <w:rsid w:val="00793D1A"/>
    <w:rsid w:val="007A12D6"/>
    <w:rsid w:val="007A5F16"/>
    <w:rsid w:val="007B7D30"/>
    <w:rsid w:val="00800BC5"/>
    <w:rsid w:val="00802328"/>
    <w:rsid w:val="00811BA4"/>
    <w:rsid w:val="00823AA1"/>
    <w:rsid w:val="008349A5"/>
    <w:rsid w:val="008431F8"/>
    <w:rsid w:val="00846AB9"/>
    <w:rsid w:val="00851B76"/>
    <w:rsid w:val="008612BA"/>
    <w:rsid w:val="00865155"/>
    <w:rsid w:val="008849CD"/>
    <w:rsid w:val="00890725"/>
    <w:rsid w:val="00891805"/>
    <w:rsid w:val="00897C14"/>
    <w:rsid w:val="008B6732"/>
    <w:rsid w:val="008F719E"/>
    <w:rsid w:val="009016DB"/>
    <w:rsid w:val="009072BB"/>
    <w:rsid w:val="00907E2C"/>
    <w:rsid w:val="00916514"/>
    <w:rsid w:val="009236AB"/>
    <w:rsid w:val="00923BFE"/>
    <w:rsid w:val="00934CFC"/>
    <w:rsid w:val="00937BF8"/>
    <w:rsid w:val="009679AC"/>
    <w:rsid w:val="00970EDA"/>
    <w:rsid w:val="00972C7A"/>
    <w:rsid w:val="00977994"/>
    <w:rsid w:val="009833CB"/>
    <w:rsid w:val="00990B52"/>
    <w:rsid w:val="009933AE"/>
    <w:rsid w:val="009978AB"/>
    <w:rsid w:val="009B39DC"/>
    <w:rsid w:val="009C036E"/>
    <w:rsid w:val="009C2833"/>
    <w:rsid w:val="009D11FD"/>
    <w:rsid w:val="009D40A5"/>
    <w:rsid w:val="009D7FEC"/>
    <w:rsid w:val="009E3364"/>
    <w:rsid w:val="009F1182"/>
    <w:rsid w:val="009F515F"/>
    <w:rsid w:val="00A04829"/>
    <w:rsid w:val="00A11968"/>
    <w:rsid w:val="00A24402"/>
    <w:rsid w:val="00A41E09"/>
    <w:rsid w:val="00A42F4E"/>
    <w:rsid w:val="00A5180B"/>
    <w:rsid w:val="00A53B50"/>
    <w:rsid w:val="00A63153"/>
    <w:rsid w:val="00A87148"/>
    <w:rsid w:val="00A91744"/>
    <w:rsid w:val="00AB2FCB"/>
    <w:rsid w:val="00AB571B"/>
    <w:rsid w:val="00AC3B5E"/>
    <w:rsid w:val="00AD088F"/>
    <w:rsid w:val="00AF3D73"/>
    <w:rsid w:val="00B02EF3"/>
    <w:rsid w:val="00B04B76"/>
    <w:rsid w:val="00B20E14"/>
    <w:rsid w:val="00B243B9"/>
    <w:rsid w:val="00B27249"/>
    <w:rsid w:val="00B32622"/>
    <w:rsid w:val="00B35ADE"/>
    <w:rsid w:val="00B464E2"/>
    <w:rsid w:val="00B46F07"/>
    <w:rsid w:val="00B57DB6"/>
    <w:rsid w:val="00B80B6D"/>
    <w:rsid w:val="00B925AB"/>
    <w:rsid w:val="00B95761"/>
    <w:rsid w:val="00BA19E0"/>
    <w:rsid w:val="00BA28F7"/>
    <w:rsid w:val="00BB7706"/>
    <w:rsid w:val="00BC2620"/>
    <w:rsid w:val="00BD0CB6"/>
    <w:rsid w:val="00BD1427"/>
    <w:rsid w:val="00BD30A0"/>
    <w:rsid w:val="00BD3805"/>
    <w:rsid w:val="00BE2FE5"/>
    <w:rsid w:val="00BE73EE"/>
    <w:rsid w:val="00BF7430"/>
    <w:rsid w:val="00C12F20"/>
    <w:rsid w:val="00C15B4D"/>
    <w:rsid w:val="00C22668"/>
    <w:rsid w:val="00C2768E"/>
    <w:rsid w:val="00C44758"/>
    <w:rsid w:val="00C61E78"/>
    <w:rsid w:val="00C74802"/>
    <w:rsid w:val="00C77B2F"/>
    <w:rsid w:val="00C94DAC"/>
    <w:rsid w:val="00C96381"/>
    <w:rsid w:val="00CA433A"/>
    <w:rsid w:val="00CC1ABF"/>
    <w:rsid w:val="00CC6A75"/>
    <w:rsid w:val="00CD46EF"/>
    <w:rsid w:val="00CD6002"/>
    <w:rsid w:val="00CD6943"/>
    <w:rsid w:val="00CF1CEC"/>
    <w:rsid w:val="00CF36D1"/>
    <w:rsid w:val="00CF6A74"/>
    <w:rsid w:val="00D00BAD"/>
    <w:rsid w:val="00D061A7"/>
    <w:rsid w:val="00D102B3"/>
    <w:rsid w:val="00D12B0D"/>
    <w:rsid w:val="00D21770"/>
    <w:rsid w:val="00D2740F"/>
    <w:rsid w:val="00D3059E"/>
    <w:rsid w:val="00D37F01"/>
    <w:rsid w:val="00D522BD"/>
    <w:rsid w:val="00D72CD5"/>
    <w:rsid w:val="00D81536"/>
    <w:rsid w:val="00D936AB"/>
    <w:rsid w:val="00D97538"/>
    <w:rsid w:val="00D97B6E"/>
    <w:rsid w:val="00DB3D9A"/>
    <w:rsid w:val="00DC4BD1"/>
    <w:rsid w:val="00DD05A5"/>
    <w:rsid w:val="00DD7087"/>
    <w:rsid w:val="00DF51E3"/>
    <w:rsid w:val="00E021BB"/>
    <w:rsid w:val="00E17ED0"/>
    <w:rsid w:val="00E34636"/>
    <w:rsid w:val="00E36E75"/>
    <w:rsid w:val="00E43435"/>
    <w:rsid w:val="00E57182"/>
    <w:rsid w:val="00E67B7F"/>
    <w:rsid w:val="00E747D3"/>
    <w:rsid w:val="00E77D5A"/>
    <w:rsid w:val="00E81DAE"/>
    <w:rsid w:val="00E820E5"/>
    <w:rsid w:val="00EA17EC"/>
    <w:rsid w:val="00EA2835"/>
    <w:rsid w:val="00EA4151"/>
    <w:rsid w:val="00EA715B"/>
    <w:rsid w:val="00EB1837"/>
    <w:rsid w:val="00EC6A3B"/>
    <w:rsid w:val="00ED0AD1"/>
    <w:rsid w:val="00EF2338"/>
    <w:rsid w:val="00F004BB"/>
    <w:rsid w:val="00F01C5E"/>
    <w:rsid w:val="00F04D5C"/>
    <w:rsid w:val="00F10019"/>
    <w:rsid w:val="00F17B20"/>
    <w:rsid w:val="00F22226"/>
    <w:rsid w:val="00F25023"/>
    <w:rsid w:val="00F36D0B"/>
    <w:rsid w:val="00F422EA"/>
    <w:rsid w:val="00F50C7A"/>
    <w:rsid w:val="00F5216D"/>
    <w:rsid w:val="00F55FA6"/>
    <w:rsid w:val="00F90564"/>
    <w:rsid w:val="00F919C2"/>
    <w:rsid w:val="00F96CC3"/>
    <w:rsid w:val="00F9781B"/>
    <w:rsid w:val="00FA2B32"/>
    <w:rsid w:val="00FA5900"/>
    <w:rsid w:val="00FA6C9F"/>
    <w:rsid w:val="00FA703C"/>
    <w:rsid w:val="00FB7D1D"/>
    <w:rsid w:val="00FC1194"/>
    <w:rsid w:val="00FC3D5F"/>
    <w:rsid w:val="00FD4DCD"/>
    <w:rsid w:val="00FD5554"/>
    <w:rsid w:val="00FF2643"/>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1A273F7-CC3A-4670-94BC-8CB36F6C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styleId="Hyperlink">
    <w:name w:val="Hyperlink"/>
    <w:unhideWhenUsed/>
    <w:rsid w:val="009D40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22463646">
      <w:bodyDiv w:val="1"/>
      <w:marLeft w:val="0"/>
      <w:marRight w:val="0"/>
      <w:marTop w:val="0"/>
      <w:marBottom w:val="0"/>
      <w:divBdr>
        <w:top w:val="none" w:sz="0" w:space="0" w:color="auto"/>
        <w:left w:val="none" w:sz="0" w:space="0" w:color="auto"/>
        <w:bottom w:val="none" w:sz="0" w:space="0" w:color="auto"/>
        <w:right w:val="none" w:sz="0" w:space="0" w:color="auto"/>
      </w:divBdr>
    </w:div>
    <w:div w:id="972057126">
      <w:bodyDiv w:val="1"/>
      <w:marLeft w:val="0"/>
      <w:marRight w:val="0"/>
      <w:marTop w:val="0"/>
      <w:marBottom w:val="0"/>
      <w:divBdr>
        <w:top w:val="none" w:sz="0" w:space="0" w:color="auto"/>
        <w:left w:val="none" w:sz="0" w:space="0" w:color="auto"/>
        <w:bottom w:val="none" w:sz="0" w:space="0" w:color="auto"/>
        <w:right w:val="none" w:sz="0" w:space="0" w:color="auto"/>
      </w:divBdr>
    </w:div>
    <w:div w:id="18051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6ABC3-4A77-4D4E-ACD3-FCC84747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2199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mary.gottlieb</cp:lastModifiedBy>
  <cp:revision>3</cp:revision>
  <cp:lastPrinted>2016-11-29T19:56:00Z</cp:lastPrinted>
  <dcterms:created xsi:type="dcterms:W3CDTF">2017-04-10T14:31:00Z</dcterms:created>
  <dcterms:modified xsi:type="dcterms:W3CDTF">2017-04-10T14:32:00Z</dcterms:modified>
</cp:coreProperties>
</file>