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XSpec="center" w:tblpY="318"/>
        <w:tblW w:w="11520" w:type="dxa"/>
        <w:tblLayout w:type="fixed"/>
        <w:tblLook w:val="04A0" w:firstRow="1" w:lastRow="0" w:firstColumn="1" w:lastColumn="0" w:noHBand="0" w:noVBand="1"/>
      </w:tblPr>
      <w:tblGrid>
        <w:gridCol w:w="1435"/>
        <w:gridCol w:w="720"/>
        <w:gridCol w:w="5220"/>
        <w:gridCol w:w="4145"/>
      </w:tblGrid>
      <w:tr w:rsidR="008A7EF9" w:rsidRPr="00C51F35" w:rsidTr="007C3858">
        <w:trPr>
          <w:trHeight w:val="1701"/>
        </w:trPr>
        <w:tc>
          <w:tcPr>
            <w:tcW w:w="1435" w:type="dxa"/>
            <w:shd w:val="clear" w:color="auto" w:fill="D9D9D9" w:themeFill="background1" w:themeFillShade="D9"/>
          </w:tcPr>
          <w:p w:rsidR="008A7EF9" w:rsidRPr="00C51F35" w:rsidRDefault="008A7EF9" w:rsidP="007C3858">
            <w:pPr>
              <w:jc w:val="center"/>
              <w:rPr>
                <w:b/>
              </w:rPr>
            </w:pPr>
            <w:bookmarkStart w:id="0" w:name="_GoBack"/>
            <w:bookmarkEnd w:id="0"/>
            <w:r>
              <w:rPr>
                <w:b/>
              </w:rPr>
              <w:t>Document (specify notice, instructions, burden estimates)</w:t>
            </w:r>
          </w:p>
        </w:tc>
        <w:tc>
          <w:tcPr>
            <w:tcW w:w="720" w:type="dxa"/>
            <w:shd w:val="clear" w:color="auto" w:fill="D9D9D9" w:themeFill="background1" w:themeFillShade="D9"/>
          </w:tcPr>
          <w:p w:rsidR="008A7EF9" w:rsidRDefault="008A7EF9" w:rsidP="007C3858">
            <w:pPr>
              <w:jc w:val="center"/>
              <w:rPr>
                <w:b/>
              </w:rPr>
            </w:pPr>
            <w:r>
              <w:rPr>
                <w:b/>
              </w:rPr>
              <w:t>Page #</w:t>
            </w:r>
          </w:p>
        </w:tc>
        <w:tc>
          <w:tcPr>
            <w:tcW w:w="5220" w:type="dxa"/>
            <w:shd w:val="clear" w:color="auto" w:fill="D9D9D9" w:themeFill="background1" w:themeFillShade="D9"/>
          </w:tcPr>
          <w:p w:rsidR="008A7EF9" w:rsidRPr="00C51F35" w:rsidRDefault="008A7EF9" w:rsidP="007C3858">
            <w:pPr>
              <w:jc w:val="center"/>
              <w:rPr>
                <w:b/>
              </w:rPr>
            </w:pPr>
            <w:r>
              <w:rPr>
                <w:b/>
              </w:rPr>
              <w:t>Comment (commenter and summary of comment)</w:t>
            </w:r>
          </w:p>
        </w:tc>
        <w:tc>
          <w:tcPr>
            <w:tcW w:w="4145" w:type="dxa"/>
            <w:shd w:val="clear" w:color="auto" w:fill="D9D9D9" w:themeFill="background1" w:themeFillShade="D9"/>
          </w:tcPr>
          <w:p w:rsidR="008A7EF9" w:rsidRPr="00C51F35" w:rsidRDefault="008A7EF9" w:rsidP="007C3858">
            <w:pPr>
              <w:jc w:val="center"/>
              <w:rPr>
                <w:b/>
              </w:rPr>
            </w:pPr>
            <w:r>
              <w:rPr>
                <w:b/>
              </w:rPr>
              <w:t>CMS Response</w:t>
            </w:r>
          </w:p>
        </w:tc>
      </w:tr>
      <w:tr w:rsidR="008A7EF9" w:rsidRPr="00C51F35" w:rsidTr="007C3858">
        <w:tc>
          <w:tcPr>
            <w:tcW w:w="1435" w:type="dxa"/>
          </w:tcPr>
          <w:p w:rsidR="008A7EF9" w:rsidRPr="00C51F35" w:rsidRDefault="008A7EF9" w:rsidP="007C3858">
            <w:pPr>
              <w:rPr>
                <w:color w:val="000000"/>
              </w:rPr>
            </w:pPr>
            <w:r>
              <w:rPr>
                <w:color w:val="000000"/>
              </w:rPr>
              <w:t>Notice</w:t>
            </w:r>
          </w:p>
        </w:tc>
        <w:tc>
          <w:tcPr>
            <w:tcW w:w="720" w:type="dxa"/>
          </w:tcPr>
          <w:p w:rsidR="008A7EF9" w:rsidRPr="00C51F35" w:rsidRDefault="008A7EF9" w:rsidP="007C3858">
            <w:pPr>
              <w:rPr>
                <w:color w:val="000000"/>
              </w:rPr>
            </w:pPr>
            <w:r>
              <w:rPr>
                <w:color w:val="000000"/>
              </w:rPr>
              <w:t>1</w:t>
            </w:r>
          </w:p>
        </w:tc>
        <w:tc>
          <w:tcPr>
            <w:tcW w:w="5220" w:type="dxa"/>
          </w:tcPr>
          <w:p w:rsidR="008A7EF9" w:rsidRDefault="00807B23" w:rsidP="007C3858">
            <w:pPr>
              <w:rPr>
                <w:color w:val="000000"/>
              </w:rPr>
            </w:pPr>
            <w:r w:rsidRPr="00964C6D">
              <w:rPr>
                <w:color w:val="000000"/>
              </w:rPr>
              <w:t xml:space="preserve">America’s Health Insurance Plans, Mark </w:t>
            </w:r>
            <w:proofErr w:type="spellStart"/>
            <w:r w:rsidRPr="00964C6D">
              <w:rPr>
                <w:color w:val="000000"/>
              </w:rPr>
              <w:t>Hamelburg</w:t>
            </w:r>
            <w:proofErr w:type="spellEnd"/>
            <w:r w:rsidRPr="00776980">
              <w:rPr>
                <w:color w:val="000000"/>
              </w:rPr>
              <w:t xml:space="preserve"> </w:t>
            </w:r>
          </w:p>
          <w:p w:rsidR="00807B23" w:rsidRPr="00776980" w:rsidRDefault="00807B23" w:rsidP="007C3858">
            <w:pPr>
              <w:rPr>
                <w:color w:val="000000"/>
              </w:rPr>
            </w:pPr>
          </w:p>
          <w:p w:rsidR="00807B23" w:rsidRPr="00807B23" w:rsidRDefault="00807B23" w:rsidP="00807B23">
            <w:pPr>
              <w:pStyle w:val="ListParagraph"/>
              <w:numPr>
                <w:ilvl w:val="0"/>
                <w:numId w:val="9"/>
              </w:numPr>
              <w:ind w:left="252" w:hanging="252"/>
              <w:rPr>
                <w:bCs/>
                <w:color w:val="000000"/>
              </w:rPr>
            </w:pPr>
            <w:r w:rsidRPr="00807B23">
              <w:rPr>
                <w:bCs/>
                <w:color w:val="000000"/>
              </w:rPr>
              <w:t xml:space="preserve">“Why did we deny your request?”  </w:t>
            </w:r>
          </w:p>
          <w:p w:rsidR="00807B23" w:rsidRPr="00807B23" w:rsidRDefault="00807B23" w:rsidP="00807B23">
            <w:pPr>
              <w:rPr>
                <w:bCs/>
                <w:color w:val="000000"/>
              </w:rPr>
            </w:pPr>
          </w:p>
          <w:p w:rsidR="00807B23" w:rsidRPr="00807B23" w:rsidRDefault="00807B23" w:rsidP="00807B23">
            <w:pPr>
              <w:rPr>
                <w:bCs/>
                <w:color w:val="000000"/>
              </w:rPr>
            </w:pPr>
            <w:r>
              <w:rPr>
                <w:bCs/>
                <w:color w:val="000000"/>
              </w:rPr>
              <w:t>The</w:t>
            </w:r>
            <w:r w:rsidRPr="00807B23">
              <w:rPr>
                <w:bCs/>
                <w:color w:val="000000"/>
              </w:rPr>
              <w:t xml:space="preserve"> agency is proposing to require plans to include specific language in the denial rationale section when a prescription drug is denied under Part D and is or may be covered under Medicare Parts A or B.  We reiterate our concerns with CMS’s proposal as it relates to MA-</w:t>
            </w:r>
            <w:proofErr w:type="spellStart"/>
            <w:r w:rsidRPr="00807B23">
              <w:rPr>
                <w:bCs/>
                <w:color w:val="000000"/>
              </w:rPr>
              <w:t>PD</w:t>
            </w:r>
            <w:proofErr w:type="spellEnd"/>
            <w:r w:rsidRPr="00807B23">
              <w:rPr>
                <w:bCs/>
                <w:color w:val="000000"/>
              </w:rPr>
              <w:t xml:space="preserve"> plans.  In the 2017 Call Letter, CMS indicated that the agency intends to develop and issue </w:t>
            </w:r>
            <w:proofErr w:type="spellStart"/>
            <w:r w:rsidRPr="00807B23">
              <w:rPr>
                <w:bCs/>
                <w:color w:val="000000"/>
              </w:rPr>
              <w:t>subregulatory</w:t>
            </w:r>
            <w:proofErr w:type="spellEnd"/>
            <w:r w:rsidRPr="00807B23">
              <w:rPr>
                <w:bCs/>
                <w:color w:val="000000"/>
              </w:rPr>
              <w:t xml:space="preserve"> guidance that would provide CMS’s expectations for MA-</w:t>
            </w:r>
            <w:proofErr w:type="spellStart"/>
            <w:r w:rsidRPr="00807B23">
              <w:rPr>
                <w:bCs/>
                <w:color w:val="000000"/>
              </w:rPr>
              <w:t>PD</w:t>
            </w:r>
            <w:proofErr w:type="spellEnd"/>
            <w:r w:rsidRPr="00807B23">
              <w:rPr>
                <w:bCs/>
                <w:color w:val="000000"/>
              </w:rPr>
              <w:t xml:space="preserve"> plans regarding coordination of benefits when a </w:t>
            </w:r>
            <w:r w:rsidRPr="00807B23">
              <w:rPr>
                <w:color w:val="000000"/>
              </w:rPr>
              <w:t xml:space="preserve">prescription drug may be covered under Parts A, B or D.  It might address, for example, the appropriate timeframe that must be met for a determination about a drug which is not a Part D-covered drug, but may be covered under Part B, pending the plan’s medical review.  Since the </w:t>
            </w:r>
            <w:proofErr w:type="spellStart"/>
            <w:r w:rsidRPr="00807B23">
              <w:rPr>
                <w:color w:val="000000"/>
              </w:rPr>
              <w:t>subregulatory</w:t>
            </w:r>
            <w:proofErr w:type="spellEnd"/>
            <w:r w:rsidRPr="00807B23">
              <w:rPr>
                <w:color w:val="000000"/>
              </w:rPr>
              <w:t xml:space="preserve"> guidance could directly impact the Notice of Denial language and decision timelines, we continue to believe it is premature for CMS to address the topic through the Notice of Denial.  We again recommend that CMS not move forward with its proposed language until plans have an opportunity to review and comment on the applicable </w:t>
            </w:r>
            <w:proofErr w:type="spellStart"/>
            <w:r w:rsidRPr="00807B23">
              <w:rPr>
                <w:color w:val="000000"/>
              </w:rPr>
              <w:t>subregulatory</w:t>
            </w:r>
            <w:proofErr w:type="spellEnd"/>
            <w:r w:rsidRPr="00807B23">
              <w:rPr>
                <w:color w:val="000000"/>
              </w:rPr>
              <w:t xml:space="preserve"> guidance.  </w:t>
            </w:r>
          </w:p>
          <w:p w:rsidR="008A7EF9" w:rsidRPr="00776980" w:rsidRDefault="008A7EF9" w:rsidP="007C3858">
            <w:pPr>
              <w:rPr>
                <w:color w:val="000000"/>
              </w:rPr>
            </w:pPr>
          </w:p>
          <w:p w:rsidR="008A7EF9" w:rsidRPr="00C51F35" w:rsidRDefault="008A7EF9" w:rsidP="008A7EF9">
            <w:pPr>
              <w:rPr>
                <w:color w:val="000000"/>
              </w:rPr>
            </w:pPr>
          </w:p>
        </w:tc>
        <w:tc>
          <w:tcPr>
            <w:tcW w:w="4145" w:type="dxa"/>
          </w:tcPr>
          <w:p w:rsidR="00ED3900" w:rsidRDefault="00ED3900" w:rsidP="00ED3900">
            <w:pPr>
              <w:rPr>
                <w:color w:val="000000"/>
              </w:rPr>
            </w:pPr>
            <w:r>
              <w:rPr>
                <w:color w:val="000000"/>
              </w:rPr>
              <w:t>The MA-</w:t>
            </w:r>
            <w:proofErr w:type="spellStart"/>
            <w:r>
              <w:rPr>
                <w:color w:val="000000"/>
              </w:rPr>
              <w:t>PD</w:t>
            </w:r>
            <w:proofErr w:type="spellEnd"/>
            <w:r>
              <w:rPr>
                <w:color w:val="000000"/>
              </w:rPr>
              <w:t xml:space="preserve"> instruction for B v. D drugs is not a new addition to the Part D denial notice; however, we have added language clarifying that the language related to approval under Part B is only inserted “if applicable.”  </w:t>
            </w:r>
          </w:p>
          <w:p w:rsidR="00ED3900" w:rsidRDefault="00ED3900" w:rsidP="00ED3900">
            <w:pPr>
              <w:rPr>
                <w:color w:val="000000"/>
              </w:rPr>
            </w:pPr>
            <w:r>
              <w:rPr>
                <w:color w:val="000000"/>
              </w:rPr>
              <w:t>CMS will not be making any additional changes to</w:t>
            </w:r>
            <w:r w:rsidR="00B2633A">
              <w:rPr>
                <w:color w:val="000000"/>
              </w:rPr>
              <w:t xml:space="preserve"> the Denial Notice at this time, and burden estimates for this notice have not been changed as a result of the additional clarifying language.</w:t>
            </w:r>
          </w:p>
          <w:p w:rsidR="008A7EF9" w:rsidRPr="00C51F35" w:rsidRDefault="008A7EF9" w:rsidP="007C3858">
            <w:pPr>
              <w:pStyle w:val="ListParagraph"/>
            </w:pPr>
          </w:p>
        </w:tc>
      </w:tr>
    </w:tbl>
    <w:p w:rsidR="00DE6413" w:rsidRDefault="00DE6413"/>
    <w:sectPr w:rsidR="00DE64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79B716B"/>
    <w:multiLevelType w:val="hybridMultilevel"/>
    <w:tmpl w:val="6E54F2BA"/>
    <w:lvl w:ilvl="0" w:tplc="9318A206">
      <w:start w:val="1"/>
      <w:numFmt w:val="decimal"/>
      <w:lvlText w:val="%1."/>
      <w:lvlJc w:val="left"/>
      <w:pPr>
        <w:ind w:left="765" w:hanging="360"/>
      </w:pPr>
      <w:rPr>
        <w:rFonts w:hint="default"/>
        <w:color w:val="000000"/>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1" w15:restartNumberingAfterBreak="0">
    <w:nsid w:val="45551FB1"/>
    <w:multiLevelType w:val="hybridMultilevel"/>
    <w:tmpl w:val="0FEA00EC"/>
    <w:lvl w:ilvl="0" w:tplc="E36C41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E346607"/>
    <w:multiLevelType w:val="hybridMultilevel"/>
    <w:tmpl w:val="B358CC46"/>
    <w:lvl w:ilvl="0" w:tplc="04090001">
      <w:start w:val="1"/>
      <w:numFmt w:val="bullet"/>
      <w:lvlText w:val=""/>
      <w:lvlJc w:val="left"/>
      <w:pPr>
        <w:ind w:left="937" w:hanging="360"/>
      </w:pPr>
      <w:rPr>
        <w:rFonts w:ascii="Symbol" w:hAnsi="Symbol" w:hint="default"/>
      </w:rPr>
    </w:lvl>
    <w:lvl w:ilvl="1" w:tplc="04090003" w:tentative="1">
      <w:start w:val="1"/>
      <w:numFmt w:val="bullet"/>
      <w:lvlText w:val="o"/>
      <w:lvlJc w:val="left"/>
      <w:pPr>
        <w:ind w:left="1657" w:hanging="360"/>
      </w:pPr>
      <w:rPr>
        <w:rFonts w:ascii="Courier New" w:hAnsi="Courier New" w:cs="Courier New" w:hint="default"/>
      </w:rPr>
    </w:lvl>
    <w:lvl w:ilvl="2" w:tplc="04090005" w:tentative="1">
      <w:start w:val="1"/>
      <w:numFmt w:val="bullet"/>
      <w:lvlText w:val=""/>
      <w:lvlJc w:val="left"/>
      <w:pPr>
        <w:ind w:left="2377" w:hanging="360"/>
      </w:pPr>
      <w:rPr>
        <w:rFonts w:ascii="Wingdings" w:hAnsi="Wingdings" w:hint="default"/>
      </w:rPr>
    </w:lvl>
    <w:lvl w:ilvl="3" w:tplc="04090001" w:tentative="1">
      <w:start w:val="1"/>
      <w:numFmt w:val="bullet"/>
      <w:lvlText w:val=""/>
      <w:lvlJc w:val="left"/>
      <w:pPr>
        <w:ind w:left="3097" w:hanging="360"/>
      </w:pPr>
      <w:rPr>
        <w:rFonts w:ascii="Symbol" w:hAnsi="Symbol" w:hint="default"/>
      </w:rPr>
    </w:lvl>
    <w:lvl w:ilvl="4" w:tplc="04090003" w:tentative="1">
      <w:start w:val="1"/>
      <w:numFmt w:val="bullet"/>
      <w:lvlText w:val="o"/>
      <w:lvlJc w:val="left"/>
      <w:pPr>
        <w:ind w:left="3817" w:hanging="360"/>
      </w:pPr>
      <w:rPr>
        <w:rFonts w:ascii="Courier New" w:hAnsi="Courier New" w:cs="Courier New" w:hint="default"/>
      </w:rPr>
    </w:lvl>
    <w:lvl w:ilvl="5" w:tplc="04090005" w:tentative="1">
      <w:start w:val="1"/>
      <w:numFmt w:val="bullet"/>
      <w:lvlText w:val=""/>
      <w:lvlJc w:val="left"/>
      <w:pPr>
        <w:ind w:left="4537" w:hanging="360"/>
      </w:pPr>
      <w:rPr>
        <w:rFonts w:ascii="Wingdings" w:hAnsi="Wingdings" w:hint="default"/>
      </w:rPr>
    </w:lvl>
    <w:lvl w:ilvl="6" w:tplc="04090001" w:tentative="1">
      <w:start w:val="1"/>
      <w:numFmt w:val="bullet"/>
      <w:lvlText w:val=""/>
      <w:lvlJc w:val="left"/>
      <w:pPr>
        <w:ind w:left="5257" w:hanging="360"/>
      </w:pPr>
      <w:rPr>
        <w:rFonts w:ascii="Symbol" w:hAnsi="Symbol" w:hint="default"/>
      </w:rPr>
    </w:lvl>
    <w:lvl w:ilvl="7" w:tplc="04090003" w:tentative="1">
      <w:start w:val="1"/>
      <w:numFmt w:val="bullet"/>
      <w:lvlText w:val="o"/>
      <w:lvlJc w:val="left"/>
      <w:pPr>
        <w:ind w:left="5977" w:hanging="360"/>
      </w:pPr>
      <w:rPr>
        <w:rFonts w:ascii="Courier New" w:hAnsi="Courier New" w:cs="Courier New" w:hint="default"/>
      </w:rPr>
    </w:lvl>
    <w:lvl w:ilvl="8" w:tplc="04090005" w:tentative="1">
      <w:start w:val="1"/>
      <w:numFmt w:val="bullet"/>
      <w:lvlText w:val=""/>
      <w:lvlJc w:val="left"/>
      <w:pPr>
        <w:ind w:left="6697" w:hanging="360"/>
      </w:pPr>
      <w:rPr>
        <w:rFonts w:ascii="Wingdings" w:hAnsi="Wingdings" w:hint="default"/>
      </w:rPr>
    </w:lvl>
  </w:abstractNum>
  <w:abstractNum w:abstractNumId="3" w15:restartNumberingAfterBreak="0">
    <w:nsid w:val="62565BAB"/>
    <w:multiLevelType w:val="hybridMultilevel"/>
    <w:tmpl w:val="C63228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74A4317"/>
    <w:multiLevelType w:val="hybridMultilevel"/>
    <w:tmpl w:val="5A3E9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655F94"/>
    <w:multiLevelType w:val="hybridMultilevel"/>
    <w:tmpl w:val="8B4E8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2AF71D5"/>
    <w:multiLevelType w:val="hybridMultilevel"/>
    <w:tmpl w:val="0C546966"/>
    <w:lvl w:ilvl="0" w:tplc="AC2A765C">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7" w15:restartNumberingAfterBreak="0">
    <w:nsid w:val="732E7BEE"/>
    <w:multiLevelType w:val="hybridMultilevel"/>
    <w:tmpl w:val="EE724000"/>
    <w:lvl w:ilvl="0" w:tplc="418E4896">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75D67328"/>
    <w:multiLevelType w:val="hybridMultilevel"/>
    <w:tmpl w:val="903AA0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4"/>
  </w:num>
  <w:num w:numId="4">
    <w:abstractNumId w:val="6"/>
  </w:num>
  <w:num w:numId="5">
    <w:abstractNumId w:val="5"/>
  </w:num>
  <w:num w:numId="6">
    <w:abstractNumId w:val="3"/>
  </w:num>
  <w:num w:numId="7">
    <w:abstractNumId w:val="7"/>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EF9"/>
    <w:rsid w:val="00807B23"/>
    <w:rsid w:val="008A7EF9"/>
    <w:rsid w:val="00B2633A"/>
    <w:rsid w:val="00B57610"/>
    <w:rsid w:val="00DE6413"/>
    <w:rsid w:val="00ED3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5400B0-5C6A-412D-A4DC-FEB4066D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EF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A7E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A7EF9"/>
    <w:pPr>
      <w:ind w:left="720"/>
      <w:contextualSpacing/>
    </w:pPr>
  </w:style>
  <w:style w:type="character" w:styleId="CommentReference">
    <w:name w:val="annotation reference"/>
    <w:basedOn w:val="DefaultParagraphFont"/>
    <w:uiPriority w:val="99"/>
    <w:semiHidden/>
    <w:unhideWhenUsed/>
    <w:rsid w:val="008A7EF9"/>
    <w:rPr>
      <w:sz w:val="16"/>
      <w:szCs w:val="16"/>
    </w:rPr>
  </w:style>
  <w:style w:type="paragraph" w:styleId="CommentText">
    <w:name w:val="annotation text"/>
    <w:basedOn w:val="Normal"/>
    <w:link w:val="CommentTextChar"/>
    <w:uiPriority w:val="99"/>
    <w:semiHidden/>
    <w:unhideWhenUsed/>
    <w:rsid w:val="008A7EF9"/>
    <w:pPr>
      <w:spacing w:line="240" w:lineRule="auto"/>
    </w:pPr>
    <w:rPr>
      <w:sz w:val="20"/>
      <w:szCs w:val="20"/>
    </w:rPr>
  </w:style>
  <w:style w:type="character" w:customStyle="1" w:styleId="CommentTextChar">
    <w:name w:val="Comment Text Char"/>
    <w:basedOn w:val="DefaultParagraphFont"/>
    <w:link w:val="CommentText"/>
    <w:uiPriority w:val="99"/>
    <w:semiHidden/>
    <w:rsid w:val="008A7EF9"/>
    <w:rPr>
      <w:sz w:val="20"/>
      <w:szCs w:val="20"/>
    </w:rPr>
  </w:style>
  <w:style w:type="paragraph" w:styleId="BalloonText">
    <w:name w:val="Balloon Text"/>
    <w:basedOn w:val="Normal"/>
    <w:link w:val="BalloonTextChar"/>
    <w:uiPriority w:val="99"/>
    <w:semiHidden/>
    <w:unhideWhenUsed/>
    <w:rsid w:val="008A7E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7E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4253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263</Words>
  <Characters>1502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Casserly</dc:creator>
  <cp:keywords/>
  <dc:description/>
  <cp:lastModifiedBy>Mitch Bryman</cp:lastModifiedBy>
  <cp:revision>2</cp:revision>
  <dcterms:created xsi:type="dcterms:W3CDTF">2017-02-02T12:02:00Z</dcterms:created>
  <dcterms:modified xsi:type="dcterms:W3CDTF">2017-02-02T12:02:00Z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-179945264</vt:i4>
  </property>
  <property fmtid="{D5CDD505-2E9C-101B-9397-08002B2CF9AE}" pid="3" name="_NewReviewCycle">
    <vt:lpwstr/>
  </property>
  <property fmtid="{D5CDD505-2E9C-101B-9397-08002B2CF9AE}" pid="4" name="_EmailSubject">
    <vt:lpwstr>Action Needed: 30-day Public Comments &gt; RE: OMB Passback 1 &gt; RE: CMS-10146 PRA (Notice of Denial of Medicare Prescription Drug Coverage)</vt:lpwstr>
  </property>
  <property fmtid="{D5CDD505-2E9C-101B-9397-08002B2CF9AE}" pid="5" name="_AuthorEmail">
    <vt:lpwstr>Amber.Casserly@cms.hhs.gov</vt:lpwstr>
  </property>
  <property fmtid="{D5CDD505-2E9C-101B-9397-08002B2CF9AE}" pid="6" name="_AuthorEmailDisplayName">
    <vt:lpwstr>Casserly, Amber M. (CMS/CM)</vt:lpwstr>
  </property>
  <property fmtid="{D5CDD505-2E9C-101B-9397-08002B2CF9AE}" pid="7" name="_ReviewingToolsShownOnce">
    <vt:lpwstr/>
  </property>
</Properties>
</file>