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5FAF8" w14:textId="77777777" w:rsidR="009D5AD3" w:rsidRPr="007B7FF3" w:rsidRDefault="00F76054">
      <w:pPr>
        <w:pStyle w:val="Heading1"/>
        <w:spacing w:before="46" w:line="272" w:lineRule="exact"/>
        <w:ind w:left="2548" w:right="2018" w:hanging="288"/>
        <w:rPr>
          <w:b w:val="0"/>
          <w:bCs w:val="0"/>
        </w:rPr>
      </w:pPr>
      <w:r w:rsidRPr="007B7FF3">
        <w:t>Paperwork Reduction Act - Supporting Statement Center for Medicare and Medicaid Services Physician Se lf-Referral Disclosure Protocol</w:t>
      </w:r>
    </w:p>
    <w:p w14:paraId="3679D1F6" w14:textId="77777777" w:rsidR="009D5AD3" w:rsidRPr="007B7FF3" w:rsidRDefault="009D5AD3">
      <w:pPr>
        <w:spacing w:before="6"/>
        <w:rPr>
          <w:rFonts w:ascii="Times New Roman" w:eastAsia="Times New Roman" w:hAnsi="Times New Roman" w:cs="Times New Roman"/>
          <w:b/>
          <w:bCs/>
          <w:sz w:val="18"/>
          <w:szCs w:val="18"/>
        </w:rPr>
      </w:pPr>
    </w:p>
    <w:p w14:paraId="7A78AA59" w14:textId="744905ED" w:rsidR="009D5AD3" w:rsidRPr="007B7FF3" w:rsidRDefault="00121DBA" w:rsidP="00864CE8">
      <w:pPr>
        <w:tabs>
          <w:tab w:val="left" w:pos="532"/>
        </w:tabs>
        <w:spacing w:before="69"/>
        <w:ind w:left="100" w:right="2018"/>
        <w:rPr>
          <w:rFonts w:ascii="Times New Roman" w:eastAsia="Times New Roman" w:hAnsi="Times New Roman" w:cs="Times New Roman"/>
          <w:sz w:val="24"/>
          <w:szCs w:val="24"/>
        </w:rPr>
      </w:pPr>
      <w:r>
        <w:rPr>
          <w:rFonts w:ascii="Times New Roman"/>
          <w:b/>
          <w:sz w:val="24"/>
          <w:u w:val="single" w:color="000000"/>
        </w:rPr>
        <w:t>B</w:t>
      </w:r>
      <w:r w:rsidR="00F76054" w:rsidRPr="007B7FF3">
        <w:rPr>
          <w:rFonts w:ascii="Times New Roman"/>
          <w:b/>
          <w:sz w:val="24"/>
          <w:u w:val="single" w:color="000000"/>
        </w:rPr>
        <w:t>ackground</w:t>
      </w:r>
    </w:p>
    <w:p w14:paraId="022C0C53" w14:textId="77777777" w:rsidR="009D5AD3" w:rsidRPr="007B7FF3" w:rsidRDefault="009D5AD3">
      <w:pPr>
        <w:spacing w:before="10"/>
        <w:rPr>
          <w:rFonts w:ascii="Times New Roman" w:eastAsia="Times New Roman" w:hAnsi="Times New Roman" w:cs="Times New Roman"/>
          <w:b/>
          <w:bCs/>
          <w:sz w:val="15"/>
          <w:szCs w:val="15"/>
        </w:rPr>
      </w:pPr>
    </w:p>
    <w:p w14:paraId="6EE18685" w14:textId="77777777" w:rsidR="009D5AD3" w:rsidRPr="007B7FF3" w:rsidRDefault="00F76054">
      <w:pPr>
        <w:pStyle w:val="BodyText"/>
        <w:spacing w:before="69" w:line="242" w:lineRule="auto"/>
        <w:ind w:left="100" w:right="102"/>
      </w:pPr>
      <w:r w:rsidRPr="007B7FF3">
        <w:t xml:space="preserve">The Affordable Care Act (“ACA”) was enacted on March 23, 2010. Section 6409 of the ACA requires the Secretary of the Department of Health and Human Services (the “Secretary”), in </w:t>
      </w:r>
      <w:r w:rsidR="003C27D4" w:rsidRPr="007B7FF3">
        <w:t>cooperation</w:t>
      </w:r>
      <w:r w:rsidRPr="007B7FF3">
        <w:t xml:space="preserve"> with the Office of Inspector General of the Department of Health and Human</w:t>
      </w:r>
    </w:p>
    <w:p w14:paraId="5CF28943" w14:textId="6D7FEB42" w:rsidR="009D5AD3" w:rsidRPr="007B7FF3" w:rsidRDefault="00F76054">
      <w:pPr>
        <w:pStyle w:val="BodyText"/>
        <w:ind w:left="100" w:right="102"/>
      </w:pPr>
      <w:r w:rsidRPr="007B7FF3">
        <w:t xml:space="preserve">Services, to establish a Medicare self-referral disclosure protocol (“SRDP”). The SRDP enables providers of services and suppliers to self-disclose actual or potential violations of the physician self-referral statute, section 1877 of the Social Security Act (the “Act”). Section 6409(b) of the ACA gives the Secretary the authority to reduce the amount due and </w:t>
      </w:r>
      <w:r w:rsidR="007B7FF3" w:rsidRPr="007B7FF3">
        <w:t>ow</w:t>
      </w:r>
      <w:r w:rsidR="007B7FF3">
        <w:t>ed</w:t>
      </w:r>
      <w:r w:rsidR="007B7FF3" w:rsidRPr="007B7FF3">
        <w:t xml:space="preserve"> </w:t>
      </w:r>
      <w:r w:rsidRPr="007B7FF3">
        <w:t xml:space="preserve">for all violations of section 1877 of the Act. In establishing the amount by which an overpayment may be reduced, the Secretary may consider: the nature and extent of the improper or </w:t>
      </w:r>
      <w:r w:rsidR="003C27D4" w:rsidRPr="007B7FF3">
        <w:t xml:space="preserve">illegal </w:t>
      </w:r>
      <w:r w:rsidRPr="007B7FF3">
        <w:t xml:space="preserve">practice; </w:t>
      </w:r>
      <w:r w:rsidR="003C27D4" w:rsidRPr="007B7FF3">
        <w:t xml:space="preserve">the </w:t>
      </w:r>
      <w:r w:rsidRPr="007B7FF3">
        <w:t>timeliness of the sel</w:t>
      </w:r>
      <w:r w:rsidR="003C27D4" w:rsidRPr="007B7FF3">
        <w:t>f-disclosure; the cooperation in</w:t>
      </w:r>
      <w:r w:rsidRPr="007B7FF3">
        <w:t xml:space="preserve"> </w:t>
      </w:r>
      <w:r w:rsidR="003C27D4" w:rsidRPr="007B7FF3">
        <w:t xml:space="preserve">providing additional information </w:t>
      </w:r>
      <w:r w:rsidRPr="007B7FF3">
        <w:t>related to the disclosure; and such other factors as the Secretary considers appropriate.</w:t>
      </w:r>
    </w:p>
    <w:p w14:paraId="5F88C44D" w14:textId="77777777" w:rsidR="009D5AD3" w:rsidRPr="007B7FF3" w:rsidRDefault="009D5AD3">
      <w:pPr>
        <w:spacing w:before="3"/>
        <w:rPr>
          <w:rFonts w:ascii="Times New Roman" w:eastAsia="Times New Roman" w:hAnsi="Times New Roman" w:cs="Times New Roman"/>
          <w:sz w:val="23"/>
          <w:szCs w:val="23"/>
        </w:rPr>
      </w:pPr>
    </w:p>
    <w:p w14:paraId="1CDFAC92" w14:textId="77777777" w:rsidR="009D5AD3" w:rsidRPr="007B7FF3" w:rsidRDefault="00F76054">
      <w:pPr>
        <w:pStyle w:val="BodyText"/>
        <w:ind w:left="100" w:right="160" w:hanging="1"/>
      </w:pPr>
      <w:r w:rsidRPr="007B7FF3">
        <w:t>In accordance with the ACA, CMS established the SRDP on September 23, 2010, and information concerning how to disclose an actual or potential violation of section 1877 of the Act was posted on the CMS website. The most recent approval of this information collection request (“ICR”) was issued by the Office of Management and Budget on August 26, 2014.</w:t>
      </w:r>
    </w:p>
    <w:p w14:paraId="4BEC1469" w14:textId="77777777" w:rsidR="009D5AD3" w:rsidRPr="007B7FF3" w:rsidRDefault="009D5AD3">
      <w:pPr>
        <w:spacing w:before="8"/>
        <w:rPr>
          <w:rFonts w:ascii="Times New Roman" w:eastAsia="Times New Roman" w:hAnsi="Times New Roman" w:cs="Times New Roman"/>
          <w:sz w:val="24"/>
          <w:szCs w:val="24"/>
        </w:rPr>
      </w:pPr>
    </w:p>
    <w:p w14:paraId="3AD7E2E7" w14:textId="77777777" w:rsidR="009D5AD3" w:rsidRPr="007B7FF3" w:rsidRDefault="00F76054">
      <w:pPr>
        <w:pStyle w:val="BodyText"/>
        <w:ind w:left="100" w:right="160"/>
      </w:pPr>
      <w:r w:rsidRPr="007B7FF3">
        <w:t xml:space="preserve">We are now seeking approval to revise the currently approved ICR. Under the currently approved collection, a party must provide a financial analysis of overpayments arising from actual or potential violations of section 1877 of the Act based on a 4-year lookback </w:t>
      </w:r>
      <w:r w:rsidR="003C27D4" w:rsidRPr="007B7FF3">
        <w:t xml:space="preserve">period.  </w:t>
      </w:r>
      <w:r w:rsidRPr="007B7FF3">
        <w:t xml:space="preserve">On February 12, 2016, CMS published a final rule on the reporting and returning of overpayments. See CMS- 6037-F, Medicare Program; </w:t>
      </w:r>
      <w:r w:rsidR="003C27D4" w:rsidRPr="007B7FF3">
        <w:t>Reporting</w:t>
      </w:r>
      <w:r w:rsidRPr="007B7FF3">
        <w:t xml:space="preserve"> and </w:t>
      </w:r>
      <w:r w:rsidR="003C27D4" w:rsidRPr="007B7FF3">
        <w:t xml:space="preserve">Returning </w:t>
      </w:r>
      <w:r w:rsidRPr="007B7FF3">
        <w:t xml:space="preserve">of Overpayments, 81 FR </w:t>
      </w:r>
      <w:r w:rsidR="003C27D4" w:rsidRPr="007B7FF3">
        <w:t xml:space="preserve">7654 </w:t>
      </w:r>
      <w:r w:rsidRPr="007B7FF3">
        <w:t xml:space="preserve">(Feb. 12, 2016) (the “final overpayment rule”). The final overpayment </w:t>
      </w:r>
      <w:r w:rsidR="003C27D4" w:rsidRPr="007B7FF3">
        <w:t>rule</w:t>
      </w:r>
      <w:r w:rsidRPr="007B7FF3">
        <w:t xml:space="preserve"> </w:t>
      </w:r>
      <w:r w:rsidR="003C27D4" w:rsidRPr="007B7FF3">
        <w:t>establishes</w:t>
      </w:r>
      <w:r w:rsidRPr="007B7FF3">
        <w:t xml:space="preserve"> a 6-year lookback period for reporting and returning overpayments. We are revising the information </w:t>
      </w:r>
      <w:r w:rsidR="003C27D4" w:rsidRPr="007B7FF3">
        <w:t>collection for t</w:t>
      </w:r>
      <w:r w:rsidRPr="007B7FF3">
        <w:t xml:space="preserve">he SRDP to reflect the 6-year lookback period established by the final overpayment rule. </w:t>
      </w:r>
      <w:r w:rsidR="003C27D4" w:rsidRPr="007B7FF3">
        <w:t xml:space="preserve">The </w:t>
      </w:r>
      <w:r w:rsidRPr="007B7FF3">
        <w:t xml:space="preserve">revision is necessary to ensure that parties submitting self-disclosures to the SRDP report overpayments for the entire 6-year lookback period. The 6-year lookback period applies </w:t>
      </w:r>
      <w:r w:rsidRPr="007B7FF3">
        <w:rPr>
          <w:rFonts w:cs="Times New Roman"/>
          <w:i/>
        </w:rPr>
        <w:t xml:space="preserve">only </w:t>
      </w:r>
      <w:r w:rsidR="003C27D4" w:rsidRPr="007B7FF3">
        <w:t xml:space="preserve">to </w:t>
      </w:r>
      <w:r w:rsidRPr="007B7FF3">
        <w:t xml:space="preserve">submissions to the SRDP received </w:t>
      </w:r>
      <w:r w:rsidRPr="007B7FF3">
        <w:rPr>
          <w:rFonts w:cs="Times New Roman"/>
          <w:i/>
        </w:rPr>
        <w:t xml:space="preserve">on or after </w:t>
      </w:r>
      <w:r w:rsidRPr="007B7FF3">
        <w:t xml:space="preserve">March 14, 2016, the effective date of the final overpayment rule; parties submitting self-disclosures to the SRDP prior to March 14, 2016 need </w:t>
      </w:r>
      <w:r w:rsidR="003C27D4" w:rsidRPr="007B7FF3">
        <w:t xml:space="preserve">only provide </w:t>
      </w:r>
      <w:r w:rsidRPr="007B7FF3">
        <w:t xml:space="preserve">a </w:t>
      </w:r>
      <w:r w:rsidR="003C27D4" w:rsidRPr="007B7FF3">
        <w:t xml:space="preserve">financial analysis </w:t>
      </w:r>
      <w:r w:rsidRPr="007B7FF3">
        <w:t xml:space="preserve">of </w:t>
      </w:r>
      <w:r w:rsidR="003C27D4" w:rsidRPr="007B7FF3">
        <w:t>potential</w:t>
      </w:r>
      <w:r w:rsidRPr="007B7FF3">
        <w:t xml:space="preserve"> </w:t>
      </w:r>
      <w:r w:rsidR="003C27D4" w:rsidRPr="007B7FF3">
        <w:t xml:space="preserve">overpayments </w:t>
      </w:r>
      <w:r w:rsidRPr="007B7FF3">
        <w:t>based on a 4-year lookback period.</w:t>
      </w:r>
    </w:p>
    <w:p w14:paraId="07287AD5" w14:textId="77777777" w:rsidR="009D5AD3" w:rsidRPr="007B7FF3" w:rsidRDefault="009D5AD3">
      <w:pPr>
        <w:spacing w:before="3"/>
        <w:rPr>
          <w:rFonts w:ascii="Times New Roman" w:eastAsia="Times New Roman" w:hAnsi="Times New Roman" w:cs="Times New Roman"/>
          <w:sz w:val="23"/>
          <w:szCs w:val="23"/>
        </w:rPr>
      </w:pPr>
    </w:p>
    <w:p w14:paraId="36FCF8B9" w14:textId="77777777" w:rsidR="009D5AD3" w:rsidRPr="007B7FF3" w:rsidRDefault="00F76054">
      <w:pPr>
        <w:pStyle w:val="BodyText"/>
        <w:ind w:left="101" w:right="253"/>
      </w:pPr>
      <w:r w:rsidRPr="007B7FF3">
        <w:t xml:space="preserve">We are also taking the opportunity to streamline and simplify the SRDP by </w:t>
      </w:r>
      <w:r w:rsidR="003C27D4" w:rsidRPr="007B7FF3">
        <w:t xml:space="preserve">issuing </w:t>
      </w:r>
      <w:r w:rsidRPr="007B7FF3">
        <w:t xml:space="preserve">a </w:t>
      </w:r>
      <w:r w:rsidR="003C27D4" w:rsidRPr="007B7FF3">
        <w:t xml:space="preserve">required </w:t>
      </w:r>
      <w:r w:rsidRPr="007B7FF3">
        <w:t xml:space="preserve">form for SRDP submissions. The SRDP Form will reduce the burden on disclosing parties by reducing the amount of information that is required for submissions to the SRDP and providing a </w:t>
      </w:r>
      <w:r w:rsidR="003C27D4" w:rsidRPr="007B7FF3">
        <w:t xml:space="preserve">streamlined </w:t>
      </w:r>
      <w:r w:rsidRPr="007B7FF3">
        <w:t xml:space="preserve">and </w:t>
      </w:r>
      <w:r w:rsidR="003C27D4" w:rsidRPr="007B7FF3">
        <w:t xml:space="preserve">standardized </w:t>
      </w:r>
      <w:r w:rsidRPr="007B7FF3">
        <w:t xml:space="preserve">format for the </w:t>
      </w:r>
      <w:r w:rsidR="003C27D4" w:rsidRPr="007B7FF3">
        <w:t>presentation</w:t>
      </w:r>
      <w:r w:rsidRPr="007B7FF3">
        <w:t xml:space="preserve"> of the required information.</w:t>
      </w:r>
    </w:p>
    <w:p w14:paraId="21DEA5A7" w14:textId="77777777" w:rsidR="009D5AD3" w:rsidRPr="007B7FF3" w:rsidRDefault="009D5AD3">
      <w:pPr>
        <w:spacing w:before="10"/>
        <w:rPr>
          <w:rFonts w:ascii="Times New Roman" w:eastAsia="Times New Roman" w:hAnsi="Times New Roman" w:cs="Times New Roman"/>
          <w:sz w:val="24"/>
          <w:szCs w:val="24"/>
        </w:rPr>
      </w:pPr>
    </w:p>
    <w:p w14:paraId="7585C657" w14:textId="77777777" w:rsidR="009D5AD3" w:rsidRPr="007B7FF3" w:rsidRDefault="00F76054">
      <w:pPr>
        <w:pStyle w:val="Heading1"/>
        <w:numPr>
          <w:ilvl w:val="0"/>
          <w:numId w:val="2"/>
        </w:numPr>
        <w:tabs>
          <w:tab w:val="left" w:pos="532"/>
        </w:tabs>
        <w:ind w:right="2018"/>
        <w:rPr>
          <w:b w:val="0"/>
          <w:bCs w:val="0"/>
        </w:rPr>
      </w:pPr>
      <w:r w:rsidRPr="007B7FF3">
        <w:rPr>
          <w:u w:val="single" w:color="000000"/>
        </w:rPr>
        <w:t>Justification</w:t>
      </w:r>
    </w:p>
    <w:p w14:paraId="2816ED2B" w14:textId="77777777" w:rsidR="009D5AD3" w:rsidRPr="007B7FF3" w:rsidRDefault="009D5AD3">
      <w:pPr>
        <w:sectPr w:rsidR="009D5AD3" w:rsidRPr="007B7FF3">
          <w:footerReference w:type="default" r:id="rId8"/>
          <w:type w:val="continuous"/>
          <w:pgSz w:w="12240" w:h="15840"/>
          <w:pgMar w:top="1400" w:right="1220" w:bottom="1960" w:left="1340" w:header="720" w:footer="1769" w:gutter="0"/>
          <w:pgNumType w:start="1"/>
          <w:cols w:space="720"/>
        </w:sectPr>
      </w:pPr>
    </w:p>
    <w:p w14:paraId="12956450" w14:textId="77777777" w:rsidR="009D5AD3" w:rsidRPr="007B7FF3" w:rsidRDefault="00F76054">
      <w:pPr>
        <w:pStyle w:val="ListParagraph"/>
        <w:numPr>
          <w:ilvl w:val="0"/>
          <w:numId w:val="1"/>
        </w:numPr>
        <w:tabs>
          <w:tab w:val="left" w:pos="425"/>
        </w:tabs>
        <w:spacing w:before="40"/>
        <w:ind w:right="301" w:hanging="304"/>
        <w:rPr>
          <w:rFonts w:ascii="Times New Roman" w:eastAsia="Times New Roman" w:hAnsi="Times New Roman" w:cs="Times New Roman"/>
          <w:sz w:val="24"/>
          <w:szCs w:val="24"/>
        </w:rPr>
      </w:pPr>
      <w:r w:rsidRPr="007B7FF3">
        <w:rPr>
          <w:rFonts w:ascii="Times New Roman"/>
          <w:b/>
          <w:sz w:val="24"/>
          <w:u w:val="single" w:color="000000"/>
        </w:rPr>
        <w:lastRenderedPageBreak/>
        <w:t>Need and Legal B</w:t>
      </w:r>
      <w:r w:rsidR="007B7FF3">
        <w:rPr>
          <w:rFonts w:ascii="Times New Roman"/>
          <w:b/>
          <w:sz w:val="24"/>
          <w:u w:val="single" w:color="000000"/>
        </w:rPr>
        <w:t>as</w:t>
      </w:r>
      <w:r w:rsidRPr="007B7FF3">
        <w:rPr>
          <w:rFonts w:ascii="Times New Roman"/>
          <w:b/>
          <w:sz w:val="24"/>
          <w:u w:val="single" w:color="000000"/>
        </w:rPr>
        <w:t>is</w:t>
      </w:r>
    </w:p>
    <w:p w14:paraId="083614CD" w14:textId="77777777" w:rsidR="009D5AD3" w:rsidRPr="007B7FF3" w:rsidRDefault="009D5AD3">
      <w:pPr>
        <w:spacing w:before="10"/>
        <w:rPr>
          <w:rFonts w:ascii="Times New Roman" w:eastAsia="Times New Roman" w:hAnsi="Times New Roman" w:cs="Times New Roman"/>
          <w:b/>
          <w:bCs/>
          <w:sz w:val="15"/>
          <w:szCs w:val="15"/>
        </w:rPr>
      </w:pPr>
    </w:p>
    <w:p w14:paraId="1DC8B7BE" w14:textId="77777777" w:rsidR="009D5AD3" w:rsidRPr="007B7FF3" w:rsidRDefault="00F76054">
      <w:pPr>
        <w:pStyle w:val="BodyText"/>
        <w:spacing w:before="69"/>
        <w:ind w:right="301" w:hanging="1"/>
      </w:pPr>
      <w:r w:rsidRPr="007B7FF3">
        <w:t xml:space="preserve">Section 6409 of the ACA requires the Secretary to </w:t>
      </w:r>
      <w:r w:rsidR="003C27D4" w:rsidRPr="007B7FF3">
        <w:t xml:space="preserve">establish </w:t>
      </w:r>
      <w:r w:rsidRPr="007B7FF3">
        <w:t xml:space="preserve">a </w:t>
      </w:r>
      <w:r w:rsidR="003C27D4" w:rsidRPr="007B7FF3">
        <w:t xml:space="preserve">voluntary self-disclosure process </w:t>
      </w:r>
      <w:r w:rsidRPr="007B7FF3">
        <w:t xml:space="preserve">that allows providers of services and suppliers to self-disclose actual or </w:t>
      </w:r>
      <w:r w:rsidR="003C27D4" w:rsidRPr="007B7FF3">
        <w:t xml:space="preserve">potential violations of </w:t>
      </w:r>
      <w:r w:rsidRPr="007B7FF3">
        <w:t xml:space="preserve">section 1877 of the Act. In addition, section 6409(b) of the ACA gives the Secretary authority to reduce the amounts </w:t>
      </w:r>
      <w:r w:rsidR="003C27D4" w:rsidRPr="007B7FF3">
        <w:t>due</w:t>
      </w:r>
      <w:r w:rsidRPr="007B7FF3">
        <w:t xml:space="preserve"> and </w:t>
      </w:r>
      <w:r w:rsidR="003C27D4" w:rsidRPr="007B7FF3">
        <w:t>owing</w:t>
      </w:r>
      <w:r w:rsidRPr="007B7FF3">
        <w:t xml:space="preserve"> for the violations.</w:t>
      </w:r>
    </w:p>
    <w:p w14:paraId="383DC180" w14:textId="77777777" w:rsidR="009D5AD3" w:rsidRPr="007B7FF3" w:rsidRDefault="009D5AD3">
      <w:pPr>
        <w:spacing w:before="8"/>
        <w:rPr>
          <w:rFonts w:ascii="Times New Roman" w:eastAsia="Times New Roman" w:hAnsi="Times New Roman" w:cs="Times New Roman"/>
          <w:sz w:val="24"/>
          <w:szCs w:val="24"/>
        </w:rPr>
      </w:pPr>
    </w:p>
    <w:p w14:paraId="34351E4C" w14:textId="77777777" w:rsidR="009D5AD3" w:rsidRPr="007B7FF3" w:rsidRDefault="00F76054" w:rsidP="003C27D4">
      <w:pPr>
        <w:pStyle w:val="BodyText"/>
        <w:ind w:right="301"/>
      </w:pPr>
      <w:r w:rsidRPr="007B7FF3">
        <w:t xml:space="preserve">To determine the nature and extent of the noncompliance and the appropriate amount by which an overpayment may be reduced, the Secretary must collect relevant information regarding the arrangements and financial relationships at issue from disclosing parties. The Secretary may also collect supporting documentation, such as contracts, leases, communications, invoices, or other documents bearing on the actual or potential violation(s). Most of the information and documentation required for submission to CMS in accordance with the SRDP is information that health care </w:t>
      </w:r>
      <w:r w:rsidR="003C27D4" w:rsidRPr="007B7FF3">
        <w:t>providers</w:t>
      </w:r>
      <w:r w:rsidRPr="007B7FF3">
        <w:t xml:space="preserve"> of services and </w:t>
      </w:r>
      <w:r w:rsidR="003C27D4" w:rsidRPr="007B7FF3">
        <w:t xml:space="preserve">suppliers </w:t>
      </w:r>
      <w:r w:rsidRPr="007B7FF3">
        <w:t xml:space="preserve">keep as part of customary </w:t>
      </w:r>
      <w:r w:rsidR="003C27D4" w:rsidRPr="007B7FF3">
        <w:t>and usual</w:t>
      </w:r>
      <w:r w:rsidRPr="007B7FF3">
        <w:t xml:space="preserve"> business</w:t>
      </w:r>
      <w:r w:rsidR="003C27D4" w:rsidRPr="007B7FF3">
        <w:t xml:space="preserve"> </w:t>
      </w:r>
      <w:r w:rsidRPr="007B7FF3">
        <w:t>practices.</w:t>
      </w:r>
    </w:p>
    <w:p w14:paraId="74D8186E" w14:textId="77777777" w:rsidR="009D5AD3" w:rsidRPr="007B7FF3" w:rsidRDefault="009D5AD3">
      <w:pPr>
        <w:spacing w:before="1"/>
        <w:rPr>
          <w:rFonts w:ascii="Times New Roman" w:eastAsia="Times New Roman" w:hAnsi="Times New Roman" w:cs="Times New Roman"/>
          <w:sz w:val="26"/>
          <w:szCs w:val="26"/>
        </w:rPr>
      </w:pPr>
    </w:p>
    <w:p w14:paraId="212E3776" w14:textId="77777777" w:rsidR="009D5AD3" w:rsidRPr="007B7FF3" w:rsidRDefault="00F76054">
      <w:pPr>
        <w:pStyle w:val="Heading1"/>
        <w:numPr>
          <w:ilvl w:val="0"/>
          <w:numId w:val="1"/>
        </w:numPr>
        <w:tabs>
          <w:tab w:val="left" w:pos="552"/>
        </w:tabs>
        <w:ind w:left="552" w:right="301" w:hanging="432"/>
        <w:rPr>
          <w:b w:val="0"/>
          <w:bCs w:val="0"/>
        </w:rPr>
      </w:pPr>
      <w:r w:rsidRPr="007B7FF3">
        <w:rPr>
          <w:u w:val="single" w:color="000000"/>
        </w:rPr>
        <w:t xml:space="preserve">Information </w:t>
      </w:r>
      <w:r w:rsidR="00864CE8" w:rsidRPr="007B7FF3">
        <w:rPr>
          <w:u w:val="single" w:color="000000"/>
        </w:rPr>
        <w:t>Us</w:t>
      </w:r>
      <w:r w:rsidRPr="007B7FF3">
        <w:rPr>
          <w:u w:val="single" w:color="000000"/>
        </w:rPr>
        <w:t>ers</w:t>
      </w:r>
    </w:p>
    <w:p w14:paraId="05127B51" w14:textId="77777777" w:rsidR="009D5AD3" w:rsidRPr="007B7FF3" w:rsidRDefault="009D5AD3">
      <w:pPr>
        <w:spacing w:before="10"/>
        <w:rPr>
          <w:rFonts w:ascii="Times New Roman" w:eastAsia="Times New Roman" w:hAnsi="Times New Roman" w:cs="Times New Roman"/>
          <w:b/>
          <w:bCs/>
          <w:sz w:val="15"/>
          <w:szCs w:val="15"/>
        </w:rPr>
      </w:pPr>
    </w:p>
    <w:p w14:paraId="311196E9" w14:textId="77777777" w:rsidR="009D5AD3" w:rsidRPr="007B7FF3" w:rsidRDefault="00F76054">
      <w:pPr>
        <w:pStyle w:val="BodyText"/>
        <w:spacing w:before="69"/>
        <w:ind w:right="301" w:hanging="1"/>
      </w:pPr>
      <w:r w:rsidRPr="007B7FF3">
        <w:t xml:space="preserve">The SRDP is a voluntary self-disclosure process that allows providers of services and suppliers to disclose actual or potential violations of section 1877 of the Act. CMS analyzes the disclosed conduct to determine compliance with section 1877 of the Act and the </w:t>
      </w:r>
      <w:r w:rsidR="003C27D4" w:rsidRPr="007B7FF3">
        <w:t>application</w:t>
      </w:r>
      <w:r w:rsidRPr="007B7FF3">
        <w:t xml:space="preserve"> of the </w:t>
      </w:r>
      <w:r w:rsidR="003C27D4" w:rsidRPr="007B7FF3">
        <w:t xml:space="preserve">exceptions </w:t>
      </w:r>
      <w:r w:rsidRPr="007B7FF3">
        <w:t xml:space="preserve">to the </w:t>
      </w:r>
      <w:r w:rsidR="003C27D4" w:rsidRPr="007B7FF3">
        <w:t xml:space="preserve">physician </w:t>
      </w:r>
      <w:r w:rsidRPr="007B7FF3">
        <w:t xml:space="preserve">self-referral </w:t>
      </w:r>
      <w:r w:rsidR="003C27D4" w:rsidRPr="007B7FF3">
        <w:t xml:space="preserve">prohibition.  </w:t>
      </w:r>
      <w:r w:rsidRPr="007B7FF3">
        <w:t xml:space="preserve">In </w:t>
      </w:r>
      <w:r w:rsidR="003C27D4" w:rsidRPr="007B7FF3">
        <w:t xml:space="preserve">addition, </w:t>
      </w:r>
      <w:r w:rsidRPr="007B7FF3">
        <w:t xml:space="preserve">the </w:t>
      </w:r>
      <w:r w:rsidR="003C27D4" w:rsidRPr="007B7FF3">
        <w:t xml:space="preserve">authority </w:t>
      </w:r>
      <w:r w:rsidRPr="007B7FF3">
        <w:t>granted to the</w:t>
      </w:r>
    </w:p>
    <w:p w14:paraId="0AD7433D" w14:textId="77777777" w:rsidR="009D5AD3" w:rsidRPr="007B7FF3" w:rsidRDefault="00F76054">
      <w:pPr>
        <w:pStyle w:val="BodyText"/>
        <w:spacing w:line="249" w:lineRule="auto"/>
        <w:ind w:right="301"/>
      </w:pPr>
      <w:r w:rsidRPr="007B7FF3">
        <w:t xml:space="preserve">Secretary under section 6409(b) of the ACA, and subsequently delegated to CMS, may be used to reduce the </w:t>
      </w:r>
      <w:r w:rsidR="003C27D4" w:rsidRPr="007B7FF3">
        <w:t>amount</w:t>
      </w:r>
      <w:r w:rsidRPr="007B7FF3">
        <w:t xml:space="preserve"> due and </w:t>
      </w:r>
      <w:r w:rsidR="003C27D4" w:rsidRPr="007B7FF3">
        <w:t xml:space="preserve">owing </w:t>
      </w:r>
      <w:r w:rsidRPr="007B7FF3">
        <w:t>for violations.</w:t>
      </w:r>
    </w:p>
    <w:p w14:paraId="7F3B1F6C" w14:textId="77777777" w:rsidR="009D5AD3" w:rsidRPr="007B7FF3" w:rsidRDefault="009D5AD3">
      <w:pPr>
        <w:spacing w:before="9"/>
        <w:rPr>
          <w:rFonts w:ascii="Times New Roman" w:eastAsia="Times New Roman" w:hAnsi="Times New Roman" w:cs="Times New Roman"/>
          <w:sz w:val="23"/>
          <w:szCs w:val="23"/>
        </w:rPr>
      </w:pPr>
    </w:p>
    <w:p w14:paraId="1A316F24" w14:textId="18AB55E5" w:rsidR="009D5AD3" w:rsidRPr="007B7FF3" w:rsidRDefault="00121DBA">
      <w:pPr>
        <w:pStyle w:val="Heading1"/>
        <w:numPr>
          <w:ilvl w:val="0"/>
          <w:numId w:val="1"/>
        </w:numPr>
        <w:tabs>
          <w:tab w:val="left" w:pos="552"/>
        </w:tabs>
        <w:ind w:left="552" w:right="301" w:hanging="432"/>
        <w:rPr>
          <w:b w:val="0"/>
          <w:bCs w:val="0"/>
        </w:rPr>
      </w:pPr>
      <w:r>
        <w:rPr>
          <w:u w:val="single" w:color="000000"/>
        </w:rPr>
        <w:t>Use of Information Te</w:t>
      </w:r>
      <w:r w:rsidR="00F76054" w:rsidRPr="007B7FF3">
        <w:rPr>
          <w:u w:val="single" w:color="000000"/>
        </w:rPr>
        <w:t>chnology</w:t>
      </w:r>
    </w:p>
    <w:p w14:paraId="75818A1F" w14:textId="77777777" w:rsidR="009D5AD3" w:rsidRPr="007B7FF3" w:rsidRDefault="009D5AD3">
      <w:pPr>
        <w:spacing w:before="3"/>
        <w:rPr>
          <w:rFonts w:ascii="Times New Roman" w:eastAsia="Times New Roman" w:hAnsi="Times New Roman" w:cs="Times New Roman"/>
          <w:b/>
          <w:bCs/>
          <w:sz w:val="17"/>
          <w:szCs w:val="17"/>
        </w:rPr>
      </w:pPr>
    </w:p>
    <w:p w14:paraId="059CC37F" w14:textId="405E1D29" w:rsidR="009D5AD3" w:rsidRPr="007B7FF3" w:rsidRDefault="00F76054" w:rsidP="003C27D4">
      <w:pPr>
        <w:pStyle w:val="BodyText"/>
        <w:spacing w:before="75" w:line="272" w:lineRule="exact"/>
        <w:ind w:right="425" w:hanging="1"/>
      </w:pPr>
      <w:r w:rsidRPr="007B7FF3">
        <w:t xml:space="preserve">Disclosing parties are required to submit all materials to the SRDP electronically. Disclosing parties must send an </w:t>
      </w:r>
      <w:r w:rsidR="003C27D4" w:rsidRPr="007B7FF3">
        <w:t xml:space="preserve">electronic </w:t>
      </w:r>
      <w:r w:rsidRPr="007B7FF3">
        <w:t xml:space="preserve">copy of the </w:t>
      </w:r>
      <w:r w:rsidR="003C27D4" w:rsidRPr="007B7FF3">
        <w:t xml:space="preserve">complete disclosure </w:t>
      </w:r>
      <w:r w:rsidRPr="007B7FF3">
        <w:t xml:space="preserve">and all </w:t>
      </w:r>
      <w:r w:rsidR="003C27D4" w:rsidRPr="007B7FF3">
        <w:t xml:space="preserve">relevant </w:t>
      </w:r>
      <w:r w:rsidRPr="007B7FF3">
        <w:t>supporting</w:t>
      </w:r>
      <w:r w:rsidR="003C27D4" w:rsidRPr="007B7FF3">
        <w:t xml:space="preserve"> documents </w:t>
      </w:r>
      <w:r w:rsidRPr="007B7FF3">
        <w:t xml:space="preserve">to CMS </w:t>
      </w:r>
      <w:r w:rsidR="003C27D4" w:rsidRPr="007B7FF3">
        <w:t>via</w:t>
      </w:r>
      <w:r w:rsidRPr="007B7FF3">
        <w:t xml:space="preserve"> email. For legal reasons, the </w:t>
      </w:r>
      <w:r w:rsidR="003C27D4" w:rsidRPr="007B7FF3">
        <w:t>disclosing</w:t>
      </w:r>
      <w:r w:rsidRPr="007B7FF3">
        <w:t xml:space="preserve"> </w:t>
      </w:r>
      <w:r w:rsidR="003C27D4" w:rsidRPr="007B7FF3">
        <w:t>provider</w:t>
      </w:r>
      <w:r w:rsidRPr="007B7FF3">
        <w:t xml:space="preserve"> of services or </w:t>
      </w:r>
      <w:r w:rsidR="003C27D4" w:rsidRPr="007B7FF3">
        <w:t xml:space="preserve">supplier, </w:t>
      </w:r>
      <w:r w:rsidRPr="007B7FF3">
        <w:t>or in the case of an entity, its Chief Executive Officer, Chief Financial Officer, or other authorized representative, must submit to CMS a hardcopy signed certification stating that, t</w:t>
      </w:r>
      <w:r w:rsidR="00121DBA">
        <w:t>o the best of the individua</w:t>
      </w:r>
      <w:r w:rsidRPr="007B7FF3">
        <w:t xml:space="preserve">l’s knowledge and belief, the information provided contains truthful information and is based on a </w:t>
      </w:r>
      <w:r w:rsidR="003C27D4" w:rsidRPr="007B7FF3">
        <w:t xml:space="preserve">good </w:t>
      </w:r>
      <w:r w:rsidRPr="007B7FF3">
        <w:t xml:space="preserve">faith effort to assist CMS </w:t>
      </w:r>
      <w:r w:rsidR="003C27D4" w:rsidRPr="007B7FF3">
        <w:t>in its</w:t>
      </w:r>
      <w:r w:rsidRPr="007B7FF3">
        <w:t xml:space="preserve"> </w:t>
      </w:r>
      <w:r w:rsidR="003C27D4" w:rsidRPr="007B7FF3">
        <w:t>inquiry</w:t>
      </w:r>
      <w:r w:rsidRPr="007B7FF3">
        <w:t xml:space="preserve"> and </w:t>
      </w:r>
      <w:r w:rsidR="003C27D4" w:rsidRPr="007B7FF3">
        <w:t xml:space="preserve">verification </w:t>
      </w:r>
      <w:r w:rsidRPr="007B7FF3">
        <w:t>of the disclosed matter.</w:t>
      </w:r>
    </w:p>
    <w:p w14:paraId="6A0498E7" w14:textId="77777777" w:rsidR="009D5AD3" w:rsidRPr="007B7FF3" w:rsidRDefault="009D5AD3">
      <w:pPr>
        <w:spacing w:before="1"/>
        <w:rPr>
          <w:rFonts w:ascii="Times New Roman" w:eastAsia="Times New Roman" w:hAnsi="Times New Roman" w:cs="Times New Roman"/>
          <w:sz w:val="26"/>
          <w:szCs w:val="26"/>
        </w:rPr>
      </w:pPr>
    </w:p>
    <w:p w14:paraId="4D6AD7D8" w14:textId="69818894" w:rsidR="009D5AD3" w:rsidRPr="007B7FF3" w:rsidRDefault="00121DBA">
      <w:pPr>
        <w:pStyle w:val="Heading1"/>
        <w:numPr>
          <w:ilvl w:val="0"/>
          <w:numId w:val="1"/>
        </w:numPr>
        <w:tabs>
          <w:tab w:val="left" w:pos="552"/>
        </w:tabs>
        <w:ind w:left="552" w:right="301" w:hanging="432"/>
        <w:rPr>
          <w:b w:val="0"/>
          <w:bCs w:val="0"/>
        </w:rPr>
      </w:pPr>
      <w:r>
        <w:rPr>
          <w:u w:val="single" w:color="000000"/>
        </w:rPr>
        <w:t>Duplication of Effo</w:t>
      </w:r>
      <w:r w:rsidR="00F76054" w:rsidRPr="007B7FF3">
        <w:rPr>
          <w:u w:val="single" w:color="000000"/>
        </w:rPr>
        <w:t>rts</w:t>
      </w:r>
    </w:p>
    <w:p w14:paraId="16E751F6" w14:textId="77777777" w:rsidR="009D5AD3" w:rsidRPr="007B7FF3" w:rsidRDefault="009D5AD3">
      <w:pPr>
        <w:spacing w:before="10"/>
        <w:rPr>
          <w:rFonts w:ascii="Times New Roman" w:eastAsia="Times New Roman" w:hAnsi="Times New Roman" w:cs="Times New Roman"/>
          <w:b/>
          <w:bCs/>
          <w:sz w:val="15"/>
          <w:szCs w:val="15"/>
        </w:rPr>
      </w:pPr>
    </w:p>
    <w:p w14:paraId="434011B3" w14:textId="77777777" w:rsidR="009D5AD3" w:rsidRPr="007B7FF3" w:rsidRDefault="00F76054">
      <w:pPr>
        <w:pStyle w:val="BodyText"/>
        <w:spacing w:before="75" w:line="272" w:lineRule="exact"/>
        <w:ind w:right="301"/>
      </w:pPr>
      <w:r w:rsidRPr="007B7FF3">
        <w:t xml:space="preserve">This information collection does not duplicate any other effort and the information cannot be </w:t>
      </w:r>
      <w:r w:rsidR="003C27D4" w:rsidRPr="007B7FF3">
        <w:t xml:space="preserve">obtained </w:t>
      </w:r>
      <w:r w:rsidRPr="007B7FF3">
        <w:t>from any other source.</w:t>
      </w:r>
    </w:p>
    <w:p w14:paraId="0BF3D6DF" w14:textId="77777777" w:rsidR="009D5AD3" w:rsidRPr="007B7FF3" w:rsidRDefault="009D5AD3">
      <w:pPr>
        <w:spacing w:before="10"/>
        <w:rPr>
          <w:rFonts w:ascii="Times New Roman" w:eastAsia="Times New Roman" w:hAnsi="Times New Roman" w:cs="Times New Roman"/>
          <w:sz w:val="25"/>
          <w:szCs w:val="25"/>
        </w:rPr>
      </w:pPr>
    </w:p>
    <w:p w14:paraId="2486F07F" w14:textId="7CABC76A" w:rsidR="009D5AD3" w:rsidRPr="007B7FF3" w:rsidRDefault="00F76054">
      <w:pPr>
        <w:pStyle w:val="Heading1"/>
        <w:numPr>
          <w:ilvl w:val="0"/>
          <w:numId w:val="1"/>
        </w:numPr>
        <w:tabs>
          <w:tab w:val="left" w:pos="552"/>
        </w:tabs>
        <w:ind w:left="552" w:right="301" w:hanging="432"/>
        <w:rPr>
          <w:b w:val="0"/>
          <w:bCs w:val="0"/>
        </w:rPr>
      </w:pPr>
      <w:r w:rsidRPr="007B7FF3">
        <w:rPr>
          <w:u w:val="single" w:color="000000"/>
        </w:rPr>
        <w:t>Small</w:t>
      </w:r>
      <w:r w:rsidR="003C27D4" w:rsidRPr="007B7FF3">
        <w:rPr>
          <w:u w:val="single" w:color="000000"/>
        </w:rPr>
        <w:t xml:space="preserve"> </w:t>
      </w:r>
      <w:r w:rsidR="00121DBA">
        <w:rPr>
          <w:u w:val="single" w:color="000000"/>
        </w:rPr>
        <w:t>B</w:t>
      </w:r>
      <w:r w:rsidR="003C27D4" w:rsidRPr="007B7FF3">
        <w:rPr>
          <w:u w:val="single" w:color="000000"/>
        </w:rPr>
        <w:t>usi</w:t>
      </w:r>
      <w:r w:rsidR="00121DBA">
        <w:rPr>
          <w:u w:val="single" w:color="000000"/>
        </w:rPr>
        <w:t>ne</w:t>
      </w:r>
      <w:r w:rsidRPr="007B7FF3">
        <w:rPr>
          <w:u w:val="single" w:color="000000"/>
        </w:rPr>
        <w:t>sses</w:t>
      </w:r>
    </w:p>
    <w:p w14:paraId="67C4F68D" w14:textId="77777777" w:rsidR="009D5AD3" w:rsidRPr="007B7FF3" w:rsidRDefault="009D5AD3">
      <w:pPr>
        <w:spacing w:before="10"/>
        <w:rPr>
          <w:rFonts w:ascii="Times New Roman" w:eastAsia="Times New Roman" w:hAnsi="Times New Roman" w:cs="Times New Roman"/>
          <w:b/>
          <w:bCs/>
          <w:sz w:val="15"/>
          <w:szCs w:val="15"/>
        </w:rPr>
      </w:pPr>
    </w:p>
    <w:p w14:paraId="0A3364D4" w14:textId="3B3F8BCB" w:rsidR="009D5AD3" w:rsidRPr="007B7FF3" w:rsidRDefault="00F76054">
      <w:pPr>
        <w:pStyle w:val="BodyText"/>
        <w:spacing w:before="69" w:line="249" w:lineRule="auto"/>
        <w:ind w:right="301"/>
      </w:pPr>
      <w:r w:rsidRPr="007B7FF3">
        <w:t>Participation in the SRDP is voluntary and for the most part requires the sub</w:t>
      </w:r>
      <w:r w:rsidR="00121DBA">
        <w:t>mission of relevant information</w:t>
      </w:r>
      <w:r w:rsidRPr="007B7FF3">
        <w:t xml:space="preserve"> kept as part of the </w:t>
      </w:r>
      <w:r w:rsidR="003C27D4" w:rsidRPr="007B7FF3">
        <w:t>disclosing</w:t>
      </w:r>
      <w:r w:rsidRPr="007B7FF3">
        <w:t xml:space="preserve"> </w:t>
      </w:r>
      <w:r w:rsidR="003C27D4" w:rsidRPr="007B7FF3">
        <w:t xml:space="preserve">provider </w:t>
      </w:r>
      <w:r w:rsidRPr="007B7FF3">
        <w:t xml:space="preserve">of services or </w:t>
      </w:r>
      <w:r w:rsidR="003C27D4" w:rsidRPr="007B7FF3">
        <w:t>supplier’s</w:t>
      </w:r>
      <w:r w:rsidRPr="007B7FF3">
        <w:t xml:space="preserve"> </w:t>
      </w:r>
      <w:r w:rsidR="003C27D4" w:rsidRPr="007B7FF3">
        <w:t xml:space="preserve">customary </w:t>
      </w:r>
      <w:r w:rsidRPr="007B7FF3">
        <w:t>and usual</w:t>
      </w:r>
    </w:p>
    <w:p w14:paraId="70AFD82D" w14:textId="77777777" w:rsidR="009D5AD3" w:rsidRPr="007B7FF3" w:rsidRDefault="009D5AD3">
      <w:pPr>
        <w:spacing w:line="249" w:lineRule="auto"/>
        <w:sectPr w:rsidR="009D5AD3" w:rsidRPr="007B7FF3">
          <w:pgSz w:w="12240" w:h="15840"/>
          <w:pgMar w:top="1400" w:right="1260" w:bottom="1960" w:left="1320" w:header="0" w:footer="1769" w:gutter="0"/>
          <w:cols w:space="720"/>
        </w:sectPr>
      </w:pPr>
    </w:p>
    <w:p w14:paraId="25053B46" w14:textId="77777777" w:rsidR="009D5AD3" w:rsidRPr="007B7FF3" w:rsidRDefault="00F76054">
      <w:pPr>
        <w:pStyle w:val="BodyText"/>
        <w:spacing w:before="44"/>
        <w:ind w:right="261" w:hanging="1"/>
      </w:pPr>
      <w:r w:rsidRPr="007B7FF3">
        <w:lastRenderedPageBreak/>
        <w:t xml:space="preserve">business practices. The collection request requires that providers of services or suppliers furnish a complete and specific description of all relevant information and documents, including contracts, agreements, and any other arrangements bearing on the actual or potential </w:t>
      </w:r>
      <w:r w:rsidR="003C27D4" w:rsidRPr="007B7FF3">
        <w:t xml:space="preserve">violation. </w:t>
      </w:r>
      <w:r w:rsidRPr="007B7FF3">
        <w:t xml:space="preserve">We are reducing the burden on all respondents, </w:t>
      </w:r>
      <w:r w:rsidR="003C27D4" w:rsidRPr="007B7FF3">
        <w:t xml:space="preserve">including </w:t>
      </w:r>
      <w:r w:rsidRPr="007B7FF3">
        <w:t xml:space="preserve">small businesses, by establishing a standard form.  The SRDP </w:t>
      </w:r>
      <w:r w:rsidR="003C27D4" w:rsidRPr="007B7FF3">
        <w:t xml:space="preserve">will </w:t>
      </w:r>
      <w:r w:rsidRPr="007B7FF3">
        <w:t xml:space="preserve">not </w:t>
      </w:r>
      <w:r w:rsidR="003C27D4" w:rsidRPr="007B7FF3">
        <w:t xml:space="preserve">disproportionately </w:t>
      </w:r>
      <w:r w:rsidRPr="007B7FF3">
        <w:t xml:space="preserve">affect </w:t>
      </w:r>
      <w:r w:rsidR="003C27D4" w:rsidRPr="007B7FF3">
        <w:t xml:space="preserve">small </w:t>
      </w:r>
      <w:r w:rsidRPr="007B7FF3">
        <w:t>businesses.</w:t>
      </w:r>
    </w:p>
    <w:p w14:paraId="54BFA8E5" w14:textId="77777777" w:rsidR="009D5AD3" w:rsidRPr="007B7FF3" w:rsidRDefault="009D5AD3">
      <w:pPr>
        <w:spacing w:before="8"/>
        <w:rPr>
          <w:rFonts w:ascii="Times New Roman" w:eastAsia="Times New Roman" w:hAnsi="Times New Roman" w:cs="Times New Roman"/>
          <w:sz w:val="24"/>
          <w:szCs w:val="24"/>
        </w:rPr>
      </w:pPr>
    </w:p>
    <w:p w14:paraId="57BF496F" w14:textId="77777777" w:rsidR="009D5AD3" w:rsidRPr="007B7FF3" w:rsidRDefault="00F76054">
      <w:pPr>
        <w:pStyle w:val="Heading1"/>
        <w:numPr>
          <w:ilvl w:val="0"/>
          <w:numId w:val="1"/>
        </w:numPr>
        <w:tabs>
          <w:tab w:val="left" w:pos="552"/>
        </w:tabs>
        <w:ind w:left="552" w:right="261" w:hanging="432"/>
        <w:rPr>
          <w:b w:val="0"/>
          <w:bCs w:val="0"/>
        </w:rPr>
      </w:pPr>
      <w:r w:rsidRPr="007B7FF3">
        <w:rPr>
          <w:u w:val="single" w:color="000000"/>
        </w:rPr>
        <w:t>Le</w:t>
      </w:r>
      <w:r w:rsidR="00864CE8" w:rsidRPr="007B7FF3">
        <w:rPr>
          <w:u w:val="single" w:color="000000"/>
        </w:rPr>
        <w:t xml:space="preserve">ss Frequent </w:t>
      </w:r>
      <w:r w:rsidRPr="007B7FF3">
        <w:rPr>
          <w:u w:val="single" w:color="000000"/>
        </w:rPr>
        <w:t>Collection</w:t>
      </w:r>
    </w:p>
    <w:p w14:paraId="607104E8" w14:textId="77777777" w:rsidR="009D5AD3" w:rsidRPr="007B7FF3" w:rsidRDefault="009D5AD3">
      <w:pPr>
        <w:spacing w:before="7"/>
        <w:rPr>
          <w:rFonts w:ascii="Times New Roman" w:eastAsia="Times New Roman" w:hAnsi="Times New Roman" w:cs="Times New Roman"/>
          <w:b/>
          <w:bCs/>
          <w:sz w:val="25"/>
          <w:szCs w:val="25"/>
        </w:rPr>
      </w:pPr>
    </w:p>
    <w:p w14:paraId="6AD63376" w14:textId="77777777" w:rsidR="009D5AD3" w:rsidRPr="007B7FF3" w:rsidRDefault="00F76054">
      <w:pPr>
        <w:pStyle w:val="BodyText"/>
        <w:spacing w:before="69"/>
        <w:ind w:right="261"/>
      </w:pPr>
      <w:r w:rsidRPr="007B7FF3">
        <w:t xml:space="preserve">Because the </w:t>
      </w:r>
      <w:r w:rsidR="003C27D4" w:rsidRPr="007B7FF3">
        <w:t xml:space="preserve">collection </w:t>
      </w:r>
      <w:r w:rsidRPr="007B7FF3">
        <w:t xml:space="preserve">is </w:t>
      </w:r>
      <w:r w:rsidR="003C27D4" w:rsidRPr="007B7FF3">
        <w:t xml:space="preserve">voluntary, </w:t>
      </w:r>
      <w:r w:rsidRPr="007B7FF3">
        <w:t xml:space="preserve">frequency standards of the </w:t>
      </w:r>
      <w:r w:rsidR="003C27D4" w:rsidRPr="007B7FF3">
        <w:t xml:space="preserve">collection </w:t>
      </w:r>
      <w:r w:rsidRPr="007B7FF3">
        <w:t xml:space="preserve">do </w:t>
      </w:r>
      <w:r w:rsidR="003C27D4" w:rsidRPr="007B7FF3">
        <w:t xml:space="preserve">not </w:t>
      </w:r>
      <w:r w:rsidRPr="007B7FF3">
        <w:t>apply.</w:t>
      </w:r>
    </w:p>
    <w:p w14:paraId="36812762" w14:textId="77777777" w:rsidR="009D5AD3" w:rsidRPr="007B7FF3" w:rsidRDefault="009D5AD3">
      <w:pPr>
        <w:spacing w:before="3"/>
        <w:rPr>
          <w:rFonts w:ascii="Times New Roman" w:eastAsia="Times New Roman" w:hAnsi="Times New Roman" w:cs="Times New Roman"/>
          <w:sz w:val="30"/>
          <w:szCs w:val="30"/>
        </w:rPr>
      </w:pPr>
    </w:p>
    <w:p w14:paraId="13D0BBA3" w14:textId="05D6AB9F" w:rsidR="009D5AD3" w:rsidRPr="007B7FF3" w:rsidRDefault="00121DBA">
      <w:pPr>
        <w:pStyle w:val="Heading1"/>
        <w:numPr>
          <w:ilvl w:val="0"/>
          <w:numId w:val="1"/>
        </w:numPr>
        <w:tabs>
          <w:tab w:val="left" w:pos="552"/>
        </w:tabs>
        <w:ind w:left="552" w:right="261" w:hanging="432"/>
        <w:rPr>
          <w:b w:val="0"/>
          <w:bCs w:val="0"/>
        </w:rPr>
      </w:pPr>
      <w:r>
        <w:rPr>
          <w:u w:val="single" w:color="000000"/>
        </w:rPr>
        <w:t>Special Circumstance</w:t>
      </w:r>
      <w:r w:rsidR="00F76054" w:rsidRPr="007B7FF3">
        <w:rPr>
          <w:u w:val="single" w:color="000000"/>
        </w:rPr>
        <w:t>s</w:t>
      </w:r>
    </w:p>
    <w:p w14:paraId="49BB184F" w14:textId="77777777" w:rsidR="009D5AD3" w:rsidRPr="007B7FF3" w:rsidRDefault="009D5AD3">
      <w:pPr>
        <w:spacing w:before="3"/>
        <w:rPr>
          <w:rFonts w:ascii="Times New Roman" w:eastAsia="Times New Roman" w:hAnsi="Times New Roman" w:cs="Times New Roman"/>
          <w:b/>
          <w:bCs/>
          <w:sz w:val="17"/>
          <w:szCs w:val="17"/>
        </w:rPr>
      </w:pPr>
    </w:p>
    <w:p w14:paraId="29A05C1A" w14:textId="77777777" w:rsidR="009D5AD3" w:rsidRPr="007B7FF3" w:rsidRDefault="00F76054">
      <w:pPr>
        <w:pStyle w:val="BodyText"/>
        <w:spacing w:before="69"/>
        <w:ind w:right="261"/>
      </w:pPr>
      <w:r w:rsidRPr="007B7FF3">
        <w:t>No special circumstances exist.</w:t>
      </w:r>
    </w:p>
    <w:p w14:paraId="07FA1D47" w14:textId="77777777" w:rsidR="009D5AD3" w:rsidRPr="007B7FF3" w:rsidRDefault="009D5AD3">
      <w:pPr>
        <w:spacing w:before="8"/>
        <w:rPr>
          <w:rFonts w:ascii="Times New Roman" w:eastAsia="Times New Roman" w:hAnsi="Times New Roman" w:cs="Times New Roman"/>
          <w:sz w:val="24"/>
          <w:szCs w:val="24"/>
        </w:rPr>
      </w:pPr>
    </w:p>
    <w:p w14:paraId="2141D961" w14:textId="77777777" w:rsidR="009D5AD3" w:rsidRPr="007B7FF3" w:rsidRDefault="00864CE8">
      <w:pPr>
        <w:pStyle w:val="Heading1"/>
        <w:numPr>
          <w:ilvl w:val="0"/>
          <w:numId w:val="1"/>
        </w:numPr>
        <w:tabs>
          <w:tab w:val="left" w:pos="552"/>
        </w:tabs>
        <w:ind w:left="552" w:right="261" w:hanging="432"/>
        <w:rPr>
          <w:b w:val="0"/>
          <w:bCs w:val="0"/>
        </w:rPr>
      </w:pPr>
      <w:r w:rsidRPr="007B7FF3">
        <w:rPr>
          <w:u w:val="single" w:color="000000"/>
        </w:rPr>
        <w:t>Federal Register</w:t>
      </w:r>
      <w:r w:rsidR="00F76054" w:rsidRPr="007B7FF3">
        <w:rPr>
          <w:u w:val="single" w:color="000000"/>
        </w:rPr>
        <w:t>/Outside Consultation</w:t>
      </w:r>
    </w:p>
    <w:p w14:paraId="763D14A2" w14:textId="77777777" w:rsidR="009D5AD3" w:rsidRPr="007B7FF3" w:rsidRDefault="009D5AD3">
      <w:pPr>
        <w:spacing w:before="3"/>
        <w:rPr>
          <w:rFonts w:ascii="Times New Roman" w:eastAsia="Times New Roman" w:hAnsi="Times New Roman" w:cs="Times New Roman"/>
          <w:b/>
          <w:bCs/>
          <w:sz w:val="17"/>
          <w:szCs w:val="17"/>
        </w:rPr>
      </w:pPr>
    </w:p>
    <w:p w14:paraId="204D861C" w14:textId="77777777" w:rsidR="009D5AD3" w:rsidRPr="007B7FF3" w:rsidRDefault="00F76054">
      <w:pPr>
        <w:pStyle w:val="BodyText"/>
        <w:spacing w:before="75" w:line="272" w:lineRule="exact"/>
        <w:ind w:right="261"/>
      </w:pPr>
      <w:r w:rsidRPr="007B7FF3">
        <w:t xml:space="preserve">The 60-day Federal Register notice published on May 6, 2016. We did not receive any comments </w:t>
      </w:r>
      <w:r w:rsidR="003C27D4" w:rsidRPr="007B7FF3">
        <w:t xml:space="preserve">pertaining </w:t>
      </w:r>
      <w:r w:rsidRPr="007B7FF3">
        <w:t>to the ICR.</w:t>
      </w:r>
    </w:p>
    <w:p w14:paraId="591EB25E" w14:textId="77777777" w:rsidR="009D5AD3" w:rsidRPr="007B7FF3" w:rsidRDefault="009D5AD3">
      <w:pPr>
        <w:spacing w:before="10"/>
        <w:rPr>
          <w:rFonts w:ascii="Times New Roman" w:eastAsia="Times New Roman" w:hAnsi="Times New Roman" w:cs="Times New Roman"/>
          <w:sz w:val="25"/>
          <w:szCs w:val="25"/>
        </w:rPr>
      </w:pPr>
    </w:p>
    <w:p w14:paraId="09ADA3F5" w14:textId="77777777" w:rsidR="009D5AD3" w:rsidRPr="007B7FF3" w:rsidRDefault="00864CE8">
      <w:pPr>
        <w:pStyle w:val="Heading1"/>
        <w:numPr>
          <w:ilvl w:val="0"/>
          <w:numId w:val="1"/>
        </w:numPr>
        <w:tabs>
          <w:tab w:val="left" w:pos="552"/>
        </w:tabs>
        <w:ind w:left="552" w:right="261" w:hanging="432"/>
        <w:rPr>
          <w:b w:val="0"/>
          <w:bCs w:val="0"/>
        </w:rPr>
      </w:pPr>
      <w:r w:rsidRPr="007B7FF3">
        <w:rPr>
          <w:u w:val="single" w:color="000000"/>
        </w:rPr>
        <w:t>Payments</w:t>
      </w:r>
      <w:r w:rsidR="00F76054" w:rsidRPr="007B7FF3">
        <w:rPr>
          <w:u w:val="single" w:color="000000"/>
        </w:rPr>
        <w:t xml:space="preserve">/Gifts to </w:t>
      </w:r>
      <w:r w:rsidRPr="007B7FF3">
        <w:rPr>
          <w:u w:val="single" w:color="000000"/>
        </w:rPr>
        <w:t>Respondents</w:t>
      </w:r>
    </w:p>
    <w:p w14:paraId="65779F61" w14:textId="77777777" w:rsidR="009D5AD3" w:rsidRPr="007B7FF3" w:rsidRDefault="009D5AD3">
      <w:pPr>
        <w:spacing w:before="10"/>
        <w:rPr>
          <w:rFonts w:ascii="Times New Roman" w:eastAsia="Times New Roman" w:hAnsi="Times New Roman" w:cs="Times New Roman"/>
          <w:b/>
          <w:bCs/>
          <w:sz w:val="15"/>
          <w:szCs w:val="15"/>
        </w:rPr>
      </w:pPr>
    </w:p>
    <w:p w14:paraId="392A40FA" w14:textId="77777777" w:rsidR="009D5AD3" w:rsidRPr="007B7FF3" w:rsidRDefault="00F76054">
      <w:pPr>
        <w:pStyle w:val="BodyText"/>
        <w:spacing w:before="69"/>
        <w:ind w:right="261"/>
      </w:pPr>
      <w:r w:rsidRPr="007B7FF3">
        <w:t xml:space="preserve">Payments or </w:t>
      </w:r>
      <w:r w:rsidR="003C27D4" w:rsidRPr="007B7FF3">
        <w:t xml:space="preserve">gifts </w:t>
      </w:r>
      <w:r w:rsidRPr="007B7FF3">
        <w:t xml:space="preserve">to </w:t>
      </w:r>
      <w:r w:rsidR="003C27D4" w:rsidRPr="007B7FF3">
        <w:t>respondents will</w:t>
      </w:r>
      <w:r w:rsidRPr="007B7FF3">
        <w:t xml:space="preserve"> not </w:t>
      </w:r>
      <w:r w:rsidR="003C27D4" w:rsidRPr="007B7FF3">
        <w:t xml:space="preserve">be made </w:t>
      </w:r>
      <w:r w:rsidRPr="007B7FF3">
        <w:t xml:space="preserve">in accordance </w:t>
      </w:r>
      <w:r w:rsidR="003C27D4" w:rsidRPr="007B7FF3">
        <w:t xml:space="preserve">with </w:t>
      </w:r>
      <w:r w:rsidRPr="007B7FF3">
        <w:t>this collection.</w:t>
      </w:r>
    </w:p>
    <w:p w14:paraId="250B9083" w14:textId="77777777" w:rsidR="009D5AD3" w:rsidRPr="007B7FF3" w:rsidRDefault="009D5AD3">
      <w:pPr>
        <w:spacing w:before="1"/>
        <w:rPr>
          <w:rFonts w:ascii="Times New Roman" w:eastAsia="Times New Roman" w:hAnsi="Times New Roman" w:cs="Times New Roman"/>
          <w:sz w:val="26"/>
          <w:szCs w:val="26"/>
        </w:rPr>
      </w:pPr>
    </w:p>
    <w:p w14:paraId="47B3B553" w14:textId="77777777" w:rsidR="009D5AD3" w:rsidRPr="007B7FF3" w:rsidRDefault="00864CE8">
      <w:pPr>
        <w:pStyle w:val="Heading1"/>
        <w:numPr>
          <w:ilvl w:val="0"/>
          <w:numId w:val="1"/>
        </w:numPr>
        <w:tabs>
          <w:tab w:val="left" w:pos="552"/>
        </w:tabs>
        <w:ind w:left="552" w:right="261" w:hanging="432"/>
        <w:rPr>
          <w:b w:val="0"/>
          <w:bCs w:val="0"/>
        </w:rPr>
      </w:pPr>
      <w:r w:rsidRPr="007B7FF3">
        <w:rPr>
          <w:u w:val="single" w:color="000000"/>
        </w:rPr>
        <w:t>Confide</w:t>
      </w:r>
      <w:r w:rsidR="00F76054" w:rsidRPr="007B7FF3">
        <w:rPr>
          <w:u w:val="single" w:color="000000"/>
        </w:rPr>
        <w:t>ntiality</w:t>
      </w:r>
    </w:p>
    <w:p w14:paraId="544012C8" w14:textId="77777777" w:rsidR="009D5AD3" w:rsidRPr="007B7FF3" w:rsidRDefault="009D5AD3">
      <w:pPr>
        <w:spacing w:before="10"/>
        <w:rPr>
          <w:rFonts w:ascii="Times New Roman" w:eastAsia="Times New Roman" w:hAnsi="Times New Roman" w:cs="Times New Roman"/>
          <w:b/>
          <w:bCs/>
          <w:sz w:val="15"/>
          <w:szCs w:val="15"/>
        </w:rPr>
      </w:pPr>
    </w:p>
    <w:p w14:paraId="391D767F" w14:textId="77777777" w:rsidR="009D5AD3" w:rsidRPr="007B7FF3" w:rsidRDefault="00F76054">
      <w:pPr>
        <w:pStyle w:val="BodyText"/>
        <w:spacing w:before="69"/>
        <w:ind w:left="119" w:right="950"/>
        <w:jc w:val="both"/>
      </w:pPr>
      <w:r w:rsidRPr="007B7FF3">
        <w:t xml:space="preserve">Disclosures related to section 6409 of the ACA are kept in a physically secured area. The electronic information stored on a computer system(s) and related database(s) is password protected. Files containing hardcopies of the certification statements are safeguarded in a </w:t>
      </w:r>
      <w:r w:rsidR="003C27D4" w:rsidRPr="007B7FF3">
        <w:t>physically</w:t>
      </w:r>
      <w:r w:rsidRPr="007B7FF3">
        <w:t xml:space="preserve"> secured area.</w:t>
      </w:r>
    </w:p>
    <w:p w14:paraId="3A57B8EF" w14:textId="77777777" w:rsidR="009D5AD3" w:rsidRPr="007B7FF3" w:rsidRDefault="009D5AD3">
      <w:pPr>
        <w:spacing w:before="3"/>
        <w:rPr>
          <w:rFonts w:ascii="Times New Roman" w:eastAsia="Times New Roman" w:hAnsi="Times New Roman" w:cs="Times New Roman"/>
          <w:sz w:val="23"/>
          <w:szCs w:val="23"/>
        </w:rPr>
      </w:pPr>
    </w:p>
    <w:p w14:paraId="525E77A6" w14:textId="77777777" w:rsidR="009D5AD3" w:rsidRPr="007B7FF3" w:rsidRDefault="00F76054" w:rsidP="003C27D4">
      <w:pPr>
        <w:pStyle w:val="BodyText"/>
        <w:tabs>
          <w:tab w:val="left" w:pos="6553"/>
        </w:tabs>
        <w:spacing w:line="242" w:lineRule="auto"/>
        <w:ind w:left="119" w:right="261"/>
      </w:pPr>
      <w:r w:rsidRPr="007B7FF3">
        <w:t xml:space="preserve">The </w:t>
      </w:r>
      <w:r w:rsidR="003C27D4" w:rsidRPr="007B7FF3">
        <w:t xml:space="preserve">information collected </w:t>
      </w:r>
      <w:r w:rsidRPr="007B7FF3">
        <w:t xml:space="preserve">is used to </w:t>
      </w:r>
      <w:r w:rsidR="003C27D4" w:rsidRPr="007B7FF3">
        <w:t xml:space="preserve">analyze </w:t>
      </w:r>
      <w:r w:rsidRPr="007B7FF3">
        <w:t xml:space="preserve">actual or </w:t>
      </w:r>
      <w:r w:rsidR="003C27D4" w:rsidRPr="007B7FF3">
        <w:t xml:space="preserve">potential violations </w:t>
      </w:r>
      <w:r w:rsidRPr="007B7FF3">
        <w:t xml:space="preserve">of section </w:t>
      </w:r>
      <w:r w:rsidR="003C27D4" w:rsidRPr="007B7FF3">
        <w:t xml:space="preserve">1877 </w:t>
      </w:r>
      <w:r w:rsidRPr="007B7FF3">
        <w:t xml:space="preserve">of the Act and in </w:t>
      </w:r>
      <w:r w:rsidR="003C27D4" w:rsidRPr="007B7FF3">
        <w:t>determining the a</w:t>
      </w:r>
      <w:r w:rsidRPr="007B7FF3">
        <w:t xml:space="preserve">mount </w:t>
      </w:r>
      <w:r w:rsidR="003C27D4" w:rsidRPr="007B7FF3">
        <w:t xml:space="preserve">due </w:t>
      </w:r>
      <w:r w:rsidRPr="007B7FF3">
        <w:t xml:space="preserve">and </w:t>
      </w:r>
      <w:r w:rsidR="003C27D4" w:rsidRPr="007B7FF3">
        <w:t xml:space="preserve">owing </w:t>
      </w:r>
      <w:r w:rsidRPr="007B7FF3">
        <w:t xml:space="preserve">for a </w:t>
      </w:r>
      <w:r w:rsidR="003C27D4" w:rsidRPr="007B7FF3">
        <w:t xml:space="preserve">violation.  </w:t>
      </w:r>
      <w:r w:rsidRPr="007B7FF3">
        <w:t xml:space="preserve">Disclosed </w:t>
      </w:r>
      <w:r w:rsidR="003C27D4" w:rsidRPr="007B7FF3">
        <w:t xml:space="preserve">information </w:t>
      </w:r>
      <w:r w:rsidRPr="007B7FF3">
        <w:t xml:space="preserve">may be shared with other federal agencies and with Congressional committees. We are prevented by the Trade Secrets Act, 18 U.S.C. § </w:t>
      </w:r>
      <w:r w:rsidR="003C27D4" w:rsidRPr="007B7FF3">
        <w:t xml:space="preserve">1905, </w:t>
      </w:r>
      <w:r w:rsidRPr="007B7FF3">
        <w:t xml:space="preserve">from releasing to the </w:t>
      </w:r>
      <w:r w:rsidR="003C27D4" w:rsidRPr="007B7FF3">
        <w:t xml:space="preserve">public confidential </w:t>
      </w:r>
      <w:r w:rsidRPr="007B7FF3">
        <w:t xml:space="preserve">business information, except to the extent permitted by law. We intend to protect from </w:t>
      </w:r>
      <w:r w:rsidR="003C27D4" w:rsidRPr="007B7FF3">
        <w:t xml:space="preserve">public </w:t>
      </w:r>
      <w:r w:rsidRPr="007B7FF3">
        <w:t xml:space="preserve">disclosure, to the </w:t>
      </w:r>
      <w:r w:rsidR="003C27D4" w:rsidRPr="007B7FF3">
        <w:t xml:space="preserve">fullest </w:t>
      </w:r>
      <w:r w:rsidRPr="007B7FF3">
        <w:t xml:space="preserve">extent </w:t>
      </w:r>
      <w:r w:rsidR="003C27D4" w:rsidRPr="007B7FF3">
        <w:t xml:space="preserve">permitted </w:t>
      </w:r>
      <w:r w:rsidRPr="007B7FF3">
        <w:t xml:space="preserve">by </w:t>
      </w:r>
      <w:r w:rsidR="003C27D4" w:rsidRPr="007B7FF3">
        <w:t xml:space="preserve">Exemptions </w:t>
      </w:r>
      <w:r w:rsidRPr="007B7FF3">
        <w:t xml:space="preserve">4 and 6 of the Freedom of </w:t>
      </w:r>
      <w:r w:rsidR="003C27D4" w:rsidRPr="007B7FF3">
        <w:t xml:space="preserve">Information </w:t>
      </w:r>
      <w:r w:rsidRPr="007B7FF3">
        <w:t>Act, 5 U.S.C.</w:t>
      </w:r>
      <w:r w:rsidR="003C27D4" w:rsidRPr="007B7FF3">
        <w:t xml:space="preserve"> </w:t>
      </w:r>
      <w:r w:rsidRPr="007B7FF3">
        <w:t xml:space="preserve">§ 552(b)(4)  and (6), any </w:t>
      </w:r>
      <w:r w:rsidR="003C27D4" w:rsidRPr="007B7FF3">
        <w:t xml:space="preserve">individual-specific </w:t>
      </w:r>
      <w:r w:rsidRPr="007B7FF3">
        <w:t>information collected.</w:t>
      </w:r>
    </w:p>
    <w:p w14:paraId="0D20F872" w14:textId="77777777" w:rsidR="009D5AD3" w:rsidRPr="007B7FF3" w:rsidRDefault="009D5AD3">
      <w:pPr>
        <w:spacing w:before="9"/>
        <w:rPr>
          <w:rFonts w:ascii="Times New Roman" w:eastAsia="Times New Roman" w:hAnsi="Times New Roman" w:cs="Times New Roman"/>
          <w:sz w:val="24"/>
          <w:szCs w:val="24"/>
        </w:rPr>
      </w:pPr>
    </w:p>
    <w:p w14:paraId="44E7D86C" w14:textId="77777777" w:rsidR="009D5AD3" w:rsidRPr="007B7FF3" w:rsidRDefault="00F76054">
      <w:pPr>
        <w:pStyle w:val="Heading1"/>
        <w:numPr>
          <w:ilvl w:val="0"/>
          <w:numId w:val="1"/>
        </w:numPr>
        <w:tabs>
          <w:tab w:val="left" w:pos="552"/>
        </w:tabs>
        <w:ind w:left="552" w:right="261" w:hanging="432"/>
        <w:rPr>
          <w:b w:val="0"/>
          <w:bCs w:val="0"/>
        </w:rPr>
      </w:pPr>
      <w:r w:rsidRPr="007B7FF3">
        <w:rPr>
          <w:u w:val="single" w:color="000000"/>
        </w:rPr>
        <w:t>Se</w:t>
      </w:r>
      <w:r w:rsidR="00E61D4B" w:rsidRPr="007B7FF3">
        <w:rPr>
          <w:u w:val="single" w:color="000000"/>
        </w:rPr>
        <w:t>nsitive</w:t>
      </w:r>
      <w:r w:rsidRPr="007B7FF3">
        <w:rPr>
          <w:u w:val="single" w:color="000000"/>
        </w:rPr>
        <w:t xml:space="preserve"> Questions</w:t>
      </w:r>
    </w:p>
    <w:p w14:paraId="0D668B1E" w14:textId="77777777" w:rsidR="009D5AD3" w:rsidRPr="007B7FF3" w:rsidRDefault="009D5AD3">
      <w:pPr>
        <w:spacing w:before="3"/>
        <w:rPr>
          <w:rFonts w:ascii="Times New Roman" w:eastAsia="Times New Roman" w:hAnsi="Times New Roman" w:cs="Times New Roman"/>
          <w:b/>
          <w:bCs/>
          <w:sz w:val="17"/>
          <w:szCs w:val="17"/>
        </w:rPr>
      </w:pPr>
    </w:p>
    <w:p w14:paraId="31F3B63F" w14:textId="77777777" w:rsidR="009D5AD3" w:rsidRPr="007B7FF3" w:rsidRDefault="00F76054">
      <w:pPr>
        <w:pStyle w:val="BodyText"/>
        <w:spacing w:before="69"/>
        <w:ind w:right="261"/>
      </w:pPr>
      <w:r w:rsidRPr="007B7FF3">
        <w:t xml:space="preserve">No </w:t>
      </w:r>
      <w:r w:rsidR="003C27D4" w:rsidRPr="007B7FF3">
        <w:t xml:space="preserve">sensitive </w:t>
      </w:r>
      <w:r w:rsidR="00E61D4B" w:rsidRPr="007B7FF3">
        <w:t>questions will</w:t>
      </w:r>
      <w:r w:rsidRPr="007B7FF3">
        <w:t xml:space="preserve"> be asked in accordance </w:t>
      </w:r>
      <w:r w:rsidR="00E61D4B" w:rsidRPr="007B7FF3">
        <w:t xml:space="preserve">with </w:t>
      </w:r>
      <w:r w:rsidRPr="007B7FF3">
        <w:t>this collection.</w:t>
      </w:r>
    </w:p>
    <w:p w14:paraId="6DA35923" w14:textId="77777777" w:rsidR="009D5AD3" w:rsidRPr="007B7FF3" w:rsidRDefault="009D5AD3">
      <w:pPr>
        <w:spacing w:before="8"/>
        <w:rPr>
          <w:rFonts w:ascii="Times New Roman" w:eastAsia="Times New Roman" w:hAnsi="Times New Roman" w:cs="Times New Roman"/>
          <w:sz w:val="24"/>
          <w:szCs w:val="24"/>
        </w:rPr>
      </w:pPr>
    </w:p>
    <w:p w14:paraId="2E9F9425" w14:textId="48664B4F" w:rsidR="009D5AD3" w:rsidRPr="007B7FF3" w:rsidRDefault="00121DBA">
      <w:pPr>
        <w:pStyle w:val="Heading1"/>
        <w:numPr>
          <w:ilvl w:val="0"/>
          <w:numId w:val="1"/>
        </w:numPr>
        <w:tabs>
          <w:tab w:val="left" w:pos="552"/>
        </w:tabs>
        <w:ind w:left="552" w:right="261" w:hanging="432"/>
        <w:rPr>
          <w:b w:val="0"/>
          <w:bCs w:val="0"/>
        </w:rPr>
      </w:pPr>
      <w:r>
        <w:rPr>
          <w:u w:val="single" w:color="000000"/>
        </w:rPr>
        <w:t>Burden Estimate s (Hours &amp; Wages</w:t>
      </w:r>
      <w:r w:rsidR="00F76054" w:rsidRPr="007B7FF3">
        <w:rPr>
          <w:u w:val="single" w:color="000000"/>
        </w:rPr>
        <w:t>)</w:t>
      </w:r>
    </w:p>
    <w:p w14:paraId="3B030FCE" w14:textId="77777777" w:rsidR="009D5AD3" w:rsidRPr="007B7FF3" w:rsidRDefault="009D5AD3">
      <w:pPr>
        <w:sectPr w:rsidR="009D5AD3" w:rsidRPr="007B7FF3">
          <w:footerReference w:type="default" r:id="rId9"/>
          <w:pgSz w:w="12240" w:h="15840"/>
          <w:pgMar w:top="1380" w:right="1200" w:bottom="1960" w:left="1320" w:header="0" w:footer="1769" w:gutter="0"/>
          <w:cols w:space="720"/>
        </w:sectPr>
      </w:pPr>
    </w:p>
    <w:p w14:paraId="7F822CCC" w14:textId="77777777" w:rsidR="009D5AD3" w:rsidRPr="007B7FF3" w:rsidRDefault="009D5AD3">
      <w:pPr>
        <w:rPr>
          <w:rFonts w:ascii="Times New Roman" w:eastAsia="Times New Roman" w:hAnsi="Times New Roman" w:cs="Times New Roman"/>
          <w:b/>
          <w:bCs/>
          <w:sz w:val="11"/>
          <w:szCs w:val="11"/>
        </w:rPr>
      </w:pPr>
    </w:p>
    <w:p w14:paraId="3FFD7B94" w14:textId="77777777" w:rsidR="009D5AD3" w:rsidRPr="007B7FF3" w:rsidRDefault="00F76054" w:rsidP="00E61D4B">
      <w:pPr>
        <w:pStyle w:val="BodyText"/>
        <w:spacing w:before="69"/>
        <w:ind w:left="119" w:right="208"/>
      </w:pPr>
      <w:r w:rsidRPr="007B7FF3">
        <w:t xml:space="preserve">Based on our experience with the SRDP and our recent issuance of guidance to facilitate compliance (see 80 FR </w:t>
      </w:r>
      <w:r w:rsidR="00E61D4B" w:rsidRPr="007B7FF3">
        <w:t xml:space="preserve">70886, 71300 </w:t>
      </w:r>
      <w:r w:rsidRPr="007B7FF3">
        <w:t xml:space="preserve">et seq. (Nov. 16, </w:t>
      </w:r>
      <w:r w:rsidR="00E61D4B" w:rsidRPr="007B7FF3">
        <w:t xml:space="preserve">2015)), </w:t>
      </w:r>
      <w:r w:rsidRPr="007B7FF3">
        <w:t xml:space="preserve">we estimate that </w:t>
      </w:r>
      <w:r w:rsidR="00E61D4B" w:rsidRPr="007B7FF3">
        <w:t xml:space="preserve">providers of </w:t>
      </w:r>
      <w:r w:rsidRPr="007B7FF3">
        <w:t xml:space="preserve">services and suppliers will </w:t>
      </w:r>
      <w:r w:rsidR="00E61D4B" w:rsidRPr="007B7FF3">
        <w:t>submit</w:t>
      </w:r>
      <w:r w:rsidRPr="007B7FF3">
        <w:t xml:space="preserve"> </w:t>
      </w:r>
      <w:r w:rsidR="00E61D4B" w:rsidRPr="007B7FF3">
        <w:t>approximately</w:t>
      </w:r>
      <w:r w:rsidRPr="007B7FF3">
        <w:t xml:space="preserve"> 100 disclosures per year. The burden on providers of services and suppliers varies widely because of differences in the nature and extent of </w:t>
      </w:r>
      <w:r w:rsidR="00E61D4B" w:rsidRPr="007B7FF3">
        <w:t xml:space="preserve">the conduct, </w:t>
      </w:r>
      <w:r w:rsidRPr="007B7FF3">
        <w:t xml:space="preserve">the </w:t>
      </w:r>
      <w:r w:rsidR="00E61D4B" w:rsidRPr="007B7FF3">
        <w:t xml:space="preserve">size of the entity, </w:t>
      </w:r>
      <w:r w:rsidRPr="007B7FF3">
        <w:t xml:space="preserve">and the number of </w:t>
      </w:r>
      <w:r w:rsidR="00E61D4B" w:rsidRPr="007B7FF3">
        <w:t xml:space="preserve">potentially noncompliant </w:t>
      </w:r>
      <w:r w:rsidRPr="007B7FF3">
        <w:t xml:space="preserve">financial </w:t>
      </w:r>
      <w:r w:rsidR="00E61D4B" w:rsidRPr="007B7FF3">
        <w:t xml:space="preserve">relationships. </w:t>
      </w:r>
      <w:r w:rsidRPr="007B7FF3">
        <w:t xml:space="preserve">While disclosures of a single noncompliant financial arrangement are not </w:t>
      </w:r>
      <w:r w:rsidR="00E61D4B" w:rsidRPr="007B7FF3">
        <w:t xml:space="preserve">uncommon, </w:t>
      </w:r>
      <w:r w:rsidRPr="007B7FF3">
        <w:t xml:space="preserve">most </w:t>
      </w:r>
      <w:r w:rsidR="00E61D4B" w:rsidRPr="007B7FF3">
        <w:t xml:space="preserve">of the self-disclosures </w:t>
      </w:r>
      <w:r w:rsidRPr="007B7FF3">
        <w:t xml:space="preserve">we receive cover more than one actual </w:t>
      </w:r>
      <w:r w:rsidR="00E61D4B" w:rsidRPr="007B7FF3">
        <w:t xml:space="preserve">or </w:t>
      </w:r>
      <w:r w:rsidRPr="007B7FF3">
        <w:t xml:space="preserve">potential </w:t>
      </w:r>
      <w:r w:rsidR="00E61D4B" w:rsidRPr="007B7FF3">
        <w:t>violation</w:t>
      </w:r>
      <w:r w:rsidRPr="007B7FF3">
        <w:t xml:space="preserve"> of the </w:t>
      </w:r>
      <w:r w:rsidR="00E61D4B" w:rsidRPr="007B7FF3">
        <w:t>physician</w:t>
      </w:r>
      <w:r w:rsidRPr="007B7FF3">
        <w:t xml:space="preserve"> self-referral law.  The </w:t>
      </w:r>
      <w:r w:rsidR="00E61D4B" w:rsidRPr="007B7FF3">
        <w:t>collection</w:t>
      </w:r>
      <w:r w:rsidRPr="007B7FF3">
        <w:t xml:space="preserve"> </w:t>
      </w:r>
      <w:r w:rsidR="00E61D4B" w:rsidRPr="007B7FF3">
        <w:t xml:space="preserve">involves </w:t>
      </w:r>
      <w:r w:rsidRPr="007B7FF3">
        <w:t>both legal and financial</w:t>
      </w:r>
      <w:r w:rsidR="00E61D4B" w:rsidRPr="007B7FF3">
        <w:t xml:space="preserve"> </w:t>
      </w:r>
      <w:r w:rsidRPr="007B7FF3">
        <w:t>review.</w:t>
      </w:r>
    </w:p>
    <w:p w14:paraId="7A7AC523" w14:textId="77777777" w:rsidR="009D5AD3" w:rsidRPr="007B7FF3" w:rsidRDefault="009D5AD3">
      <w:pPr>
        <w:spacing w:before="11"/>
        <w:rPr>
          <w:rFonts w:ascii="Times New Roman" w:eastAsia="Times New Roman" w:hAnsi="Times New Roman" w:cs="Times New Roman"/>
          <w:sz w:val="24"/>
          <w:szCs w:val="24"/>
        </w:rPr>
      </w:pPr>
    </w:p>
    <w:p w14:paraId="52E9D0E4" w14:textId="77777777" w:rsidR="009D5AD3" w:rsidRPr="007B7FF3" w:rsidRDefault="00E61D4B" w:rsidP="00E61D4B">
      <w:pPr>
        <w:pStyle w:val="BodyText"/>
        <w:spacing w:line="237" w:lineRule="auto"/>
        <w:ind w:left="119" w:right="208"/>
      </w:pPr>
      <w:r w:rsidRPr="007B7FF3">
        <w:rPr>
          <w:rFonts w:cs="Times New Roman"/>
          <w:b/>
          <w:bCs/>
          <w:u w:val="single" w:color="000000"/>
        </w:rPr>
        <w:t>Le</w:t>
      </w:r>
      <w:r w:rsidR="00F76054" w:rsidRPr="007B7FF3">
        <w:rPr>
          <w:rFonts w:cs="Times New Roman"/>
          <w:b/>
          <w:bCs/>
          <w:u w:val="single" w:color="000000"/>
        </w:rPr>
        <w:t xml:space="preserve">gal </w:t>
      </w:r>
      <w:r w:rsidRPr="007B7FF3">
        <w:rPr>
          <w:rFonts w:cs="Times New Roman"/>
          <w:b/>
          <w:bCs/>
          <w:u w:val="single" w:color="000000"/>
        </w:rPr>
        <w:t>revie</w:t>
      </w:r>
      <w:r w:rsidR="00F76054" w:rsidRPr="007B7FF3">
        <w:rPr>
          <w:rFonts w:cs="Times New Roman"/>
          <w:b/>
          <w:bCs/>
          <w:u w:val="single" w:color="000000"/>
        </w:rPr>
        <w:t>w</w:t>
      </w:r>
      <w:r w:rsidR="00F76054" w:rsidRPr="007B7FF3">
        <w:rPr>
          <w:rFonts w:cs="Times New Roman"/>
          <w:b/>
          <w:bCs/>
        </w:rPr>
        <w:t xml:space="preserve">: </w:t>
      </w:r>
      <w:r w:rsidR="00F76054" w:rsidRPr="007B7FF3">
        <w:t xml:space="preserve">The initial burden </w:t>
      </w:r>
      <w:r w:rsidRPr="007B7FF3">
        <w:t xml:space="preserve">involves </w:t>
      </w:r>
      <w:r w:rsidR="00F76054" w:rsidRPr="007B7FF3">
        <w:t xml:space="preserve">the </w:t>
      </w:r>
      <w:r w:rsidRPr="007B7FF3">
        <w:t xml:space="preserve">production </w:t>
      </w:r>
      <w:r w:rsidR="00F76054" w:rsidRPr="007B7FF3">
        <w:t xml:space="preserve">and review of </w:t>
      </w:r>
      <w:r w:rsidRPr="007B7FF3">
        <w:t xml:space="preserve">various </w:t>
      </w:r>
      <w:r w:rsidR="00F76054" w:rsidRPr="007B7FF3">
        <w:t xml:space="preserve">contracts and other documents to determine whether a party complied with the physician self-referral law. The burden on providers of services and suppliers related to this activity depends in large part on the number of potentially noncompliant financial relationships under investigation. For example, if a personal service arrangement is not “in writing” and “signed by the parties,” the parties  cannot satisfy the requirements of the personal service arrangements exception of the physicians self- referral law, 42 C.F.R. § </w:t>
      </w:r>
      <w:r w:rsidRPr="007B7FF3">
        <w:t>411.357(d).</w:t>
      </w:r>
      <w:r w:rsidR="00F76054" w:rsidRPr="007B7FF3">
        <w:t xml:space="preserve"> We estimate that a small entity with relatively few </w:t>
      </w:r>
      <w:r w:rsidRPr="007B7FF3">
        <w:t xml:space="preserve">potentially problematic </w:t>
      </w:r>
      <w:r w:rsidR="00F76054" w:rsidRPr="007B7FF3">
        <w:t xml:space="preserve">personal service arrangements can </w:t>
      </w:r>
      <w:r w:rsidRPr="007B7FF3">
        <w:t xml:space="preserve">identify </w:t>
      </w:r>
      <w:r w:rsidR="00F76054" w:rsidRPr="007B7FF3">
        <w:t>and review documentation</w:t>
      </w:r>
      <w:r w:rsidRPr="007B7FF3">
        <w:t xml:space="preserve"> </w:t>
      </w:r>
      <w:r w:rsidR="00F76054" w:rsidRPr="007B7FF3">
        <w:t xml:space="preserve">relevant to a disclosure in ten (10) hours. On the other hand, when a large entity with multiple arrangements fails to satisfy the personal services exception, it likely takes fifty (50) hours to track all of the complex relationships and to produce relevant documentation of the actual or potential violation(s). On average, it will take providers of services and suppliers </w:t>
      </w:r>
      <w:r w:rsidRPr="007B7FF3">
        <w:t xml:space="preserve">approximately </w:t>
      </w:r>
      <w:r w:rsidR="00F76054" w:rsidRPr="007B7FF3">
        <w:t xml:space="preserve">thirty (30) hours to produce and review documents to determine </w:t>
      </w:r>
      <w:r w:rsidRPr="007B7FF3">
        <w:t>compliance with</w:t>
      </w:r>
      <w:r w:rsidR="00F76054" w:rsidRPr="007B7FF3">
        <w:t xml:space="preserve"> the physician self-referral law.</w:t>
      </w:r>
    </w:p>
    <w:p w14:paraId="6EFF9A5C" w14:textId="77777777" w:rsidR="009D5AD3" w:rsidRPr="007B7FF3" w:rsidRDefault="009D5AD3">
      <w:pPr>
        <w:spacing w:before="4"/>
        <w:rPr>
          <w:rFonts w:ascii="Times New Roman" w:eastAsia="Times New Roman" w:hAnsi="Times New Roman" w:cs="Times New Roman"/>
          <w:sz w:val="23"/>
          <w:szCs w:val="23"/>
        </w:rPr>
      </w:pPr>
    </w:p>
    <w:p w14:paraId="5ED1ABF6" w14:textId="77777777" w:rsidR="009D5AD3" w:rsidRPr="007B7FF3" w:rsidRDefault="00F76054">
      <w:pPr>
        <w:pStyle w:val="BodyText"/>
        <w:ind w:left="119" w:right="188"/>
      </w:pPr>
      <w:r w:rsidRPr="007B7FF3">
        <w:t xml:space="preserve">After the </w:t>
      </w:r>
      <w:r w:rsidR="00E61D4B" w:rsidRPr="007B7FF3">
        <w:t xml:space="preserve">disclosing </w:t>
      </w:r>
      <w:r w:rsidRPr="007B7FF3">
        <w:t xml:space="preserve">party has </w:t>
      </w:r>
      <w:r w:rsidR="00E61D4B" w:rsidRPr="007B7FF3">
        <w:t>collected</w:t>
      </w:r>
      <w:r w:rsidRPr="007B7FF3">
        <w:t xml:space="preserve"> and reviewed </w:t>
      </w:r>
      <w:r w:rsidR="00E61D4B" w:rsidRPr="007B7FF3">
        <w:t xml:space="preserve">documentation </w:t>
      </w:r>
      <w:r w:rsidRPr="007B7FF3">
        <w:t xml:space="preserve">to </w:t>
      </w:r>
      <w:r w:rsidR="00E61D4B" w:rsidRPr="007B7FF3">
        <w:t>determine</w:t>
      </w:r>
      <w:r w:rsidRPr="007B7FF3">
        <w:t xml:space="preserve"> whether the party </w:t>
      </w:r>
      <w:r w:rsidR="00E61D4B" w:rsidRPr="007B7FF3">
        <w:t>complied with</w:t>
      </w:r>
      <w:r w:rsidRPr="007B7FF3">
        <w:t xml:space="preserve"> the </w:t>
      </w:r>
      <w:r w:rsidR="00E61D4B" w:rsidRPr="007B7FF3">
        <w:t xml:space="preserve">physician </w:t>
      </w:r>
      <w:r w:rsidRPr="007B7FF3">
        <w:t xml:space="preserve">self-referral law, the </w:t>
      </w:r>
      <w:r w:rsidR="00E61D4B" w:rsidRPr="007B7FF3">
        <w:t>disclosing</w:t>
      </w:r>
      <w:r w:rsidRPr="007B7FF3">
        <w:t xml:space="preserve"> party must prepare the disclosure for submission.  The SRDP Form will </w:t>
      </w:r>
      <w:r w:rsidR="00E61D4B" w:rsidRPr="007B7FF3">
        <w:t>provide</w:t>
      </w:r>
      <w:r w:rsidRPr="007B7FF3">
        <w:t xml:space="preserve"> a streamlined and standardized </w:t>
      </w:r>
      <w:r w:rsidR="00E61D4B" w:rsidRPr="007B7FF3">
        <w:t xml:space="preserve">method </w:t>
      </w:r>
      <w:r w:rsidRPr="007B7FF3">
        <w:t xml:space="preserve">for parties to report potential or actual </w:t>
      </w:r>
      <w:r w:rsidR="00E61D4B" w:rsidRPr="007B7FF3">
        <w:t xml:space="preserve">noncompliance. </w:t>
      </w:r>
      <w:r w:rsidRPr="007B7FF3">
        <w:t xml:space="preserve">Where the currently approved ICR requires detailed explanations of noncompliance, the SRDP Form provides checkboxes that allow parties to quickly identify those elements of an applicable exception that a financial </w:t>
      </w:r>
      <w:r w:rsidR="00E61D4B" w:rsidRPr="007B7FF3">
        <w:t xml:space="preserve">relationship satisfied </w:t>
      </w:r>
      <w:r w:rsidRPr="007B7FF3">
        <w:t xml:space="preserve">and </w:t>
      </w:r>
      <w:r w:rsidR="00E61D4B" w:rsidRPr="007B7FF3">
        <w:t>those</w:t>
      </w:r>
      <w:r w:rsidRPr="007B7FF3">
        <w:t xml:space="preserve"> elements that the </w:t>
      </w:r>
      <w:r w:rsidR="00E61D4B" w:rsidRPr="007B7FF3">
        <w:t>relationship</w:t>
      </w:r>
      <w:r w:rsidRPr="007B7FF3">
        <w:t xml:space="preserve"> failed to satisfy.  In </w:t>
      </w:r>
      <w:r w:rsidR="00E61D4B" w:rsidRPr="007B7FF3">
        <w:t xml:space="preserve">addition, </w:t>
      </w:r>
      <w:r w:rsidRPr="007B7FF3">
        <w:t xml:space="preserve">the SRDP Form does not </w:t>
      </w:r>
      <w:r w:rsidR="00E61D4B" w:rsidRPr="007B7FF3">
        <w:t>require some</w:t>
      </w:r>
      <w:r w:rsidRPr="007B7FF3">
        <w:t xml:space="preserve"> </w:t>
      </w:r>
      <w:r w:rsidR="00E61D4B" w:rsidRPr="007B7FF3">
        <w:t xml:space="preserve">information </w:t>
      </w:r>
      <w:r w:rsidRPr="007B7FF3">
        <w:t xml:space="preserve">that is </w:t>
      </w:r>
      <w:r w:rsidR="00E61D4B" w:rsidRPr="007B7FF3">
        <w:t xml:space="preserve">required </w:t>
      </w:r>
      <w:r w:rsidRPr="007B7FF3">
        <w:t xml:space="preserve">under the current collection, such as a description and evaluation of the disclosing party’s pre-existing compliance program. For these reasons, we have revised our estimate of the burden associated with preparing the submission downward. Previously we estimated that it would take between </w:t>
      </w:r>
      <w:r w:rsidR="00E61D4B" w:rsidRPr="007B7FF3">
        <w:t xml:space="preserve">five </w:t>
      </w:r>
      <w:r w:rsidRPr="007B7FF3">
        <w:t xml:space="preserve">(5) and (15) </w:t>
      </w:r>
      <w:r w:rsidR="00E61D4B" w:rsidRPr="007B7FF3">
        <w:t xml:space="preserve">hours </w:t>
      </w:r>
      <w:r w:rsidRPr="007B7FF3">
        <w:t xml:space="preserve">to prepare the submission, depending on the number of noncompliant financial relationships covered by the self-disclosure. With the SRDP Form, we estimate it </w:t>
      </w:r>
      <w:r w:rsidR="00E61D4B" w:rsidRPr="007B7FF3">
        <w:t>will</w:t>
      </w:r>
      <w:r w:rsidRPr="007B7FF3">
        <w:t xml:space="preserve"> take between two (2) to </w:t>
      </w:r>
      <w:r w:rsidR="00E61D4B" w:rsidRPr="007B7FF3">
        <w:t xml:space="preserve">eight </w:t>
      </w:r>
      <w:r w:rsidRPr="007B7FF3">
        <w:t xml:space="preserve">(8) hours to prepare the submission, depending on the number of noncompliant financial relationships. On average, </w:t>
      </w:r>
      <w:r w:rsidR="00E61D4B" w:rsidRPr="007B7FF3">
        <w:t>it will</w:t>
      </w:r>
      <w:r w:rsidRPr="007B7FF3">
        <w:t xml:space="preserve"> take </w:t>
      </w:r>
      <w:r w:rsidR="00E61D4B" w:rsidRPr="007B7FF3">
        <w:t xml:space="preserve">approximately five </w:t>
      </w:r>
      <w:r w:rsidRPr="007B7FF3">
        <w:t xml:space="preserve">(5) hours to </w:t>
      </w:r>
      <w:r w:rsidR="00E61D4B" w:rsidRPr="007B7FF3">
        <w:t xml:space="preserve">complete </w:t>
      </w:r>
      <w:r w:rsidRPr="007B7FF3">
        <w:t>the SRDP Form.</w:t>
      </w:r>
    </w:p>
    <w:p w14:paraId="2CBEF5FA" w14:textId="77777777" w:rsidR="009D5AD3" w:rsidRPr="007B7FF3" w:rsidRDefault="009D5AD3">
      <w:pPr>
        <w:spacing w:before="3"/>
        <w:rPr>
          <w:rFonts w:ascii="Times New Roman" w:eastAsia="Times New Roman" w:hAnsi="Times New Roman" w:cs="Times New Roman"/>
          <w:sz w:val="23"/>
          <w:szCs w:val="23"/>
        </w:rPr>
      </w:pPr>
    </w:p>
    <w:p w14:paraId="34EF4A18" w14:textId="77777777" w:rsidR="009D5AD3" w:rsidRPr="007B7FF3" w:rsidRDefault="00F76054">
      <w:pPr>
        <w:pStyle w:val="BodyText"/>
        <w:spacing w:line="249" w:lineRule="auto"/>
        <w:ind w:left="119" w:right="208"/>
      </w:pPr>
      <w:r w:rsidRPr="007B7FF3">
        <w:t xml:space="preserve">In sum, the annualized hour burden to the industry for legal review (including production and review </w:t>
      </w:r>
      <w:r w:rsidR="00E61D4B" w:rsidRPr="007B7FF3">
        <w:t xml:space="preserve">of documents </w:t>
      </w:r>
      <w:r w:rsidRPr="007B7FF3">
        <w:t xml:space="preserve">and </w:t>
      </w:r>
      <w:r w:rsidR="00E61D4B" w:rsidRPr="007B7FF3">
        <w:t>completion</w:t>
      </w:r>
      <w:r w:rsidRPr="007B7FF3">
        <w:t xml:space="preserve"> </w:t>
      </w:r>
      <w:r w:rsidR="00E61D4B" w:rsidRPr="007B7FF3">
        <w:t>of the</w:t>
      </w:r>
      <w:r w:rsidRPr="007B7FF3">
        <w:t xml:space="preserve"> SRDP Form) ranges from </w:t>
      </w:r>
      <w:r w:rsidR="00E61D4B" w:rsidRPr="007B7FF3">
        <w:t>1200</w:t>
      </w:r>
      <w:r w:rsidRPr="007B7FF3">
        <w:t xml:space="preserve"> hours (12 </w:t>
      </w:r>
      <w:r w:rsidR="00E61D4B" w:rsidRPr="007B7FF3">
        <w:t>hours</w:t>
      </w:r>
      <w:r w:rsidRPr="007B7FF3">
        <w:t xml:space="preserve"> for</w:t>
      </w:r>
    </w:p>
    <w:p w14:paraId="5AFA3F21" w14:textId="77777777" w:rsidR="009D5AD3" w:rsidRPr="007B7FF3" w:rsidRDefault="009D5AD3">
      <w:pPr>
        <w:spacing w:before="5"/>
        <w:rPr>
          <w:rFonts w:ascii="Times New Roman" w:eastAsia="Times New Roman" w:hAnsi="Times New Roman" w:cs="Times New Roman"/>
          <w:sz w:val="16"/>
          <w:szCs w:val="16"/>
        </w:rPr>
      </w:pPr>
    </w:p>
    <w:p w14:paraId="4D54A89C" w14:textId="77777777" w:rsidR="009D5AD3" w:rsidRPr="007B7FF3" w:rsidRDefault="00F76054">
      <w:pPr>
        <w:pStyle w:val="BodyText"/>
        <w:spacing w:before="69"/>
        <w:ind w:left="36"/>
        <w:jc w:val="center"/>
      </w:pPr>
      <w:r w:rsidRPr="007B7FF3">
        <w:t>4</w:t>
      </w:r>
    </w:p>
    <w:p w14:paraId="43D5376C" w14:textId="77777777" w:rsidR="009D5AD3" w:rsidRPr="007B7FF3" w:rsidRDefault="009D5AD3">
      <w:pPr>
        <w:jc w:val="center"/>
        <w:sectPr w:rsidR="009D5AD3" w:rsidRPr="007B7FF3">
          <w:footerReference w:type="default" r:id="rId10"/>
          <w:pgSz w:w="12240" w:h="15840"/>
          <w:pgMar w:top="1500" w:right="1220" w:bottom="280" w:left="1320" w:header="0" w:footer="0" w:gutter="0"/>
          <w:cols w:space="720"/>
        </w:sectPr>
      </w:pPr>
    </w:p>
    <w:p w14:paraId="65BC0066" w14:textId="77777777" w:rsidR="009D5AD3" w:rsidRPr="007B7FF3" w:rsidRDefault="00F76054">
      <w:pPr>
        <w:pStyle w:val="BodyText"/>
        <w:spacing w:before="50" w:line="272" w:lineRule="exact"/>
        <w:ind w:right="261" w:hanging="1"/>
      </w:pPr>
      <w:r w:rsidRPr="007B7FF3">
        <w:t>legal review x 100 disclosures) to 5800 hours (58 hours for legal review x 100 disclosures). The average hour burden to the industry for legal review is 3500 (35 hours for legal review x 100 disclosures).</w:t>
      </w:r>
    </w:p>
    <w:p w14:paraId="786844E8" w14:textId="77777777" w:rsidR="009D5AD3" w:rsidRPr="007B7FF3" w:rsidRDefault="009D5AD3">
      <w:pPr>
        <w:spacing w:before="5"/>
        <w:rPr>
          <w:rFonts w:ascii="Times New Roman" w:eastAsia="Times New Roman" w:hAnsi="Times New Roman" w:cs="Times New Roman"/>
          <w:sz w:val="24"/>
          <w:szCs w:val="24"/>
        </w:rPr>
      </w:pPr>
    </w:p>
    <w:p w14:paraId="53288226" w14:textId="77777777" w:rsidR="009D5AD3" w:rsidRPr="007B7FF3" w:rsidRDefault="00F76054" w:rsidP="00E61D4B">
      <w:pPr>
        <w:pStyle w:val="BodyText"/>
        <w:ind w:right="261"/>
      </w:pPr>
      <w:r w:rsidRPr="007B7FF3">
        <w:t xml:space="preserve">Typically compliance officers and legal counsel for providers of services and suppliers are </w:t>
      </w:r>
      <w:r w:rsidR="00E61D4B" w:rsidRPr="007B7FF3">
        <w:t xml:space="preserve">responsible </w:t>
      </w:r>
      <w:r w:rsidRPr="007B7FF3">
        <w:t xml:space="preserve">for </w:t>
      </w:r>
      <w:r w:rsidR="00E61D4B" w:rsidRPr="007B7FF3">
        <w:t xml:space="preserve">producing </w:t>
      </w:r>
      <w:r w:rsidRPr="007B7FF3">
        <w:t xml:space="preserve">and </w:t>
      </w:r>
      <w:r w:rsidR="00E61D4B" w:rsidRPr="007B7FF3">
        <w:t xml:space="preserve">reviewing </w:t>
      </w:r>
      <w:r w:rsidRPr="007B7FF3">
        <w:t xml:space="preserve">the contracts/arrangements and </w:t>
      </w:r>
      <w:r w:rsidR="00E61D4B" w:rsidRPr="007B7FF3">
        <w:t xml:space="preserve">preparing </w:t>
      </w:r>
      <w:r w:rsidRPr="007B7FF3">
        <w:t xml:space="preserve">the disclosure for submission. According the Bureau of Labor Statistics (“BLS”) data for May 2014, the national estimated mean </w:t>
      </w:r>
      <w:r w:rsidR="00E61D4B" w:rsidRPr="007B7FF3">
        <w:t xml:space="preserve">hourly </w:t>
      </w:r>
      <w:r w:rsidRPr="007B7FF3">
        <w:t xml:space="preserve">wage for the category of </w:t>
      </w:r>
      <w:r w:rsidR="00E61D4B" w:rsidRPr="007B7FF3">
        <w:t xml:space="preserve">“compliance </w:t>
      </w:r>
      <w:r w:rsidRPr="007B7FF3">
        <w:t xml:space="preserve">officers” was </w:t>
      </w:r>
      <w:r w:rsidR="00E61D4B" w:rsidRPr="007B7FF3">
        <w:t xml:space="preserve">$32.69, </w:t>
      </w:r>
      <w:r w:rsidRPr="007B7FF3">
        <w:t>and the</w:t>
      </w:r>
      <w:r w:rsidR="00E61D4B" w:rsidRPr="007B7FF3">
        <w:t xml:space="preserve"> </w:t>
      </w:r>
      <w:r w:rsidRPr="007B7FF3">
        <w:t xml:space="preserve">national estimated mean hourly wage for the category of “lawyers” was $64.17. The average of these two </w:t>
      </w:r>
      <w:r w:rsidR="00E61D4B" w:rsidRPr="007B7FF3">
        <w:t>figures is $48.43. This</w:t>
      </w:r>
      <w:r w:rsidRPr="007B7FF3">
        <w:t xml:space="preserve"> does not </w:t>
      </w:r>
      <w:r w:rsidR="00E61D4B" w:rsidRPr="007B7FF3">
        <w:t xml:space="preserve">include fringe benefits, </w:t>
      </w:r>
      <w:r w:rsidRPr="007B7FF3">
        <w:t xml:space="preserve">which are generally calculated as being 100% of salary. </w:t>
      </w:r>
      <w:r w:rsidR="00E61D4B" w:rsidRPr="007B7FF3">
        <w:t xml:space="preserve">This </w:t>
      </w:r>
      <w:r w:rsidRPr="007B7FF3">
        <w:t xml:space="preserve">means that the cost of an hour of work for personnel </w:t>
      </w:r>
      <w:r w:rsidR="00E61D4B" w:rsidRPr="007B7FF3">
        <w:t xml:space="preserve">responsible </w:t>
      </w:r>
      <w:r w:rsidRPr="007B7FF3">
        <w:t xml:space="preserve">for the legal analysis, including both the production and the review of documents, is $96.86 per </w:t>
      </w:r>
      <w:r w:rsidR="00E61D4B" w:rsidRPr="007B7FF3">
        <w:t>hour. Thus,</w:t>
      </w:r>
      <w:r w:rsidRPr="007B7FF3">
        <w:t xml:space="preserve"> the cost per </w:t>
      </w:r>
      <w:r w:rsidR="00E61D4B" w:rsidRPr="007B7FF3">
        <w:t>disclosure</w:t>
      </w:r>
      <w:r w:rsidRPr="007B7FF3">
        <w:t xml:space="preserve"> for legal review is </w:t>
      </w:r>
      <w:r w:rsidR="00E61D4B" w:rsidRPr="007B7FF3">
        <w:t xml:space="preserve">estimated </w:t>
      </w:r>
      <w:r w:rsidRPr="007B7FF3">
        <w:t xml:space="preserve">to range from </w:t>
      </w:r>
      <w:r w:rsidR="00E61D4B" w:rsidRPr="007B7FF3">
        <w:t xml:space="preserve">$1,162.32 ($96.86 </w:t>
      </w:r>
      <w:r w:rsidRPr="007B7FF3">
        <w:t xml:space="preserve">per hour x 12 hours) to $5,617.88 ($96.86 per hour x 58 hours), with an average cost of $3,390.10 </w:t>
      </w:r>
      <w:r w:rsidR="00E61D4B" w:rsidRPr="007B7FF3">
        <w:t>($96.86</w:t>
      </w:r>
      <w:r w:rsidRPr="007B7FF3">
        <w:t xml:space="preserve"> per </w:t>
      </w:r>
      <w:r w:rsidR="00E61D4B" w:rsidRPr="007B7FF3">
        <w:t xml:space="preserve">hour </w:t>
      </w:r>
      <w:r w:rsidRPr="007B7FF3">
        <w:t xml:space="preserve">x 35 hours).  Therefore, the </w:t>
      </w:r>
      <w:r w:rsidR="00E61D4B" w:rsidRPr="007B7FF3">
        <w:t xml:space="preserve">annualized </w:t>
      </w:r>
      <w:r w:rsidRPr="007B7FF3">
        <w:t xml:space="preserve">cost to </w:t>
      </w:r>
      <w:r w:rsidR="00E61D4B" w:rsidRPr="007B7FF3">
        <w:t xml:space="preserve">the industry </w:t>
      </w:r>
      <w:r w:rsidRPr="007B7FF3">
        <w:t xml:space="preserve">for legal review ranges from </w:t>
      </w:r>
      <w:r w:rsidR="00E61D4B" w:rsidRPr="007B7FF3">
        <w:t xml:space="preserve">$116,232 ($1,162.32 </w:t>
      </w:r>
      <w:r w:rsidRPr="007B7FF3">
        <w:t xml:space="preserve">x 100 </w:t>
      </w:r>
      <w:r w:rsidR="00E61D4B" w:rsidRPr="007B7FF3">
        <w:t xml:space="preserve">disclosures) </w:t>
      </w:r>
      <w:r w:rsidRPr="007B7FF3">
        <w:t xml:space="preserve">to </w:t>
      </w:r>
      <w:r w:rsidR="00E61D4B" w:rsidRPr="007B7FF3">
        <w:t>$561,788 ($5,617.88</w:t>
      </w:r>
      <w:r w:rsidRPr="007B7FF3">
        <w:t xml:space="preserve"> x </w:t>
      </w:r>
      <w:r w:rsidR="00E61D4B" w:rsidRPr="007B7FF3">
        <w:t xml:space="preserve">100 </w:t>
      </w:r>
      <w:r w:rsidRPr="007B7FF3">
        <w:t>disclosures).</w:t>
      </w:r>
    </w:p>
    <w:p w14:paraId="5415CE09" w14:textId="77777777" w:rsidR="009D5AD3" w:rsidRPr="007B7FF3" w:rsidRDefault="00F76054">
      <w:pPr>
        <w:pStyle w:val="BodyText"/>
        <w:spacing w:before="2" w:line="272" w:lineRule="exact"/>
        <w:ind w:right="261"/>
      </w:pPr>
      <w:r w:rsidRPr="007B7FF3">
        <w:t>The average annualized cost to the industry for legal review is $339,010 ($3,390.10 x 100 disclosures).</w:t>
      </w:r>
    </w:p>
    <w:p w14:paraId="638E0E20" w14:textId="77777777" w:rsidR="009D5AD3" w:rsidRPr="007B7FF3" w:rsidRDefault="009D5AD3">
      <w:pPr>
        <w:spacing w:before="7"/>
        <w:rPr>
          <w:rFonts w:ascii="Times New Roman" w:eastAsia="Times New Roman" w:hAnsi="Times New Roman" w:cs="Times New Roman"/>
          <w:sz w:val="24"/>
          <w:szCs w:val="24"/>
        </w:rPr>
      </w:pPr>
    </w:p>
    <w:p w14:paraId="5BC0E02D" w14:textId="6EA1A18C" w:rsidR="009D5AD3" w:rsidRPr="007B7FF3" w:rsidRDefault="00F76054">
      <w:pPr>
        <w:pStyle w:val="BodyText"/>
        <w:ind w:left="119" w:right="461"/>
      </w:pPr>
      <w:r w:rsidRPr="007B7FF3">
        <w:rPr>
          <w:b/>
          <w:u w:val="single" w:color="000000"/>
        </w:rPr>
        <w:t>Financial review</w:t>
      </w:r>
      <w:r w:rsidRPr="007B7FF3">
        <w:rPr>
          <w:b/>
        </w:rPr>
        <w:t xml:space="preserve">: </w:t>
      </w:r>
      <w:r w:rsidRPr="007B7FF3">
        <w:t xml:space="preserve">Providers of services and suppliers also incur a burden associated with the financial analysis related to the actual or potential violation. Similar to the process above, this </w:t>
      </w:r>
      <w:r w:rsidR="00E61D4B" w:rsidRPr="007B7FF3">
        <w:t>involves</w:t>
      </w:r>
      <w:r w:rsidRPr="007B7FF3">
        <w:t xml:space="preserve"> the review and submission of financial documents and other relevant information required as part of the original submission to CMS. In particular, parties submitting a disclosure pursuant to the SRDP must determine the potential overpayment for each noncompliant financial </w:t>
      </w:r>
      <w:r w:rsidR="00E61D4B" w:rsidRPr="007B7FF3">
        <w:t xml:space="preserve">relationship </w:t>
      </w:r>
      <w:r w:rsidRPr="007B7FF3">
        <w:t xml:space="preserve">by </w:t>
      </w:r>
      <w:r w:rsidR="00E61D4B" w:rsidRPr="007B7FF3">
        <w:t xml:space="preserve">reviewing billing </w:t>
      </w:r>
      <w:r w:rsidRPr="007B7FF3">
        <w:t>and claims data.</w:t>
      </w:r>
    </w:p>
    <w:p w14:paraId="11651689" w14:textId="77777777" w:rsidR="009D5AD3" w:rsidRPr="007B7FF3" w:rsidRDefault="009D5AD3">
      <w:pPr>
        <w:spacing w:before="4"/>
        <w:rPr>
          <w:rFonts w:ascii="Times New Roman" w:eastAsia="Times New Roman" w:hAnsi="Times New Roman" w:cs="Times New Roman"/>
          <w:sz w:val="23"/>
          <w:szCs w:val="23"/>
        </w:rPr>
      </w:pPr>
    </w:p>
    <w:p w14:paraId="6E1E46BB" w14:textId="4D070241" w:rsidR="009D5AD3" w:rsidRPr="007B7FF3" w:rsidRDefault="00F76054" w:rsidP="00E61D4B">
      <w:pPr>
        <w:pStyle w:val="BodyText"/>
        <w:ind w:right="261" w:hanging="1"/>
      </w:pPr>
      <w:r w:rsidRPr="007B7FF3">
        <w:t xml:space="preserve">On March 14, 2016, the effective date of the final overpayment rule, the lookback period for the financial analysis increased from 4 years to 6 years. The increase in the length of the lookback period will result in an increase in the number of burden hours for financial review for those parties who are </w:t>
      </w:r>
      <w:r w:rsidR="00E61D4B" w:rsidRPr="007B7FF3">
        <w:t xml:space="preserve">disclosing financial relationships </w:t>
      </w:r>
      <w:r w:rsidRPr="007B7FF3">
        <w:t xml:space="preserve">that were </w:t>
      </w:r>
      <w:r w:rsidR="00E61D4B" w:rsidRPr="007B7FF3">
        <w:t xml:space="preserve">noncompliant </w:t>
      </w:r>
      <w:r w:rsidRPr="007B7FF3">
        <w:t>for over 4 years.  To</w:t>
      </w:r>
      <w:r w:rsidR="00E61D4B" w:rsidRPr="007B7FF3">
        <w:t xml:space="preserve"> </w:t>
      </w:r>
      <w:r w:rsidRPr="007B7FF3">
        <w:t xml:space="preserve">reflect the increase in the lookback period from 4 years to 6 years, we have revised our estimate of the burden hours associated with financial analysis upward by 50%.  </w:t>
      </w:r>
      <w:r w:rsidR="00E61D4B" w:rsidRPr="007B7FF3">
        <w:t xml:space="preserve">Previously </w:t>
      </w:r>
      <w:r w:rsidRPr="007B7FF3">
        <w:t xml:space="preserve">we estimated that the financial analysis would take between </w:t>
      </w:r>
      <w:r w:rsidR="00E61D4B" w:rsidRPr="007B7FF3">
        <w:t>five</w:t>
      </w:r>
      <w:r w:rsidRPr="007B7FF3">
        <w:t xml:space="preserve"> (5) and fifteen </w:t>
      </w:r>
      <w:r w:rsidR="00E61D4B" w:rsidRPr="007B7FF3">
        <w:t xml:space="preserve">(15) hours, depending </w:t>
      </w:r>
      <w:r w:rsidR="00121DBA">
        <w:t>on the number of noncomplia</w:t>
      </w:r>
      <w:r w:rsidRPr="007B7FF3">
        <w:t xml:space="preserve">nt financial relationships disclosed, with an average of ten (10) hours. We </w:t>
      </w:r>
      <w:r w:rsidR="00E61D4B" w:rsidRPr="007B7FF3">
        <w:t xml:space="preserve">now </w:t>
      </w:r>
      <w:r w:rsidRPr="007B7FF3">
        <w:t xml:space="preserve">estimate that the financial analysis will take between seven and a half hours (7.5) and  twenty-two and a half  </w:t>
      </w:r>
      <w:r w:rsidR="00E61D4B" w:rsidRPr="007B7FF3">
        <w:t xml:space="preserve">hours (22.5), </w:t>
      </w:r>
      <w:r w:rsidRPr="007B7FF3">
        <w:t xml:space="preserve">with an average of fifteen (15).  The </w:t>
      </w:r>
      <w:r w:rsidR="00E61D4B" w:rsidRPr="007B7FF3">
        <w:t xml:space="preserve">annualized hour </w:t>
      </w:r>
      <w:r w:rsidRPr="007B7FF3">
        <w:t xml:space="preserve">burden to the industry ranges from 750 hours (7.5 hours for financial review x 100 </w:t>
      </w:r>
      <w:r w:rsidR="00E61D4B" w:rsidRPr="007B7FF3">
        <w:t xml:space="preserve">disclosures) </w:t>
      </w:r>
      <w:r w:rsidRPr="007B7FF3">
        <w:t xml:space="preserve">to </w:t>
      </w:r>
      <w:r w:rsidR="00E61D4B" w:rsidRPr="007B7FF3">
        <w:t>2,250</w:t>
      </w:r>
      <w:r w:rsidRPr="007B7FF3">
        <w:t xml:space="preserve"> hours (22.5 hours for financial review x 100 disclosures), with an average of 1500 hours (15 hours for </w:t>
      </w:r>
      <w:r w:rsidR="00E61D4B" w:rsidRPr="007B7FF3">
        <w:t>financial</w:t>
      </w:r>
      <w:r w:rsidRPr="007B7FF3">
        <w:t xml:space="preserve"> </w:t>
      </w:r>
      <w:r w:rsidR="00E61D4B" w:rsidRPr="007B7FF3">
        <w:t xml:space="preserve">review </w:t>
      </w:r>
      <w:r w:rsidRPr="007B7FF3">
        <w:t>x 100 disclosures).</w:t>
      </w:r>
    </w:p>
    <w:p w14:paraId="1A8C6048" w14:textId="77777777" w:rsidR="009D5AD3" w:rsidRPr="007B7FF3" w:rsidRDefault="009D5AD3">
      <w:pPr>
        <w:spacing w:before="3"/>
        <w:rPr>
          <w:rFonts w:ascii="Times New Roman" w:eastAsia="Times New Roman" w:hAnsi="Times New Roman" w:cs="Times New Roman"/>
          <w:sz w:val="25"/>
          <w:szCs w:val="25"/>
        </w:rPr>
      </w:pPr>
    </w:p>
    <w:p w14:paraId="165676D0" w14:textId="77777777" w:rsidR="009D5AD3" w:rsidRPr="007B7FF3" w:rsidRDefault="00F76054" w:rsidP="00E61D4B">
      <w:pPr>
        <w:pStyle w:val="BodyText"/>
        <w:spacing w:line="272" w:lineRule="exact"/>
        <w:ind w:left="119" w:right="461"/>
      </w:pPr>
      <w:r w:rsidRPr="007B7FF3">
        <w:t xml:space="preserve">We believe that accounting and bookkeeping personnel will be responsible for gathering, reviewing, and submitting the </w:t>
      </w:r>
      <w:r w:rsidR="00E61D4B" w:rsidRPr="007B7FF3">
        <w:t>financial</w:t>
      </w:r>
      <w:r w:rsidRPr="007B7FF3">
        <w:t xml:space="preserve"> data.  </w:t>
      </w:r>
      <w:r w:rsidR="00E61D4B" w:rsidRPr="007B7FF3">
        <w:t xml:space="preserve">According </w:t>
      </w:r>
      <w:r w:rsidRPr="007B7FF3">
        <w:t xml:space="preserve">to the BLS information for May 2014, the </w:t>
      </w:r>
      <w:r w:rsidR="00E61D4B" w:rsidRPr="007B7FF3">
        <w:t>national</w:t>
      </w:r>
      <w:r w:rsidRPr="007B7FF3">
        <w:t xml:space="preserve"> estimated mean </w:t>
      </w:r>
      <w:r w:rsidR="00E61D4B" w:rsidRPr="007B7FF3">
        <w:t xml:space="preserve">hourly </w:t>
      </w:r>
      <w:r w:rsidRPr="007B7FF3">
        <w:t xml:space="preserve">wage for the category of “accountants and </w:t>
      </w:r>
      <w:r w:rsidR="00E61D4B" w:rsidRPr="007B7FF3">
        <w:t xml:space="preserve">auditors” </w:t>
      </w:r>
      <w:r w:rsidRPr="007B7FF3">
        <w:t>was</w:t>
      </w:r>
      <w:r w:rsidR="00E61D4B" w:rsidRPr="007B7FF3">
        <w:t xml:space="preserve"> $35.42,</w:t>
      </w:r>
      <w:r w:rsidRPr="007B7FF3">
        <w:t xml:space="preserve"> and the </w:t>
      </w:r>
      <w:r w:rsidR="00E61D4B" w:rsidRPr="007B7FF3">
        <w:t>national estimated</w:t>
      </w:r>
      <w:r w:rsidRPr="007B7FF3">
        <w:t xml:space="preserve"> mean </w:t>
      </w:r>
      <w:r w:rsidR="00E61D4B" w:rsidRPr="007B7FF3">
        <w:t>hourly</w:t>
      </w:r>
      <w:r w:rsidRPr="007B7FF3">
        <w:t xml:space="preserve"> wage for the category of “bookkeeping,</w:t>
      </w:r>
    </w:p>
    <w:p w14:paraId="0E18B613" w14:textId="77777777" w:rsidR="009D5AD3" w:rsidRPr="007B7FF3" w:rsidRDefault="009D5AD3">
      <w:pPr>
        <w:spacing w:before="5"/>
        <w:rPr>
          <w:rFonts w:ascii="Times New Roman" w:eastAsia="Times New Roman" w:hAnsi="Times New Roman" w:cs="Times New Roman"/>
          <w:sz w:val="17"/>
          <w:szCs w:val="17"/>
        </w:rPr>
      </w:pPr>
    </w:p>
    <w:p w14:paraId="650DA654" w14:textId="77777777" w:rsidR="009D5AD3" w:rsidRPr="007B7FF3" w:rsidRDefault="00F76054">
      <w:pPr>
        <w:pStyle w:val="BodyText"/>
        <w:spacing w:before="69"/>
        <w:ind w:left="16"/>
        <w:jc w:val="center"/>
      </w:pPr>
      <w:r w:rsidRPr="007B7FF3">
        <w:t>5</w:t>
      </w:r>
    </w:p>
    <w:p w14:paraId="57B2E3E5" w14:textId="77777777" w:rsidR="009D5AD3" w:rsidRPr="007B7FF3" w:rsidRDefault="009D5AD3">
      <w:pPr>
        <w:jc w:val="center"/>
        <w:sectPr w:rsidR="009D5AD3" w:rsidRPr="007B7FF3">
          <w:footerReference w:type="default" r:id="rId11"/>
          <w:pgSz w:w="12240" w:h="15840"/>
          <w:pgMar w:top="1380" w:right="1200" w:bottom="280" w:left="1320" w:header="0" w:footer="0" w:gutter="0"/>
          <w:cols w:space="720"/>
        </w:sectPr>
      </w:pPr>
    </w:p>
    <w:p w14:paraId="04DD99F1" w14:textId="77777777" w:rsidR="009D5AD3" w:rsidRPr="007B7FF3" w:rsidRDefault="00F76054" w:rsidP="00E61D4B">
      <w:pPr>
        <w:pStyle w:val="BodyText"/>
        <w:spacing w:before="44"/>
        <w:ind w:left="119" w:right="253"/>
      </w:pPr>
      <w:r w:rsidRPr="007B7FF3">
        <w:t xml:space="preserve">accounting, and auditing clerks” was $18.30. The average of these two figures is $26.86. This does not include fringe benefits, which are generally calculated as being 100% of salary. This means that the cost of an hour of work for personnel responsible for the financial analysis of </w:t>
      </w:r>
      <w:r w:rsidR="00E61D4B" w:rsidRPr="007B7FF3">
        <w:t>overpayments is</w:t>
      </w:r>
      <w:r w:rsidRPr="007B7FF3">
        <w:t xml:space="preserve"> </w:t>
      </w:r>
      <w:r w:rsidR="00E61D4B" w:rsidRPr="007B7FF3">
        <w:t xml:space="preserve">$53.72 </w:t>
      </w:r>
      <w:r w:rsidRPr="007B7FF3">
        <w:t xml:space="preserve">per hour.  </w:t>
      </w:r>
      <w:r w:rsidR="00E61D4B" w:rsidRPr="007B7FF3">
        <w:t xml:space="preserve">Thus, </w:t>
      </w:r>
      <w:r w:rsidRPr="007B7FF3">
        <w:t xml:space="preserve">the cost per </w:t>
      </w:r>
      <w:r w:rsidR="00E61D4B" w:rsidRPr="007B7FF3">
        <w:t xml:space="preserve">disclosure </w:t>
      </w:r>
      <w:r w:rsidRPr="007B7FF3">
        <w:t xml:space="preserve">for </w:t>
      </w:r>
      <w:r w:rsidR="00E61D4B" w:rsidRPr="007B7FF3">
        <w:t xml:space="preserve">financial </w:t>
      </w:r>
      <w:r w:rsidRPr="007B7FF3">
        <w:t>review ranges from</w:t>
      </w:r>
      <w:r w:rsidR="00E61D4B" w:rsidRPr="007B7FF3">
        <w:t xml:space="preserve"> </w:t>
      </w:r>
      <w:r w:rsidRPr="007B7FF3">
        <w:t xml:space="preserve">$402.90 ($53.72 per hour x 7.5 hours) to $1,208.70 ($53.72 per hour x 22.5 hours). The average cost for financial review is $805.80. Therefore, the annualized cost to the industry for financial review ranges from </w:t>
      </w:r>
      <w:r w:rsidR="00E61D4B" w:rsidRPr="007B7FF3">
        <w:t xml:space="preserve">$40,290 ($402.90 </w:t>
      </w:r>
      <w:r w:rsidRPr="007B7FF3">
        <w:t xml:space="preserve">x 100 </w:t>
      </w:r>
      <w:r w:rsidR="00E61D4B" w:rsidRPr="007B7FF3">
        <w:t>disclosures)</w:t>
      </w:r>
      <w:r w:rsidRPr="007B7FF3">
        <w:t xml:space="preserve"> to </w:t>
      </w:r>
      <w:r w:rsidR="00E61D4B" w:rsidRPr="007B7FF3">
        <w:t xml:space="preserve">$120,870 ($1,208.70 </w:t>
      </w:r>
      <w:r w:rsidRPr="007B7FF3">
        <w:t>x 100</w:t>
      </w:r>
      <w:r w:rsidR="00E61D4B" w:rsidRPr="007B7FF3">
        <w:t xml:space="preserve"> </w:t>
      </w:r>
      <w:r w:rsidRPr="007B7FF3">
        <w:t xml:space="preserve">disclosures). The average </w:t>
      </w:r>
      <w:r w:rsidR="00E61D4B" w:rsidRPr="007B7FF3">
        <w:t xml:space="preserve">annualized </w:t>
      </w:r>
      <w:r w:rsidRPr="007B7FF3">
        <w:t xml:space="preserve">cost to the </w:t>
      </w:r>
      <w:r w:rsidR="00E61D4B" w:rsidRPr="007B7FF3">
        <w:t>industry</w:t>
      </w:r>
      <w:r w:rsidRPr="007B7FF3">
        <w:t xml:space="preserve"> for </w:t>
      </w:r>
      <w:r w:rsidR="00E61D4B" w:rsidRPr="007B7FF3">
        <w:t xml:space="preserve">financial </w:t>
      </w:r>
      <w:r w:rsidRPr="007B7FF3">
        <w:t xml:space="preserve">review </w:t>
      </w:r>
      <w:r w:rsidR="00E61D4B" w:rsidRPr="007B7FF3">
        <w:t xml:space="preserve">is </w:t>
      </w:r>
      <w:r w:rsidRPr="007B7FF3">
        <w:t>$80,580 ($805.80 x 100</w:t>
      </w:r>
      <w:r w:rsidR="00E61D4B" w:rsidRPr="007B7FF3">
        <w:t xml:space="preserve"> </w:t>
      </w:r>
      <w:r w:rsidRPr="007B7FF3">
        <w:t>disclosures).</w:t>
      </w:r>
    </w:p>
    <w:p w14:paraId="44676C8C" w14:textId="77777777" w:rsidR="009D5AD3" w:rsidRPr="007B7FF3" w:rsidRDefault="009D5AD3">
      <w:pPr>
        <w:spacing w:before="1"/>
        <w:rPr>
          <w:rFonts w:ascii="Times New Roman" w:eastAsia="Times New Roman" w:hAnsi="Times New Roman" w:cs="Times New Roman"/>
          <w:sz w:val="23"/>
          <w:szCs w:val="23"/>
        </w:rPr>
      </w:pPr>
    </w:p>
    <w:p w14:paraId="1D7DCFDC" w14:textId="7352AE51" w:rsidR="009D5AD3" w:rsidRPr="007B7FF3" w:rsidRDefault="00F76054" w:rsidP="00121DBA">
      <w:pPr>
        <w:pStyle w:val="BodyText"/>
        <w:spacing w:line="249" w:lineRule="auto"/>
        <w:ind w:right="253"/>
      </w:pPr>
      <w:r w:rsidRPr="007B7FF3">
        <w:t>In sum, the estimated average total burden per disclosure is fifty (50) hours. The average cost per disclosure is $4,195.90 ($3,390.10 for the average legal review per disclosure + $805.80 for the</w:t>
      </w:r>
      <w:r w:rsidR="00121DBA">
        <w:t xml:space="preserve"> </w:t>
      </w:r>
      <w:r w:rsidRPr="007B7FF3">
        <w:t>average financial review per disclosure). The total annualized cost burden for both legal and financial review to the industry ranges from $156,522 ($116,232 for legal review + $40,290 for financial review) to $682,658 ($561,788 for legal review + $120,870 for financial review). The average annualized cost is $419,590.</w:t>
      </w:r>
    </w:p>
    <w:p w14:paraId="7E9BF360" w14:textId="77777777" w:rsidR="009D5AD3" w:rsidRPr="007B7FF3" w:rsidRDefault="009D5AD3">
      <w:pPr>
        <w:spacing w:before="9"/>
        <w:rPr>
          <w:rFonts w:ascii="Times New Roman" w:eastAsia="Times New Roman" w:hAnsi="Times New Roman" w:cs="Times New Roman"/>
          <w:sz w:val="24"/>
          <w:szCs w:val="24"/>
        </w:rPr>
      </w:pPr>
    </w:p>
    <w:p w14:paraId="3FD49C84" w14:textId="77777777" w:rsidR="009D5AD3" w:rsidRPr="007B7FF3" w:rsidRDefault="00F76054">
      <w:pPr>
        <w:pStyle w:val="Heading1"/>
        <w:numPr>
          <w:ilvl w:val="0"/>
          <w:numId w:val="1"/>
        </w:numPr>
        <w:tabs>
          <w:tab w:val="left" w:pos="552"/>
        </w:tabs>
        <w:ind w:left="552" w:right="253" w:hanging="432"/>
        <w:rPr>
          <w:b w:val="0"/>
          <w:bCs w:val="0"/>
        </w:rPr>
      </w:pPr>
      <w:r w:rsidRPr="007B7FF3">
        <w:rPr>
          <w:u w:val="single" w:color="000000"/>
        </w:rPr>
        <w:t>Capital Costs</w:t>
      </w:r>
    </w:p>
    <w:p w14:paraId="5A854A7E" w14:textId="77777777" w:rsidR="009D5AD3" w:rsidRPr="007B7FF3" w:rsidRDefault="009D5AD3">
      <w:pPr>
        <w:spacing w:before="3"/>
        <w:rPr>
          <w:rFonts w:ascii="Times New Roman" w:eastAsia="Times New Roman" w:hAnsi="Times New Roman" w:cs="Times New Roman"/>
          <w:b/>
          <w:bCs/>
          <w:sz w:val="17"/>
          <w:szCs w:val="17"/>
        </w:rPr>
      </w:pPr>
    </w:p>
    <w:p w14:paraId="4687BC1C" w14:textId="77777777" w:rsidR="009D5AD3" w:rsidRPr="007B7FF3" w:rsidRDefault="00F76054">
      <w:pPr>
        <w:pStyle w:val="BodyText"/>
        <w:spacing w:before="69"/>
        <w:ind w:right="253"/>
      </w:pPr>
      <w:r w:rsidRPr="007B7FF3">
        <w:t>This collection will not require capital costs.</w:t>
      </w:r>
    </w:p>
    <w:p w14:paraId="60484D12" w14:textId="77777777" w:rsidR="009D5AD3" w:rsidRPr="007B7FF3" w:rsidRDefault="009D5AD3">
      <w:pPr>
        <w:spacing w:before="8"/>
        <w:rPr>
          <w:rFonts w:ascii="Times New Roman" w:eastAsia="Times New Roman" w:hAnsi="Times New Roman" w:cs="Times New Roman"/>
          <w:sz w:val="24"/>
          <w:szCs w:val="24"/>
        </w:rPr>
      </w:pPr>
    </w:p>
    <w:p w14:paraId="50C18FA4" w14:textId="77777777" w:rsidR="009D5AD3" w:rsidRPr="007B7FF3" w:rsidRDefault="00F76054">
      <w:pPr>
        <w:pStyle w:val="Heading1"/>
        <w:numPr>
          <w:ilvl w:val="0"/>
          <w:numId w:val="1"/>
        </w:numPr>
        <w:tabs>
          <w:tab w:val="left" w:pos="552"/>
        </w:tabs>
        <w:ind w:left="552" w:right="253" w:hanging="432"/>
        <w:rPr>
          <w:b w:val="0"/>
          <w:bCs w:val="0"/>
        </w:rPr>
      </w:pPr>
      <w:r w:rsidRPr="007B7FF3">
        <w:rPr>
          <w:u w:val="single" w:color="000000"/>
        </w:rPr>
        <w:t>Cost to Federal Government</w:t>
      </w:r>
    </w:p>
    <w:p w14:paraId="2CB07A32" w14:textId="77777777" w:rsidR="009D5AD3" w:rsidRPr="007B7FF3" w:rsidRDefault="009D5AD3">
      <w:pPr>
        <w:spacing w:before="3"/>
        <w:rPr>
          <w:rFonts w:ascii="Times New Roman" w:eastAsia="Times New Roman" w:hAnsi="Times New Roman" w:cs="Times New Roman"/>
          <w:b/>
          <w:bCs/>
          <w:sz w:val="17"/>
          <w:szCs w:val="17"/>
        </w:rPr>
      </w:pPr>
    </w:p>
    <w:p w14:paraId="094C8E0F" w14:textId="77777777" w:rsidR="009D5AD3" w:rsidRPr="007B7FF3" w:rsidRDefault="00F76054">
      <w:pPr>
        <w:pStyle w:val="BodyText"/>
        <w:spacing w:before="75" w:line="272" w:lineRule="exact"/>
        <w:ind w:right="443" w:hanging="1"/>
      </w:pPr>
      <w:r w:rsidRPr="007B7FF3">
        <w:t>There is no additional cost to the Federal Government. Disclosures will be processed in the normal course of Federal duties.</w:t>
      </w:r>
    </w:p>
    <w:p w14:paraId="58F28A46" w14:textId="77777777" w:rsidR="009D5AD3" w:rsidRPr="007B7FF3" w:rsidRDefault="009D5AD3">
      <w:pPr>
        <w:spacing w:before="6"/>
        <w:rPr>
          <w:rFonts w:ascii="Times New Roman" w:eastAsia="Times New Roman" w:hAnsi="Times New Roman" w:cs="Times New Roman"/>
          <w:sz w:val="24"/>
          <w:szCs w:val="24"/>
        </w:rPr>
      </w:pPr>
    </w:p>
    <w:p w14:paraId="6BAF7B70" w14:textId="77777777" w:rsidR="009D5AD3" w:rsidRPr="007B7FF3" w:rsidRDefault="00F76054">
      <w:pPr>
        <w:pStyle w:val="Heading1"/>
        <w:numPr>
          <w:ilvl w:val="0"/>
          <w:numId w:val="1"/>
        </w:numPr>
        <w:tabs>
          <w:tab w:val="left" w:pos="552"/>
        </w:tabs>
        <w:ind w:left="552" w:right="253" w:hanging="432"/>
        <w:rPr>
          <w:b w:val="0"/>
          <w:bCs w:val="0"/>
        </w:rPr>
      </w:pPr>
      <w:r w:rsidRPr="007B7FF3">
        <w:rPr>
          <w:u w:val="single" w:color="000000"/>
        </w:rPr>
        <w:t>Changes to Burden</w:t>
      </w:r>
    </w:p>
    <w:p w14:paraId="461F79FD" w14:textId="77777777" w:rsidR="009D5AD3" w:rsidRPr="007B7FF3" w:rsidRDefault="009D5AD3">
      <w:pPr>
        <w:spacing w:before="3"/>
        <w:rPr>
          <w:rFonts w:ascii="Times New Roman" w:eastAsia="Times New Roman" w:hAnsi="Times New Roman" w:cs="Times New Roman"/>
          <w:b/>
          <w:bCs/>
          <w:sz w:val="17"/>
          <w:szCs w:val="17"/>
        </w:rPr>
      </w:pPr>
    </w:p>
    <w:p w14:paraId="4097B3F4" w14:textId="14F815F4" w:rsidR="009D5AD3" w:rsidRPr="007B7FF3" w:rsidRDefault="00F76054" w:rsidP="00E56251">
      <w:pPr>
        <w:pStyle w:val="BodyText"/>
        <w:spacing w:before="69"/>
        <w:ind w:left="119" w:right="253"/>
      </w:pPr>
      <w:r w:rsidRPr="007B7FF3">
        <w:t xml:space="preserve">In the revised collection, the lookback period for reporting overpayments arising from actual or potential violations of section 1877 of the Act has been increased from 4 to 6 years, consistent with the final overpayment rule. The longer lookback period will result in an increase in the burden hours associated with identifying overpayments. </w:t>
      </w:r>
      <w:r w:rsidR="00E56251">
        <w:t xml:space="preserve">Specifically, we believe the burden associated with the financial </w:t>
      </w:r>
      <w:r w:rsidR="002C309A">
        <w:t>review</w:t>
      </w:r>
      <w:r w:rsidR="00E56251">
        <w:t xml:space="preserve"> of overpayments will increase from an average of 10 hours per submission to an average of 15 hours.  </w:t>
      </w:r>
      <w:r w:rsidRPr="007B7FF3">
        <w:t>However, we estimate that the total burden hours for submissions to the SRDP will  not increase because we will  no longer collect certain information and because the SRDP Form will streamline and standardize the reporting process.</w:t>
      </w:r>
      <w:r w:rsidR="00E56251">
        <w:t xml:space="preserve">  In particular, we anticipate that the burden associated with legal review </w:t>
      </w:r>
      <w:r w:rsidR="00286F9E">
        <w:t xml:space="preserve">and the preparation of the submission </w:t>
      </w:r>
      <w:r w:rsidR="00E56251">
        <w:t xml:space="preserve">will decrease from an average of </w:t>
      </w:r>
      <w:r w:rsidR="00286F9E">
        <w:t>10 hours per submission</w:t>
      </w:r>
      <w:r w:rsidR="00E56251">
        <w:t xml:space="preserve"> to </w:t>
      </w:r>
      <w:r w:rsidR="00286F9E">
        <w:t xml:space="preserve">an average of </w:t>
      </w:r>
      <w:r w:rsidR="00E56251">
        <w:t>5 hours.</w:t>
      </w:r>
      <w:r w:rsidRPr="007B7FF3">
        <w:t xml:space="preserve"> We believe that, as the industry becomes more familiar with the SRDP Form, the burden will diminish in the future.</w:t>
      </w:r>
    </w:p>
    <w:p w14:paraId="16DF77B4" w14:textId="77777777" w:rsidR="009D5AD3" w:rsidRPr="007B7FF3" w:rsidRDefault="009D5AD3">
      <w:pPr>
        <w:spacing w:before="10"/>
        <w:rPr>
          <w:rFonts w:ascii="Times New Roman" w:eastAsia="Times New Roman" w:hAnsi="Times New Roman" w:cs="Times New Roman"/>
          <w:sz w:val="23"/>
          <w:szCs w:val="23"/>
        </w:rPr>
      </w:pPr>
    </w:p>
    <w:p w14:paraId="15FFE2A0" w14:textId="77777777" w:rsidR="009D5AD3" w:rsidRPr="007B7FF3" w:rsidRDefault="00F76054">
      <w:pPr>
        <w:pStyle w:val="BodyText"/>
        <w:spacing w:line="272" w:lineRule="exact"/>
        <w:ind w:left="119" w:right="253"/>
      </w:pPr>
      <w:r w:rsidRPr="007B7FF3">
        <w:t>The estimated annual cost to the Federal Government has been corrected to indicate that there are no additional costs as a result of this ICR.  The previous estimate was erroneous.</w:t>
      </w:r>
    </w:p>
    <w:p w14:paraId="14A5CA60" w14:textId="77777777" w:rsidR="009D5AD3" w:rsidRPr="007B7FF3" w:rsidRDefault="009D5AD3">
      <w:pPr>
        <w:spacing w:before="5"/>
        <w:rPr>
          <w:rFonts w:ascii="Times New Roman" w:eastAsia="Times New Roman" w:hAnsi="Times New Roman" w:cs="Times New Roman"/>
          <w:sz w:val="24"/>
          <w:szCs w:val="24"/>
        </w:rPr>
      </w:pPr>
    </w:p>
    <w:p w14:paraId="7750091B" w14:textId="7F43EA38" w:rsidR="009D5AD3" w:rsidRPr="007B7FF3" w:rsidRDefault="00F76054" w:rsidP="00D43621">
      <w:pPr>
        <w:pStyle w:val="BodyText"/>
        <w:ind w:right="101"/>
      </w:pPr>
      <w:r w:rsidRPr="007B7FF3">
        <w:t>Since the 60-day notice, we have made a few minor terminology and formatting changes to the SRDP Form. For example, the phrase “physician self-referral statute” had been replaced with “physician self-referral law,” and separate boxes for reporting the pervasiveness of the noncompliance have been formatted as one consolidated fillable box. The changes do not affect</w:t>
      </w:r>
      <w:r w:rsidR="00D43621">
        <w:t xml:space="preserve"> </w:t>
      </w:r>
      <w:r w:rsidRPr="007B7FF3">
        <w:t>the burden.</w:t>
      </w:r>
    </w:p>
    <w:p w14:paraId="547A5A14" w14:textId="77777777" w:rsidR="009D5AD3" w:rsidRPr="007B7FF3" w:rsidRDefault="009D5AD3">
      <w:pPr>
        <w:spacing w:before="8"/>
        <w:rPr>
          <w:rFonts w:ascii="Times New Roman" w:eastAsia="Times New Roman" w:hAnsi="Times New Roman" w:cs="Times New Roman"/>
          <w:sz w:val="24"/>
          <w:szCs w:val="24"/>
        </w:rPr>
      </w:pPr>
    </w:p>
    <w:p w14:paraId="74DE821C" w14:textId="42B772EB" w:rsidR="009D5AD3" w:rsidRPr="007B7FF3" w:rsidRDefault="00D43621">
      <w:pPr>
        <w:pStyle w:val="Heading1"/>
        <w:numPr>
          <w:ilvl w:val="0"/>
          <w:numId w:val="1"/>
        </w:numPr>
        <w:tabs>
          <w:tab w:val="left" w:pos="532"/>
        </w:tabs>
        <w:ind w:left="532" w:hanging="432"/>
        <w:rPr>
          <w:b w:val="0"/>
          <w:bCs w:val="0"/>
        </w:rPr>
      </w:pPr>
      <w:r>
        <w:rPr>
          <w:u w:val="single" w:color="000000"/>
        </w:rPr>
        <w:t>Publication/Tabulation Date</w:t>
      </w:r>
      <w:r w:rsidR="00F76054" w:rsidRPr="007B7FF3">
        <w:rPr>
          <w:u w:val="single" w:color="000000"/>
        </w:rPr>
        <w:t>s</w:t>
      </w:r>
    </w:p>
    <w:p w14:paraId="17326C01" w14:textId="77777777" w:rsidR="009D5AD3" w:rsidRPr="007B7FF3" w:rsidRDefault="009D5AD3">
      <w:pPr>
        <w:spacing w:before="3"/>
        <w:rPr>
          <w:rFonts w:ascii="Times New Roman" w:eastAsia="Times New Roman" w:hAnsi="Times New Roman" w:cs="Times New Roman"/>
          <w:b/>
          <w:bCs/>
          <w:sz w:val="17"/>
          <w:szCs w:val="17"/>
        </w:rPr>
      </w:pPr>
    </w:p>
    <w:p w14:paraId="04661159" w14:textId="77777777" w:rsidR="009D5AD3" w:rsidRPr="007B7FF3" w:rsidRDefault="00F76054">
      <w:pPr>
        <w:pStyle w:val="BodyText"/>
        <w:spacing w:before="69"/>
        <w:ind w:left="100"/>
      </w:pPr>
      <w:r w:rsidRPr="007B7FF3">
        <w:t>Not applicable to this collection.</w:t>
      </w:r>
    </w:p>
    <w:p w14:paraId="5AB43289" w14:textId="77777777" w:rsidR="009D5AD3" w:rsidRPr="007B7FF3" w:rsidRDefault="009D5AD3">
      <w:pPr>
        <w:spacing w:before="8"/>
        <w:rPr>
          <w:rFonts w:ascii="Times New Roman" w:eastAsia="Times New Roman" w:hAnsi="Times New Roman" w:cs="Times New Roman"/>
          <w:sz w:val="24"/>
          <w:szCs w:val="24"/>
        </w:rPr>
      </w:pPr>
    </w:p>
    <w:p w14:paraId="4E039C3E" w14:textId="77777777" w:rsidR="009D5AD3" w:rsidRPr="007B7FF3" w:rsidRDefault="00F76054">
      <w:pPr>
        <w:pStyle w:val="Heading1"/>
        <w:numPr>
          <w:ilvl w:val="0"/>
          <w:numId w:val="1"/>
        </w:numPr>
        <w:tabs>
          <w:tab w:val="left" w:pos="532"/>
        </w:tabs>
        <w:ind w:left="532" w:hanging="432"/>
        <w:rPr>
          <w:b w:val="0"/>
          <w:bCs w:val="0"/>
        </w:rPr>
      </w:pPr>
      <w:r w:rsidRPr="007B7FF3">
        <w:rPr>
          <w:u w:val="single" w:color="000000"/>
        </w:rPr>
        <w:t>Expiration Date</w:t>
      </w:r>
    </w:p>
    <w:p w14:paraId="7B8DD4A1" w14:textId="77777777" w:rsidR="009D5AD3" w:rsidRPr="007B7FF3" w:rsidRDefault="009D5AD3">
      <w:pPr>
        <w:spacing w:before="3"/>
        <w:rPr>
          <w:rFonts w:ascii="Times New Roman" w:eastAsia="Times New Roman" w:hAnsi="Times New Roman" w:cs="Times New Roman"/>
          <w:b/>
          <w:bCs/>
          <w:sz w:val="17"/>
          <w:szCs w:val="17"/>
        </w:rPr>
      </w:pPr>
    </w:p>
    <w:p w14:paraId="0B232A17" w14:textId="77777777" w:rsidR="009D5AD3" w:rsidRPr="007B7FF3" w:rsidRDefault="00F76054">
      <w:pPr>
        <w:pStyle w:val="BodyText"/>
        <w:spacing w:before="69"/>
        <w:ind w:left="100"/>
      </w:pPr>
      <w:r w:rsidRPr="007B7FF3">
        <w:t>CMS will display the expiration date on the SRDP Form.</w:t>
      </w:r>
      <w:bookmarkStart w:id="0" w:name="_GoBack"/>
      <w:bookmarkEnd w:id="0"/>
    </w:p>
    <w:p w14:paraId="5F1262BC" w14:textId="77777777" w:rsidR="009D5AD3" w:rsidRPr="007B7FF3" w:rsidRDefault="009D5AD3">
      <w:pPr>
        <w:spacing w:before="8"/>
        <w:rPr>
          <w:rFonts w:ascii="Times New Roman" w:eastAsia="Times New Roman" w:hAnsi="Times New Roman" w:cs="Times New Roman"/>
          <w:sz w:val="24"/>
          <w:szCs w:val="24"/>
        </w:rPr>
      </w:pPr>
    </w:p>
    <w:p w14:paraId="5F62B0D8" w14:textId="77777777" w:rsidR="009D5AD3" w:rsidRPr="007B7FF3" w:rsidRDefault="00F76054">
      <w:pPr>
        <w:pStyle w:val="Heading1"/>
        <w:numPr>
          <w:ilvl w:val="0"/>
          <w:numId w:val="1"/>
        </w:numPr>
        <w:tabs>
          <w:tab w:val="left" w:pos="532"/>
        </w:tabs>
        <w:ind w:left="532" w:hanging="432"/>
        <w:rPr>
          <w:b w:val="0"/>
          <w:bCs w:val="0"/>
        </w:rPr>
      </w:pPr>
      <w:r w:rsidRPr="007B7FF3">
        <w:rPr>
          <w:u w:val="single" w:color="000000"/>
        </w:rPr>
        <w:t>Certification Statement</w:t>
      </w:r>
    </w:p>
    <w:p w14:paraId="6827338B" w14:textId="77777777" w:rsidR="009D5AD3" w:rsidRPr="007B7FF3" w:rsidRDefault="009D5AD3">
      <w:pPr>
        <w:spacing w:before="3"/>
        <w:rPr>
          <w:rFonts w:ascii="Times New Roman" w:eastAsia="Times New Roman" w:hAnsi="Times New Roman" w:cs="Times New Roman"/>
          <w:b/>
          <w:bCs/>
          <w:sz w:val="17"/>
          <w:szCs w:val="17"/>
        </w:rPr>
      </w:pPr>
    </w:p>
    <w:p w14:paraId="42F15CF9" w14:textId="77777777" w:rsidR="009D5AD3" w:rsidRPr="007B7FF3" w:rsidRDefault="00F76054">
      <w:pPr>
        <w:pStyle w:val="BodyText"/>
        <w:spacing w:before="69"/>
        <w:ind w:left="100"/>
      </w:pPr>
      <w:r w:rsidRPr="007B7FF3">
        <w:t>There are no exceptions to the certification statement.</w:t>
      </w:r>
    </w:p>
    <w:sectPr w:rsidR="009D5AD3" w:rsidRPr="007B7FF3">
      <w:footerReference w:type="default" r:id="rId12"/>
      <w:pgSz w:w="12240" w:h="15840"/>
      <w:pgMar w:top="1380" w:right="1720" w:bottom="1960" w:left="1340" w:header="0" w:footer="17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C447B" w14:textId="77777777" w:rsidR="00366116" w:rsidRDefault="00366116">
      <w:r>
        <w:separator/>
      </w:r>
    </w:p>
  </w:endnote>
  <w:endnote w:type="continuationSeparator" w:id="0">
    <w:p w14:paraId="3B70A930" w14:textId="77777777" w:rsidR="00366116" w:rsidRDefault="0036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0736" w14:textId="77777777" w:rsidR="009D5AD3" w:rsidRDefault="003C27D4">
    <w:pPr>
      <w:spacing w:line="14" w:lineRule="auto"/>
      <w:rPr>
        <w:sz w:val="20"/>
        <w:szCs w:val="20"/>
      </w:rPr>
    </w:pPr>
    <w:r>
      <w:rPr>
        <w:noProof/>
      </w:rPr>
      <mc:AlternateContent>
        <mc:Choice Requires="wps">
          <w:drawing>
            <wp:anchor distT="0" distB="0" distL="114300" distR="114300" simplePos="0" relativeHeight="503310632" behindDoc="1" locked="0" layoutInCell="1" allowOverlap="1" wp14:anchorId="0F53A734" wp14:editId="17421D75">
              <wp:simplePos x="0" y="0"/>
              <wp:positionH relativeFrom="page">
                <wp:posOffset>3865880</wp:posOffset>
              </wp:positionH>
              <wp:positionV relativeFrom="page">
                <wp:posOffset>8795385</wp:posOffset>
              </wp:positionV>
              <wp:extent cx="127000" cy="1778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3739D" w14:textId="77777777" w:rsidR="009D5AD3" w:rsidRDefault="00F76054">
                          <w:pPr>
                            <w:pStyle w:val="BodyText"/>
                            <w:spacing w:line="265" w:lineRule="exact"/>
                            <w:ind w:left="40"/>
                          </w:pPr>
                          <w:r>
                            <w:fldChar w:fldCharType="begin"/>
                          </w:r>
                          <w:r>
                            <w:instrText xml:space="preserve"> PAGE </w:instrText>
                          </w:r>
                          <w:r>
                            <w:fldChar w:fldCharType="separate"/>
                          </w:r>
                          <w:r w:rsidR="00820B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3A734" id="_x0000_t202" coordsize="21600,21600" o:spt="202" path="m,l,21600r21600,l21600,xe">
              <v:stroke joinstyle="miter"/>
              <v:path gradientshapeok="t" o:connecttype="rect"/>
            </v:shapetype>
            <v:shape id="Text Box 3" o:spid="_x0000_s1026" type="#_x0000_t202" style="position:absolute;margin-left:304.4pt;margin-top:692.55pt;width:10pt;height:14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42rgIAAKg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YAFCviraweQblK&#10;grJAhDDuwGik+o5RD6Mjw/rbniiKEX8vQP12zkyGmoztZBBRwtUMG4xGc23GebTvFNs1gDy+LyFv&#10;4IXUzKn3OYvju4Jx4Io4ji47b87/ndfzgF39BAAA//8DAFBLAwQUAAYACAAAACEAgVHKIuEAAAAN&#10;AQAADwAAAGRycy9kb3ducmV2LnhtbEyPwU7DMBBE70j8g7VI3KidFqIQ4lQVghNSRRoOHJ3YTazG&#10;6xC7bfj7bk9w3JnR7JtiPbuBncwUrEcJyUIAM9h6bbGT8FW/P2TAQlSo1eDRSPg1Adbl7U2hcu3P&#10;WJnTLnaMSjDkSkIf45hzHtreOBUWfjRI3t5PTkU6p47rSZ2p3A18KUTKnbJIH3o1mtfetIfd0UnY&#10;fGP1Zn+2zWe1r2xdPwv8SA9S3t/Nmxdg0czxLwxXfEKHkpgaf0Qd2CAhFRmhRzJW2VMCjCLp8io1&#10;JD0mqwR4WfD/K8oLAAAA//8DAFBLAQItABQABgAIAAAAIQC2gziS/gAAAOEBAAATAAAAAAAAAAAA&#10;AAAAAAAAAABbQ29udGVudF9UeXBlc10ueG1sUEsBAi0AFAAGAAgAAAAhADj9If/WAAAAlAEAAAsA&#10;AAAAAAAAAAAAAAAALwEAAF9yZWxzLy5yZWxzUEsBAi0AFAAGAAgAAAAhADbbHjauAgAAqAUAAA4A&#10;AAAAAAAAAAAAAAAALgIAAGRycy9lMm9Eb2MueG1sUEsBAi0AFAAGAAgAAAAhAIFRyiLhAAAADQEA&#10;AA8AAAAAAAAAAAAAAAAACAUAAGRycy9kb3ducmV2LnhtbFBLBQYAAAAABAAEAPMAAAAWBgAAAAA=&#10;" filled="f" stroked="f">
              <v:textbox inset="0,0,0,0">
                <w:txbxContent>
                  <w:p w14:paraId="4903739D" w14:textId="77777777" w:rsidR="009D5AD3" w:rsidRDefault="00F76054">
                    <w:pPr>
                      <w:pStyle w:val="BodyText"/>
                      <w:spacing w:line="265" w:lineRule="exact"/>
                      <w:ind w:left="40"/>
                    </w:pPr>
                    <w:r>
                      <w:fldChar w:fldCharType="begin"/>
                    </w:r>
                    <w:r>
                      <w:instrText xml:space="preserve"> PAGE </w:instrText>
                    </w:r>
                    <w:r>
                      <w:fldChar w:fldCharType="separate"/>
                    </w:r>
                    <w:r w:rsidR="00820BAB">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B222" w14:textId="77777777" w:rsidR="009D5AD3" w:rsidRDefault="003C27D4">
    <w:pPr>
      <w:spacing w:line="14" w:lineRule="auto"/>
      <w:rPr>
        <w:sz w:val="20"/>
        <w:szCs w:val="20"/>
      </w:rPr>
    </w:pPr>
    <w:r>
      <w:rPr>
        <w:noProof/>
      </w:rPr>
      <mc:AlternateContent>
        <mc:Choice Requires="wps">
          <w:drawing>
            <wp:anchor distT="0" distB="0" distL="114300" distR="114300" simplePos="0" relativeHeight="503310656" behindDoc="1" locked="0" layoutInCell="1" allowOverlap="1" wp14:anchorId="5E70C162" wp14:editId="26B7A911">
              <wp:simplePos x="0" y="0"/>
              <wp:positionH relativeFrom="page">
                <wp:posOffset>3878580</wp:posOffset>
              </wp:positionH>
              <wp:positionV relativeFrom="page">
                <wp:posOffset>8795385</wp:posOffset>
              </wp:positionV>
              <wp:extent cx="101600" cy="177800"/>
              <wp:effectExtent l="1905"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9EA9" w14:textId="77777777" w:rsidR="009D5AD3" w:rsidRDefault="00F76054">
                          <w:pPr>
                            <w:pStyle w:val="BodyText"/>
                            <w:spacing w:line="265" w:lineRule="exact"/>
                            <w:ind w:left="2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5.4pt;margin-top:692.55pt;width:8pt;height:14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IUrgIAAK8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kOMBG2hRfdsMOhGDii01ek7nYDTXQduZoBt6LJjqrtbWXzTSMh1TcWOXSsl+5rRErIL7E3/7OqI&#10;oy3Itv8oSwhD90Y6oKFSrS0dFAMBOnTp4dQZm0phQ5JgTuCkgKNgsViCbSPQZLrcKW3eM9kia6RY&#10;QeMdOD3cajO6Ti42lpA5bxrYp0kjnm0A5rgDoeGqPbNJuF4+xiTeLDfLyIvC+caLSJZ51/k68uZ5&#10;sJhl77L1Ogt+2rhBlNS8LJmwYSZdBdGf9e2o8FERJ2Vp2fDSwtmUtNpt141CBwq6zt13LMiZm/88&#10;DVcv4PKCUhBG5CaMvXy+XHhRHs28eEGWHgnim3hOojjK8ueUbrlg/04J9SmOZ+Fs1NJvuRH3veZG&#10;k5YbmBwNb1MMcoDPOtHEKnAjSmcbypvRPiuFTf+pFNDuqdFOr1aio1jNsB3cw3BitlreyvIBBKwk&#10;CAy0CFMPjFqqHxj1MEFSrL/vqWIYNR8EPAI7biZDTcZ2Mqgo4GqKDUajuTbjWNp3iu9qQB6fmZDX&#10;8FAq7kT8lMXxecFUcFyOE8yOnfN/5/U0Z1e/AAAA//8DAFBLAwQUAAYACAAAACEAX3EotuEAAAAN&#10;AQAADwAAAGRycy9kb3ducmV2LnhtbEyPwU7DMBBE70j8g7VI3KjtFqwS4lQVghMSIg0Hjk7sJlHj&#10;dYjdNvw9y6kcd2Y0+ybfzH5gJzfFPqAGuRDAHDbB9thq+Kxe79bAYjJozRDQafhxETbF9VVuMhvO&#10;WLrTLrWMSjBmRkOX0phxHpvOeRMXYXRI3j5M3iQ6p5bbyZyp3A98KYTi3vRIHzozuufONYfd0WvY&#10;fmH50n+/1x/lvuyr6lHgmzpofXszb5+AJTenSxj+8AkdCmKqwxFtZIMGJQWhJzJW6wcJjCJqqUiq&#10;SbqXKwm8yPn/FcUvAAAA//8DAFBLAQItABQABgAIAAAAIQC2gziS/gAAAOEBAAATAAAAAAAAAAAA&#10;AAAAAAAAAABbQ29udGVudF9UeXBlc10ueG1sUEsBAi0AFAAGAAgAAAAhADj9If/WAAAAlAEAAAsA&#10;AAAAAAAAAAAAAAAALwEAAF9yZWxzLy5yZWxzUEsBAi0AFAAGAAgAAAAhAErLIhSuAgAArwUAAA4A&#10;AAAAAAAAAAAAAAAALgIAAGRycy9lMm9Eb2MueG1sUEsBAi0AFAAGAAgAAAAhAF9xKLbhAAAADQEA&#10;AA8AAAAAAAAAAAAAAAAACAUAAGRycy9kb3ducmV2LnhtbFBLBQYAAAAABAAEAPMAAAAWBgAAAAA=&#10;" filled="f" stroked="f">
              <v:textbox inset="0,0,0,0">
                <w:txbxContent>
                  <w:p w:rsidR="009D5AD3" w:rsidRDefault="00F76054">
                    <w:pPr>
                      <w:pStyle w:val="BodyText"/>
                      <w:spacing w:line="265" w:lineRule="exact"/>
                      <w:ind w:left="20"/>
                    </w:pPr>
                    <w:r>
                      <w:t>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6D9AB" w14:textId="77777777" w:rsidR="009D5AD3" w:rsidRDefault="009D5AD3">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EC26" w14:textId="77777777" w:rsidR="009D5AD3" w:rsidRDefault="009D5AD3">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B9B34" w14:textId="77777777" w:rsidR="009D5AD3" w:rsidRDefault="003C27D4">
    <w:pPr>
      <w:spacing w:line="14" w:lineRule="auto"/>
      <w:rPr>
        <w:sz w:val="20"/>
        <w:szCs w:val="20"/>
      </w:rPr>
    </w:pPr>
    <w:r>
      <w:rPr>
        <w:noProof/>
      </w:rPr>
      <mc:AlternateContent>
        <mc:Choice Requires="wps">
          <w:drawing>
            <wp:anchor distT="0" distB="0" distL="114300" distR="114300" simplePos="0" relativeHeight="503310680" behindDoc="1" locked="0" layoutInCell="1" allowOverlap="1" wp14:anchorId="6EDDAA32" wp14:editId="48D722C5">
              <wp:simplePos x="0" y="0"/>
              <wp:positionH relativeFrom="page">
                <wp:posOffset>3865880</wp:posOffset>
              </wp:positionH>
              <wp:positionV relativeFrom="page">
                <wp:posOffset>8795385</wp:posOffset>
              </wp:positionV>
              <wp:extent cx="127000" cy="1778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4B1C" w14:textId="77777777" w:rsidR="009D5AD3" w:rsidRDefault="00F76054">
                          <w:pPr>
                            <w:pStyle w:val="BodyText"/>
                            <w:spacing w:line="265" w:lineRule="exact"/>
                            <w:ind w:left="40"/>
                          </w:pPr>
                          <w:r>
                            <w:fldChar w:fldCharType="begin"/>
                          </w:r>
                          <w:r>
                            <w:instrText xml:space="preserve"> PAGE </w:instrText>
                          </w:r>
                          <w:r>
                            <w:fldChar w:fldCharType="separate"/>
                          </w:r>
                          <w:r w:rsidR="00820BA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DAA32" id="_x0000_t202" coordsize="21600,21600" o:spt="202" path="m,l,21600r21600,l21600,xe">
              <v:stroke joinstyle="miter"/>
              <v:path gradientshapeok="t" o:connecttype="rect"/>
            </v:shapetype>
            <v:shape id="Text Box 1" o:spid="_x0000_s1028" type="#_x0000_t202" style="position:absolute;margin-left:304.4pt;margin-top:692.55pt;width:10pt;height:14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cGsQIAAK8FAAAOAAAAZHJzL2Uyb0RvYy54bWysVNuOmzAQfa/Uf7D8znIpuYCWrHZDqCpt&#10;L9JuP8ABE6wam9pOYFv13zs2IZts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2dcTR&#10;FmTbv5cVhCF7Ix3QUKvWAkIzEKADS08nZmwqpQ0ZLYIATko4CheLJdiQm0/S6XKntHlLZYuskWEF&#10;xDtwcrjXZnSdXGwsIQvGuSOfi4sNwBx3IDRctWc2Ccfl9yRINsvNMvbiaL7x4iDPvdtiHXvzIlzM&#10;8jf5ep2HP2zcME4bVlVU2DCTrsL4z3g7KnxUxElZWnJWWTibkla77ZordCCg68J9x4acufmXabh+&#10;QS0vSgqjOLiLEq+YLxdeXMQzL1kESy8Ik7tkHsRJnBeXJd0zQf+9JNRnOJlFs1FLv60NWLfEjwye&#10;1UbSlhmYHJy1GQY5HJ1IahW4EZWj1hDGR/usFTb951YA3RPRTq9WoqNYzbAd3MOIpmewldUTCFhJ&#10;EBhoEaYeGI1U3zDqYYJkWH/dE0Ux4u8EPAI7biZDTcZ2Mogo4WqGDUajuTbjWNp3iu0aQB6fmZC3&#10;8FBq5kRsX9SYBVRgFzAVXC3HCWbHzvnaeT3P2dVPAAAA//8DAFBLAwQUAAYACAAAACEAgVHKIuEA&#10;AAANAQAADwAAAGRycy9kb3ducmV2LnhtbEyPwU7DMBBE70j8g7VI3KidFqIQ4lQVghNSRRoOHJ3Y&#10;TazG6xC7bfj7bk9w3JnR7JtiPbuBncwUrEcJyUIAM9h6bbGT8FW/P2TAQlSo1eDRSPg1Adbl7U2h&#10;cu3PWJnTLnaMSjDkSkIf45hzHtreOBUWfjRI3t5PTkU6p47rSZ2p3A18KUTKnbJIH3o1mtfetIfd&#10;0UnYfGP1Zn+2zWe1r2xdPwv8SA9S3t/Nmxdg0czxLwxXfEKHkpgaf0Qd2CAhFRmhRzJW2VMCjCLp&#10;8io1JD0mqwR4WfD/K8oLAAAA//8DAFBLAQItABQABgAIAAAAIQC2gziS/gAAAOEBAAATAAAAAAAA&#10;AAAAAAAAAAAAAABbQ29udGVudF9UeXBlc10ueG1sUEsBAi0AFAAGAAgAAAAhADj9If/WAAAAlAEA&#10;AAsAAAAAAAAAAAAAAAAALwEAAF9yZWxzLy5yZWxzUEsBAi0AFAAGAAgAAAAhAGRpFwaxAgAArwUA&#10;AA4AAAAAAAAAAAAAAAAALgIAAGRycy9lMm9Eb2MueG1sUEsBAi0AFAAGAAgAAAAhAIFRyiLhAAAA&#10;DQEAAA8AAAAAAAAAAAAAAAAACwUAAGRycy9kb3ducmV2LnhtbFBLBQYAAAAABAAEAPMAAAAZBgAA&#10;AAA=&#10;" filled="f" stroked="f">
              <v:textbox inset="0,0,0,0">
                <w:txbxContent>
                  <w:p w14:paraId="09C14B1C" w14:textId="77777777" w:rsidR="009D5AD3" w:rsidRDefault="00F76054">
                    <w:pPr>
                      <w:pStyle w:val="BodyText"/>
                      <w:spacing w:line="265" w:lineRule="exact"/>
                      <w:ind w:left="40"/>
                    </w:pPr>
                    <w:r>
                      <w:fldChar w:fldCharType="begin"/>
                    </w:r>
                    <w:r>
                      <w:instrText xml:space="preserve"> PAGE </w:instrText>
                    </w:r>
                    <w:r>
                      <w:fldChar w:fldCharType="separate"/>
                    </w:r>
                    <w:r w:rsidR="00820BAB">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946E1" w14:textId="77777777" w:rsidR="00366116" w:rsidRDefault="00366116">
      <w:r>
        <w:separator/>
      </w:r>
    </w:p>
  </w:footnote>
  <w:footnote w:type="continuationSeparator" w:id="0">
    <w:p w14:paraId="3EEB0705" w14:textId="77777777" w:rsidR="00366116" w:rsidRDefault="00366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180A"/>
    <w:multiLevelType w:val="hybridMultilevel"/>
    <w:tmpl w:val="FB269A22"/>
    <w:lvl w:ilvl="0" w:tplc="9564AC58">
      <w:start w:val="1"/>
      <w:numFmt w:val="decimal"/>
      <w:lvlText w:val="%1."/>
      <w:lvlJc w:val="left"/>
      <w:pPr>
        <w:ind w:left="424" w:hanging="305"/>
        <w:jc w:val="left"/>
      </w:pPr>
      <w:rPr>
        <w:rFonts w:ascii="Times New Roman" w:eastAsia="Times New Roman" w:hAnsi="Times New Roman" w:hint="default"/>
        <w:b/>
        <w:bCs/>
        <w:spacing w:val="8"/>
        <w:w w:val="100"/>
        <w:sz w:val="24"/>
        <w:szCs w:val="24"/>
      </w:rPr>
    </w:lvl>
    <w:lvl w:ilvl="1" w:tplc="35D0B9C6">
      <w:start w:val="1"/>
      <w:numFmt w:val="bullet"/>
      <w:lvlText w:val="•"/>
      <w:lvlJc w:val="left"/>
      <w:pPr>
        <w:ind w:left="1344" w:hanging="305"/>
      </w:pPr>
      <w:rPr>
        <w:rFonts w:hint="default"/>
      </w:rPr>
    </w:lvl>
    <w:lvl w:ilvl="2" w:tplc="825EB2AC">
      <w:start w:val="1"/>
      <w:numFmt w:val="bullet"/>
      <w:lvlText w:val="•"/>
      <w:lvlJc w:val="left"/>
      <w:pPr>
        <w:ind w:left="2268" w:hanging="305"/>
      </w:pPr>
      <w:rPr>
        <w:rFonts w:hint="default"/>
      </w:rPr>
    </w:lvl>
    <w:lvl w:ilvl="3" w:tplc="FFDE7B58">
      <w:start w:val="1"/>
      <w:numFmt w:val="bullet"/>
      <w:lvlText w:val="•"/>
      <w:lvlJc w:val="left"/>
      <w:pPr>
        <w:ind w:left="3192" w:hanging="305"/>
      </w:pPr>
      <w:rPr>
        <w:rFonts w:hint="default"/>
      </w:rPr>
    </w:lvl>
    <w:lvl w:ilvl="4" w:tplc="41CA434A">
      <w:start w:val="1"/>
      <w:numFmt w:val="bullet"/>
      <w:lvlText w:val="•"/>
      <w:lvlJc w:val="left"/>
      <w:pPr>
        <w:ind w:left="4116" w:hanging="305"/>
      </w:pPr>
      <w:rPr>
        <w:rFonts w:hint="default"/>
      </w:rPr>
    </w:lvl>
    <w:lvl w:ilvl="5" w:tplc="CE620CB2">
      <w:start w:val="1"/>
      <w:numFmt w:val="bullet"/>
      <w:lvlText w:val="•"/>
      <w:lvlJc w:val="left"/>
      <w:pPr>
        <w:ind w:left="5040" w:hanging="305"/>
      </w:pPr>
      <w:rPr>
        <w:rFonts w:hint="default"/>
      </w:rPr>
    </w:lvl>
    <w:lvl w:ilvl="6" w:tplc="43B28536">
      <w:start w:val="1"/>
      <w:numFmt w:val="bullet"/>
      <w:lvlText w:val="•"/>
      <w:lvlJc w:val="left"/>
      <w:pPr>
        <w:ind w:left="5964" w:hanging="305"/>
      </w:pPr>
      <w:rPr>
        <w:rFonts w:hint="default"/>
      </w:rPr>
    </w:lvl>
    <w:lvl w:ilvl="7" w:tplc="DD0EDD22">
      <w:start w:val="1"/>
      <w:numFmt w:val="bullet"/>
      <w:lvlText w:val="•"/>
      <w:lvlJc w:val="left"/>
      <w:pPr>
        <w:ind w:left="6888" w:hanging="305"/>
      </w:pPr>
      <w:rPr>
        <w:rFonts w:hint="default"/>
      </w:rPr>
    </w:lvl>
    <w:lvl w:ilvl="8" w:tplc="EB78EBEA">
      <w:start w:val="1"/>
      <w:numFmt w:val="bullet"/>
      <w:lvlText w:val="•"/>
      <w:lvlJc w:val="left"/>
      <w:pPr>
        <w:ind w:left="7812" w:hanging="305"/>
      </w:pPr>
      <w:rPr>
        <w:rFonts w:hint="default"/>
      </w:rPr>
    </w:lvl>
  </w:abstractNum>
  <w:abstractNum w:abstractNumId="1" w15:restartNumberingAfterBreak="0">
    <w:nsid w:val="148C7E2A"/>
    <w:multiLevelType w:val="hybridMultilevel"/>
    <w:tmpl w:val="C76E55DC"/>
    <w:lvl w:ilvl="0" w:tplc="46827B88">
      <w:start w:val="1"/>
      <w:numFmt w:val="upperLetter"/>
      <w:lvlText w:val="%1."/>
      <w:lvlJc w:val="left"/>
      <w:pPr>
        <w:ind w:left="532" w:hanging="432"/>
        <w:jc w:val="left"/>
      </w:pPr>
      <w:rPr>
        <w:rFonts w:ascii="Times New Roman" w:eastAsia="Times New Roman" w:hAnsi="Times New Roman" w:hint="default"/>
        <w:b/>
        <w:bCs/>
        <w:spacing w:val="2"/>
        <w:w w:val="100"/>
        <w:sz w:val="24"/>
        <w:szCs w:val="24"/>
      </w:rPr>
    </w:lvl>
    <w:lvl w:ilvl="1" w:tplc="77FC5F14">
      <w:start w:val="1"/>
      <w:numFmt w:val="bullet"/>
      <w:lvlText w:val="•"/>
      <w:lvlJc w:val="left"/>
      <w:pPr>
        <w:ind w:left="1454" w:hanging="432"/>
      </w:pPr>
      <w:rPr>
        <w:rFonts w:hint="default"/>
      </w:rPr>
    </w:lvl>
    <w:lvl w:ilvl="2" w:tplc="F61E7A0A">
      <w:start w:val="1"/>
      <w:numFmt w:val="bullet"/>
      <w:lvlText w:val="•"/>
      <w:lvlJc w:val="left"/>
      <w:pPr>
        <w:ind w:left="2368" w:hanging="432"/>
      </w:pPr>
      <w:rPr>
        <w:rFonts w:hint="default"/>
      </w:rPr>
    </w:lvl>
    <w:lvl w:ilvl="3" w:tplc="39D2B68E">
      <w:start w:val="1"/>
      <w:numFmt w:val="bullet"/>
      <w:lvlText w:val="•"/>
      <w:lvlJc w:val="left"/>
      <w:pPr>
        <w:ind w:left="3282" w:hanging="432"/>
      </w:pPr>
      <w:rPr>
        <w:rFonts w:hint="default"/>
      </w:rPr>
    </w:lvl>
    <w:lvl w:ilvl="4" w:tplc="1932EB58">
      <w:start w:val="1"/>
      <w:numFmt w:val="bullet"/>
      <w:lvlText w:val="•"/>
      <w:lvlJc w:val="left"/>
      <w:pPr>
        <w:ind w:left="4196" w:hanging="432"/>
      </w:pPr>
      <w:rPr>
        <w:rFonts w:hint="default"/>
      </w:rPr>
    </w:lvl>
    <w:lvl w:ilvl="5" w:tplc="49E655CE">
      <w:start w:val="1"/>
      <w:numFmt w:val="bullet"/>
      <w:lvlText w:val="•"/>
      <w:lvlJc w:val="left"/>
      <w:pPr>
        <w:ind w:left="5110" w:hanging="432"/>
      </w:pPr>
      <w:rPr>
        <w:rFonts w:hint="default"/>
      </w:rPr>
    </w:lvl>
    <w:lvl w:ilvl="6" w:tplc="52002972">
      <w:start w:val="1"/>
      <w:numFmt w:val="bullet"/>
      <w:lvlText w:val="•"/>
      <w:lvlJc w:val="left"/>
      <w:pPr>
        <w:ind w:left="6024" w:hanging="432"/>
      </w:pPr>
      <w:rPr>
        <w:rFonts w:hint="default"/>
      </w:rPr>
    </w:lvl>
    <w:lvl w:ilvl="7" w:tplc="516C17CA">
      <w:start w:val="1"/>
      <w:numFmt w:val="bullet"/>
      <w:lvlText w:val="•"/>
      <w:lvlJc w:val="left"/>
      <w:pPr>
        <w:ind w:left="6938" w:hanging="432"/>
      </w:pPr>
      <w:rPr>
        <w:rFonts w:hint="default"/>
      </w:rPr>
    </w:lvl>
    <w:lvl w:ilvl="8" w:tplc="12909A72">
      <w:start w:val="1"/>
      <w:numFmt w:val="bullet"/>
      <w:lvlText w:val="•"/>
      <w:lvlJc w:val="left"/>
      <w:pPr>
        <w:ind w:left="7852"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D3"/>
    <w:rsid w:val="000357C3"/>
    <w:rsid w:val="00121DBA"/>
    <w:rsid w:val="001A24C2"/>
    <w:rsid w:val="00286F9E"/>
    <w:rsid w:val="002C309A"/>
    <w:rsid w:val="00366116"/>
    <w:rsid w:val="003C27D4"/>
    <w:rsid w:val="004A7F0D"/>
    <w:rsid w:val="004C3F8E"/>
    <w:rsid w:val="00576103"/>
    <w:rsid w:val="005E715C"/>
    <w:rsid w:val="007B7FF3"/>
    <w:rsid w:val="00820BAB"/>
    <w:rsid w:val="00864CE8"/>
    <w:rsid w:val="008D5D1E"/>
    <w:rsid w:val="008D738F"/>
    <w:rsid w:val="009D5AD3"/>
    <w:rsid w:val="00A13D22"/>
    <w:rsid w:val="00A47A66"/>
    <w:rsid w:val="00A560C2"/>
    <w:rsid w:val="00BE4039"/>
    <w:rsid w:val="00D43621"/>
    <w:rsid w:val="00E56251"/>
    <w:rsid w:val="00E61D4B"/>
    <w:rsid w:val="00F43C33"/>
    <w:rsid w:val="00F76054"/>
    <w:rsid w:val="00FC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B2843E"/>
  <w15:docId w15:val="{602EF136-2156-478E-B4CB-0562460F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52" w:hanging="43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B7FF3"/>
    <w:rPr>
      <w:sz w:val="16"/>
      <w:szCs w:val="16"/>
    </w:rPr>
  </w:style>
  <w:style w:type="paragraph" w:styleId="CommentText">
    <w:name w:val="annotation text"/>
    <w:basedOn w:val="Normal"/>
    <w:link w:val="CommentTextChar"/>
    <w:uiPriority w:val="99"/>
    <w:semiHidden/>
    <w:unhideWhenUsed/>
    <w:rsid w:val="007B7FF3"/>
    <w:rPr>
      <w:sz w:val="20"/>
      <w:szCs w:val="20"/>
    </w:rPr>
  </w:style>
  <w:style w:type="character" w:customStyle="1" w:styleId="CommentTextChar">
    <w:name w:val="Comment Text Char"/>
    <w:basedOn w:val="DefaultParagraphFont"/>
    <w:link w:val="CommentText"/>
    <w:uiPriority w:val="99"/>
    <w:semiHidden/>
    <w:rsid w:val="007B7FF3"/>
    <w:rPr>
      <w:sz w:val="20"/>
      <w:szCs w:val="20"/>
    </w:rPr>
  </w:style>
  <w:style w:type="paragraph" w:styleId="CommentSubject">
    <w:name w:val="annotation subject"/>
    <w:basedOn w:val="CommentText"/>
    <w:next w:val="CommentText"/>
    <w:link w:val="CommentSubjectChar"/>
    <w:uiPriority w:val="99"/>
    <w:semiHidden/>
    <w:unhideWhenUsed/>
    <w:rsid w:val="007B7FF3"/>
    <w:rPr>
      <w:b/>
      <w:bCs/>
    </w:rPr>
  </w:style>
  <w:style w:type="character" w:customStyle="1" w:styleId="CommentSubjectChar">
    <w:name w:val="Comment Subject Char"/>
    <w:basedOn w:val="CommentTextChar"/>
    <w:link w:val="CommentSubject"/>
    <w:uiPriority w:val="99"/>
    <w:semiHidden/>
    <w:rsid w:val="007B7FF3"/>
    <w:rPr>
      <w:b/>
      <w:bCs/>
      <w:sz w:val="20"/>
      <w:szCs w:val="20"/>
    </w:rPr>
  </w:style>
  <w:style w:type="paragraph" w:styleId="BalloonText">
    <w:name w:val="Balloon Text"/>
    <w:basedOn w:val="Normal"/>
    <w:link w:val="BalloonTextChar"/>
    <w:uiPriority w:val="99"/>
    <w:semiHidden/>
    <w:unhideWhenUsed/>
    <w:rsid w:val="007B7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E70DC-A24F-464F-907B-C3BC2D4F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2728</Words>
  <Characters>15555</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Statement-Physician Self Referral</vt:lpstr>
    </vt:vector>
  </TitlesOfParts>
  <Company>CMS</Company>
  <LinksUpToDate>false</LinksUpToDate>
  <CharactersWithSpaces>18247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Statement-Physician Self Referral</dc:title>
  <dc:creator>CMS</dc:creator>
  <cp:lastModifiedBy>WILLIAM PARHAM</cp:lastModifiedBy>
  <cp:revision>2</cp:revision>
  <dcterms:created xsi:type="dcterms:W3CDTF">2017-01-19T17:59:00Z</dcterms:created>
  <dcterms:modified xsi:type="dcterms:W3CDTF">2017-01-19T17:59:00Z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Acrobat PDFMaker 15 for Word</vt:lpwstr>
  </property>
  <property fmtid="{D5CDD505-2E9C-101B-9397-08002B2CF9AE}" pid="4" name="LastSaved">
    <vt:filetime>2016-09-09T00:00:00Z</vt:filetime>
  </property>
  <property fmtid="{D5CDD505-2E9C-101B-9397-08002B2CF9AE}" pid="5" name="_AdHocReviewCycleID">
    <vt:i4>-668783960</vt:i4>
  </property>
  <property fmtid="{D5CDD505-2E9C-101B-9397-08002B2CF9AE}" pid="6" name="_NewReviewCycle">
    <vt:lpwstr/>
  </property>
  <property fmtid="{D5CDD505-2E9C-101B-9397-08002B2CF9AE}" pid="7" name="_EmailSubject">
    <vt:lpwstr>Medicare Self-Referral Disclosure Protocol</vt:lpwstr>
  </property>
  <property fmtid="{D5CDD505-2E9C-101B-9397-08002B2CF9AE}" pid="8" name="_AuthorEmail">
    <vt:lpwstr>WILLIAM.PARHAM@cms.hhs.gov</vt:lpwstr>
  </property>
  <property fmtid="{D5CDD505-2E9C-101B-9397-08002B2CF9AE}" pid="9" name="_AuthorEmailDisplayName">
    <vt:lpwstr>Parham, William N. (CMS/OSORA)</vt:lpwstr>
  </property>
  <property fmtid="{D5CDD505-2E9C-101B-9397-08002B2CF9AE}" pid="10" name="_PreviousAdHocReviewCycleID">
    <vt:i4>-740822497</vt:i4>
  </property>
</Properties>
</file>