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7A221" w14:textId="77777777" w:rsidR="00EE0027" w:rsidRDefault="00E41B49">
      <w:pPr>
        <w:pStyle w:val="Heading1"/>
        <w:spacing w:before="32"/>
        <w:ind w:left="885" w:right="881"/>
        <w:jc w:val="center"/>
      </w:pPr>
      <w:r>
        <w:rPr>
          <w:u w:val="single" w:color="000000"/>
        </w:rPr>
        <w:t>Supporting Statement for the Health Insurance Portability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w w:val="99"/>
        </w:rPr>
        <w:t xml:space="preserve"> </w:t>
      </w:r>
      <w:r>
        <w:rPr>
          <w:u w:val="single" w:color="000000"/>
        </w:rPr>
        <w:t>Accountability Act (HIPAA)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Administrative</w:t>
      </w:r>
    </w:p>
    <w:p w14:paraId="5B437A11" w14:textId="77777777" w:rsidR="00EE0027" w:rsidRDefault="00E41B49">
      <w:pPr>
        <w:spacing w:before="1"/>
        <w:ind w:left="881" w:right="881"/>
        <w:jc w:val="center"/>
        <w:rPr>
          <w:rFonts w:ascii="Times New Roman"/>
          <w:sz w:val="32"/>
          <w:u w:val="single" w:color="000000"/>
        </w:rPr>
      </w:pPr>
      <w:r>
        <w:rPr>
          <w:rFonts w:ascii="Times New Roman"/>
          <w:sz w:val="32"/>
          <w:u w:val="single" w:color="000000"/>
        </w:rPr>
        <w:t>Simplification (A.S.) Complaint</w:t>
      </w:r>
      <w:r>
        <w:rPr>
          <w:rFonts w:ascii="Times New Roman"/>
          <w:spacing w:val="-12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Form</w:t>
      </w:r>
    </w:p>
    <w:p w14:paraId="69EA482D" w14:textId="4F80EC4E" w:rsidR="0099735C" w:rsidRDefault="0099735C">
      <w:pPr>
        <w:spacing w:before="1"/>
        <w:ind w:left="881" w:right="881"/>
        <w:jc w:val="center"/>
        <w:rPr>
          <w:rFonts w:ascii="Times New Roman"/>
          <w:sz w:val="32"/>
          <w:u w:val="single" w:color="000000"/>
        </w:rPr>
      </w:pPr>
      <w:r>
        <w:rPr>
          <w:rFonts w:ascii="Times New Roman"/>
          <w:sz w:val="32"/>
          <w:u w:val="single" w:color="000000"/>
        </w:rPr>
        <w:t>(CMS-10148; 0938-0948)</w:t>
      </w:r>
    </w:p>
    <w:p w14:paraId="46AED337" w14:textId="77777777" w:rsidR="00EE0027" w:rsidRDefault="00EE002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BE9B42E" w14:textId="77777777" w:rsidR="00EE0027" w:rsidRDefault="00EE0027">
      <w:pPr>
        <w:spacing w:before="4"/>
        <w:rPr>
          <w:rFonts w:ascii="Times New Roman" w:eastAsia="Times New Roman" w:hAnsi="Times New Roman" w:cs="Times New Roman"/>
        </w:rPr>
      </w:pPr>
    </w:p>
    <w:p w14:paraId="0FB22254" w14:textId="77777777" w:rsidR="00EE0027" w:rsidRDefault="00E41B49" w:rsidP="00E41B49">
      <w:pPr>
        <w:pStyle w:val="Heading2"/>
        <w:tabs>
          <w:tab w:val="left" w:pos="533"/>
        </w:tabs>
        <w:spacing w:before="69"/>
        <w:ind w:left="100" w:right="113" w:firstLine="0"/>
        <w:rPr>
          <w:b w:val="0"/>
          <w:bCs w:val="0"/>
          <w:u w:val="none"/>
        </w:rPr>
      </w:pPr>
      <w:r>
        <w:rPr>
          <w:b w:val="0"/>
          <w:u w:val="none"/>
        </w:rPr>
        <w:tab/>
      </w:r>
      <w:r>
        <w:rPr>
          <w:u w:val="thick" w:color="000000"/>
        </w:rPr>
        <w:t>Background</w:t>
      </w:r>
    </w:p>
    <w:p w14:paraId="3FDBAD48" w14:textId="77777777" w:rsidR="00EE0027" w:rsidRPr="007C5B2F" w:rsidRDefault="00EE0027" w:rsidP="007C5B2F">
      <w:pPr>
        <w:spacing w:before="7"/>
        <w:ind w:left="450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9388E8" w14:textId="1E9053CA" w:rsidR="00EE0027" w:rsidRPr="00807243" w:rsidRDefault="00E41B49" w:rsidP="00807243">
      <w:pPr>
        <w:pStyle w:val="BodyText"/>
        <w:spacing w:before="69"/>
        <w:ind w:left="0" w:right="113"/>
        <w:rPr>
          <w:rFonts w:cs="Times New Roman"/>
          <w:spacing w:val="-5"/>
        </w:rPr>
      </w:pPr>
      <w:r w:rsidRPr="007C5B2F">
        <w:rPr>
          <w:rFonts w:cs="Times New Roman"/>
        </w:rPr>
        <w:t>This submission</w:t>
      </w:r>
      <w:r w:rsidR="00933ED9" w:rsidRPr="007C5B2F">
        <w:rPr>
          <w:rFonts w:cs="Times New Roman"/>
        </w:rPr>
        <w:t xml:space="preserve"> reinstates and</w:t>
      </w:r>
      <w:r w:rsidRPr="007C5B2F">
        <w:rPr>
          <w:rFonts w:cs="Times New Roman"/>
        </w:rPr>
        <w:t xml:space="preserve"> modifies the information collection requirements in CMS-0014-N</w:t>
      </w:r>
      <w:r w:rsidR="007D79EA" w:rsidRPr="007C5B2F">
        <w:rPr>
          <w:rFonts w:cs="Times New Roman"/>
        </w:rPr>
        <w:t xml:space="preserve"> (70 FR 15329-15331)</w:t>
      </w:r>
      <w:r w:rsidRPr="007C5B2F">
        <w:rPr>
          <w:rFonts w:cs="Times New Roman"/>
        </w:rPr>
        <w:t>.</w:t>
      </w:r>
      <w:r w:rsidRPr="007C5B2F">
        <w:rPr>
          <w:rFonts w:cs="Times New Roman"/>
          <w:spacing w:val="-5"/>
        </w:rPr>
        <w:t xml:space="preserve"> </w:t>
      </w:r>
      <w:r w:rsidR="00160A3E" w:rsidRPr="007C5B2F">
        <w:rPr>
          <w:rFonts w:cs="Times New Roman"/>
          <w:spacing w:val="-5"/>
        </w:rPr>
        <w:t>Due to an updated enforcement system being developed and implemented, it was anticipated that a paper form would not be needed or used.</w:t>
      </w:r>
      <w:r w:rsidR="00807243">
        <w:rPr>
          <w:rFonts w:cs="Times New Roman"/>
          <w:spacing w:val="-5"/>
        </w:rPr>
        <w:t xml:space="preserve"> </w:t>
      </w:r>
      <w:r w:rsidR="007C5B2F">
        <w:rPr>
          <w:rFonts w:cs="Times New Roman"/>
        </w:rPr>
        <w:t>T</w:t>
      </w:r>
      <w:r w:rsidR="007C5B2F" w:rsidRPr="007C5B2F">
        <w:rPr>
          <w:rFonts w:cs="Times New Roman"/>
        </w:rPr>
        <w:t>he transition of a series of personnel</w:t>
      </w:r>
      <w:r w:rsidR="007C5B2F">
        <w:rPr>
          <w:rFonts w:cs="Times New Roman"/>
        </w:rPr>
        <w:t xml:space="preserve"> caused the</w:t>
      </w:r>
      <w:r w:rsidR="00453D10">
        <w:rPr>
          <w:rFonts w:cs="Times New Roman"/>
        </w:rPr>
        <w:t xml:space="preserve"> </w:t>
      </w:r>
      <w:r w:rsidR="007C5B2F">
        <w:rPr>
          <w:rFonts w:cs="Times New Roman"/>
        </w:rPr>
        <w:t xml:space="preserve">submission of a continuing </w:t>
      </w:r>
      <w:r w:rsidR="007C5B2F" w:rsidRPr="007C5B2F">
        <w:rPr>
          <w:rFonts w:cs="Times New Roman"/>
        </w:rPr>
        <w:t xml:space="preserve">form </w:t>
      </w:r>
      <w:r w:rsidR="007C5B2F">
        <w:rPr>
          <w:rFonts w:cs="Times New Roman"/>
        </w:rPr>
        <w:t xml:space="preserve">to be </w:t>
      </w:r>
      <w:r w:rsidR="007C5B2F" w:rsidRPr="007C5B2F">
        <w:rPr>
          <w:rFonts w:cs="Times New Roman"/>
        </w:rPr>
        <w:t>inadvertently neglected.  And with the migration of the preexisting system to the latest one required fields have changed.</w:t>
      </w:r>
      <w:r w:rsidR="007C5B2F">
        <w:rPr>
          <w:rFonts w:cs="Times New Roman"/>
        </w:rPr>
        <w:t xml:space="preserve">as of </w:t>
      </w:r>
      <w:r w:rsidR="00160A3E" w:rsidRPr="007C5B2F">
        <w:rPr>
          <w:rFonts w:cs="Times New Roman"/>
          <w:spacing w:val="-5"/>
        </w:rPr>
        <w:t>the June 2016 implementation</w:t>
      </w:r>
      <w:r w:rsidR="007C5B2F">
        <w:rPr>
          <w:rFonts w:cs="Times New Roman"/>
          <w:spacing w:val="-5"/>
        </w:rPr>
        <w:t>.</w:t>
      </w:r>
      <w:r w:rsidR="00160A3E" w:rsidRPr="007C5B2F">
        <w:rPr>
          <w:rFonts w:cs="Times New Roman"/>
          <w:spacing w:val="-5"/>
        </w:rPr>
        <w:t xml:space="preserve"> </w:t>
      </w:r>
      <w:r w:rsidR="007C5B2F">
        <w:rPr>
          <w:rFonts w:cs="Times New Roman"/>
          <w:spacing w:val="-5"/>
        </w:rPr>
        <w:t xml:space="preserve">CMS continued to </w:t>
      </w:r>
      <w:r w:rsidR="00160A3E" w:rsidRPr="007C5B2F">
        <w:rPr>
          <w:rFonts w:cs="Times New Roman"/>
          <w:spacing w:val="-5"/>
        </w:rPr>
        <w:t xml:space="preserve">receive requests for the paper form.  In the interim, the original form was infrequently and sporadically used </w:t>
      </w:r>
      <w:r w:rsidR="007C5B2F">
        <w:rPr>
          <w:rFonts w:cs="Times New Roman"/>
          <w:spacing w:val="-5"/>
        </w:rPr>
        <w:t xml:space="preserve">as </w:t>
      </w:r>
      <w:r w:rsidR="00160A3E" w:rsidRPr="007C5B2F">
        <w:rPr>
          <w:rFonts w:cs="Times New Roman"/>
          <w:spacing w:val="-5"/>
        </w:rPr>
        <w:t xml:space="preserve">it was not removed from the website. </w:t>
      </w:r>
      <w:r w:rsidRPr="007C5B2F">
        <w:rPr>
          <w:rFonts w:cs="Times New Roman"/>
        </w:rPr>
        <w:t>The purpose of this collection is to update the complaint form to capture complaint</w:t>
      </w:r>
      <w:r w:rsidRPr="007C5B2F">
        <w:rPr>
          <w:rFonts w:cs="Times New Roman"/>
          <w:spacing w:val="-10"/>
        </w:rPr>
        <w:t xml:space="preserve"> </w:t>
      </w:r>
      <w:r w:rsidRPr="007C5B2F">
        <w:rPr>
          <w:rFonts w:cs="Times New Roman"/>
        </w:rPr>
        <w:t>information</w:t>
      </w:r>
      <w:r w:rsidR="00EC2704" w:rsidRPr="007C5B2F">
        <w:rPr>
          <w:rFonts w:cs="Times New Roman"/>
        </w:rPr>
        <w:t xml:space="preserve"> </w:t>
      </w:r>
      <w:r w:rsidRPr="007C5B2F">
        <w:rPr>
          <w:rFonts w:cs="Times New Roman"/>
        </w:rPr>
        <w:t xml:space="preserve">voluntarily submitted to the Centers for Medicare </w:t>
      </w:r>
      <w:r w:rsidR="00453D10">
        <w:rPr>
          <w:rFonts w:cs="Times New Roman"/>
        </w:rPr>
        <w:t xml:space="preserve">&amp; </w:t>
      </w:r>
      <w:r w:rsidRPr="007C5B2F">
        <w:rPr>
          <w:rFonts w:cs="Times New Roman"/>
        </w:rPr>
        <w:t>Medicaid Services (CMS),</w:t>
      </w:r>
      <w:r w:rsidRPr="007C5B2F">
        <w:rPr>
          <w:rFonts w:cs="Times New Roman"/>
          <w:spacing w:val="-10"/>
        </w:rPr>
        <w:t xml:space="preserve"> </w:t>
      </w:r>
      <w:r w:rsidR="001E781C">
        <w:rPr>
          <w:rFonts w:cs="Times New Roman"/>
          <w:spacing w:val="-10"/>
        </w:rPr>
        <w:t xml:space="preserve">Program Management </w:t>
      </w:r>
      <w:r w:rsidRPr="007C5B2F">
        <w:rPr>
          <w:rFonts w:cs="Times New Roman"/>
        </w:rPr>
        <w:t xml:space="preserve">National Standards Group </w:t>
      </w:r>
      <w:r w:rsidR="001E781C">
        <w:rPr>
          <w:rFonts w:cs="Times New Roman"/>
        </w:rPr>
        <w:t xml:space="preserve">(PMNSG) </w:t>
      </w:r>
      <w:r w:rsidRPr="007C5B2F">
        <w:rPr>
          <w:rFonts w:cs="Times New Roman"/>
        </w:rPr>
        <w:t>by the public regarding the Health Insurance Portability and</w:t>
      </w:r>
      <w:r w:rsidRPr="007C5B2F">
        <w:rPr>
          <w:rFonts w:cs="Times New Roman"/>
          <w:spacing w:val="-13"/>
        </w:rPr>
        <w:t xml:space="preserve"> </w:t>
      </w:r>
      <w:r w:rsidRPr="007C5B2F">
        <w:rPr>
          <w:rFonts w:cs="Times New Roman"/>
        </w:rPr>
        <w:t>Accountability Act (HIPAA) Administrative Simplification (A.S.) regulations with the exception of</w:t>
      </w:r>
      <w:r w:rsidRPr="007C5B2F">
        <w:rPr>
          <w:rFonts w:cs="Times New Roman"/>
          <w:spacing w:val="-8"/>
        </w:rPr>
        <w:t xml:space="preserve"> </w:t>
      </w:r>
      <w:r w:rsidRPr="007C5B2F">
        <w:rPr>
          <w:rFonts w:cs="Times New Roman"/>
        </w:rPr>
        <w:t>the Privacy and Security</w:t>
      </w:r>
      <w:r w:rsidRPr="007C5B2F">
        <w:rPr>
          <w:rFonts w:cs="Times New Roman"/>
          <w:spacing w:val="-5"/>
        </w:rPr>
        <w:t xml:space="preserve"> </w:t>
      </w:r>
      <w:r w:rsidRPr="007C5B2F">
        <w:rPr>
          <w:rFonts w:cs="Times New Roman"/>
        </w:rPr>
        <w:t>Rules.</w:t>
      </w:r>
    </w:p>
    <w:p w14:paraId="5BF81FBF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E6B8B4" w14:textId="2EA3CC00" w:rsidR="00EE0027" w:rsidRDefault="00E41B49" w:rsidP="00807243">
      <w:pPr>
        <w:pStyle w:val="BodyText"/>
        <w:ind w:left="0" w:right="113"/>
      </w:pPr>
      <w:r>
        <w:t>HIPAA became law in 1996 (Public Law 104</w:t>
      </w:r>
      <w:r>
        <w:rPr>
          <w:rFonts w:cs="Times New Roman"/>
        </w:rPr>
        <w:t>–</w:t>
      </w:r>
      <w:r>
        <w:t>191). Subtitle F of Title II of HIPAA,</w:t>
      </w:r>
      <w:r>
        <w:rPr>
          <w:spacing w:val="-11"/>
        </w:rPr>
        <w:t xml:space="preserve"> </w:t>
      </w:r>
      <w:r>
        <w:t xml:space="preserve">titled </w:t>
      </w:r>
      <w:r>
        <w:rPr>
          <w:rFonts w:cs="Times New Roman"/>
        </w:rPr>
        <w:t xml:space="preserve">‘‘Administrative Simplification,’’ (A.S.) requires </w:t>
      </w:r>
      <w:r>
        <w:t>the Secretary of HHS to adopt</w:t>
      </w:r>
      <w:r>
        <w:rPr>
          <w:spacing w:val="-10"/>
        </w:rPr>
        <w:t xml:space="preserve"> </w:t>
      </w:r>
      <w:r>
        <w:t>national standards for certain information-related activities of the health care industry. The</w:t>
      </w:r>
      <w:r>
        <w:rPr>
          <w:spacing w:val="-14"/>
        </w:rPr>
        <w:t xml:space="preserve"> </w:t>
      </w:r>
      <w:r>
        <w:t xml:space="preserve">HIPAA </w:t>
      </w:r>
      <w:r>
        <w:rPr>
          <w:rFonts w:cs="Times New Roman"/>
        </w:rPr>
        <w:t xml:space="preserve">provisions, by statute, apply only to “covered entities” referred to in section 1320d – </w:t>
      </w:r>
      <w:r>
        <w:t>2(a)</w:t>
      </w:r>
      <w:r>
        <w:rPr>
          <w:spacing w:val="-10"/>
        </w:rPr>
        <w:t xml:space="preserve"> </w:t>
      </w:r>
      <w:r>
        <w:t>(1) of this title. Responsibility for administering and enforcing the HIPAA A.S.</w:t>
      </w:r>
      <w:r>
        <w:rPr>
          <w:spacing w:val="-17"/>
        </w:rPr>
        <w:t xml:space="preserve"> </w:t>
      </w:r>
      <w:r>
        <w:t>Transactions, Code Sets, Identifiers has been delegated to the Centers for Medicare &amp; Medicaid</w:t>
      </w:r>
      <w:r>
        <w:rPr>
          <w:spacing w:val="-11"/>
        </w:rPr>
        <w:t xml:space="preserve"> </w:t>
      </w:r>
      <w:r>
        <w:t>Services (CMS). This updated information collected to administer these rules will be used to</w:t>
      </w:r>
      <w:r>
        <w:rPr>
          <w:spacing w:val="-10"/>
        </w:rPr>
        <w:t xml:space="preserve"> </w:t>
      </w:r>
      <w:r>
        <w:t xml:space="preserve">initiate enforcement actions. </w:t>
      </w:r>
    </w:p>
    <w:p w14:paraId="2648B4D3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4DB78D" w14:textId="18289F61" w:rsidR="00EE0027" w:rsidRDefault="00E41B49" w:rsidP="00807243">
      <w:pPr>
        <w:pStyle w:val="BodyText"/>
        <w:ind w:left="0" w:right="113"/>
      </w:pPr>
      <w:r>
        <w:t>This information-collection update clarifies the removal of the HIPAA Security</w:t>
      </w:r>
      <w:r>
        <w:rPr>
          <w:spacing w:val="-11"/>
        </w:rPr>
        <w:t xml:space="preserve"> </w:t>
      </w:r>
      <w:r>
        <w:t>complaint category. In this updated collection section, the information collection change clarifies</w:t>
      </w:r>
      <w:r>
        <w:rPr>
          <w:spacing w:val="-9"/>
        </w:rPr>
        <w:t xml:space="preserve"> </w:t>
      </w:r>
      <w:r>
        <w:t xml:space="preserve">the </w:t>
      </w:r>
      <w:r>
        <w:rPr>
          <w:rFonts w:cs="Times New Roman"/>
        </w:rPr>
        <w:t>“Identify the HIPAA Non</w:t>
      </w:r>
      <w:r>
        <w:t xml:space="preserve">-Privacy/Security </w:t>
      </w:r>
      <w:r>
        <w:rPr>
          <w:rFonts w:cs="Times New Roman"/>
        </w:rPr>
        <w:t>complaint category” section of the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 xml:space="preserve">complaint </w:t>
      </w:r>
      <w:r>
        <w:t>form. In this section, complainants are given an opportunit</w:t>
      </w:r>
      <w:r>
        <w:rPr>
          <w:rFonts w:cs="Times New Roman"/>
        </w:rPr>
        <w:t>y to check the “Unique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 xml:space="preserve">Identifiers” </w:t>
      </w:r>
      <w:r>
        <w:t xml:space="preserve">and </w:t>
      </w:r>
      <w:r>
        <w:rPr>
          <w:rFonts w:cs="Times New Roman"/>
        </w:rPr>
        <w:t>“O</w:t>
      </w:r>
      <w:r>
        <w:t>perating Rules</w:t>
      </w:r>
      <w:r>
        <w:rPr>
          <w:rFonts w:cs="Times New Roman"/>
        </w:rPr>
        <w:t xml:space="preserve">” </w:t>
      </w:r>
      <w:r>
        <w:t>option to additionally categorize the type of HIPAA complaint</w:t>
      </w:r>
      <w:r>
        <w:rPr>
          <w:spacing w:val="-19"/>
        </w:rPr>
        <w:t xml:space="preserve"> </w:t>
      </w:r>
      <w:r>
        <w:t xml:space="preserve">being filed.  The revised form now includes an option for </w:t>
      </w:r>
      <w:r w:rsidR="00453D10">
        <w:t xml:space="preserve">filing complaints under </w:t>
      </w:r>
      <w:r>
        <w:t>Unique Identifier</w:t>
      </w:r>
      <w:r>
        <w:rPr>
          <w:spacing w:val="-5"/>
        </w:rPr>
        <w:t xml:space="preserve"> </w:t>
      </w:r>
      <w:r>
        <w:t xml:space="preserve">and Operating Rules. </w:t>
      </w:r>
      <w:r>
        <w:rPr>
          <w:spacing w:val="-3"/>
        </w:rPr>
        <w:t xml:space="preserve">It </w:t>
      </w:r>
      <w:r>
        <w:t>also requests email information about filed against entities,</w:t>
      </w:r>
      <w:r>
        <w:rPr>
          <w:spacing w:val="-4"/>
        </w:rPr>
        <w:t xml:space="preserve"> </w:t>
      </w:r>
      <w:r>
        <w:t>if available. The change does not impact the hours and wages burden estimate and does</w:t>
      </w:r>
      <w:r>
        <w:rPr>
          <w:spacing w:val="-9"/>
        </w:rPr>
        <w:t xml:space="preserve"> </w:t>
      </w:r>
      <w:r>
        <w:t>not introduce any additional burden</w:t>
      </w:r>
      <w:r>
        <w:rPr>
          <w:spacing w:val="-8"/>
        </w:rPr>
        <w:t xml:space="preserve"> </w:t>
      </w:r>
      <w:r>
        <w:t>impact.</w:t>
      </w:r>
    </w:p>
    <w:p w14:paraId="051E72A5" w14:textId="77777777" w:rsidR="00453D10" w:rsidRDefault="00453D1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BD88618" w14:textId="77777777" w:rsidR="00EE0027" w:rsidRDefault="00E41B49">
      <w:pPr>
        <w:pStyle w:val="Heading2"/>
        <w:numPr>
          <w:ilvl w:val="0"/>
          <w:numId w:val="2"/>
        </w:numPr>
        <w:tabs>
          <w:tab w:val="left" w:pos="552"/>
        </w:tabs>
        <w:ind w:left="551" w:right="113" w:hanging="451"/>
        <w:rPr>
          <w:b w:val="0"/>
          <w:bCs w:val="0"/>
          <w:u w:val="none"/>
        </w:rPr>
      </w:pPr>
      <w:r>
        <w:rPr>
          <w:u w:val="thick" w:color="000000"/>
        </w:rPr>
        <w:t>Justification</w:t>
      </w:r>
    </w:p>
    <w:p w14:paraId="3C9D42A7" w14:textId="77777777" w:rsidR="00EE0027" w:rsidRDefault="00EE0027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812C4ED" w14:textId="77777777" w:rsidR="00EE0027" w:rsidRPr="00DF49B3" w:rsidRDefault="00E41B49">
      <w:pPr>
        <w:pStyle w:val="BodyText"/>
        <w:spacing w:before="69"/>
        <w:ind w:left="551" w:right="113"/>
        <w:rPr>
          <w:rFonts w:cs="Times New Roman"/>
        </w:rPr>
      </w:pPr>
      <w:r w:rsidRPr="00DF49B3">
        <w:rPr>
          <w:rFonts w:cs="Times New Roman"/>
        </w:rPr>
        <w:t>1 .</w:t>
      </w:r>
      <w:r w:rsidRPr="00DF49B3">
        <w:rPr>
          <w:rFonts w:cs="Times New Roman"/>
          <w:u w:val="single" w:color="000000"/>
        </w:rPr>
        <w:t>Need and Legal</w:t>
      </w:r>
      <w:r w:rsidRPr="00DF49B3">
        <w:rPr>
          <w:rFonts w:cs="Times New Roman"/>
          <w:spacing w:val="-7"/>
          <w:u w:val="single" w:color="000000"/>
        </w:rPr>
        <w:t xml:space="preserve"> </w:t>
      </w:r>
      <w:r w:rsidRPr="00DF49B3">
        <w:rPr>
          <w:rFonts w:cs="Times New Roman"/>
          <w:u w:val="single" w:color="000000"/>
        </w:rPr>
        <w:t>Basis</w:t>
      </w:r>
    </w:p>
    <w:p w14:paraId="0319A426" w14:textId="77777777" w:rsidR="00EE0027" w:rsidRPr="00DF49B3" w:rsidRDefault="00EE002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B6EAE3B" w14:textId="69770F99" w:rsidR="00BC6D86" w:rsidRPr="00DF49B3" w:rsidRDefault="00E41B49" w:rsidP="00DF49B3">
      <w:pPr>
        <w:pStyle w:val="BodyText"/>
        <w:spacing w:before="69"/>
        <w:ind w:left="0" w:right="72"/>
        <w:rPr>
          <w:rFonts w:cs="Times New Roman"/>
        </w:rPr>
      </w:pPr>
      <w:r w:rsidRPr="00DF49B3">
        <w:rPr>
          <w:rFonts w:cs="Times New Roman"/>
        </w:rPr>
        <w:lastRenderedPageBreak/>
        <w:t>The Secretary of Health and Human Services delegated to the Administrator, Centers</w:t>
      </w:r>
      <w:r w:rsidRPr="00DF49B3">
        <w:rPr>
          <w:rFonts w:cs="Times New Roman"/>
          <w:spacing w:val="-12"/>
        </w:rPr>
        <w:t xml:space="preserve"> </w:t>
      </w:r>
      <w:r w:rsidRPr="00DF49B3">
        <w:rPr>
          <w:rFonts w:cs="Times New Roman"/>
        </w:rPr>
        <w:t>for Medicare &amp; Medicaid Services (CMS), the authority to investigate complaints</w:t>
      </w:r>
      <w:r w:rsidRPr="00DF49B3">
        <w:rPr>
          <w:rFonts w:cs="Times New Roman"/>
          <w:spacing w:val="-11"/>
        </w:rPr>
        <w:t xml:space="preserve"> </w:t>
      </w:r>
      <w:r w:rsidRPr="00DF49B3">
        <w:rPr>
          <w:rFonts w:cs="Times New Roman"/>
        </w:rPr>
        <w:t>of noncompliance with, and to make decisions regarding, the interpretation, implementation,</w:t>
      </w:r>
      <w:r w:rsidRPr="00DF49B3">
        <w:rPr>
          <w:rFonts w:cs="Times New Roman"/>
          <w:spacing w:val="-12"/>
        </w:rPr>
        <w:t xml:space="preserve"> </w:t>
      </w:r>
      <w:r w:rsidRPr="00DF49B3">
        <w:rPr>
          <w:rFonts w:cs="Times New Roman"/>
        </w:rPr>
        <w:t>and enforcement of administrative simplification standards</w:t>
      </w:r>
      <w:r w:rsidR="00AA3837" w:rsidRPr="00DF49B3">
        <w:rPr>
          <w:rFonts w:cs="Times New Roman"/>
        </w:rPr>
        <w:t xml:space="preserve"> that include administrative health care transactions, code sets, unique identifiers and operating rules that supplement the transaction standards</w:t>
      </w:r>
      <w:r w:rsidR="00453D10" w:rsidRPr="00DF49B3">
        <w:rPr>
          <w:rFonts w:cs="Times New Roman"/>
        </w:rPr>
        <w:t>.</w:t>
      </w:r>
      <w:r w:rsidRPr="00DF49B3">
        <w:rPr>
          <w:rFonts w:cs="Times New Roman"/>
        </w:rPr>
        <w:t xml:space="preserve">  See</w:t>
      </w:r>
      <w:r w:rsidRPr="00DF49B3">
        <w:rPr>
          <w:rFonts w:cs="Times New Roman"/>
          <w:spacing w:val="-16"/>
        </w:rPr>
        <w:t xml:space="preserve"> </w:t>
      </w:r>
      <w:r w:rsidRPr="00DF49B3">
        <w:rPr>
          <w:rFonts w:cs="Times New Roman"/>
        </w:rPr>
        <w:t>68 FR 60694 (October 23, 2003).  These regulations are codified at 45 CFR, parts 160, 162,</w:t>
      </w:r>
      <w:r w:rsidRPr="00DF49B3">
        <w:rPr>
          <w:rFonts w:cs="Times New Roman"/>
          <w:spacing w:val="-14"/>
        </w:rPr>
        <w:t xml:space="preserve"> </w:t>
      </w:r>
      <w:r w:rsidR="00BC6D86" w:rsidRPr="00DF49B3">
        <w:rPr>
          <w:rFonts w:eastAsiaTheme="minorHAnsi" w:cs="Times New Roman"/>
        </w:rPr>
        <w:t xml:space="preserve">  For example, if an entity is conducting health care claim transactions with a trading partner, and is required by the trading partner to use non-compliant ICD-10 codes to get the claim paid, the submitter could file a HIPAA complaint.</w:t>
      </w:r>
      <w:r w:rsidR="0099735C">
        <w:rPr>
          <w:rFonts w:eastAsiaTheme="minorHAnsi" w:cs="Times New Roman"/>
        </w:rPr>
        <w:t xml:space="preserve"> </w:t>
      </w:r>
      <w:r w:rsidR="00BC6D86" w:rsidRPr="00DF49B3">
        <w:rPr>
          <w:rFonts w:eastAsiaTheme="minorHAnsi" w:cs="Times New Roman"/>
        </w:rPr>
        <w:t>The complaint could be filed electronically, or using the paper form that is the subject of this PRA.</w:t>
      </w:r>
    </w:p>
    <w:p w14:paraId="5381F615" w14:textId="77777777" w:rsidR="00DF49B3" w:rsidRPr="00DF49B3" w:rsidRDefault="00DF49B3">
      <w:pPr>
        <w:rPr>
          <w:rFonts w:ascii="Times New Roman" w:hAnsi="Times New Roman" w:cs="Times New Roman"/>
          <w:sz w:val="24"/>
          <w:szCs w:val="24"/>
        </w:rPr>
      </w:pPr>
    </w:p>
    <w:p w14:paraId="7CA32EFD" w14:textId="0A2E58E1" w:rsidR="00EE0027" w:rsidRPr="00DF49B3" w:rsidRDefault="00BC6D86" w:rsidP="00DF49B3">
      <w:pPr>
        <w:rPr>
          <w:rFonts w:ascii="Times New Roman" w:hAnsi="Times New Roman" w:cs="Times New Roman"/>
          <w:sz w:val="24"/>
          <w:szCs w:val="24"/>
        </w:rPr>
      </w:pPr>
      <w:r w:rsidRPr="00DF49B3">
        <w:rPr>
          <w:rFonts w:ascii="Times New Roman" w:hAnsi="Times New Roman" w:cs="Times New Roman"/>
          <w:sz w:val="24"/>
          <w:szCs w:val="24"/>
        </w:rPr>
        <w:t>Once the CMS enforcement team receives the complaint, whether it is electronic or on the paper form</w:t>
      </w:r>
      <w:r w:rsidR="004D2672" w:rsidRPr="00DF49B3">
        <w:rPr>
          <w:rFonts w:ascii="Times New Roman" w:hAnsi="Times New Roman" w:cs="Times New Roman"/>
          <w:sz w:val="24"/>
          <w:szCs w:val="24"/>
        </w:rPr>
        <w:t>, an investigation ensues.</w:t>
      </w:r>
      <w:r w:rsidR="00E41B49" w:rsidRPr="00DF49B3">
        <w:rPr>
          <w:rFonts w:ascii="Times New Roman" w:hAnsi="Times New Roman" w:cs="Times New Roman"/>
          <w:sz w:val="24"/>
          <w:szCs w:val="24"/>
        </w:rPr>
        <w:t>and164. This delegation includes authority with respect to the following regulations:</w:t>
      </w:r>
      <w:r w:rsidR="00E41B49" w:rsidRPr="00DF49B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41B49" w:rsidRPr="00DF49B3">
        <w:rPr>
          <w:rFonts w:ascii="Times New Roman" w:hAnsi="Times New Roman" w:cs="Times New Roman"/>
          <w:sz w:val="24"/>
          <w:szCs w:val="24"/>
        </w:rPr>
        <w:t>the Transaction and Code Set Rule (TCS), 65 FR 50313 (August 17, 2000), the</w:t>
      </w:r>
      <w:r w:rsidR="00E41B49" w:rsidRPr="00DF49B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1B49" w:rsidRPr="00DF49B3">
        <w:rPr>
          <w:rFonts w:ascii="Times New Roman" w:hAnsi="Times New Roman" w:cs="Times New Roman"/>
          <w:sz w:val="24"/>
          <w:szCs w:val="24"/>
        </w:rPr>
        <w:t>National Employer Identifier Number (EIN) Rule, 67 FR 38009 (May 31, 2002), the Security Rule,</w:t>
      </w:r>
      <w:r w:rsidR="00E41B49" w:rsidRPr="00DF49B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E41B49" w:rsidRPr="00DF49B3">
        <w:rPr>
          <w:rFonts w:ascii="Times New Roman" w:hAnsi="Times New Roman" w:cs="Times New Roman"/>
          <w:sz w:val="24"/>
          <w:szCs w:val="24"/>
        </w:rPr>
        <w:t>68 FR 8334 (February 20, 2003), the National Provider Identifier (NPI) Rule, 69 FR</w:t>
      </w:r>
      <w:r w:rsidR="00E41B49" w:rsidRPr="00DF49B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1B49" w:rsidRPr="00DF49B3">
        <w:rPr>
          <w:rFonts w:ascii="Times New Roman" w:hAnsi="Times New Roman" w:cs="Times New Roman"/>
          <w:sz w:val="24"/>
          <w:szCs w:val="24"/>
        </w:rPr>
        <w:t>3434 (January 23, 2004) and the HIPAA Enforcement Final</w:t>
      </w:r>
      <w:r w:rsidR="00E41B49" w:rsidRPr="00DF49B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41B49" w:rsidRPr="00DF49B3">
        <w:rPr>
          <w:rFonts w:ascii="Times New Roman" w:hAnsi="Times New Roman" w:cs="Times New Roman"/>
          <w:sz w:val="24"/>
          <w:szCs w:val="24"/>
        </w:rPr>
        <w:t>Rule,</w:t>
      </w:r>
      <w:r w:rsidR="00DF49B3" w:rsidRPr="00DF49B3">
        <w:rPr>
          <w:rFonts w:ascii="Times New Roman" w:hAnsi="Times New Roman" w:cs="Times New Roman"/>
          <w:sz w:val="24"/>
          <w:szCs w:val="24"/>
        </w:rPr>
        <w:t xml:space="preserve"> </w:t>
      </w:r>
      <w:r w:rsidR="00E41B49" w:rsidRPr="00DF49B3">
        <w:rPr>
          <w:rFonts w:ascii="Times New Roman" w:hAnsi="Times New Roman" w:cs="Times New Roman"/>
          <w:sz w:val="24"/>
          <w:szCs w:val="24"/>
        </w:rPr>
        <w:t>45 CFR Parts 160 and 164 (February 16,</w:t>
      </w:r>
      <w:r w:rsidR="00E41B49" w:rsidRPr="00DF49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41B49" w:rsidRPr="00DF49B3">
        <w:rPr>
          <w:rFonts w:ascii="Times New Roman" w:hAnsi="Times New Roman" w:cs="Times New Roman"/>
          <w:sz w:val="24"/>
          <w:szCs w:val="24"/>
        </w:rPr>
        <w:t>2006).</w:t>
      </w:r>
    </w:p>
    <w:p w14:paraId="1B4E9C72" w14:textId="77777777" w:rsidR="00EE0027" w:rsidRPr="00DF49B3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F427BE" w14:textId="25C10C38" w:rsidR="00EE0027" w:rsidRPr="00DF49B3" w:rsidRDefault="00E41B49" w:rsidP="00DF49B3">
      <w:pPr>
        <w:pStyle w:val="BodyText"/>
        <w:ind w:left="0" w:right="196"/>
        <w:rPr>
          <w:rFonts w:cs="Times New Roman"/>
        </w:rPr>
      </w:pPr>
      <w:r w:rsidRPr="00DF49B3">
        <w:rPr>
          <w:rFonts w:cs="Times New Roman"/>
        </w:rPr>
        <w:t>This delegation does not include authority with respect to the regulations adopted</w:t>
      </w:r>
      <w:r w:rsidRPr="00DF49B3">
        <w:rPr>
          <w:rFonts w:cs="Times New Roman"/>
          <w:spacing w:val="-10"/>
        </w:rPr>
        <w:t xml:space="preserve"> </w:t>
      </w:r>
      <w:r w:rsidRPr="00DF49B3">
        <w:rPr>
          <w:rFonts w:cs="Times New Roman"/>
        </w:rPr>
        <w:t>under section 264 of the Health Insurance Portability and Accountability Act of 1996</w:t>
      </w:r>
      <w:r w:rsidRPr="00DF49B3">
        <w:rPr>
          <w:rFonts w:cs="Times New Roman"/>
          <w:spacing w:val="-14"/>
        </w:rPr>
        <w:t xml:space="preserve"> </w:t>
      </w:r>
      <w:r w:rsidRPr="00DF49B3">
        <w:rPr>
          <w:rFonts w:cs="Times New Roman"/>
        </w:rPr>
        <w:t xml:space="preserve">(HIPAA), Pub. </w:t>
      </w:r>
      <w:r w:rsidRPr="00DF49B3">
        <w:rPr>
          <w:rFonts w:cs="Times New Roman"/>
          <w:spacing w:val="-3"/>
        </w:rPr>
        <w:t xml:space="preserve">L. </w:t>
      </w:r>
      <w:r w:rsidRPr="00DF49B3">
        <w:rPr>
          <w:rFonts w:cs="Times New Roman"/>
        </w:rPr>
        <w:t>104-191, as amended, known as the HIPAA Security Rule. The Security Rule is a</w:t>
      </w:r>
      <w:r w:rsidRPr="00DF49B3">
        <w:rPr>
          <w:rFonts w:cs="Times New Roman"/>
          <w:spacing w:val="-6"/>
        </w:rPr>
        <w:t xml:space="preserve"> </w:t>
      </w:r>
      <w:r w:rsidRPr="00DF49B3">
        <w:rPr>
          <w:rFonts w:cs="Times New Roman"/>
        </w:rPr>
        <w:t>set of federal security standards to protect the confidentiality, integrity, and availability</w:t>
      </w:r>
      <w:r w:rsidRPr="00DF49B3">
        <w:rPr>
          <w:rFonts w:cs="Times New Roman"/>
          <w:spacing w:val="-15"/>
        </w:rPr>
        <w:t xml:space="preserve"> </w:t>
      </w:r>
      <w:r w:rsidRPr="00DF49B3">
        <w:rPr>
          <w:rFonts w:cs="Times New Roman"/>
        </w:rPr>
        <w:t>of electronic protected health information. The Secretary of HHS delegated authority</w:t>
      </w:r>
      <w:r w:rsidRPr="00DF49B3">
        <w:rPr>
          <w:rFonts w:cs="Times New Roman"/>
          <w:spacing w:val="-13"/>
        </w:rPr>
        <w:t xml:space="preserve"> </w:t>
      </w:r>
      <w:r w:rsidRPr="00DF49B3">
        <w:rPr>
          <w:rFonts w:cs="Times New Roman"/>
        </w:rPr>
        <w:t>for administration and enforcement of the Security Rule to OCR on July 27, 2009. Before</w:t>
      </w:r>
      <w:r w:rsidRPr="00DF49B3">
        <w:rPr>
          <w:rFonts w:cs="Times New Roman"/>
          <w:spacing w:val="-18"/>
        </w:rPr>
        <w:t xml:space="preserve"> </w:t>
      </w:r>
      <w:r w:rsidRPr="00DF49B3">
        <w:rPr>
          <w:rFonts w:cs="Times New Roman"/>
        </w:rPr>
        <w:t>that date, the Centers for Medicare and Medicaid Services (CMS) was responsible for</w:t>
      </w:r>
      <w:r w:rsidRPr="00DF49B3">
        <w:rPr>
          <w:rFonts w:cs="Times New Roman"/>
          <w:spacing w:val="-12"/>
        </w:rPr>
        <w:t xml:space="preserve"> </w:t>
      </w:r>
      <w:r w:rsidRPr="00DF49B3">
        <w:rPr>
          <w:rFonts w:cs="Times New Roman"/>
        </w:rPr>
        <w:t>enforcing the Security Rule, including investigating complaints and conducting compliance</w:t>
      </w:r>
      <w:r w:rsidRPr="00DF49B3">
        <w:rPr>
          <w:rFonts w:cs="Times New Roman"/>
          <w:spacing w:val="-16"/>
        </w:rPr>
        <w:t xml:space="preserve"> </w:t>
      </w:r>
      <w:r w:rsidRPr="00DF49B3">
        <w:rPr>
          <w:rFonts w:cs="Times New Roman"/>
        </w:rPr>
        <w:t>reviews.</w:t>
      </w:r>
      <w:r w:rsidR="00DF49B3">
        <w:rPr>
          <w:rFonts w:cs="Times New Roman"/>
        </w:rPr>
        <w:t xml:space="preserve">  </w:t>
      </w:r>
      <w:r w:rsidRPr="00DF49B3">
        <w:rPr>
          <w:rFonts w:cs="Times New Roman"/>
        </w:rPr>
        <w:t>For the purpose of this notice, “administrative simplification provisions” means</w:t>
      </w:r>
      <w:r w:rsidRPr="00DF49B3">
        <w:rPr>
          <w:rFonts w:cs="Times New Roman"/>
          <w:spacing w:val="-9"/>
        </w:rPr>
        <w:t xml:space="preserve"> </w:t>
      </w:r>
      <w:r w:rsidRPr="00DF49B3">
        <w:rPr>
          <w:rFonts w:cs="Times New Roman"/>
        </w:rPr>
        <w:t>the administrative simplification regulatory requirements under HIPAA, other than privacy</w:t>
      </w:r>
      <w:r w:rsidRPr="00DF49B3">
        <w:rPr>
          <w:rFonts w:cs="Times New Roman"/>
          <w:spacing w:val="-20"/>
        </w:rPr>
        <w:t xml:space="preserve"> </w:t>
      </w:r>
      <w:r w:rsidRPr="00DF49B3">
        <w:rPr>
          <w:rFonts w:cs="Times New Roman"/>
        </w:rPr>
        <w:t>and security.</w:t>
      </w:r>
    </w:p>
    <w:p w14:paraId="5AA57E03" w14:textId="77777777" w:rsidR="00EE0027" w:rsidRPr="00DF49B3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E018B3" w14:textId="77777777" w:rsidR="00EE0027" w:rsidRPr="00DF49B3" w:rsidRDefault="00E41B49">
      <w:pPr>
        <w:pStyle w:val="ListParagraph"/>
        <w:numPr>
          <w:ilvl w:val="0"/>
          <w:numId w:val="1"/>
        </w:numPr>
        <w:tabs>
          <w:tab w:val="left" w:pos="441"/>
        </w:tabs>
        <w:ind w:right="196"/>
        <w:rPr>
          <w:rFonts w:ascii="Times New Roman" w:eastAsia="Times New Roman" w:hAnsi="Times New Roman" w:cs="Times New Roman"/>
          <w:sz w:val="24"/>
          <w:szCs w:val="24"/>
        </w:rPr>
      </w:pPr>
      <w:r w:rsidRPr="00DF49B3">
        <w:rPr>
          <w:rFonts w:ascii="Times New Roman" w:hAnsi="Times New Roman" w:cs="Times New Roman"/>
          <w:sz w:val="24"/>
          <w:szCs w:val="24"/>
          <w:u w:val="single" w:color="000000"/>
        </w:rPr>
        <w:t>Information</w:t>
      </w:r>
      <w:r w:rsidRPr="00DF49B3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DF49B3">
        <w:rPr>
          <w:rFonts w:ascii="Times New Roman" w:hAnsi="Times New Roman" w:cs="Times New Roman"/>
          <w:sz w:val="24"/>
          <w:szCs w:val="24"/>
          <w:u w:val="single" w:color="000000"/>
        </w:rPr>
        <w:t>Users</w:t>
      </w:r>
    </w:p>
    <w:p w14:paraId="45205C2D" w14:textId="77777777" w:rsidR="00EE0027" w:rsidRPr="00DF49B3" w:rsidRDefault="00EE002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C405319" w14:textId="57B8D219" w:rsidR="00AA3837" w:rsidRPr="00DF49B3" w:rsidRDefault="00E41B49" w:rsidP="00DF49B3">
      <w:pPr>
        <w:pStyle w:val="BodyText"/>
        <w:spacing w:before="69"/>
        <w:ind w:left="0"/>
        <w:rPr>
          <w:rFonts w:cs="Times New Roman"/>
        </w:rPr>
      </w:pPr>
      <w:r w:rsidRPr="00DF49B3">
        <w:rPr>
          <w:rFonts w:cs="Times New Roman"/>
        </w:rPr>
        <w:t>It</w:t>
      </w:r>
      <w:r w:rsidRPr="00DF49B3">
        <w:rPr>
          <w:rFonts w:cs="Times New Roman"/>
          <w:spacing w:val="-12"/>
        </w:rPr>
        <w:t xml:space="preserve"> </w:t>
      </w:r>
      <w:r w:rsidRPr="00DF49B3">
        <w:rPr>
          <w:rFonts w:cs="Times New Roman"/>
        </w:rPr>
        <w:t>is expected that covered entities under HIPAA (health plans, health care clearinghouses</w:t>
      </w:r>
      <w:r w:rsidR="007C5B2F" w:rsidRPr="00DF49B3">
        <w:rPr>
          <w:rFonts w:cs="Times New Roman"/>
        </w:rPr>
        <w:t xml:space="preserve">, and </w:t>
      </w:r>
      <w:r w:rsidRPr="00DF49B3">
        <w:rPr>
          <w:rFonts w:cs="Times New Roman"/>
        </w:rPr>
        <w:t xml:space="preserve">health care providers) and </w:t>
      </w:r>
      <w:r w:rsidR="007C5B2F" w:rsidRPr="00DF49B3">
        <w:rPr>
          <w:rFonts w:cs="Times New Roman"/>
        </w:rPr>
        <w:t>any entity requesting to file a complaint will use this form</w:t>
      </w:r>
      <w:r w:rsidR="00453D10" w:rsidRPr="00DF49B3">
        <w:rPr>
          <w:rFonts w:cs="Times New Roman"/>
        </w:rPr>
        <w:t>.</w:t>
      </w:r>
      <w:r w:rsidR="00AA3837" w:rsidRPr="00DF49B3">
        <w:rPr>
          <w:rFonts w:cs="Times New Roman"/>
        </w:rPr>
        <w:t xml:space="preserve"> The complaint form is available to </w:t>
      </w:r>
      <w:r w:rsidR="007C5B2F" w:rsidRPr="00DF49B3">
        <w:rPr>
          <w:rFonts w:cs="Times New Roman"/>
        </w:rPr>
        <w:t xml:space="preserve">all internal and </w:t>
      </w:r>
      <w:r w:rsidR="00AA3837" w:rsidRPr="00DF49B3">
        <w:rPr>
          <w:rFonts w:cs="Times New Roman"/>
        </w:rPr>
        <w:t>external entities</w:t>
      </w:r>
      <w:r w:rsidR="007C5B2F" w:rsidRPr="00DF49B3">
        <w:rPr>
          <w:rFonts w:cs="Times New Roman"/>
        </w:rPr>
        <w:t xml:space="preserve">, as well </w:t>
      </w:r>
      <w:r w:rsidR="00453D10" w:rsidRPr="00DF49B3">
        <w:rPr>
          <w:rFonts w:cs="Times New Roman"/>
        </w:rPr>
        <w:t>as, individuals</w:t>
      </w:r>
      <w:r w:rsidR="00AA3837" w:rsidRPr="00DF49B3">
        <w:rPr>
          <w:rFonts w:cs="Times New Roman"/>
        </w:rPr>
        <w:t xml:space="preserve">.  Anyone can file a complaint </w:t>
      </w:r>
      <w:r w:rsidR="007C5B2F" w:rsidRPr="00DF49B3">
        <w:rPr>
          <w:rFonts w:cs="Times New Roman"/>
        </w:rPr>
        <w:t>if they suspect a potential violation</w:t>
      </w:r>
      <w:r w:rsidR="00AA3837" w:rsidRPr="00DF49B3">
        <w:rPr>
          <w:rFonts w:cs="Times New Roman"/>
        </w:rPr>
        <w:t>.</w:t>
      </w:r>
      <w:r w:rsidR="00DF49B3">
        <w:rPr>
          <w:rFonts w:cs="Times New Roman"/>
        </w:rPr>
        <w:t xml:space="preserve">  </w:t>
      </w:r>
      <w:r w:rsidR="00AA3837" w:rsidRPr="00DF49B3">
        <w:rPr>
          <w:rFonts w:cs="Times New Roman"/>
        </w:rPr>
        <w:t>CMS enforcement staff use the information to investigate allegations of non-compliance with the HIPAA adopted transaction standards, code sets, unique identifiers and operating rules.</w:t>
      </w:r>
    </w:p>
    <w:p w14:paraId="2675A9DD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024C6B" w14:textId="77777777" w:rsidR="00EE0027" w:rsidRDefault="00E41B49">
      <w:pPr>
        <w:pStyle w:val="ListParagraph"/>
        <w:numPr>
          <w:ilvl w:val="0"/>
          <w:numId w:val="1"/>
        </w:numPr>
        <w:tabs>
          <w:tab w:val="left" w:pos="441"/>
        </w:tabs>
        <w:ind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Use of Information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Technology</w:t>
      </w:r>
    </w:p>
    <w:p w14:paraId="723A6322" w14:textId="77777777" w:rsidR="00EE0027" w:rsidRDefault="00EE002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4FA0D62" w14:textId="77777777" w:rsidR="00EE0027" w:rsidRDefault="00E41B49" w:rsidP="00DF49B3">
      <w:pPr>
        <w:pStyle w:val="BodyText"/>
        <w:spacing w:before="69"/>
        <w:ind w:left="0"/>
      </w:pPr>
      <w:r>
        <w:t xml:space="preserve">This process involves the use of electronic and paper collection techniques. </w:t>
      </w:r>
      <w:r>
        <w:rPr>
          <w:spacing w:val="-3"/>
        </w:rPr>
        <w:t xml:space="preserve">It </w:t>
      </w:r>
      <w:r>
        <w:t>is expected</w:t>
      </w:r>
      <w:r>
        <w:rPr>
          <w:spacing w:val="-2"/>
        </w:rPr>
        <w:t xml:space="preserve"> </w:t>
      </w:r>
      <w:r>
        <w:t>that approximately 95% of complaints submitted will be electronic. The electronic process</w:t>
      </w:r>
      <w:r>
        <w:rPr>
          <w:spacing w:val="-16"/>
        </w:rPr>
        <w:t xml:space="preserve"> </w:t>
      </w:r>
      <w:r>
        <w:t>allows for a more efficient submission process. This collection is currently available for</w:t>
      </w:r>
      <w:r>
        <w:rPr>
          <w:spacing w:val="-20"/>
        </w:rPr>
        <w:t xml:space="preserve"> </w:t>
      </w:r>
      <w:r>
        <w:t>completion electronically and will be expanded to collect additional HIPAA A.S. complaint types in</w:t>
      </w:r>
      <w:r>
        <w:rPr>
          <w:spacing w:val="-9"/>
        </w:rPr>
        <w:t xml:space="preserve"> </w:t>
      </w:r>
      <w:r>
        <w:t>the future. The collection requires an acknowledgement submission button as the</w:t>
      </w:r>
      <w:r>
        <w:rPr>
          <w:spacing w:val="-7"/>
        </w:rPr>
        <w:t xml:space="preserve"> </w:t>
      </w:r>
      <w:r>
        <w:t xml:space="preserve">electronic </w:t>
      </w:r>
      <w:r>
        <w:lastRenderedPageBreak/>
        <w:t>signature or signature on</w:t>
      </w:r>
      <w:r>
        <w:rPr>
          <w:spacing w:val="-7"/>
        </w:rPr>
        <w:t xml:space="preserve"> </w:t>
      </w:r>
      <w:r>
        <w:t>paper.</w:t>
      </w:r>
    </w:p>
    <w:p w14:paraId="47E03028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A45A46" w14:textId="77777777" w:rsidR="00EE0027" w:rsidRDefault="00E41B49">
      <w:pPr>
        <w:pStyle w:val="ListParagraph"/>
        <w:numPr>
          <w:ilvl w:val="0"/>
          <w:numId w:val="1"/>
        </w:numPr>
        <w:tabs>
          <w:tab w:val="left" w:pos="441"/>
        </w:tabs>
        <w:ind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Duplication of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Efforts</w:t>
      </w:r>
    </w:p>
    <w:p w14:paraId="02283747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BDD5E68" w14:textId="77777777" w:rsidR="00EE0027" w:rsidRDefault="00E41B49" w:rsidP="00DF49B3">
      <w:pPr>
        <w:pStyle w:val="BodyText"/>
        <w:spacing w:before="69"/>
        <w:ind w:left="0" w:right="196"/>
      </w:pPr>
      <w:r>
        <w:t>This information collection does not duplicate any other effort and the information cannot</w:t>
      </w:r>
      <w:r>
        <w:rPr>
          <w:spacing w:val="-13"/>
        </w:rPr>
        <w:t xml:space="preserve"> </w:t>
      </w:r>
      <w:r>
        <w:t>be obtained from any other</w:t>
      </w:r>
      <w:r>
        <w:rPr>
          <w:spacing w:val="-4"/>
        </w:rPr>
        <w:t xml:space="preserve"> </w:t>
      </w:r>
      <w:r>
        <w:t>source.</w:t>
      </w:r>
    </w:p>
    <w:p w14:paraId="567B9DCA" w14:textId="77777777" w:rsidR="00EE0027" w:rsidRDefault="00EE002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F612F57" w14:textId="77777777" w:rsidR="00EE0027" w:rsidRDefault="00E41B49">
      <w:pPr>
        <w:pStyle w:val="ListParagraph"/>
        <w:numPr>
          <w:ilvl w:val="0"/>
          <w:numId w:val="1"/>
        </w:numPr>
        <w:tabs>
          <w:tab w:val="left" w:pos="441"/>
        </w:tabs>
        <w:ind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Small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Businesses</w:t>
      </w:r>
    </w:p>
    <w:p w14:paraId="2E61F818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EA5CECC" w14:textId="77777777" w:rsidR="00DF49B3" w:rsidRDefault="00E41B49" w:rsidP="00DF49B3">
      <w:pPr>
        <w:pStyle w:val="BodyText"/>
        <w:spacing w:before="69"/>
        <w:ind w:left="0" w:right="328"/>
        <w:jc w:val="both"/>
      </w:pPr>
      <w:r>
        <w:t>This collection would impact small businesses or other small entities if the entity chooses</w:t>
      </w:r>
      <w:r>
        <w:rPr>
          <w:spacing w:val="-14"/>
        </w:rPr>
        <w:t xml:space="preserve"> </w:t>
      </w:r>
      <w:r>
        <w:t>to submit a HIPAA A.S. complaint. The burden is minimized by allowing an entity of any</w:t>
      </w:r>
      <w:r>
        <w:rPr>
          <w:spacing w:val="-22"/>
        </w:rPr>
        <w:t xml:space="preserve"> </w:t>
      </w:r>
      <w:r>
        <w:t>size to submit complaints</w:t>
      </w:r>
      <w:r>
        <w:rPr>
          <w:spacing w:val="-7"/>
        </w:rPr>
        <w:t xml:space="preserve"> </w:t>
      </w:r>
      <w:r>
        <w:t>electronically.</w:t>
      </w:r>
    </w:p>
    <w:p w14:paraId="596DFE4F" w14:textId="77777777" w:rsidR="00DF49B3" w:rsidRDefault="00DF49B3" w:rsidP="00DF49B3">
      <w:pPr>
        <w:pStyle w:val="BodyText"/>
        <w:spacing w:before="69"/>
        <w:ind w:left="0" w:right="328"/>
        <w:jc w:val="both"/>
      </w:pPr>
    </w:p>
    <w:p w14:paraId="0725005E" w14:textId="0A4CE71F" w:rsidR="00EE0027" w:rsidRPr="00DF49B3" w:rsidRDefault="00E41B49" w:rsidP="00DF49B3">
      <w:pPr>
        <w:pStyle w:val="BodyText"/>
        <w:numPr>
          <w:ilvl w:val="0"/>
          <w:numId w:val="1"/>
        </w:numPr>
        <w:spacing w:before="69"/>
        <w:ind w:right="328"/>
        <w:jc w:val="both"/>
        <w:rPr>
          <w:rFonts w:cs="Times New Roman"/>
        </w:rPr>
      </w:pPr>
      <w:r w:rsidRPr="00DF49B3">
        <w:rPr>
          <w:u w:val="single" w:color="000000"/>
        </w:rPr>
        <w:t>Less Frequent</w:t>
      </w:r>
      <w:r w:rsidRPr="00DF49B3">
        <w:rPr>
          <w:spacing w:val="1"/>
          <w:u w:val="single" w:color="000000"/>
        </w:rPr>
        <w:t xml:space="preserve"> </w:t>
      </w:r>
      <w:r w:rsidRPr="00DF49B3">
        <w:rPr>
          <w:u w:val="single" w:color="000000"/>
        </w:rPr>
        <w:t>Collection</w:t>
      </w:r>
    </w:p>
    <w:p w14:paraId="318BC1C2" w14:textId="77777777" w:rsidR="00EE0027" w:rsidRDefault="00EE002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994FE60" w14:textId="77777777" w:rsidR="00EE0027" w:rsidRDefault="00E41B49" w:rsidP="00DF49B3">
      <w:pPr>
        <w:pStyle w:val="BodyText"/>
        <w:spacing w:before="69"/>
        <w:ind w:left="0" w:right="105"/>
      </w:pPr>
      <w:r>
        <w:t>Submission of the complaint form is a voluntary</w:t>
      </w:r>
      <w:r>
        <w:rPr>
          <w:spacing w:val="-11"/>
        </w:rPr>
        <w:t xml:space="preserve"> </w:t>
      </w:r>
      <w:r>
        <w:t>process.</w:t>
      </w:r>
    </w:p>
    <w:p w14:paraId="43EF8CFB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00466F" w14:textId="77777777" w:rsidR="00EE0027" w:rsidRDefault="00E41B49">
      <w:pPr>
        <w:pStyle w:val="ListParagraph"/>
        <w:numPr>
          <w:ilvl w:val="0"/>
          <w:numId w:val="1"/>
        </w:numPr>
        <w:tabs>
          <w:tab w:val="left" w:pos="441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Special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Circumstances</w:t>
      </w:r>
    </w:p>
    <w:p w14:paraId="1D9AF495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CA5ACF4" w14:textId="77777777" w:rsidR="00EE0027" w:rsidRDefault="00E41B49" w:rsidP="00DF49B3">
      <w:pPr>
        <w:pStyle w:val="BodyText"/>
        <w:spacing w:before="69"/>
        <w:ind w:left="0" w:right="105"/>
      </w:pPr>
      <w:r>
        <w:t>This information collection does not contain any special</w:t>
      </w:r>
      <w:r>
        <w:rPr>
          <w:spacing w:val="-12"/>
        </w:rPr>
        <w:t xml:space="preserve"> </w:t>
      </w:r>
      <w:r>
        <w:t>circumstances.</w:t>
      </w:r>
    </w:p>
    <w:p w14:paraId="5AE8E8A7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22A9B" w14:textId="77777777" w:rsidR="00EE0027" w:rsidRDefault="00E41B49">
      <w:pPr>
        <w:pStyle w:val="ListParagraph"/>
        <w:numPr>
          <w:ilvl w:val="0"/>
          <w:numId w:val="1"/>
        </w:numPr>
        <w:tabs>
          <w:tab w:val="left" w:pos="441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Federal Register/Outside Consultation</w:t>
      </w:r>
    </w:p>
    <w:p w14:paraId="03995148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BCFE9E2" w14:textId="77777777" w:rsidR="00EE0027" w:rsidRDefault="00E41B49" w:rsidP="00DF49B3">
      <w:pPr>
        <w:pStyle w:val="BodyText"/>
        <w:spacing w:before="69"/>
        <w:ind w:left="0" w:right="105"/>
      </w:pPr>
      <w:r>
        <w:t xml:space="preserve">The </w:t>
      </w:r>
      <w:r>
        <w:rPr>
          <w:u w:val="single" w:color="000000"/>
        </w:rPr>
        <w:t xml:space="preserve">Federal Register </w:t>
      </w:r>
      <w:r>
        <w:t>notice published on June 6,</w:t>
      </w:r>
      <w:r>
        <w:rPr>
          <w:spacing w:val="-8"/>
        </w:rPr>
        <w:t xml:space="preserve"> </w:t>
      </w:r>
      <w:r>
        <w:t>2016.</w:t>
      </w:r>
    </w:p>
    <w:p w14:paraId="624C5BD1" w14:textId="77777777" w:rsidR="00EE0027" w:rsidRDefault="00EE002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6B3D2A" w14:textId="77777777" w:rsidR="00EE0027" w:rsidRDefault="00EE0027">
      <w:pPr>
        <w:spacing w:before="1"/>
        <w:rPr>
          <w:rFonts w:ascii="Times New Roman" w:eastAsia="Times New Roman" w:hAnsi="Times New Roman" w:cs="Times New Roman"/>
        </w:rPr>
      </w:pPr>
    </w:p>
    <w:p w14:paraId="7B163EBC" w14:textId="77777777" w:rsidR="00EE0027" w:rsidRDefault="00E41B49">
      <w:pPr>
        <w:pStyle w:val="ListParagraph"/>
        <w:numPr>
          <w:ilvl w:val="0"/>
          <w:numId w:val="1"/>
        </w:numPr>
        <w:tabs>
          <w:tab w:val="left" w:pos="441"/>
        </w:tabs>
        <w:spacing w:before="69"/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Payments/Gifts to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Respondents</w:t>
      </w:r>
    </w:p>
    <w:p w14:paraId="1F71A145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54487FD" w14:textId="77777777" w:rsidR="00EE0027" w:rsidRDefault="00E41B49" w:rsidP="00DF49B3">
      <w:pPr>
        <w:pStyle w:val="BodyText"/>
        <w:spacing w:before="69"/>
        <w:ind w:left="0" w:right="105"/>
      </w:pPr>
      <w:r>
        <w:t>There will be no payments and/or gifts to</w:t>
      </w:r>
      <w:r>
        <w:rPr>
          <w:spacing w:val="-9"/>
        </w:rPr>
        <w:t xml:space="preserve"> </w:t>
      </w:r>
      <w:r>
        <w:t>respondents.</w:t>
      </w:r>
    </w:p>
    <w:p w14:paraId="1121F065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10135A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Confidentiality</w:t>
      </w:r>
    </w:p>
    <w:p w14:paraId="29C35A89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674F064" w14:textId="77777777" w:rsidR="00EE0027" w:rsidRDefault="00E41B49" w:rsidP="00DF49B3">
      <w:pPr>
        <w:pStyle w:val="BodyText"/>
        <w:spacing w:before="69"/>
        <w:ind w:left="0" w:right="105"/>
      </w:pPr>
      <w:r>
        <w:t>Filing a complaint with CMS is voluntary. However, without the information requested on</w:t>
      </w:r>
      <w:r>
        <w:rPr>
          <w:spacing w:val="-18"/>
        </w:rPr>
        <w:t xml:space="preserve"> </w:t>
      </w:r>
      <w:r>
        <w:t>the complaint form, CMS may be unable to proceed with a complaint. CMS collects</w:t>
      </w:r>
      <w:r>
        <w:rPr>
          <w:spacing w:val="-5"/>
        </w:rPr>
        <w:t xml:space="preserve"> </w:t>
      </w:r>
      <w:r>
        <w:t>this information under authority of 68 FR 60694 (October 23, 2003) issued pursuant to</w:t>
      </w:r>
      <w:r>
        <w:rPr>
          <w:spacing w:val="-8"/>
        </w:rPr>
        <w:t xml:space="preserve"> </w:t>
      </w:r>
      <w:r>
        <w:t>the HIPAA. CMS will use the information provided to determine if CMS has jurisdiction and,</w:t>
      </w:r>
      <w:r>
        <w:rPr>
          <w:spacing w:val="-10"/>
        </w:rPr>
        <w:t xml:space="preserve"> </w:t>
      </w:r>
      <w:r>
        <w:t>if so, how CMS will process the complaint. Information submitted on the complaint form</w:t>
      </w:r>
      <w:r>
        <w:rPr>
          <w:spacing w:val="-5"/>
        </w:rPr>
        <w:t xml:space="preserve"> </w:t>
      </w:r>
      <w:r>
        <w:t>is treated confidentially and is protected under the provisions of the Privacy Act of 1974.</w:t>
      </w:r>
      <w:r>
        <w:rPr>
          <w:spacing w:val="-13"/>
        </w:rPr>
        <w:t xml:space="preserve"> </w:t>
      </w:r>
      <w:r>
        <w:t>Names or other identifying information about individuals are disclosed only when it is necessary</w:t>
      </w:r>
      <w:r>
        <w:rPr>
          <w:spacing w:val="-15"/>
        </w:rPr>
        <w:t xml:space="preserve"> </w:t>
      </w:r>
      <w:r>
        <w:t>for investigation of possible HIPAA A.S. Non-Privacy violations, for internal systems</w:t>
      </w:r>
      <w:r>
        <w:rPr>
          <w:spacing w:val="-17"/>
        </w:rPr>
        <w:t xml:space="preserve"> </w:t>
      </w:r>
      <w:r>
        <w:t>operations, or for routine uses, which include disclosure of information outside the Department</w:t>
      </w:r>
      <w:r>
        <w:rPr>
          <w:spacing w:val="-7"/>
        </w:rPr>
        <w:t xml:space="preserve"> </w:t>
      </w:r>
      <w:r>
        <w:t>for purposes associated with HIPAA A.S. Non-Privacy compliance and as permitted by</w:t>
      </w:r>
      <w:r>
        <w:rPr>
          <w:spacing w:val="-12"/>
        </w:rPr>
        <w:t xml:space="preserve"> </w:t>
      </w:r>
      <w:r>
        <w:t>SORN 09-90-0052.</w:t>
      </w:r>
    </w:p>
    <w:p w14:paraId="0F371621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8B5BF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Sensitive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Questions</w:t>
      </w:r>
    </w:p>
    <w:p w14:paraId="19413E59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701ADA0" w14:textId="77777777" w:rsidR="00EE0027" w:rsidRDefault="00E41B49" w:rsidP="00DF49B3">
      <w:pPr>
        <w:pStyle w:val="BodyText"/>
        <w:spacing w:before="69"/>
        <w:ind w:left="0" w:right="105"/>
      </w:pPr>
      <w:r>
        <w:lastRenderedPageBreak/>
        <w:t>This information collection does not contain any sensitive</w:t>
      </w:r>
      <w:r>
        <w:rPr>
          <w:spacing w:val="-8"/>
        </w:rPr>
        <w:t xml:space="preserve"> </w:t>
      </w:r>
      <w:r>
        <w:t>questions.</w:t>
      </w:r>
    </w:p>
    <w:p w14:paraId="166ED667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3E9E3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Burden Estimates (Hours &amp;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Wages)</w:t>
      </w:r>
    </w:p>
    <w:p w14:paraId="3DD07358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0E5D48F" w14:textId="77777777" w:rsidR="00EE0027" w:rsidRDefault="00E41B49" w:rsidP="00DF49B3">
      <w:pPr>
        <w:pStyle w:val="BodyText"/>
        <w:spacing w:before="69"/>
        <w:ind w:left="0" w:right="118"/>
      </w:pPr>
      <w:r>
        <w:t>Public reporting burden for the collection of information on this updated complaint form</w:t>
      </w:r>
      <w:r>
        <w:rPr>
          <w:spacing w:val="-11"/>
        </w:rPr>
        <w:t xml:space="preserve"> </w:t>
      </w:r>
      <w:r>
        <w:t>has not changed and is estimated to average 1 hour per response, including the time for</w:t>
      </w:r>
      <w:r>
        <w:rPr>
          <w:spacing w:val="-11"/>
        </w:rPr>
        <w:t xml:space="preserve"> </w:t>
      </w:r>
      <w:r>
        <w:t>reviewing instructions, gathering the data needed and entering and reviewing the information on</w:t>
      </w:r>
      <w:r>
        <w:rPr>
          <w:spacing w:val="-11"/>
        </w:rPr>
        <w:t xml:space="preserve"> </w:t>
      </w:r>
      <w:r>
        <w:t xml:space="preserve">the completed complaint form. </w:t>
      </w:r>
      <w:r>
        <w:rPr>
          <w:spacing w:val="-3"/>
        </w:rPr>
        <w:t xml:space="preserve">It </w:t>
      </w:r>
      <w:r>
        <w:t>is estimated that approximately 500 respondents per year</w:t>
      </w:r>
      <w:r>
        <w:rPr>
          <w:spacing w:val="-4"/>
        </w:rPr>
        <w:t xml:space="preserve"> </w:t>
      </w:r>
      <w:r>
        <w:t>will file HIPAA Non-Privacy/Security complaints using this form. The total public</w:t>
      </w:r>
      <w:r>
        <w:rPr>
          <w:spacing w:val="-13"/>
        </w:rPr>
        <w:t xml:space="preserve"> </w:t>
      </w:r>
      <w:r>
        <w:t>reporting burden per year will be approximately 500 hours. This estimate is based on the</w:t>
      </w:r>
      <w:r>
        <w:rPr>
          <w:spacing w:val="-8"/>
        </w:rPr>
        <w:t xml:space="preserve"> </w:t>
      </w:r>
      <w:r>
        <w:t>current average number of complaints received over the past three years.</w:t>
      </w:r>
    </w:p>
    <w:p w14:paraId="0C182069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A000F0" w14:textId="77777777" w:rsidR="00EE0027" w:rsidRDefault="00E41B49" w:rsidP="00DF49B3">
      <w:pPr>
        <w:pStyle w:val="BodyText"/>
        <w:ind w:left="0" w:right="120"/>
      </w:pPr>
      <w:r>
        <w:rPr>
          <w:rFonts w:cs="Times New Roman"/>
        </w:rPr>
        <w:t>This information collection change clarifies the “Identify the HIPAA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Non</w:t>
      </w:r>
      <w:r>
        <w:t xml:space="preserve">-Privacy/Security </w:t>
      </w:r>
      <w:r>
        <w:rPr>
          <w:rFonts w:cs="Times New Roman"/>
        </w:rPr>
        <w:t xml:space="preserve">complaint category” section of the complaint form. </w:t>
      </w:r>
      <w:r>
        <w:rPr>
          <w:rFonts w:cs="Times New Roman"/>
          <w:spacing w:val="-3"/>
        </w:rPr>
        <w:t xml:space="preserve">In </w:t>
      </w:r>
      <w:r>
        <w:rPr>
          <w:rFonts w:cs="Times New Roman"/>
        </w:rPr>
        <w:t>this section, complainants ar</w:t>
      </w:r>
      <w:r>
        <w:t>e given</w:t>
      </w:r>
      <w:r>
        <w:rPr>
          <w:spacing w:val="-6"/>
        </w:rPr>
        <w:t xml:space="preserve"> </w:t>
      </w:r>
      <w:r>
        <w:t xml:space="preserve">an </w:t>
      </w:r>
      <w:r>
        <w:rPr>
          <w:rFonts w:cs="Times New Roman"/>
        </w:rPr>
        <w:t xml:space="preserve">opportunity to check the “Unique Identifiers” </w:t>
      </w:r>
      <w:r>
        <w:t xml:space="preserve">and </w:t>
      </w:r>
      <w:r>
        <w:rPr>
          <w:rFonts w:cs="Times New Roman"/>
        </w:rPr>
        <w:t>“O</w:t>
      </w:r>
      <w:r>
        <w:t>perating Rules</w:t>
      </w:r>
      <w:r>
        <w:rPr>
          <w:rFonts w:cs="Times New Roman"/>
        </w:rPr>
        <w:t xml:space="preserve">” </w:t>
      </w:r>
      <w:r>
        <w:t>option to</w:t>
      </w:r>
      <w:r>
        <w:rPr>
          <w:spacing w:val="-5"/>
        </w:rPr>
        <w:t xml:space="preserve"> </w:t>
      </w:r>
      <w:r>
        <w:t>additionally categorize the type of HIPAA complaint being filed.  The revised form now includes</w:t>
      </w:r>
      <w:r>
        <w:rPr>
          <w:spacing w:val="-10"/>
        </w:rPr>
        <w:t xml:space="preserve"> </w:t>
      </w:r>
      <w:r>
        <w:t>an option for identifying Unique Identifier and Operating Rules</w:t>
      </w:r>
      <w:r>
        <w:rPr>
          <w:spacing w:val="-14"/>
        </w:rPr>
        <w:t xml:space="preserve"> </w:t>
      </w:r>
      <w:r>
        <w:t>complaints.</w:t>
      </w:r>
    </w:p>
    <w:p w14:paraId="5950BD48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7A5D4C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Capital Costs</w:t>
      </w:r>
    </w:p>
    <w:p w14:paraId="3659D838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FC8AB3F" w14:textId="77777777" w:rsidR="00EE0027" w:rsidRDefault="00E41B49" w:rsidP="00DF49B3">
      <w:pPr>
        <w:pStyle w:val="BodyText"/>
        <w:spacing w:before="69"/>
        <w:ind w:left="0" w:right="120"/>
      </w:pPr>
      <w:r>
        <w:t>There are no capital costs for this</w:t>
      </w:r>
      <w:r>
        <w:rPr>
          <w:spacing w:val="-9"/>
        </w:rPr>
        <w:t xml:space="preserve"> </w:t>
      </w:r>
      <w:r>
        <w:t>collection.</w:t>
      </w:r>
    </w:p>
    <w:p w14:paraId="405E4DA1" w14:textId="77777777" w:rsidR="00EE0027" w:rsidRDefault="00EE002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CD4E6BC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Cost to Federal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Government</w:t>
      </w:r>
    </w:p>
    <w:p w14:paraId="0EA4C4EB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2232058" w14:textId="77777777" w:rsidR="00EE0027" w:rsidRPr="0043212A" w:rsidRDefault="00E41B49" w:rsidP="00DF49B3">
      <w:pPr>
        <w:pStyle w:val="BodyText"/>
        <w:spacing w:before="69"/>
        <w:ind w:left="0" w:right="419"/>
        <w:jc w:val="both"/>
      </w:pPr>
      <w:r w:rsidRPr="0043212A">
        <w:t>There is no cost burd</w:t>
      </w:r>
      <w:r w:rsidR="0043212A">
        <w:t>en to the federal government as the form</w:t>
      </w:r>
      <w:r w:rsidR="0043212A" w:rsidRPr="0043212A">
        <w:t xml:space="preserve"> will be processed in the normal course of Federal duties.  Two </w:t>
      </w:r>
      <w:r w:rsidRPr="0043212A">
        <w:t>FTEs at the GS-13 level and 1 FTE</w:t>
      </w:r>
      <w:r w:rsidRPr="0043212A">
        <w:rPr>
          <w:spacing w:val="-16"/>
        </w:rPr>
        <w:t xml:space="preserve"> </w:t>
      </w:r>
      <w:r w:rsidRPr="0043212A">
        <w:t>at the GS-12 level will review this document. The expected totals are 30% of their</w:t>
      </w:r>
      <w:r w:rsidRPr="0043212A">
        <w:rPr>
          <w:spacing w:val="-12"/>
        </w:rPr>
        <w:t xml:space="preserve"> </w:t>
      </w:r>
      <w:r w:rsidR="0043212A">
        <w:rPr>
          <w:spacing w:val="-12"/>
        </w:rPr>
        <w:t xml:space="preserve">daily </w:t>
      </w:r>
      <w:r w:rsidR="0043212A">
        <w:t>workload</w:t>
      </w:r>
      <w:r w:rsidRPr="0043212A">
        <w:t>.</w:t>
      </w:r>
    </w:p>
    <w:p w14:paraId="789CB9EA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954011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Changes to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Burden</w:t>
      </w:r>
    </w:p>
    <w:p w14:paraId="0BC7A1F9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49D801D" w14:textId="2A390E67" w:rsidR="00EE0027" w:rsidRDefault="00E41B49" w:rsidP="00DF49B3">
      <w:pPr>
        <w:pStyle w:val="BodyText"/>
        <w:spacing w:before="69"/>
        <w:ind w:left="0" w:right="120"/>
      </w:pPr>
      <w:r>
        <w:rPr>
          <w:rFonts w:cs="Times New Roman"/>
        </w:rPr>
        <w:t xml:space="preserve">This information collection change clarifies </w:t>
      </w:r>
      <w:r w:rsidR="007C5B2F">
        <w:rPr>
          <w:rFonts w:cs="Times New Roman"/>
        </w:rPr>
        <w:t xml:space="preserve">that </w:t>
      </w:r>
      <w:r>
        <w:rPr>
          <w:rFonts w:cs="Times New Roman"/>
        </w:rPr>
        <w:t>the “Identify the HIPAA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Non</w:t>
      </w:r>
      <w:r>
        <w:t xml:space="preserve">-Privacy/Security </w:t>
      </w:r>
      <w:r>
        <w:rPr>
          <w:rFonts w:cs="Times New Roman"/>
        </w:rPr>
        <w:t xml:space="preserve">complaint category” </w:t>
      </w:r>
      <w:r w:rsidR="00453D10">
        <w:rPr>
          <w:rFonts w:cs="Times New Roman"/>
        </w:rPr>
        <w:t>sections</w:t>
      </w:r>
      <w:r w:rsidR="007C5B2F">
        <w:rPr>
          <w:rFonts w:cs="Times New Roman"/>
        </w:rPr>
        <w:t xml:space="preserve"> strictly used for potential privacy and security complaints.  These complaints are investigated through the Office of Civil Rights (OCR)</w:t>
      </w:r>
      <w:r>
        <w:rPr>
          <w:rFonts w:cs="Times New Roman"/>
        </w:rPr>
        <w:t>.</w:t>
      </w:r>
      <w:r w:rsidR="00453D10">
        <w:rPr>
          <w:rFonts w:cs="Times New Roman"/>
        </w:rPr>
        <w:t xml:space="preserve">The original complaint form indicated that </w:t>
      </w:r>
      <w:r>
        <w:rPr>
          <w:rFonts w:cs="Times New Roman"/>
        </w:rPr>
        <w:t xml:space="preserve">complainants </w:t>
      </w:r>
      <w:r w:rsidR="00453D10">
        <w:rPr>
          <w:rFonts w:cs="Times New Roman"/>
        </w:rPr>
        <w:t>were</w:t>
      </w:r>
      <w:r>
        <w:rPr>
          <w:rFonts w:cs="Times New Roman"/>
        </w:rPr>
        <w:t xml:space="preserve"> given</w:t>
      </w:r>
      <w:r>
        <w:rPr>
          <w:rFonts w:cs="Times New Roman"/>
          <w:spacing w:val="-11"/>
        </w:rPr>
        <w:t xml:space="preserve"> </w:t>
      </w:r>
      <w:r w:rsidR="0099735C">
        <w:rPr>
          <w:rFonts w:cs="Times New Roman"/>
          <w:spacing w:val="-11"/>
        </w:rPr>
        <w:t>t</w:t>
      </w:r>
      <w:r w:rsidR="00453D10">
        <w:rPr>
          <w:rFonts w:cs="Times New Roman"/>
        </w:rPr>
        <w:t>he</w:t>
      </w:r>
      <w:r w:rsidR="00453D10">
        <w:t xml:space="preserve"> oppor</w:t>
      </w:r>
      <w:r w:rsidR="00453D10">
        <w:rPr>
          <w:rFonts w:cs="Times New Roman"/>
        </w:rPr>
        <w:t>tunity</w:t>
      </w:r>
      <w:r>
        <w:rPr>
          <w:rFonts w:cs="Times New Roman"/>
        </w:rPr>
        <w:t xml:space="preserve"> to </w:t>
      </w:r>
      <w:r w:rsidR="00453D10">
        <w:rPr>
          <w:rFonts w:cs="Times New Roman"/>
        </w:rPr>
        <w:t xml:space="preserve">file complaints under the administrative simplification standards of code sets and transactions. </w:t>
      </w:r>
      <w:r>
        <w:t>The revised form now includes</w:t>
      </w:r>
      <w:r>
        <w:rPr>
          <w:spacing w:val="-10"/>
        </w:rPr>
        <w:t xml:space="preserve"> </w:t>
      </w:r>
      <w:r>
        <w:t xml:space="preserve">an option for </w:t>
      </w:r>
      <w:r w:rsidR="00453D10">
        <w:t>complaints to file under Unique</w:t>
      </w:r>
      <w:r>
        <w:t xml:space="preserve"> Identifier and Operating Rules. </w:t>
      </w:r>
      <w:r>
        <w:rPr>
          <w:spacing w:val="-3"/>
        </w:rPr>
        <w:t xml:space="preserve">It </w:t>
      </w:r>
      <w:r>
        <w:t>also</w:t>
      </w:r>
      <w:r>
        <w:rPr>
          <w:spacing w:val="-4"/>
        </w:rPr>
        <w:t xml:space="preserve"> </w:t>
      </w:r>
      <w:r>
        <w:t>requests email information about filed against entities, if available. This change does not impact</w:t>
      </w:r>
      <w:r>
        <w:rPr>
          <w:spacing w:val="-9"/>
        </w:rPr>
        <w:t xml:space="preserve"> </w:t>
      </w:r>
      <w:r>
        <w:t>the hours and wages burden</w:t>
      </w:r>
      <w:r>
        <w:rPr>
          <w:spacing w:val="-5"/>
        </w:rPr>
        <w:t xml:space="preserve"> </w:t>
      </w:r>
      <w:r>
        <w:t>estimate.</w:t>
      </w:r>
    </w:p>
    <w:p w14:paraId="294883EC" w14:textId="77777777" w:rsidR="00EE0027" w:rsidRDefault="00EE0027" w:rsidP="00071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F9AEBA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Publication/Tabulation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Dates</w:t>
      </w:r>
    </w:p>
    <w:p w14:paraId="4EB10609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84179C2" w14:textId="77777777" w:rsidR="00EE0027" w:rsidRDefault="00E41B49" w:rsidP="00DF49B3">
      <w:pPr>
        <w:pStyle w:val="BodyText"/>
        <w:spacing w:before="69"/>
        <w:ind w:left="0" w:right="120"/>
      </w:pPr>
      <w:r>
        <w:t>Does not apply to this information</w:t>
      </w:r>
      <w:r>
        <w:rPr>
          <w:spacing w:val="-7"/>
        </w:rPr>
        <w:t xml:space="preserve"> </w:t>
      </w:r>
      <w:r>
        <w:t>collection.</w:t>
      </w:r>
    </w:p>
    <w:p w14:paraId="02E8F64D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D8DF6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Expiration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Date</w:t>
      </w:r>
    </w:p>
    <w:p w14:paraId="5A7BF3BB" w14:textId="77777777" w:rsidR="00EE0027" w:rsidRDefault="00EE002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04223D9" w14:textId="3C1F400D" w:rsidR="00EE0027" w:rsidRDefault="00C61337" w:rsidP="00DF49B3">
      <w:pPr>
        <w:pStyle w:val="BodyText"/>
        <w:spacing w:before="69"/>
        <w:ind w:left="0" w:right="120"/>
      </w:pPr>
      <w:r>
        <w:t xml:space="preserve">The expiration date has been added to the form as part of the standard PRA disclosure </w:t>
      </w:r>
      <w:r>
        <w:lastRenderedPageBreak/>
        <w:t xml:space="preserve">statement.  </w:t>
      </w:r>
      <w:r w:rsidR="00807243">
        <w:t>It</w:t>
      </w:r>
      <w:r>
        <w:t xml:space="preserve"> is also posted in the top </w:t>
      </w:r>
      <w:r w:rsidR="006B359C">
        <w:t>left</w:t>
      </w:r>
      <w:r>
        <w:t xml:space="preserve"> corner of the document.</w:t>
      </w:r>
      <w:r w:rsidR="00807243">
        <w:t xml:space="preserve">  We also added the expiration date to the instruction document. </w:t>
      </w:r>
    </w:p>
    <w:p w14:paraId="646630A5" w14:textId="77777777" w:rsidR="00EE0027" w:rsidRDefault="00EE00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650A99" w14:textId="77777777" w:rsidR="00EE0027" w:rsidRDefault="00E41B49">
      <w:pPr>
        <w:pStyle w:val="ListParagraph"/>
        <w:numPr>
          <w:ilvl w:val="0"/>
          <w:numId w:val="1"/>
        </w:numPr>
        <w:tabs>
          <w:tab w:val="left" w:pos="532"/>
        </w:tabs>
        <w:ind w:left="531" w:right="1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Certification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Statement</w:t>
      </w:r>
    </w:p>
    <w:p w14:paraId="22547590" w14:textId="77777777" w:rsidR="00EE0027" w:rsidRDefault="00EE002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D2ED0F5" w14:textId="77777777" w:rsidR="00EE0027" w:rsidRDefault="00E41B49" w:rsidP="00807243">
      <w:pPr>
        <w:pStyle w:val="BodyText"/>
        <w:spacing w:before="69"/>
        <w:ind w:left="0" w:right="120"/>
      </w:pPr>
      <w:r>
        <w:t>There are no exceptions to the certification</w:t>
      </w:r>
      <w:r>
        <w:rPr>
          <w:spacing w:val="-8"/>
        </w:rPr>
        <w:t xml:space="preserve"> </w:t>
      </w:r>
      <w:r>
        <w:t>statement.</w:t>
      </w:r>
    </w:p>
    <w:sectPr w:rsidR="00EE0027">
      <w:footerReference w:type="default" r:id="rId7"/>
      <w:pgSz w:w="12240" w:h="15840"/>
      <w:pgMar w:top="1380" w:right="1220" w:bottom="1680" w:left="172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51F06" w14:textId="77777777" w:rsidR="00216B8F" w:rsidRDefault="00216B8F">
      <w:r>
        <w:separator/>
      </w:r>
    </w:p>
  </w:endnote>
  <w:endnote w:type="continuationSeparator" w:id="0">
    <w:p w14:paraId="097E5BD1" w14:textId="77777777" w:rsidR="00216B8F" w:rsidRDefault="00216B8F">
      <w:r>
        <w:continuationSeparator/>
      </w:r>
    </w:p>
  </w:endnote>
  <w:endnote w:type="continuationNotice" w:id="1">
    <w:p w14:paraId="27E2E692" w14:textId="77777777" w:rsidR="00216B8F" w:rsidRDefault="00216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A5B81" w14:textId="77777777" w:rsidR="00EE0027" w:rsidRPr="001E781C" w:rsidRDefault="00E41B49" w:rsidP="001E781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DAD577" wp14:editId="0C3C1099">
              <wp:simplePos x="0" y="0"/>
              <wp:positionH relativeFrom="page">
                <wp:posOffset>3869055</wp:posOffset>
              </wp:positionH>
              <wp:positionV relativeFrom="page">
                <wp:posOffset>8971915</wp:posOffset>
              </wp:positionV>
              <wp:extent cx="127000" cy="177800"/>
              <wp:effectExtent l="1905" t="0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5734D" w14:textId="77777777" w:rsidR="00EE0027" w:rsidRDefault="00E41B4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735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AD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65pt;margin-top:706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G+VTGTgAAAADQEAAA8A&#10;AAAAAAAAAAAAAAAABgUAAGRycy9kb3ducmV2LnhtbFBLBQYAAAAABAAEAPMAAAATBgAAAAA=&#10;" filled="f" stroked="f">
              <v:textbox inset="0,0,0,0">
                <w:txbxContent>
                  <w:p w14:paraId="7755734D" w14:textId="77777777" w:rsidR="00EE0027" w:rsidRDefault="00E41B4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735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32A23" w14:textId="77777777" w:rsidR="00216B8F" w:rsidRDefault="00216B8F">
      <w:r>
        <w:separator/>
      </w:r>
    </w:p>
  </w:footnote>
  <w:footnote w:type="continuationSeparator" w:id="0">
    <w:p w14:paraId="283A7844" w14:textId="77777777" w:rsidR="00216B8F" w:rsidRDefault="00216B8F">
      <w:r>
        <w:continuationSeparator/>
      </w:r>
    </w:p>
  </w:footnote>
  <w:footnote w:type="continuationNotice" w:id="1">
    <w:p w14:paraId="22DEE9D0" w14:textId="77777777" w:rsidR="00216B8F" w:rsidRDefault="00216B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441D9"/>
    <w:multiLevelType w:val="hybridMultilevel"/>
    <w:tmpl w:val="C412759A"/>
    <w:lvl w:ilvl="0" w:tplc="1B3AD4E4">
      <w:start w:val="1"/>
      <w:numFmt w:val="upperLetter"/>
      <w:lvlText w:val="%1."/>
      <w:lvlJc w:val="left"/>
      <w:pPr>
        <w:ind w:left="532" w:hanging="432"/>
      </w:pPr>
      <w:rPr>
        <w:rFonts w:hint="default"/>
        <w:spacing w:val="-1"/>
        <w:u w:val="thick" w:color="000000"/>
      </w:rPr>
    </w:lvl>
    <w:lvl w:ilvl="1" w:tplc="BDAC05B4">
      <w:start w:val="1"/>
      <w:numFmt w:val="bullet"/>
      <w:lvlText w:val="•"/>
      <w:lvlJc w:val="left"/>
      <w:pPr>
        <w:ind w:left="540" w:hanging="432"/>
      </w:pPr>
      <w:rPr>
        <w:rFonts w:hint="default"/>
      </w:rPr>
    </w:lvl>
    <w:lvl w:ilvl="2" w:tplc="39A2512E">
      <w:start w:val="1"/>
      <w:numFmt w:val="bullet"/>
      <w:lvlText w:val="•"/>
      <w:lvlJc w:val="left"/>
      <w:pPr>
        <w:ind w:left="740" w:hanging="432"/>
      </w:pPr>
      <w:rPr>
        <w:rFonts w:hint="default"/>
      </w:rPr>
    </w:lvl>
    <w:lvl w:ilvl="3" w:tplc="B644FFE2">
      <w:start w:val="1"/>
      <w:numFmt w:val="bullet"/>
      <w:lvlText w:val="•"/>
      <w:lvlJc w:val="left"/>
      <w:pPr>
        <w:ind w:left="1812" w:hanging="432"/>
      </w:pPr>
      <w:rPr>
        <w:rFonts w:hint="default"/>
      </w:rPr>
    </w:lvl>
    <w:lvl w:ilvl="4" w:tplc="09C044BE">
      <w:start w:val="1"/>
      <w:numFmt w:val="bullet"/>
      <w:lvlText w:val="•"/>
      <w:lvlJc w:val="left"/>
      <w:pPr>
        <w:ind w:left="2885" w:hanging="432"/>
      </w:pPr>
      <w:rPr>
        <w:rFonts w:hint="default"/>
      </w:rPr>
    </w:lvl>
    <w:lvl w:ilvl="5" w:tplc="82821A38">
      <w:start w:val="1"/>
      <w:numFmt w:val="bullet"/>
      <w:lvlText w:val="•"/>
      <w:lvlJc w:val="left"/>
      <w:pPr>
        <w:ind w:left="3957" w:hanging="432"/>
      </w:pPr>
      <w:rPr>
        <w:rFonts w:hint="default"/>
      </w:rPr>
    </w:lvl>
    <w:lvl w:ilvl="6" w:tplc="14DE0B6C">
      <w:start w:val="1"/>
      <w:numFmt w:val="bullet"/>
      <w:lvlText w:val="•"/>
      <w:lvlJc w:val="left"/>
      <w:pPr>
        <w:ind w:left="5030" w:hanging="432"/>
      </w:pPr>
      <w:rPr>
        <w:rFonts w:hint="default"/>
      </w:rPr>
    </w:lvl>
    <w:lvl w:ilvl="7" w:tplc="A89E3138">
      <w:start w:val="1"/>
      <w:numFmt w:val="bullet"/>
      <w:lvlText w:val="•"/>
      <w:lvlJc w:val="left"/>
      <w:pPr>
        <w:ind w:left="6102" w:hanging="432"/>
      </w:pPr>
      <w:rPr>
        <w:rFonts w:hint="default"/>
      </w:rPr>
    </w:lvl>
    <w:lvl w:ilvl="8" w:tplc="785A93B2">
      <w:start w:val="1"/>
      <w:numFmt w:val="bullet"/>
      <w:lvlText w:val="•"/>
      <w:lvlJc w:val="left"/>
      <w:pPr>
        <w:ind w:left="7175" w:hanging="432"/>
      </w:pPr>
      <w:rPr>
        <w:rFonts w:hint="default"/>
      </w:rPr>
    </w:lvl>
  </w:abstractNum>
  <w:abstractNum w:abstractNumId="1" w15:restartNumberingAfterBreak="0">
    <w:nsid w:val="7DE92984"/>
    <w:multiLevelType w:val="hybridMultilevel"/>
    <w:tmpl w:val="C382D84A"/>
    <w:lvl w:ilvl="0" w:tplc="3C1EA708">
      <w:start w:val="2"/>
      <w:numFmt w:val="decimal"/>
      <w:lvlText w:val="%1."/>
      <w:lvlJc w:val="left"/>
      <w:pPr>
        <w:ind w:left="440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81E9712">
      <w:start w:val="1"/>
      <w:numFmt w:val="bullet"/>
      <w:lvlText w:val="•"/>
      <w:lvlJc w:val="left"/>
      <w:pPr>
        <w:ind w:left="1330" w:hanging="269"/>
      </w:pPr>
      <w:rPr>
        <w:rFonts w:hint="default"/>
      </w:rPr>
    </w:lvl>
    <w:lvl w:ilvl="2" w:tplc="3064C928">
      <w:start w:val="1"/>
      <w:numFmt w:val="bullet"/>
      <w:lvlText w:val="•"/>
      <w:lvlJc w:val="left"/>
      <w:pPr>
        <w:ind w:left="2220" w:hanging="269"/>
      </w:pPr>
      <w:rPr>
        <w:rFonts w:hint="default"/>
      </w:rPr>
    </w:lvl>
    <w:lvl w:ilvl="3" w:tplc="87404088">
      <w:start w:val="1"/>
      <w:numFmt w:val="bullet"/>
      <w:lvlText w:val="•"/>
      <w:lvlJc w:val="left"/>
      <w:pPr>
        <w:ind w:left="3110" w:hanging="269"/>
      </w:pPr>
      <w:rPr>
        <w:rFonts w:hint="default"/>
      </w:rPr>
    </w:lvl>
    <w:lvl w:ilvl="4" w:tplc="F4B6AAF0">
      <w:start w:val="1"/>
      <w:numFmt w:val="bullet"/>
      <w:lvlText w:val="•"/>
      <w:lvlJc w:val="left"/>
      <w:pPr>
        <w:ind w:left="4000" w:hanging="269"/>
      </w:pPr>
      <w:rPr>
        <w:rFonts w:hint="default"/>
      </w:rPr>
    </w:lvl>
    <w:lvl w:ilvl="5" w:tplc="569AE92E">
      <w:start w:val="1"/>
      <w:numFmt w:val="bullet"/>
      <w:lvlText w:val="•"/>
      <w:lvlJc w:val="left"/>
      <w:pPr>
        <w:ind w:left="4890" w:hanging="269"/>
      </w:pPr>
      <w:rPr>
        <w:rFonts w:hint="default"/>
      </w:rPr>
    </w:lvl>
    <w:lvl w:ilvl="6" w:tplc="15688106">
      <w:start w:val="1"/>
      <w:numFmt w:val="bullet"/>
      <w:lvlText w:val="•"/>
      <w:lvlJc w:val="left"/>
      <w:pPr>
        <w:ind w:left="5780" w:hanging="269"/>
      </w:pPr>
      <w:rPr>
        <w:rFonts w:hint="default"/>
      </w:rPr>
    </w:lvl>
    <w:lvl w:ilvl="7" w:tplc="51EADAB2">
      <w:start w:val="1"/>
      <w:numFmt w:val="bullet"/>
      <w:lvlText w:val="•"/>
      <w:lvlJc w:val="left"/>
      <w:pPr>
        <w:ind w:left="6670" w:hanging="269"/>
      </w:pPr>
      <w:rPr>
        <w:rFonts w:hint="default"/>
      </w:rPr>
    </w:lvl>
    <w:lvl w:ilvl="8" w:tplc="843A0E28">
      <w:start w:val="1"/>
      <w:numFmt w:val="bullet"/>
      <w:lvlText w:val="•"/>
      <w:lvlJc w:val="left"/>
      <w:pPr>
        <w:ind w:left="7560" w:hanging="26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27"/>
    <w:rsid w:val="00035363"/>
    <w:rsid w:val="00071BC1"/>
    <w:rsid w:val="00082D01"/>
    <w:rsid w:val="00146384"/>
    <w:rsid w:val="00160A3E"/>
    <w:rsid w:val="001D443F"/>
    <w:rsid w:val="001E781C"/>
    <w:rsid w:val="00216B8F"/>
    <w:rsid w:val="0030792E"/>
    <w:rsid w:val="0035241B"/>
    <w:rsid w:val="0043212A"/>
    <w:rsid w:val="00453D10"/>
    <w:rsid w:val="00476AF8"/>
    <w:rsid w:val="00481EE7"/>
    <w:rsid w:val="004D2672"/>
    <w:rsid w:val="006B359C"/>
    <w:rsid w:val="00731FE1"/>
    <w:rsid w:val="007C5B2F"/>
    <w:rsid w:val="007D79EA"/>
    <w:rsid w:val="00807243"/>
    <w:rsid w:val="00933ED9"/>
    <w:rsid w:val="0099735C"/>
    <w:rsid w:val="009D5AEB"/>
    <w:rsid w:val="009F7F5B"/>
    <w:rsid w:val="00AA3837"/>
    <w:rsid w:val="00B170F9"/>
    <w:rsid w:val="00BC6D86"/>
    <w:rsid w:val="00C61337"/>
    <w:rsid w:val="00CD14BC"/>
    <w:rsid w:val="00DD3D89"/>
    <w:rsid w:val="00DF49B3"/>
    <w:rsid w:val="00E41B49"/>
    <w:rsid w:val="00EC2704"/>
    <w:rsid w:val="00E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CBE204"/>
  <w15:docId w15:val="{B53292BE-09D0-4F26-A181-EB45D35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881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532" w:hanging="451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3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E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HIPAA Administrative</vt:lpstr>
    </vt:vector>
  </TitlesOfParts>
  <Company>CMS</Company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HIPAA Administrative</dc:title>
  <dc:creator>CMS</dc:creator>
  <cp:lastModifiedBy>WILLIAM PARHAM</cp:lastModifiedBy>
  <cp:revision>2</cp:revision>
  <dcterms:created xsi:type="dcterms:W3CDTF">2017-02-14T16:14:00Z</dcterms:created>
  <dcterms:modified xsi:type="dcterms:W3CDTF">2017-02-14T16:14:00Z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2016-09-06T00:00:00Z</vt:filetime>
  </property>
  <property fmtid="{D5CDD505-2E9C-101B-9397-08002B2CF9AE}" pid="5" name="_AdHocReviewCycleID">
    <vt:i4>-1999952795</vt:i4>
  </property>
  <property fmtid="{D5CDD505-2E9C-101B-9397-08002B2CF9AE}" pid="6" name="_NewReviewCycle">
    <vt:lpwstr/>
  </property>
  <property fmtid="{D5CDD505-2E9C-101B-9397-08002B2CF9AE}" pid="7" name="_EmailSubject">
    <vt:lpwstr>PRA Package - Resent</vt:lpwstr>
  </property>
  <property fmtid="{D5CDD505-2E9C-101B-9397-08002B2CF9AE}" pid="8" name="_AuthorEmail">
    <vt:lpwstr>Gladys.Wheeler@cms.hhs.gov</vt:lpwstr>
  </property>
  <property fmtid="{D5CDD505-2E9C-101B-9397-08002B2CF9AE}" pid="9" name="_AuthorEmailDisplayName">
    <vt:lpwstr>Wheeler, Gladys C. (CMS/OEI)</vt:lpwstr>
  </property>
  <property fmtid="{D5CDD505-2E9C-101B-9397-08002B2CF9AE}" pid="10" name="_PreviousAdHocReviewCycleID">
    <vt:i4>1206933568</vt:i4>
  </property>
  <property fmtid="{D5CDD505-2E9C-101B-9397-08002B2CF9AE}" pid="11" name="_ReviewingToolsShownOnce">
    <vt:lpwstr/>
  </property>
</Properties>
</file>