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rPr>
        <w:id w:val="1141393971"/>
        <w:docPartObj>
          <w:docPartGallery w:val="Cover Pages"/>
          <w:docPartUnique/>
        </w:docPartObj>
      </w:sdtPr>
      <w:sdtEndPr/>
      <w:sdtContent>
        <w:p w14:paraId="04885979" w14:textId="77777777" w:rsidR="00232AA0" w:rsidRPr="009E2778" w:rsidRDefault="00232AA0" w:rsidP="00830A78">
          <w:pPr>
            <w:jc w:val="center"/>
            <w:rPr>
              <w:b/>
            </w:rPr>
          </w:pPr>
        </w:p>
        <w:p w14:paraId="4ECF17D3" w14:textId="7DDD1AFE" w:rsidR="00232AA0" w:rsidRPr="009E2778" w:rsidRDefault="00130AF9" w:rsidP="00830A78">
          <w:pPr>
            <w:jc w:val="center"/>
            <w:rPr>
              <w:b/>
            </w:rPr>
          </w:pPr>
        </w:p>
      </w:sdtContent>
    </w:sdt>
    <w:p w14:paraId="0158C96F" w14:textId="77777777" w:rsidR="00B103A3" w:rsidRPr="009E2778" w:rsidRDefault="00E35DD1" w:rsidP="00830A78">
      <w:pPr>
        <w:jc w:val="center"/>
        <w:rPr>
          <w:b/>
        </w:rPr>
      </w:pPr>
      <w:r w:rsidRPr="009E2778">
        <w:rPr>
          <w:b/>
        </w:rPr>
        <w:t>Supporting Statement A for</w:t>
      </w:r>
    </w:p>
    <w:p w14:paraId="674E7DA2" w14:textId="463448F8" w:rsidR="00082815" w:rsidRDefault="00082815" w:rsidP="00830A78">
      <w:pPr>
        <w:jc w:val="center"/>
        <w:rPr>
          <w:b/>
        </w:rPr>
      </w:pPr>
      <w:r w:rsidRPr="009E2778">
        <w:rPr>
          <w:b/>
          <w:i/>
        </w:rPr>
        <w:t>Palliative Care: Conversations Matter®</w:t>
      </w:r>
      <w:r w:rsidRPr="009E2778">
        <w:rPr>
          <w:b/>
        </w:rPr>
        <w:t xml:space="preserve"> Phase Two Evaluation (NINR)</w:t>
      </w:r>
    </w:p>
    <w:p w14:paraId="283375A2" w14:textId="50C79085" w:rsidR="00BE683C" w:rsidRPr="00BE683C" w:rsidRDefault="00BE683C" w:rsidP="00BE683C">
      <w:pPr>
        <w:pStyle w:val="P1-StandPara"/>
        <w:tabs>
          <w:tab w:val="left" w:pos="720"/>
          <w:tab w:val="right" w:leader="dot" w:pos="9504"/>
        </w:tabs>
        <w:spacing w:after="240" w:line="276" w:lineRule="auto"/>
        <w:ind w:firstLine="0"/>
        <w:jc w:val="center"/>
        <w:rPr>
          <w:rFonts w:asciiTheme="minorHAnsi" w:eastAsiaTheme="minorHAnsi" w:hAnsiTheme="minorHAnsi" w:cstheme="minorBidi"/>
          <w:b/>
          <w:szCs w:val="22"/>
        </w:rPr>
      </w:pPr>
      <w:r w:rsidRPr="00BE683C">
        <w:rPr>
          <w:rFonts w:asciiTheme="minorHAnsi" w:hAnsiTheme="minorHAnsi"/>
          <w:b/>
        </w:rPr>
        <w:t>OMB#: 0925-0683, Expiration Date: 10/31/2016</w:t>
      </w:r>
    </w:p>
    <w:p w14:paraId="136B33A1" w14:textId="77777777" w:rsidR="004E6E91" w:rsidRPr="009E2778" w:rsidRDefault="004E6E91" w:rsidP="00BE683C">
      <w:pPr>
        <w:rPr>
          <w:b/>
        </w:rPr>
      </w:pPr>
    </w:p>
    <w:p w14:paraId="4936B094" w14:textId="77777777" w:rsidR="00E35DD1" w:rsidRPr="009E2778" w:rsidRDefault="00E35DD1" w:rsidP="00830A78">
      <w:pPr>
        <w:pStyle w:val="P1-StandPara"/>
        <w:tabs>
          <w:tab w:val="left" w:pos="720"/>
          <w:tab w:val="right" w:leader="dot" w:pos="9504"/>
        </w:tabs>
        <w:spacing w:before="120" w:after="120" w:line="276" w:lineRule="auto"/>
        <w:ind w:firstLine="0"/>
        <w:rPr>
          <w:rFonts w:asciiTheme="minorHAnsi" w:hAnsiTheme="minorHAnsi"/>
          <w:szCs w:val="22"/>
        </w:rPr>
      </w:pPr>
    </w:p>
    <w:p w14:paraId="5220F9DA" w14:textId="77777777" w:rsidR="00024899" w:rsidRPr="009E2778" w:rsidRDefault="00E35DD1" w:rsidP="00830A78">
      <w:pPr>
        <w:pStyle w:val="P1-StandPara"/>
        <w:tabs>
          <w:tab w:val="left" w:pos="720"/>
          <w:tab w:val="right" w:leader="dot" w:pos="9504"/>
        </w:tabs>
        <w:spacing w:before="120" w:after="120" w:line="276" w:lineRule="auto"/>
        <w:ind w:firstLine="0"/>
        <w:rPr>
          <w:rFonts w:asciiTheme="minorHAnsi" w:hAnsiTheme="minorHAnsi"/>
          <w:szCs w:val="22"/>
        </w:rPr>
      </w:pPr>
      <w:r w:rsidRPr="009E2778">
        <w:rPr>
          <w:rFonts w:asciiTheme="minorHAnsi" w:hAnsiTheme="minorHAnsi"/>
          <w:szCs w:val="22"/>
        </w:rPr>
        <w:t xml:space="preserve">                    </w:t>
      </w:r>
    </w:p>
    <w:p w14:paraId="561E031A" w14:textId="77777777" w:rsidR="00082815" w:rsidRPr="009E2778" w:rsidRDefault="00082815" w:rsidP="00830A78">
      <w:pPr>
        <w:pStyle w:val="P1-StandPara"/>
        <w:tabs>
          <w:tab w:val="left" w:pos="720"/>
          <w:tab w:val="right" w:leader="dot" w:pos="9504"/>
        </w:tabs>
        <w:spacing w:before="120" w:after="120" w:line="276" w:lineRule="auto"/>
        <w:ind w:firstLine="0"/>
        <w:rPr>
          <w:rFonts w:asciiTheme="minorHAnsi" w:hAnsiTheme="minorHAnsi"/>
          <w:szCs w:val="22"/>
        </w:rPr>
      </w:pPr>
    </w:p>
    <w:p w14:paraId="5869CD4B" w14:textId="77777777" w:rsidR="009E7512" w:rsidRPr="009E2778" w:rsidRDefault="009E7512" w:rsidP="00830A78">
      <w:pPr>
        <w:pStyle w:val="P1-StandPara"/>
        <w:tabs>
          <w:tab w:val="left" w:pos="720"/>
          <w:tab w:val="right" w:leader="dot" w:pos="9504"/>
        </w:tabs>
        <w:spacing w:before="120" w:after="120" w:line="276" w:lineRule="auto"/>
        <w:ind w:firstLine="0"/>
        <w:rPr>
          <w:rFonts w:asciiTheme="minorHAnsi" w:hAnsiTheme="minorHAnsi"/>
          <w:szCs w:val="22"/>
        </w:rPr>
      </w:pPr>
    </w:p>
    <w:p w14:paraId="4B56B6CA" w14:textId="77777777" w:rsidR="00830A78" w:rsidRPr="009E2778" w:rsidRDefault="00830A78" w:rsidP="00830A78">
      <w:pPr>
        <w:pStyle w:val="P1-StandPara"/>
        <w:tabs>
          <w:tab w:val="left" w:pos="720"/>
          <w:tab w:val="right" w:leader="dot" w:pos="9504"/>
        </w:tabs>
        <w:spacing w:before="120" w:after="120" w:line="276" w:lineRule="auto"/>
        <w:ind w:firstLine="0"/>
        <w:rPr>
          <w:rFonts w:asciiTheme="minorHAnsi" w:hAnsiTheme="minorHAnsi"/>
          <w:szCs w:val="22"/>
        </w:rPr>
      </w:pPr>
    </w:p>
    <w:p w14:paraId="58AF3B6C" w14:textId="77777777" w:rsidR="00830A78" w:rsidRPr="009E2778" w:rsidRDefault="00830A78" w:rsidP="00830A78">
      <w:pPr>
        <w:pStyle w:val="P1-StandPara"/>
        <w:tabs>
          <w:tab w:val="left" w:pos="720"/>
          <w:tab w:val="right" w:leader="dot" w:pos="9504"/>
        </w:tabs>
        <w:spacing w:before="120" w:after="120" w:line="276" w:lineRule="auto"/>
        <w:ind w:firstLine="0"/>
        <w:rPr>
          <w:rFonts w:asciiTheme="minorHAnsi" w:hAnsiTheme="minorHAnsi"/>
          <w:szCs w:val="22"/>
        </w:rPr>
      </w:pPr>
    </w:p>
    <w:p w14:paraId="5587887B" w14:textId="77777777" w:rsidR="00830A78" w:rsidRPr="009E2778" w:rsidRDefault="00830A78" w:rsidP="00830A78">
      <w:pPr>
        <w:pStyle w:val="P1-StandPara"/>
        <w:tabs>
          <w:tab w:val="left" w:pos="720"/>
          <w:tab w:val="right" w:leader="dot" w:pos="9504"/>
        </w:tabs>
        <w:spacing w:before="120" w:after="120" w:line="276" w:lineRule="auto"/>
        <w:ind w:firstLine="0"/>
        <w:rPr>
          <w:rFonts w:asciiTheme="minorHAnsi" w:hAnsiTheme="minorHAnsi"/>
          <w:szCs w:val="22"/>
        </w:rPr>
      </w:pPr>
    </w:p>
    <w:p w14:paraId="4B8BC640" w14:textId="77777777" w:rsidR="00830A78" w:rsidRPr="009E2778" w:rsidRDefault="00830A78" w:rsidP="00830A78">
      <w:pPr>
        <w:pStyle w:val="P1-StandPara"/>
        <w:tabs>
          <w:tab w:val="left" w:pos="720"/>
          <w:tab w:val="right" w:leader="dot" w:pos="9504"/>
        </w:tabs>
        <w:spacing w:before="120" w:after="120" w:line="276" w:lineRule="auto"/>
        <w:ind w:firstLine="0"/>
        <w:rPr>
          <w:rFonts w:asciiTheme="minorHAnsi" w:hAnsiTheme="minorHAnsi"/>
          <w:szCs w:val="22"/>
        </w:rPr>
      </w:pPr>
    </w:p>
    <w:p w14:paraId="4C4170D9" w14:textId="77777777" w:rsidR="00830A78" w:rsidRPr="009E2778" w:rsidRDefault="00830A78" w:rsidP="00830A78">
      <w:pPr>
        <w:pStyle w:val="P1-StandPara"/>
        <w:tabs>
          <w:tab w:val="left" w:pos="720"/>
          <w:tab w:val="right" w:leader="dot" w:pos="9504"/>
        </w:tabs>
        <w:spacing w:before="120" w:after="120" w:line="276" w:lineRule="auto"/>
        <w:ind w:firstLine="0"/>
        <w:rPr>
          <w:rFonts w:asciiTheme="minorHAnsi" w:hAnsiTheme="minorHAnsi"/>
          <w:szCs w:val="22"/>
        </w:rPr>
      </w:pPr>
    </w:p>
    <w:p w14:paraId="05930862" w14:textId="77777777" w:rsidR="00830A78" w:rsidRPr="009E2778" w:rsidRDefault="00830A78" w:rsidP="00830A78">
      <w:pPr>
        <w:pStyle w:val="P1-StandPara"/>
        <w:tabs>
          <w:tab w:val="left" w:pos="720"/>
          <w:tab w:val="right" w:leader="dot" w:pos="9504"/>
        </w:tabs>
        <w:spacing w:before="120" w:after="120" w:line="276" w:lineRule="auto"/>
        <w:ind w:firstLine="0"/>
        <w:rPr>
          <w:rFonts w:asciiTheme="minorHAnsi" w:hAnsiTheme="minorHAnsi"/>
          <w:szCs w:val="22"/>
        </w:rPr>
      </w:pPr>
    </w:p>
    <w:p w14:paraId="6DF58FB5" w14:textId="3B1CB2A4" w:rsidR="00E35DD1" w:rsidRPr="009E2778" w:rsidRDefault="00E35DD1" w:rsidP="00830A78">
      <w:pPr>
        <w:pStyle w:val="P1-StandPara"/>
        <w:tabs>
          <w:tab w:val="left" w:pos="720"/>
          <w:tab w:val="right" w:leader="dot" w:pos="9504"/>
        </w:tabs>
        <w:spacing w:before="120" w:after="120" w:line="276" w:lineRule="auto"/>
        <w:ind w:firstLine="0"/>
        <w:rPr>
          <w:rFonts w:asciiTheme="minorHAnsi" w:hAnsiTheme="minorHAnsi"/>
          <w:szCs w:val="22"/>
        </w:rPr>
      </w:pPr>
      <w:bookmarkStart w:id="0" w:name="_GoBack"/>
      <w:r w:rsidRPr="009E2778">
        <w:rPr>
          <w:rFonts w:asciiTheme="minorHAnsi" w:hAnsiTheme="minorHAnsi"/>
          <w:szCs w:val="22"/>
        </w:rPr>
        <w:t>Date</w:t>
      </w:r>
      <w:r w:rsidR="00BE76A7" w:rsidRPr="009E2778">
        <w:rPr>
          <w:rFonts w:asciiTheme="minorHAnsi" w:hAnsiTheme="minorHAnsi"/>
          <w:szCs w:val="22"/>
        </w:rPr>
        <w:t xml:space="preserve">: </w:t>
      </w:r>
      <w:r w:rsidR="00130AF9">
        <w:rPr>
          <w:rFonts w:asciiTheme="minorHAnsi" w:hAnsiTheme="minorHAnsi"/>
          <w:szCs w:val="22"/>
        </w:rPr>
        <w:t>September 13, 2016</w:t>
      </w:r>
    </w:p>
    <w:bookmarkEnd w:id="0"/>
    <w:p w14:paraId="00970E51" w14:textId="77777777" w:rsidR="00E35DD1" w:rsidRPr="009E2778" w:rsidRDefault="00E35DD1" w:rsidP="00830A78">
      <w:pPr>
        <w:pStyle w:val="P1-StandPara"/>
        <w:tabs>
          <w:tab w:val="left" w:pos="720"/>
          <w:tab w:val="right" w:leader="dot" w:pos="9504"/>
        </w:tabs>
        <w:spacing w:before="120" w:after="120" w:line="276" w:lineRule="auto"/>
        <w:rPr>
          <w:rFonts w:asciiTheme="minorHAnsi" w:hAnsiTheme="minorHAnsi"/>
          <w:szCs w:val="22"/>
        </w:rPr>
      </w:pPr>
      <w:r w:rsidRPr="009E2778">
        <w:rPr>
          <w:rFonts w:asciiTheme="minorHAnsi" w:hAnsiTheme="minorHAnsi"/>
          <w:szCs w:val="22"/>
        </w:rPr>
        <w:t xml:space="preserve">                        </w:t>
      </w:r>
    </w:p>
    <w:p w14:paraId="3E0CDAC5" w14:textId="77777777" w:rsidR="00E35DD1" w:rsidRPr="009E2778" w:rsidRDefault="00E35DD1" w:rsidP="00830A78">
      <w:pPr>
        <w:pStyle w:val="P1-StandPara"/>
        <w:tabs>
          <w:tab w:val="left" w:pos="720"/>
          <w:tab w:val="right" w:leader="dot" w:pos="9504"/>
        </w:tabs>
        <w:spacing w:before="120" w:after="120" w:line="276" w:lineRule="auto"/>
        <w:rPr>
          <w:rFonts w:asciiTheme="minorHAnsi" w:hAnsiTheme="minorHAnsi"/>
          <w:szCs w:val="22"/>
        </w:rPr>
      </w:pPr>
    </w:p>
    <w:p w14:paraId="0E318AE4" w14:textId="77777777" w:rsidR="00E35DD1" w:rsidRPr="009E2778" w:rsidRDefault="00E35DD1" w:rsidP="00830A78">
      <w:pPr>
        <w:pStyle w:val="P1-StandPara"/>
        <w:tabs>
          <w:tab w:val="left" w:pos="720"/>
          <w:tab w:val="right" w:leader="dot" w:pos="9504"/>
        </w:tabs>
        <w:spacing w:before="120" w:after="120" w:line="276" w:lineRule="auto"/>
        <w:rPr>
          <w:rFonts w:asciiTheme="minorHAnsi" w:hAnsiTheme="minorHAnsi"/>
          <w:szCs w:val="22"/>
        </w:rPr>
      </w:pPr>
    </w:p>
    <w:p w14:paraId="67594F1A" w14:textId="77777777" w:rsidR="00830A78" w:rsidRPr="009E2778" w:rsidRDefault="00830A78" w:rsidP="00830A78">
      <w:pPr>
        <w:pStyle w:val="P1-StandPara"/>
        <w:tabs>
          <w:tab w:val="left" w:pos="720"/>
          <w:tab w:val="right" w:leader="dot" w:pos="9504"/>
        </w:tabs>
        <w:spacing w:before="120" w:after="120" w:line="276" w:lineRule="auto"/>
        <w:rPr>
          <w:rFonts w:asciiTheme="minorHAnsi" w:hAnsiTheme="minorHAnsi"/>
          <w:szCs w:val="22"/>
        </w:rPr>
      </w:pPr>
    </w:p>
    <w:p w14:paraId="1DAA0B2C" w14:textId="77777777" w:rsidR="00082815" w:rsidRPr="009E2778" w:rsidRDefault="00082815" w:rsidP="00830A78">
      <w:pPr>
        <w:spacing w:after="0"/>
        <w:rPr>
          <w:rFonts w:eastAsia="Times New Roman"/>
        </w:rPr>
      </w:pPr>
    </w:p>
    <w:p w14:paraId="1F7B4F42" w14:textId="77777777" w:rsidR="00082815" w:rsidRPr="009E2778" w:rsidRDefault="00082815" w:rsidP="00830A78">
      <w:pPr>
        <w:spacing w:after="0"/>
        <w:rPr>
          <w:rFonts w:eastAsia="Times New Roman"/>
        </w:rPr>
      </w:pPr>
    </w:p>
    <w:p w14:paraId="589C5A43" w14:textId="77777777" w:rsidR="00082815" w:rsidRPr="009E2778" w:rsidRDefault="00082815" w:rsidP="00830A78">
      <w:pPr>
        <w:spacing w:after="0"/>
        <w:rPr>
          <w:rFonts w:eastAsia="Times New Roman"/>
        </w:rPr>
      </w:pPr>
      <w:r w:rsidRPr="009E2778">
        <w:rPr>
          <w:rFonts w:eastAsia="Times New Roman"/>
        </w:rPr>
        <w:t xml:space="preserve">Name: </w:t>
      </w:r>
      <w:r w:rsidRPr="009E2778">
        <w:rPr>
          <w:rFonts w:eastAsia="Times New Roman"/>
        </w:rPr>
        <w:tab/>
      </w:r>
      <w:r w:rsidRPr="009E2778">
        <w:rPr>
          <w:rFonts w:eastAsia="Times New Roman"/>
        </w:rPr>
        <w:tab/>
        <w:t>Diana Finegold</w:t>
      </w:r>
    </w:p>
    <w:p w14:paraId="013F9A87" w14:textId="77777777" w:rsidR="00082815" w:rsidRPr="009E2778" w:rsidRDefault="00082815" w:rsidP="00830A78">
      <w:pPr>
        <w:spacing w:after="0"/>
        <w:rPr>
          <w:rFonts w:eastAsia="Times New Roman"/>
        </w:rPr>
      </w:pPr>
      <w:r w:rsidRPr="009E2778">
        <w:rPr>
          <w:rFonts w:eastAsia="Times New Roman"/>
        </w:rPr>
        <w:t xml:space="preserve">Address:  </w:t>
      </w:r>
      <w:r w:rsidRPr="009E2778">
        <w:rPr>
          <w:rFonts w:eastAsia="Times New Roman"/>
        </w:rPr>
        <w:tab/>
        <w:t>National Institute of Nursing Research</w:t>
      </w:r>
    </w:p>
    <w:p w14:paraId="0017ECE3" w14:textId="77777777" w:rsidR="00082815" w:rsidRPr="009E2778" w:rsidRDefault="00082815" w:rsidP="00830A78">
      <w:pPr>
        <w:spacing w:after="0"/>
        <w:ind w:left="1440"/>
        <w:rPr>
          <w:rFonts w:eastAsia="Times New Roman"/>
        </w:rPr>
      </w:pPr>
      <w:r w:rsidRPr="009E2778">
        <w:rPr>
          <w:rFonts w:eastAsia="Times New Roman"/>
        </w:rPr>
        <w:t>National Institutes of Health</w:t>
      </w:r>
    </w:p>
    <w:p w14:paraId="30E76AA7" w14:textId="77777777" w:rsidR="00082815" w:rsidRPr="009E2778" w:rsidRDefault="00082815" w:rsidP="00830A78">
      <w:pPr>
        <w:spacing w:after="0"/>
        <w:ind w:left="1350"/>
        <w:rPr>
          <w:rFonts w:eastAsia="Times New Roman"/>
        </w:rPr>
      </w:pPr>
      <w:r w:rsidRPr="009E2778">
        <w:rPr>
          <w:rFonts w:eastAsia="Times New Roman"/>
        </w:rPr>
        <w:t xml:space="preserve">  31 Center Drive</w:t>
      </w:r>
    </w:p>
    <w:p w14:paraId="38F351C2" w14:textId="77777777" w:rsidR="00082815" w:rsidRPr="009E2778" w:rsidRDefault="00082815" w:rsidP="00830A78">
      <w:pPr>
        <w:spacing w:after="0"/>
        <w:ind w:left="1350" w:firstLine="90"/>
        <w:rPr>
          <w:rFonts w:eastAsia="Times New Roman"/>
        </w:rPr>
      </w:pPr>
      <w:r w:rsidRPr="009E2778">
        <w:rPr>
          <w:rFonts w:eastAsia="Times New Roman"/>
        </w:rPr>
        <w:t>Building 31, Room 5B10</w:t>
      </w:r>
    </w:p>
    <w:p w14:paraId="69945EF8" w14:textId="77777777" w:rsidR="00082815" w:rsidRPr="009E2778" w:rsidRDefault="00082815" w:rsidP="00830A78">
      <w:pPr>
        <w:spacing w:after="0"/>
        <w:ind w:left="1350" w:firstLine="90"/>
        <w:rPr>
          <w:rFonts w:eastAsia="Times New Roman"/>
        </w:rPr>
      </w:pPr>
      <w:r w:rsidRPr="009E2778">
        <w:rPr>
          <w:rFonts w:eastAsia="Times New Roman"/>
        </w:rPr>
        <w:t>Bethesda, MD 20892</w:t>
      </w:r>
    </w:p>
    <w:p w14:paraId="7C0C505E" w14:textId="77777777" w:rsidR="00082815" w:rsidRPr="009E2778" w:rsidRDefault="00082815" w:rsidP="00830A78">
      <w:pPr>
        <w:spacing w:after="0"/>
        <w:rPr>
          <w:rFonts w:eastAsia="Times New Roman"/>
        </w:rPr>
      </w:pPr>
      <w:r w:rsidRPr="009E2778">
        <w:rPr>
          <w:rFonts w:eastAsia="Times New Roman"/>
        </w:rPr>
        <w:t xml:space="preserve">Telephone: </w:t>
      </w:r>
      <w:r w:rsidRPr="009E2778">
        <w:rPr>
          <w:rFonts w:eastAsia="Times New Roman"/>
        </w:rPr>
        <w:tab/>
        <w:t>(301) 496-0209</w:t>
      </w:r>
    </w:p>
    <w:p w14:paraId="7F742526" w14:textId="77777777" w:rsidR="00082815" w:rsidRPr="009E2778" w:rsidRDefault="00082815" w:rsidP="00830A78">
      <w:pPr>
        <w:spacing w:after="0"/>
        <w:rPr>
          <w:rFonts w:eastAsia="Times New Roman"/>
        </w:rPr>
      </w:pPr>
      <w:r w:rsidRPr="009E2778">
        <w:rPr>
          <w:rFonts w:eastAsia="Times New Roman"/>
        </w:rPr>
        <w:t xml:space="preserve">Fax: </w:t>
      </w:r>
      <w:r w:rsidRPr="009E2778">
        <w:rPr>
          <w:rFonts w:eastAsia="Times New Roman"/>
        </w:rPr>
        <w:tab/>
      </w:r>
      <w:r w:rsidRPr="009E2778">
        <w:rPr>
          <w:rFonts w:eastAsia="Times New Roman"/>
        </w:rPr>
        <w:tab/>
        <w:t>(301) 480-8845</w:t>
      </w:r>
    </w:p>
    <w:p w14:paraId="74B53904" w14:textId="2C99C0E0" w:rsidR="00830A78" w:rsidRPr="0026340B" w:rsidRDefault="00082815" w:rsidP="0026340B">
      <w:pPr>
        <w:spacing w:after="0"/>
        <w:rPr>
          <w:rFonts w:eastAsia="Times New Roman"/>
        </w:rPr>
      </w:pPr>
      <w:r w:rsidRPr="009E2778">
        <w:rPr>
          <w:rFonts w:eastAsia="Times New Roman"/>
        </w:rPr>
        <w:t xml:space="preserve">Email: </w:t>
      </w:r>
      <w:r w:rsidRPr="009E2778">
        <w:rPr>
          <w:rFonts w:eastAsia="Times New Roman"/>
        </w:rPr>
        <w:tab/>
      </w:r>
      <w:r w:rsidRPr="009E2778">
        <w:rPr>
          <w:rFonts w:eastAsia="Times New Roman"/>
        </w:rPr>
        <w:tab/>
      </w:r>
      <w:hyperlink r:id="rId8" w:history="1">
        <w:r w:rsidRPr="009E2778">
          <w:rPr>
            <w:rStyle w:val="Hyperlink"/>
            <w:rFonts w:eastAsia="Times New Roman"/>
          </w:rPr>
          <w:t>diana.finegold@nih.gov</w:t>
        </w:r>
      </w:hyperlink>
      <w:r w:rsidRPr="009E2778">
        <w:rPr>
          <w:rFonts w:eastAsia="Times New Roman"/>
        </w:rPr>
        <w:t xml:space="preserve"> </w:t>
      </w:r>
    </w:p>
    <w:p w14:paraId="16C28766" w14:textId="77777777" w:rsidR="00E35DD1" w:rsidRPr="009E2778" w:rsidRDefault="00E35DD1" w:rsidP="00830A78">
      <w:pPr>
        <w:pStyle w:val="P1-StandPara"/>
        <w:tabs>
          <w:tab w:val="left" w:pos="720"/>
          <w:tab w:val="right" w:leader="dot" w:pos="9504"/>
        </w:tabs>
        <w:spacing w:before="120" w:after="120"/>
        <w:rPr>
          <w:rFonts w:asciiTheme="minorHAnsi" w:hAnsiTheme="minorHAnsi"/>
          <w:b/>
          <w:szCs w:val="22"/>
          <w:u w:val="single"/>
        </w:rPr>
      </w:pPr>
      <w:r w:rsidRPr="009E2778">
        <w:rPr>
          <w:rFonts w:asciiTheme="minorHAnsi" w:hAnsiTheme="minorHAnsi"/>
          <w:b/>
          <w:szCs w:val="22"/>
          <w:u w:val="single"/>
        </w:rPr>
        <w:lastRenderedPageBreak/>
        <w:t>Table of contents</w:t>
      </w:r>
    </w:p>
    <w:p w14:paraId="3FD0FED7" w14:textId="77777777" w:rsidR="00E35DD1" w:rsidRPr="009E2778" w:rsidRDefault="00E35DD1" w:rsidP="00830A78">
      <w:pPr>
        <w:pStyle w:val="P1-StandPara"/>
        <w:tabs>
          <w:tab w:val="left" w:pos="720"/>
        </w:tabs>
        <w:ind w:firstLine="0"/>
        <w:rPr>
          <w:rFonts w:asciiTheme="minorHAnsi" w:hAnsiTheme="minorHAnsi"/>
          <w:szCs w:val="22"/>
        </w:rPr>
      </w:pPr>
      <w:r w:rsidRPr="009E2778">
        <w:rPr>
          <w:rFonts w:asciiTheme="minorHAnsi" w:hAnsiTheme="minorHAnsi"/>
          <w:szCs w:val="22"/>
        </w:rPr>
        <w:fldChar w:fldCharType="begin"/>
      </w:r>
      <w:r w:rsidRPr="009E2778">
        <w:rPr>
          <w:rFonts w:asciiTheme="minorHAnsi" w:hAnsiTheme="minorHAnsi"/>
          <w:szCs w:val="22"/>
        </w:rPr>
        <w:instrText xml:space="preserve"> TOC \o "1-2" \u </w:instrText>
      </w:r>
      <w:r w:rsidRPr="009E2778">
        <w:rPr>
          <w:rFonts w:asciiTheme="minorHAnsi" w:hAnsiTheme="minorHAnsi"/>
          <w:szCs w:val="22"/>
        </w:rPr>
        <w:fldChar w:fldCharType="separate"/>
      </w:r>
      <w:r w:rsidRPr="009E2778">
        <w:rPr>
          <w:rFonts w:asciiTheme="minorHAnsi" w:hAnsiTheme="minorHAnsi"/>
          <w:szCs w:val="22"/>
        </w:rPr>
        <w:t>A.</w:t>
      </w:r>
      <w:r w:rsidRPr="009E2778">
        <w:rPr>
          <w:rFonts w:asciiTheme="minorHAnsi" w:hAnsiTheme="minorHAnsi"/>
          <w:szCs w:val="22"/>
        </w:rPr>
        <w:tab/>
        <w:t>JUSTIFICATION</w:t>
      </w:r>
      <w:r w:rsidRPr="009E2778">
        <w:rPr>
          <w:rFonts w:asciiTheme="minorHAnsi" w:hAnsiTheme="minorHAnsi"/>
          <w:szCs w:val="22"/>
        </w:rPr>
        <w:tab/>
      </w:r>
    </w:p>
    <w:p w14:paraId="4FCD4D14"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w:t>
      </w:r>
      <w:r w:rsidRPr="009E2778">
        <w:rPr>
          <w:rFonts w:asciiTheme="minorHAnsi" w:hAnsiTheme="minorHAnsi"/>
          <w:szCs w:val="22"/>
        </w:rPr>
        <w:tab/>
        <w:t>Circumstances Making the Collection of Information Necessary</w:t>
      </w:r>
      <w:r w:rsidRPr="009E2778">
        <w:rPr>
          <w:rFonts w:asciiTheme="minorHAnsi" w:hAnsiTheme="minorHAnsi"/>
          <w:szCs w:val="22"/>
        </w:rPr>
        <w:tab/>
      </w:r>
    </w:p>
    <w:p w14:paraId="1212E357"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A.2.</w:t>
      </w:r>
      <w:r w:rsidRPr="009E2778">
        <w:rPr>
          <w:rFonts w:asciiTheme="minorHAnsi" w:hAnsiTheme="minorHAnsi"/>
          <w:szCs w:val="22"/>
        </w:rPr>
        <w:tab/>
        <w:t>Purpose and Use of the Information COLLECTION</w:t>
      </w:r>
      <w:r w:rsidRPr="009E2778">
        <w:rPr>
          <w:rFonts w:asciiTheme="minorHAnsi" w:hAnsiTheme="minorHAnsi"/>
          <w:szCs w:val="22"/>
        </w:rPr>
        <w:tab/>
      </w:r>
    </w:p>
    <w:p w14:paraId="79A849BB"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A.3</w:t>
      </w:r>
      <w:r w:rsidRPr="009E2778">
        <w:rPr>
          <w:rFonts w:asciiTheme="minorHAnsi" w:hAnsiTheme="minorHAnsi"/>
          <w:szCs w:val="22"/>
        </w:rPr>
        <w:tab/>
        <w:t>Use of Information Technology and Burden Reduction</w:t>
      </w:r>
      <w:r w:rsidRPr="009E2778">
        <w:rPr>
          <w:rFonts w:asciiTheme="minorHAnsi" w:hAnsiTheme="minorHAnsi"/>
          <w:szCs w:val="22"/>
        </w:rPr>
        <w:tab/>
      </w:r>
    </w:p>
    <w:p w14:paraId="482195ED"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A.4</w:t>
      </w:r>
      <w:r w:rsidRPr="009E2778">
        <w:rPr>
          <w:rFonts w:asciiTheme="minorHAnsi" w:hAnsiTheme="minorHAnsi"/>
          <w:szCs w:val="22"/>
        </w:rPr>
        <w:tab/>
        <w:t>Efforts to Identify Duplication and Use of Similar Information</w:t>
      </w:r>
      <w:r w:rsidRPr="009E2778">
        <w:rPr>
          <w:rFonts w:asciiTheme="minorHAnsi" w:hAnsiTheme="minorHAnsi"/>
          <w:szCs w:val="22"/>
        </w:rPr>
        <w:tab/>
      </w:r>
    </w:p>
    <w:p w14:paraId="4B817CD7"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A.5</w:t>
      </w:r>
      <w:r w:rsidRPr="009E2778">
        <w:rPr>
          <w:rFonts w:asciiTheme="minorHAnsi" w:hAnsiTheme="minorHAnsi"/>
          <w:szCs w:val="22"/>
        </w:rPr>
        <w:tab/>
        <w:t>Impact on Small Businesses or Other Small Entities</w:t>
      </w:r>
      <w:r w:rsidRPr="009E2778">
        <w:rPr>
          <w:rFonts w:asciiTheme="minorHAnsi" w:hAnsiTheme="minorHAnsi"/>
          <w:szCs w:val="22"/>
        </w:rPr>
        <w:tab/>
      </w:r>
    </w:p>
    <w:p w14:paraId="419F127B"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A.6</w:t>
      </w:r>
      <w:r w:rsidRPr="009E2778">
        <w:rPr>
          <w:rFonts w:asciiTheme="minorHAnsi" w:hAnsiTheme="minorHAnsi"/>
          <w:szCs w:val="22"/>
        </w:rPr>
        <w:tab/>
        <w:t>Consequences of Collecting the Information Less Frequently</w:t>
      </w:r>
      <w:r w:rsidRPr="009E2778">
        <w:rPr>
          <w:rFonts w:asciiTheme="minorHAnsi" w:hAnsiTheme="minorHAnsi"/>
          <w:szCs w:val="22"/>
        </w:rPr>
        <w:tab/>
      </w:r>
    </w:p>
    <w:p w14:paraId="0E94D260"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A.7</w:t>
      </w:r>
      <w:r w:rsidRPr="009E2778">
        <w:rPr>
          <w:rFonts w:asciiTheme="minorHAnsi" w:hAnsiTheme="minorHAnsi"/>
          <w:szCs w:val="22"/>
        </w:rPr>
        <w:tab/>
        <w:t>Special Circumstances Relating to the Guidelines of 5 CFR 1320.5</w:t>
      </w:r>
      <w:r w:rsidRPr="009E2778">
        <w:rPr>
          <w:rFonts w:asciiTheme="minorHAnsi" w:hAnsiTheme="minorHAnsi"/>
          <w:szCs w:val="22"/>
        </w:rPr>
        <w:tab/>
      </w:r>
    </w:p>
    <w:p w14:paraId="7E57709B"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A.8</w:t>
      </w:r>
      <w:r w:rsidRPr="009E2778">
        <w:rPr>
          <w:rFonts w:asciiTheme="minorHAnsi" w:hAnsiTheme="minorHAnsi"/>
          <w:szCs w:val="22"/>
        </w:rPr>
        <w:tab/>
        <w:t>Comments in Response to the Federal Register Notice and Efforts to Consult Outside Agency</w:t>
      </w:r>
      <w:r w:rsidRPr="009E2778">
        <w:rPr>
          <w:rFonts w:asciiTheme="minorHAnsi" w:hAnsiTheme="minorHAnsi"/>
          <w:szCs w:val="22"/>
        </w:rPr>
        <w:tab/>
      </w:r>
    </w:p>
    <w:p w14:paraId="7B87F24D"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A.9</w:t>
      </w:r>
      <w:r w:rsidRPr="009E2778">
        <w:rPr>
          <w:rFonts w:asciiTheme="minorHAnsi" w:hAnsiTheme="minorHAnsi"/>
          <w:szCs w:val="22"/>
        </w:rPr>
        <w:tab/>
        <w:t>Explanation of Any Payment of Gift to Respondents</w:t>
      </w:r>
      <w:r w:rsidRPr="009E2778">
        <w:rPr>
          <w:rFonts w:asciiTheme="minorHAnsi" w:hAnsiTheme="minorHAnsi"/>
          <w:szCs w:val="22"/>
        </w:rPr>
        <w:tab/>
      </w:r>
    </w:p>
    <w:p w14:paraId="296767E3"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A.10</w:t>
      </w:r>
      <w:r w:rsidRPr="009E2778">
        <w:rPr>
          <w:rFonts w:asciiTheme="minorHAnsi" w:hAnsiTheme="minorHAnsi"/>
          <w:szCs w:val="22"/>
        </w:rPr>
        <w:tab/>
        <w:t>Assurance of Confidentiality Provided to Respondents</w:t>
      </w:r>
      <w:r w:rsidRPr="009E2778">
        <w:rPr>
          <w:rFonts w:asciiTheme="minorHAnsi" w:hAnsiTheme="minorHAnsi"/>
          <w:szCs w:val="22"/>
        </w:rPr>
        <w:tab/>
      </w:r>
    </w:p>
    <w:p w14:paraId="7F09494D"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A.11</w:t>
      </w:r>
      <w:r w:rsidRPr="009E2778">
        <w:rPr>
          <w:rFonts w:asciiTheme="minorHAnsi" w:hAnsiTheme="minorHAnsi"/>
          <w:szCs w:val="22"/>
        </w:rPr>
        <w:tab/>
        <w:t>Justification for Sensitive Questions</w:t>
      </w:r>
      <w:r w:rsidRPr="009E2778">
        <w:rPr>
          <w:rFonts w:asciiTheme="minorHAnsi" w:hAnsiTheme="minorHAnsi"/>
          <w:szCs w:val="22"/>
        </w:rPr>
        <w:tab/>
      </w:r>
    </w:p>
    <w:p w14:paraId="224E0703"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A.12</w:t>
      </w:r>
      <w:r w:rsidRPr="009E2778">
        <w:rPr>
          <w:rFonts w:asciiTheme="minorHAnsi" w:hAnsiTheme="minorHAnsi"/>
          <w:szCs w:val="22"/>
        </w:rPr>
        <w:tab/>
        <w:t>Estimates of Hour Burden Including Annualized Hourly Costs</w:t>
      </w:r>
      <w:r w:rsidRPr="009E2778">
        <w:rPr>
          <w:rFonts w:asciiTheme="minorHAnsi" w:hAnsiTheme="minorHAnsi"/>
          <w:szCs w:val="22"/>
        </w:rPr>
        <w:tab/>
      </w:r>
    </w:p>
    <w:p w14:paraId="266FB145"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A.13</w:t>
      </w:r>
      <w:r w:rsidRPr="009E2778">
        <w:rPr>
          <w:rFonts w:asciiTheme="minorHAnsi" w:hAnsiTheme="minorHAnsi"/>
          <w:szCs w:val="22"/>
        </w:rPr>
        <w:tab/>
        <w:t>Estimate of Other Total Annual Cost Burden to Respondents or Record  keepers</w:t>
      </w:r>
      <w:r w:rsidRPr="009E2778">
        <w:rPr>
          <w:rFonts w:asciiTheme="minorHAnsi" w:hAnsiTheme="minorHAnsi"/>
          <w:szCs w:val="22"/>
        </w:rPr>
        <w:tab/>
      </w:r>
    </w:p>
    <w:p w14:paraId="25F059DE"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A.14</w:t>
      </w:r>
      <w:r w:rsidRPr="009E2778">
        <w:rPr>
          <w:rFonts w:asciiTheme="minorHAnsi" w:hAnsiTheme="minorHAnsi"/>
          <w:szCs w:val="22"/>
        </w:rPr>
        <w:tab/>
        <w:t>Annualized Cost to the Federal Government</w:t>
      </w:r>
      <w:r w:rsidRPr="009E2778">
        <w:rPr>
          <w:rFonts w:asciiTheme="minorHAnsi" w:hAnsiTheme="minorHAnsi"/>
          <w:szCs w:val="22"/>
        </w:rPr>
        <w:tab/>
      </w:r>
    </w:p>
    <w:p w14:paraId="10B45D29"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A.15</w:t>
      </w:r>
      <w:r w:rsidRPr="009E2778">
        <w:rPr>
          <w:rFonts w:asciiTheme="minorHAnsi" w:hAnsiTheme="minorHAnsi"/>
          <w:szCs w:val="22"/>
        </w:rPr>
        <w:tab/>
        <w:t>Explanation for Program Changes or Adjustments</w:t>
      </w:r>
      <w:r w:rsidRPr="009E2778">
        <w:rPr>
          <w:rFonts w:asciiTheme="minorHAnsi" w:hAnsiTheme="minorHAnsi"/>
          <w:szCs w:val="22"/>
        </w:rPr>
        <w:tab/>
      </w:r>
    </w:p>
    <w:p w14:paraId="7266BA9E"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A.16</w:t>
      </w:r>
      <w:r w:rsidRPr="009E2778">
        <w:rPr>
          <w:rFonts w:asciiTheme="minorHAnsi" w:hAnsiTheme="minorHAnsi"/>
          <w:szCs w:val="22"/>
        </w:rPr>
        <w:tab/>
        <w:t>Plans for Tabulation and Publication and Project Time Schedule</w:t>
      </w:r>
      <w:r w:rsidRPr="009E2778">
        <w:rPr>
          <w:rFonts w:asciiTheme="minorHAnsi" w:hAnsiTheme="minorHAnsi"/>
          <w:szCs w:val="22"/>
        </w:rPr>
        <w:tab/>
      </w:r>
    </w:p>
    <w:p w14:paraId="6A123F99"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A.17</w:t>
      </w:r>
      <w:r w:rsidRPr="009E2778">
        <w:rPr>
          <w:rFonts w:asciiTheme="minorHAnsi" w:hAnsiTheme="minorHAnsi"/>
          <w:szCs w:val="22"/>
        </w:rPr>
        <w:tab/>
        <w:t>Reason(s) Display of OMB Expiration Date is Inappropriate</w:t>
      </w:r>
      <w:r w:rsidRPr="009E2778">
        <w:rPr>
          <w:rFonts w:asciiTheme="minorHAnsi" w:hAnsiTheme="minorHAnsi"/>
          <w:szCs w:val="22"/>
        </w:rPr>
        <w:tab/>
      </w:r>
    </w:p>
    <w:p w14:paraId="591EC8B1" w14:textId="77777777" w:rsidR="00E35DD1" w:rsidRPr="009E2778" w:rsidRDefault="00E35DD1" w:rsidP="00830A78">
      <w:pPr>
        <w:pStyle w:val="P1-StandPara"/>
        <w:ind w:firstLine="0"/>
        <w:rPr>
          <w:rFonts w:asciiTheme="minorHAnsi" w:hAnsiTheme="minorHAnsi"/>
          <w:szCs w:val="22"/>
        </w:rPr>
      </w:pPr>
      <w:r w:rsidRPr="009E2778">
        <w:rPr>
          <w:rFonts w:asciiTheme="minorHAnsi" w:hAnsiTheme="minorHAnsi"/>
          <w:szCs w:val="22"/>
        </w:rPr>
        <w:t>A.18</w:t>
      </w:r>
      <w:r w:rsidRPr="009E2778">
        <w:rPr>
          <w:rFonts w:asciiTheme="minorHAnsi" w:hAnsiTheme="minorHAnsi"/>
          <w:szCs w:val="22"/>
        </w:rPr>
        <w:tab/>
        <w:t>Exceptions to Certification for Paperwork Reduction Act Submissions</w:t>
      </w:r>
      <w:r w:rsidRPr="009E2778">
        <w:rPr>
          <w:rFonts w:asciiTheme="minorHAnsi" w:hAnsiTheme="minorHAnsi"/>
          <w:szCs w:val="22"/>
        </w:rPr>
        <w:tab/>
      </w:r>
    </w:p>
    <w:p w14:paraId="035716AB" w14:textId="77777777" w:rsidR="00830A78" w:rsidRPr="009E2778" w:rsidRDefault="00830A78" w:rsidP="00830A78">
      <w:pPr>
        <w:pStyle w:val="P1-StandPara"/>
        <w:ind w:firstLine="0"/>
        <w:rPr>
          <w:rFonts w:asciiTheme="minorHAnsi" w:hAnsiTheme="minorHAnsi"/>
          <w:szCs w:val="22"/>
        </w:rPr>
      </w:pPr>
    </w:p>
    <w:p w14:paraId="7D6D77F4" w14:textId="77777777" w:rsidR="00DA3E00" w:rsidRPr="009E2778" w:rsidRDefault="00DA3E00" w:rsidP="00830A78">
      <w:pPr>
        <w:pStyle w:val="P1-StandPara"/>
        <w:tabs>
          <w:tab w:val="left" w:pos="720"/>
          <w:tab w:val="right" w:leader="dot" w:pos="9504"/>
        </w:tabs>
        <w:spacing w:before="120" w:after="120"/>
        <w:rPr>
          <w:rFonts w:asciiTheme="minorHAnsi" w:hAnsiTheme="minorHAnsi"/>
          <w:b/>
          <w:i/>
          <w:szCs w:val="22"/>
        </w:rPr>
      </w:pPr>
    </w:p>
    <w:p w14:paraId="3C6D3380" w14:textId="77777777" w:rsidR="00E35DD1" w:rsidRPr="009E2778" w:rsidRDefault="00E35DD1" w:rsidP="00830A78">
      <w:pPr>
        <w:pStyle w:val="P1-StandPara"/>
        <w:tabs>
          <w:tab w:val="left" w:pos="720"/>
          <w:tab w:val="right" w:leader="dot" w:pos="9504"/>
        </w:tabs>
        <w:spacing w:before="120" w:after="120"/>
        <w:rPr>
          <w:rFonts w:asciiTheme="minorHAnsi" w:hAnsiTheme="minorHAnsi"/>
          <w:szCs w:val="22"/>
        </w:rPr>
      </w:pPr>
      <w:r w:rsidRPr="009E2778">
        <w:rPr>
          <w:rFonts w:asciiTheme="minorHAnsi" w:hAnsiTheme="minorHAnsi"/>
          <w:szCs w:val="22"/>
        </w:rPr>
        <w:fldChar w:fldCharType="end"/>
      </w:r>
    </w:p>
    <w:p w14:paraId="64F39431" w14:textId="77777777" w:rsidR="006649C8" w:rsidRPr="009E2778" w:rsidRDefault="006649C8" w:rsidP="006649C8">
      <w:pPr>
        <w:pStyle w:val="P1-StandPara"/>
        <w:tabs>
          <w:tab w:val="left" w:pos="720"/>
          <w:tab w:val="right" w:leader="dot" w:pos="9504"/>
        </w:tabs>
        <w:spacing w:after="120"/>
        <w:ind w:firstLine="0"/>
        <w:rPr>
          <w:rFonts w:asciiTheme="minorHAnsi" w:hAnsiTheme="minorHAnsi"/>
          <w:b/>
          <w:szCs w:val="22"/>
          <w:u w:val="single"/>
        </w:rPr>
      </w:pPr>
    </w:p>
    <w:p w14:paraId="7EBDB844" w14:textId="77777777" w:rsidR="006649C8" w:rsidRPr="009E2778" w:rsidRDefault="006649C8" w:rsidP="006649C8">
      <w:pPr>
        <w:pStyle w:val="P1-StandPara"/>
        <w:tabs>
          <w:tab w:val="left" w:pos="720"/>
          <w:tab w:val="right" w:leader="dot" w:pos="9504"/>
        </w:tabs>
        <w:spacing w:after="120"/>
        <w:ind w:firstLine="0"/>
        <w:rPr>
          <w:rFonts w:asciiTheme="minorHAnsi" w:hAnsiTheme="minorHAnsi"/>
          <w:b/>
          <w:szCs w:val="22"/>
          <w:u w:val="single"/>
        </w:rPr>
      </w:pPr>
      <w:r w:rsidRPr="009E2778">
        <w:rPr>
          <w:rFonts w:asciiTheme="minorHAnsi" w:hAnsiTheme="minorHAnsi"/>
          <w:b/>
          <w:szCs w:val="22"/>
          <w:u w:val="single"/>
        </w:rPr>
        <w:lastRenderedPageBreak/>
        <w:t>List of Attachments</w:t>
      </w:r>
    </w:p>
    <w:p w14:paraId="3ABE6C3B" w14:textId="77777777" w:rsidR="00C35D3F" w:rsidRPr="002E2EFE" w:rsidRDefault="00C35D3F" w:rsidP="00C35D3F">
      <w:pPr>
        <w:pStyle w:val="P1-StandPara"/>
        <w:tabs>
          <w:tab w:val="left" w:pos="720"/>
          <w:tab w:val="right" w:leader="dot" w:pos="9504"/>
        </w:tabs>
        <w:spacing w:after="120"/>
        <w:ind w:firstLine="0"/>
        <w:rPr>
          <w:rFonts w:ascii="Calibri" w:hAnsi="Calibri"/>
          <w:szCs w:val="22"/>
        </w:rPr>
      </w:pPr>
      <w:r w:rsidRPr="002E2EFE">
        <w:rPr>
          <w:rFonts w:ascii="Calibri" w:hAnsi="Calibri"/>
          <w:b/>
          <w:szCs w:val="22"/>
        </w:rPr>
        <w:t xml:space="preserve">Attachment 1:  </w:t>
      </w:r>
      <w:r w:rsidRPr="002E2EFE">
        <w:rPr>
          <w:rFonts w:ascii="Calibri" w:hAnsi="Calibri"/>
          <w:szCs w:val="22"/>
        </w:rPr>
        <w:t>Survey – Microsoft Word version</w:t>
      </w:r>
    </w:p>
    <w:p w14:paraId="364AE867" w14:textId="77777777" w:rsidR="00C35D3F" w:rsidRPr="002E2EFE" w:rsidRDefault="00C35D3F" w:rsidP="00C35D3F">
      <w:pPr>
        <w:pStyle w:val="P1-StandPara"/>
        <w:tabs>
          <w:tab w:val="left" w:pos="720"/>
          <w:tab w:val="right" w:leader="dot" w:pos="9504"/>
        </w:tabs>
        <w:spacing w:after="120"/>
        <w:ind w:firstLine="0"/>
        <w:rPr>
          <w:rFonts w:ascii="Calibri" w:hAnsi="Calibri"/>
          <w:b/>
          <w:szCs w:val="22"/>
        </w:rPr>
      </w:pPr>
      <w:r w:rsidRPr="002E2EFE">
        <w:rPr>
          <w:rFonts w:ascii="Calibri" w:hAnsi="Calibri"/>
          <w:b/>
          <w:szCs w:val="22"/>
        </w:rPr>
        <w:t xml:space="preserve">Attachment 2:  </w:t>
      </w:r>
      <w:r w:rsidRPr="002E2EFE">
        <w:rPr>
          <w:rFonts w:ascii="Calibri" w:hAnsi="Calibri"/>
          <w:szCs w:val="22"/>
        </w:rPr>
        <w:t>Screenshots of survey</w:t>
      </w:r>
    </w:p>
    <w:p w14:paraId="72C29081" w14:textId="77777777" w:rsidR="00C35D3F" w:rsidRPr="002E2EFE" w:rsidRDefault="00C35D3F" w:rsidP="00C35D3F">
      <w:pPr>
        <w:pStyle w:val="P1-StandPara"/>
        <w:tabs>
          <w:tab w:val="left" w:pos="720"/>
          <w:tab w:val="right" w:leader="dot" w:pos="9504"/>
        </w:tabs>
        <w:spacing w:after="120"/>
        <w:ind w:firstLine="0"/>
        <w:rPr>
          <w:rFonts w:ascii="Calibri" w:hAnsi="Calibri"/>
          <w:szCs w:val="22"/>
        </w:rPr>
      </w:pPr>
      <w:r w:rsidRPr="002E2EFE">
        <w:rPr>
          <w:rFonts w:ascii="Calibri" w:hAnsi="Calibri"/>
          <w:b/>
          <w:szCs w:val="22"/>
        </w:rPr>
        <w:t xml:space="preserve">Attachment 3:  </w:t>
      </w:r>
      <w:r w:rsidRPr="002E2EFE">
        <w:rPr>
          <w:rFonts w:ascii="Calibri" w:hAnsi="Calibri"/>
          <w:szCs w:val="22"/>
        </w:rPr>
        <w:t>Correspondence for survey</w:t>
      </w:r>
      <w:r>
        <w:rPr>
          <w:rFonts w:ascii="Calibri" w:hAnsi="Calibri"/>
          <w:szCs w:val="22"/>
        </w:rPr>
        <w:t xml:space="preserve"> </w:t>
      </w:r>
      <w:r w:rsidRPr="002E2EFE">
        <w:rPr>
          <w:rFonts w:ascii="Calibri" w:hAnsi="Calibri"/>
          <w:szCs w:val="22"/>
        </w:rPr>
        <w:t xml:space="preserve">– </w:t>
      </w:r>
      <w:r>
        <w:rPr>
          <w:rFonts w:ascii="Calibri" w:hAnsi="Calibri"/>
          <w:szCs w:val="22"/>
        </w:rPr>
        <w:t>E</w:t>
      </w:r>
      <w:r w:rsidRPr="002E2EFE">
        <w:rPr>
          <w:rFonts w:ascii="Calibri" w:hAnsi="Calibri"/>
          <w:szCs w:val="22"/>
        </w:rPr>
        <w:t>mail invitation with</w:t>
      </w:r>
      <w:r>
        <w:rPr>
          <w:rFonts w:ascii="Calibri" w:hAnsi="Calibri"/>
          <w:szCs w:val="22"/>
        </w:rPr>
        <w:t xml:space="preserve"> survey link</w:t>
      </w:r>
    </w:p>
    <w:p w14:paraId="2D2EA3F1" w14:textId="77777777" w:rsidR="00C35D3F" w:rsidRPr="002E2EFE" w:rsidRDefault="00C35D3F" w:rsidP="00C35D3F">
      <w:pPr>
        <w:pStyle w:val="P1-StandPara"/>
        <w:tabs>
          <w:tab w:val="left" w:pos="720"/>
          <w:tab w:val="right" w:leader="dot" w:pos="9504"/>
        </w:tabs>
        <w:spacing w:after="120"/>
        <w:ind w:firstLine="0"/>
        <w:rPr>
          <w:rFonts w:ascii="Calibri" w:hAnsi="Calibri"/>
          <w:szCs w:val="22"/>
        </w:rPr>
      </w:pPr>
      <w:r w:rsidRPr="002E2EFE">
        <w:rPr>
          <w:rFonts w:ascii="Calibri" w:hAnsi="Calibri"/>
          <w:b/>
          <w:szCs w:val="22"/>
        </w:rPr>
        <w:t>Attachment 4:</w:t>
      </w:r>
      <w:r w:rsidRPr="002E2EFE">
        <w:rPr>
          <w:rFonts w:ascii="Calibri" w:hAnsi="Calibri"/>
          <w:szCs w:val="22"/>
        </w:rPr>
        <w:t xml:space="preserve">  Correspondence for survey</w:t>
      </w:r>
      <w:r>
        <w:rPr>
          <w:rFonts w:ascii="Calibri" w:hAnsi="Calibri"/>
          <w:szCs w:val="22"/>
        </w:rPr>
        <w:t xml:space="preserve"> –</w:t>
      </w:r>
      <w:r w:rsidRPr="002E2EFE">
        <w:rPr>
          <w:rFonts w:ascii="Calibri" w:hAnsi="Calibri"/>
          <w:szCs w:val="22"/>
        </w:rPr>
        <w:t xml:space="preserve"> </w:t>
      </w:r>
      <w:r>
        <w:rPr>
          <w:rFonts w:ascii="Calibri" w:hAnsi="Calibri"/>
          <w:szCs w:val="22"/>
        </w:rPr>
        <w:t>Reminder email</w:t>
      </w:r>
    </w:p>
    <w:p w14:paraId="715430C9" w14:textId="77777777" w:rsidR="00C35D3F" w:rsidRPr="002E2EFE" w:rsidRDefault="00C35D3F" w:rsidP="00C35D3F">
      <w:pPr>
        <w:pStyle w:val="P1-StandPara"/>
        <w:tabs>
          <w:tab w:val="left" w:pos="720"/>
          <w:tab w:val="right" w:leader="dot" w:pos="9504"/>
        </w:tabs>
        <w:spacing w:after="120"/>
        <w:ind w:firstLine="0"/>
        <w:rPr>
          <w:rFonts w:ascii="Calibri" w:hAnsi="Calibri"/>
          <w:b/>
          <w:szCs w:val="22"/>
        </w:rPr>
      </w:pPr>
      <w:r w:rsidRPr="002E2EFE">
        <w:rPr>
          <w:rFonts w:ascii="Calibri" w:hAnsi="Calibri"/>
          <w:b/>
          <w:szCs w:val="22"/>
        </w:rPr>
        <w:t xml:space="preserve">Attachment 5:  </w:t>
      </w:r>
      <w:r w:rsidRPr="002E2EFE">
        <w:rPr>
          <w:rFonts w:ascii="Calibri" w:hAnsi="Calibri"/>
          <w:szCs w:val="22"/>
        </w:rPr>
        <w:t>Documentation from the NIH Office of Human Subjects Research Protections</w:t>
      </w:r>
    </w:p>
    <w:p w14:paraId="3609D5AA" w14:textId="77777777" w:rsidR="00830A78" w:rsidRPr="009E2778" w:rsidRDefault="00830A78" w:rsidP="00830A78">
      <w:pPr>
        <w:pStyle w:val="P1-StandPara"/>
        <w:tabs>
          <w:tab w:val="left" w:pos="720"/>
          <w:tab w:val="right" w:leader="dot" w:pos="9504"/>
        </w:tabs>
        <w:spacing w:after="120" w:line="276" w:lineRule="auto"/>
        <w:ind w:firstLine="0"/>
        <w:rPr>
          <w:rFonts w:asciiTheme="minorHAnsi" w:hAnsiTheme="minorHAnsi"/>
          <w:szCs w:val="22"/>
        </w:rPr>
      </w:pPr>
    </w:p>
    <w:p w14:paraId="6F891794"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795A8BAA"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21ACDF30"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7FFAF399"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59603981"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5B8AECB1"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7BA7328A"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584ADC15"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4AE9E686"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0A3D74CE"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72B6B94E"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66EFE78F"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1C934D77"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5A0F9303"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2287D08E"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4F5891BB"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13DB8AFA"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686F5CB4"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134454F6"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78FF8D2D" w14:textId="77777777" w:rsidR="00FA5185" w:rsidRPr="009E2778" w:rsidRDefault="00FA5185" w:rsidP="00830A78">
      <w:pPr>
        <w:pStyle w:val="P1-StandPara"/>
        <w:tabs>
          <w:tab w:val="left" w:pos="720"/>
          <w:tab w:val="right" w:leader="dot" w:pos="9504"/>
        </w:tabs>
        <w:spacing w:after="120" w:line="276" w:lineRule="auto"/>
        <w:ind w:firstLine="0"/>
        <w:rPr>
          <w:rFonts w:asciiTheme="minorHAnsi" w:hAnsiTheme="minorHAnsi"/>
          <w:szCs w:val="22"/>
        </w:rPr>
      </w:pPr>
    </w:p>
    <w:p w14:paraId="7ED7E963" w14:textId="77777777" w:rsidR="00FA5185" w:rsidRPr="009E2778" w:rsidRDefault="00FA5185" w:rsidP="00830A78">
      <w:pPr>
        <w:pStyle w:val="P1-StandPara"/>
        <w:tabs>
          <w:tab w:val="left" w:pos="720"/>
          <w:tab w:val="right" w:leader="dot" w:pos="9504"/>
        </w:tabs>
        <w:spacing w:after="120" w:line="276" w:lineRule="auto"/>
        <w:ind w:firstLine="0"/>
        <w:rPr>
          <w:rFonts w:asciiTheme="minorHAnsi" w:hAnsiTheme="minorHAnsi"/>
          <w:szCs w:val="22"/>
        </w:rPr>
      </w:pPr>
    </w:p>
    <w:p w14:paraId="3F7C269A" w14:textId="77777777" w:rsidR="006649C8" w:rsidRPr="009E2778" w:rsidRDefault="006649C8" w:rsidP="00830A78">
      <w:pPr>
        <w:pStyle w:val="P1-StandPara"/>
        <w:tabs>
          <w:tab w:val="left" w:pos="720"/>
          <w:tab w:val="right" w:leader="dot" w:pos="9504"/>
        </w:tabs>
        <w:spacing w:after="120" w:line="276" w:lineRule="auto"/>
        <w:ind w:firstLine="0"/>
        <w:rPr>
          <w:rFonts w:asciiTheme="minorHAnsi" w:hAnsiTheme="minorHAnsi"/>
          <w:szCs w:val="22"/>
        </w:rPr>
      </w:pPr>
    </w:p>
    <w:p w14:paraId="4E85136F" w14:textId="3256A397" w:rsidR="00A117F1" w:rsidRPr="009E2778" w:rsidRDefault="006A45F9" w:rsidP="00830A78">
      <w:pPr>
        <w:pStyle w:val="P1-StandPara"/>
        <w:tabs>
          <w:tab w:val="left" w:pos="720"/>
          <w:tab w:val="right" w:leader="dot" w:pos="9504"/>
        </w:tabs>
        <w:spacing w:before="240" w:after="120" w:line="276" w:lineRule="auto"/>
        <w:ind w:firstLine="0"/>
        <w:rPr>
          <w:rFonts w:asciiTheme="minorHAnsi" w:hAnsiTheme="minorHAnsi"/>
          <w:szCs w:val="22"/>
        </w:rPr>
      </w:pPr>
      <w:r w:rsidRPr="009E2778">
        <w:rPr>
          <w:rFonts w:asciiTheme="minorHAnsi" w:hAnsiTheme="minorHAnsi"/>
          <w:b/>
          <w:szCs w:val="22"/>
        </w:rPr>
        <w:t xml:space="preserve">A. </w:t>
      </w:r>
      <w:r w:rsidR="00BE76A7" w:rsidRPr="009E2778">
        <w:rPr>
          <w:rFonts w:asciiTheme="minorHAnsi" w:hAnsiTheme="minorHAnsi"/>
          <w:b/>
          <w:szCs w:val="22"/>
        </w:rPr>
        <w:t>Justification</w:t>
      </w:r>
    </w:p>
    <w:p w14:paraId="2045B8AC" w14:textId="77777777" w:rsidR="001D0FF9" w:rsidRPr="009E2778" w:rsidRDefault="000F3043" w:rsidP="00830A78">
      <w:pPr>
        <w:pStyle w:val="P1-StandPara"/>
        <w:tabs>
          <w:tab w:val="left" w:pos="720"/>
          <w:tab w:val="right" w:leader="dot" w:pos="9504"/>
        </w:tabs>
        <w:spacing w:after="240" w:line="276" w:lineRule="auto"/>
        <w:ind w:firstLine="0"/>
        <w:rPr>
          <w:rFonts w:asciiTheme="minorHAnsi" w:hAnsiTheme="minorHAnsi"/>
          <w:b/>
          <w:szCs w:val="22"/>
        </w:rPr>
      </w:pPr>
      <w:r w:rsidRPr="009E2778">
        <w:rPr>
          <w:rFonts w:asciiTheme="minorHAnsi" w:hAnsiTheme="minorHAnsi"/>
          <w:b/>
          <w:szCs w:val="22"/>
        </w:rPr>
        <w:t>A.1</w:t>
      </w:r>
      <w:r w:rsidRPr="009E2778">
        <w:rPr>
          <w:rFonts w:asciiTheme="minorHAnsi" w:hAnsiTheme="minorHAnsi"/>
          <w:b/>
          <w:szCs w:val="22"/>
        </w:rPr>
        <w:tab/>
        <w:t>Circumstances Making the Collection of Information Necessary</w:t>
      </w:r>
      <w:bookmarkStart w:id="1" w:name="_Toc443881743"/>
      <w:bookmarkStart w:id="2" w:name="_Toc451592232"/>
      <w:bookmarkStart w:id="3" w:name="_Toc5610273"/>
      <w:bookmarkStart w:id="4" w:name="_Toc99178779"/>
    </w:p>
    <w:p w14:paraId="2DCA5B7A" w14:textId="09A6FEBA" w:rsidR="00082815" w:rsidRPr="009E2778" w:rsidRDefault="00082815" w:rsidP="006968A0">
      <w:pPr>
        <w:pStyle w:val="P1-StandPara"/>
        <w:tabs>
          <w:tab w:val="left" w:pos="720"/>
          <w:tab w:val="right" w:leader="dot" w:pos="9504"/>
        </w:tabs>
        <w:spacing w:after="240" w:line="276" w:lineRule="auto"/>
        <w:ind w:firstLine="0"/>
        <w:rPr>
          <w:rFonts w:asciiTheme="minorHAnsi" w:eastAsiaTheme="minorHAnsi" w:hAnsiTheme="minorHAnsi" w:cstheme="minorBidi"/>
          <w:szCs w:val="22"/>
        </w:rPr>
      </w:pPr>
      <w:r w:rsidRPr="009E2778">
        <w:rPr>
          <w:rFonts w:asciiTheme="minorHAnsi" w:eastAsiaTheme="minorHAnsi" w:hAnsiTheme="minorHAnsi" w:cstheme="minorBidi"/>
          <w:szCs w:val="22"/>
        </w:rPr>
        <w:t>The National Institute of Nursing Research (NINR)</w:t>
      </w:r>
      <w:r w:rsidR="00B103A3" w:rsidRPr="009E2778">
        <w:rPr>
          <w:rFonts w:asciiTheme="minorHAnsi" w:eastAsiaTheme="minorHAnsi" w:hAnsiTheme="minorHAnsi" w:cstheme="minorBidi"/>
          <w:szCs w:val="22"/>
        </w:rPr>
        <w:t>,</w:t>
      </w:r>
      <w:r w:rsidRPr="009E2778">
        <w:rPr>
          <w:rFonts w:asciiTheme="minorHAnsi" w:eastAsiaTheme="minorHAnsi" w:hAnsiTheme="minorHAnsi" w:cstheme="minorBidi"/>
          <w:szCs w:val="22"/>
        </w:rPr>
        <w:t xml:space="preserve"> </w:t>
      </w:r>
      <w:r w:rsidR="00B103A3" w:rsidRPr="009E2778">
        <w:rPr>
          <w:rFonts w:asciiTheme="minorHAnsi" w:eastAsiaTheme="minorHAnsi" w:hAnsiTheme="minorHAnsi" w:cstheme="minorBidi"/>
          <w:szCs w:val="22"/>
        </w:rPr>
        <w:t xml:space="preserve">part of the National Institutes of Health, </w:t>
      </w:r>
      <w:r w:rsidRPr="009E2778">
        <w:rPr>
          <w:rFonts w:asciiTheme="minorHAnsi" w:eastAsiaTheme="minorHAnsi" w:hAnsiTheme="minorHAnsi" w:cstheme="minorBidi"/>
          <w:szCs w:val="22"/>
        </w:rPr>
        <w:t>supports and conducts clinical and basic research and research training on health and illness across the lifespan. The research focus encompasses health promotion and disease prevention, quality of life, health disparities, end of life care, and research training. NINR’s activities are authorized under 42 USC 285q, wherein it is stated:</w:t>
      </w:r>
    </w:p>
    <w:p w14:paraId="528A2F5F" w14:textId="77777777" w:rsidR="006968A0" w:rsidRPr="009E2778" w:rsidRDefault="00082815" w:rsidP="006968A0">
      <w:pPr>
        <w:pStyle w:val="P1-StandPara"/>
        <w:tabs>
          <w:tab w:val="left" w:pos="720"/>
          <w:tab w:val="right" w:leader="dot" w:pos="9504"/>
        </w:tabs>
        <w:spacing w:after="240" w:line="276" w:lineRule="auto"/>
        <w:ind w:left="432" w:firstLine="0"/>
        <w:rPr>
          <w:rFonts w:asciiTheme="minorHAnsi" w:eastAsiaTheme="minorHAnsi" w:hAnsiTheme="minorHAnsi" w:cstheme="minorBidi"/>
          <w:szCs w:val="22"/>
        </w:rPr>
      </w:pPr>
      <w:r w:rsidRPr="009E2778">
        <w:rPr>
          <w:rFonts w:asciiTheme="minorHAnsi" w:eastAsiaTheme="minorHAnsi" w:hAnsiTheme="minorHAnsi" w:cstheme="minorBidi"/>
          <w:szCs w:val="22"/>
        </w:rPr>
        <w:t xml:space="preserve">“The general purpose of the National Institute of Nursing Research (in this subpart referred to as the "Institute") is the conduct and support of, and dissemination of information respecting, basic and clinical nursing research, training, and other programs in patient care research.” </w:t>
      </w:r>
    </w:p>
    <w:p w14:paraId="51AA0D23" w14:textId="62E51E4F" w:rsidR="00082815" w:rsidRPr="009E2778" w:rsidRDefault="002F173B" w:rsidP="006968A0">
      <w:pPr>
        <w:pStyle w:val="P1-StandPara"/>
        <w:tabs>
          <w:tab w:val="left" w:pos="720"/>
          <w:tab w:val="right" w:leader="dot" w:pos="9504"/>
        </w:tabs>
        <w:spacing w:after="240" w:line="276" w:lineRule="auto"/>
        <w:ind w:firstLine="0"/>
        <w:rPr>
          <w:rFonts w:asciiTheme="minorHAnsi" w:eastAsiaTheme="minorHAnsi" w:hAnsiTheme="minorHAnsi" w:cstheme="minorBidi"/>
          <w:szCs w:val="22"/>
        </w:rPr>
      </w:pPr>
      <w:r w:rsidRPr="009E2778">
        <w:rPr>
          <w:rFonts w:asciiTheme="minorHAnsi" w:eastAsiaTheme="minorHAnsi" w:hAnsiTheme="minorHAnsi" w:cstheme="minorBidi"/>
          <w:szCs w:val="22"/>
        </w:rPr>
        <w:t xml:space="preserve">In January 2014, NINR released new educational materials for health care providers as part of the first phase of its </w:t>
      </w:r>
      <w:r w:rsidRPr="009E2778">
        <w:rPr>
          <w:rFonts w:asciiTheme="minorHAnsi" w:eastAsiaTheme="minorHAnsi" w:hAnsiTheme="minorHAnsi" w:cstheme="minorBidi"/>
          <w:i/>
          <w:szCs w:val="22"/>
        </w:rPr>
        <w:t xml:space="preserve">Palliative Care: Conversations Matter® </w:t>
      </w:r>
      <w:r w:rsidRPr="009E2778">
        <w:rPr>
          <w:rFonts w:asciiTheme="minorHAnsi" w:eastAsiaTheme="minorHAnsi" w:hAnsiTheme="minorHAnsi" w:cstheme="minorBidi"/>
          <w:szCs w:val="22"/>
        </w:rPr>
        <w:t xml:space="preserve">campaign. </w:t>
      </w:r>
      <w:r w:rsidR="00FA5185" w:rsidRPr="009E2778">
        <w:rPr>
          <w:rFonts w:asciiTheme="minorHAnsi" w:eastAsiaTheme="minorHAnsi" w:hAnsiTheme="minorHAnsi" w:cstheme="minorBidi"/>
          <w:szCs w:val="22"/>
        </w:rPr>
        <w:t xml:space="preserve">This first phase of the campaign included materials designed to assist health care providers with starting and continuing conversations about pediatric palliative care with their patients and patients’ families. NINR evaluated the first phase of its </w:t>
      </w:r>
      <w:r w:rsidR="00FA5185" w:rsidRPr="009E2778">
        <w:rPr>
          <w:rFonts w:asciiTheme="minorHAnsi" w:eastAsiaTheme="minorHAnsi" w:hAnsiTheme="minorHAnsi" w:cstheme="minorBidi"/>
          <w:i/>
          <w:szCs w:val="22"/>
        </w:rPr>
        <w:t>Palliative Care: Conversations Matter®</w:t>
      </w:r>
      <w:r w:rsidR="00FA5185" w:rsidRPr="009E2778">
        <w:rPr>
          <w:rFonts w:asciiTheme="minorHAnsi" w:eastAsiaTheme="minorHAnsi" w:hAnsiTheme="minorHAnsi" w:cstheme="minorBidi"/>
          <w:szCs w:val="22"/>
        </w:rPr>
        <w:t xml:space="preserve"> </w:t>
      </w:r>
      <w:r w:rsidR="008C26E9">
        <w:rPr>
          <w:rFonts w:asciiTheme="minorHAnsi" w:eastAsiaTheme="minorHAnsi" w:hAnsiTheme="minorHAnsi" w:cstheme="minorBidi"/>
          <w:szCs w:val="22"/>
        </w:rPr>
        <w:t>c</w:t>
      </w:r>
      <w:r w:rsidR="00FA5185" w:rsidRPr="009E2778">
        <w:rPr>
          <w:rFonts w:asciiTheme="minorHAnsi" w:eastAsiaTheme="minorHAnsi" w:hAnsiTheme="minorHAnsi" w:cstheme="minorBidi"/>
          <w:szCs w:val="22"/>
        </w:rPr>
        <w:t xml:space="preserve">ampaign by surveying health care providers from three sites. The evaluation was conducted online and by phone, and helped NINR learn more about what did and did not work in implementing the campaign at the sites. </w:t>
      </w:r>
      <w:r w:rsidR="006968A0" w:rsidRPr="009E2778">
        <w:rPr>
          <w:rFonts w:asciiTheme="minorHAnsi" w:eastAsiaTheme="minorHAnsi" w:hAnsiTheme="minorHAnsi" w:cstheme="minorBidi"/>
          <w:szCs w:val="22"/>
        </w:rPr>
        <w:t xml:space="preserve">NINR was approved by the Office of Management and Budget (OMB) for the evaluation under </w:t>
      </w:r>
      <w:r w:rsidR="00D20F7E" w:rsidRPr="00F35854">
        <w:rPr>
          <w:rFonts w:asciiTheme="minorHAnsi" w:hAnsiTheme="minorHAnsi"/>
          <w:u w:val="single"/>
        </w:rPr>
        <w:t>Palliative Care: Conversations Matter Assessment (NINR)</w:t>
      </w:r>
      <w:r w:rsidR="006968A0" w:rsidRPr="009E2778">
        <w:rPr>
          <w:rFonts w:asciiTheme="minorHAnsi" w:hAnsiTheme="minorHAnsi"/>
        </w:rPr>
        <w:t>,</w:t>
      </w:r>
      <w:r w:rsidR="00D20F7E" w:rsidRPr="009E2778">
        <w:rPr>
          <w:rFonts w:asciiTheme="minorHAnsi" w:hAnsiTheme="minorHAnsi"/>
        </w:rPr>
        <w:t xml:space="preserve"> OMB#: 0925-0683</w:t>
      </w:r>
      <w:r w:rsidR="006968A0" w:rsidRPr="009E2778">
        <w:rPr>
          <w:rFonts w:asciiTheme="minorHAnsi" w:hAnsiTheme="minorHAnsi"/>
        </w:rPr>
        <w:t>,</w:t>
      </w:r>
      <w:r w:rsidR="00D20F7E" w:rsidRPr="009E2778">
        <w:rPr>
          <w:rFonts w:asciiTheme="minorHAnsi" w:hAnsiTheme="minorHAnsi"/>
        </w:rPr>
        <w:t xml:space="preserve"> Expiration Date: 10/31/2016.</w:t>
      </w:r>
    </w:p>
    <w:p w14:paraId="6BC9AEDD" w14:textId="1479A680" w:rsidR="00082815" w:rsidRPr="009E2778" w:rsidRDefault="00082815" w:rsidP="00830A78">
      <w:pPr>
        <w:pStyle w:val="P1-StandPara"/>
        <w:tabs>
          <w:tab w:val="left" w:pos="720"/>
          <w:tab w:val="right" w:leader="dot" w:pos="9504"/>
        </w:tabs>
        <w:spacing w:after="240" w:line="276" w:lineRule="auto"/>
        <w:ind w:firstLine="0"/>
        <w:rPr>
          <w:rFonts w:asciiTheme="minorHAnsi" w:eastAsiaTheme="minorHAnsi" w:hAnsiTheme="minorHAnsi" w:cstheme="minorBidi"/>
          <w:szCs w:val="22"/>
        </w:rPr>
      </w:pPr>
      <w:r w:rsidRPr="009E2778">
        <w:rPr>
          <w:rFonts w:asciiTheme="minorHAnsi" w:eastAsiaTheme="minorHAnsi" w:hAnsiTheme="minorHAnsi" w:cstheme="minorBidi"/>
          <w:szCs w:val="22"/>
        </w:rPr>
        <w:t>In July 2015, NINR publically launched the second phase of the campaign, which focuse</w:t>
      </w:r>
      <w:r w:rsidR="0025686C" w:rsidRPr="009E2778">
        <w:rPr>
          <w:rFonts w:asciiTheme="minorHAnsi" w:eastAsiaTheme="minorHAnsi" w:hAnsiTheme="minorHAnsi" w:cstheme="minorBidi"/>
          <w:szCs w:val="22"/>
        </w:rPr>
        <w:t>s</w:t>
      </w:r>
      <w:r w:rsidRPr="009E2778">
        <w:rPr>
          <w:rFonts w:asciiTheme="minorHAnsi" w:eastAsiaTheme="minorHAnsi" w:hAnsiTheme="minorHAnsi" w:cstheme="minorBidi"/>
          <w:szCs w:val="22"/>
        </w:rPr>
        <w:t xml:space="preserve"> on patients and their families to raise awareness </w:t>
      </w:r>
      <w:r w:rsidR="004A1E04" w:rsidRPr="009E2778">
        <w:rPr>
          <w:rFonts w:asciiTheme="minorHAnsi" w:eastAsiaTheme="minorHAnsi" w:hAnsiTheme="minorHAnsi" w:cstheme="minorBidi"/>
          <w:szCs w:val="22"/>
        </w:rPr>
        <w:t>about the benefits of palliative care,</w:t>
      </w:r>
      <w:r w:rsidRPr="009E2778">
        <w:rPr>
          <w:rFonts w:asciiTheme="minorHAnsi" w:eastAsiaTheme="minorHAnsi" w:hAnsiTheme="minorHAnsi" w:cstheme="minorBidi"/>
          <w:szCs w:val="22"/>
        </w:rPr>
        <w:t xml:space="preserve"> empower families to begin a dialogue with health care providers</w:t>
      </w:r>
      <w:r w:rsidR="004A1E04" w:rsidRPr="009E2778">
        <w:rPr>
          <w:rFonts w:asciiTheme="minorHAnsi" w:eastAsiaTheme="minorHAnsi" w:hAnsiTheme="minorHAnsi" w:cstheme="minorBidi"/>
          <w:szCs w:val="22"/>
        </w:rPr>
        <w:t>, and seek out palliative care information and resources</w:t>
      </w:r>
      <w:r w:rsidRPr="009E2778">
        <w:rPr>
          <w:rFonts w:asciiTheme="minorHAnsi" w:eastAsiaTheme="minorHAnsi" w:hAnsiTheme="minorHAnsi" w:cstheme="minorBidi"/>
          <w:szCs w:val="22"/>
        </w:rPr>
        <w:t xml:space="preserve">. The purpose and overall goal of the second phase of the </w:t>
      </w:r>
      <w:r w:rsidRPr="009E2778">
        <w:rPr>
          <w:rFonts w:asciiTheme="minorHAnsi" w:eastAsiaTheme="minorHAnsi" w:hAnsiTheme="minorHAnsi" w:cstheme="minorBidi"/>
          <w:i/>
          <w:szCs w:val="22"/>
        </w:rPr>
        <w:t>Palliative Care: Conversations Matter®</w:t>
      </w:r>
      <w:r w:rsidRPr="009E2778">
        <w:rPr>
          <w:rFonts w:asciiTheme="minorHAnsi" w:eastAsiaTheme="minorHAnsi" w:hAnsiTheme="minorHAnsi" w:cstheme="minorBidi"/>
          <w:szCs w:val="22"/>
        </w:rPr>
        <w:t xml:space="preserve"> campaign is to increase the use of palliative care for children and teens living with serious illnesses.</w:t>
      </w:r>
      <w:r w:rsidR="002968A5" w:rsidRPr="009E2778">
        <w:rPr>
          <w:rFonts w:asciiTheme="minorHAnsi" w:eastAsiaTheme="minorHAnsi" w:hAnsiTheme="minorHAnsi" w:cstheme="minorBidi"/>
          <w:szCs w:val="22"/>
        </w:rPr>
        <w:t xml:space="preserve"> All materials developed in both English and Spanish during the second phase of the campaign were tested with families to make sure the </w:t>
      </w:r>
      <w:r w:rsidR="00B103A3" w:rsidRPr="009E2778">
        <w:rPr>
          <w:rFonts w:asciiTheme="minorHAnsi" w:eastAsiaTheme="minorHAnsi" w:hAnsiTheme="minorHAnsi" w:cstheme="minorBidi"/>
          <w:szCs w:val="22"/>
        </w:rPr>
        <w:t>materials were</w:t>
      </w:r>
      <w:r w:rsidR="002968A5" w:rsidRPr="009E2778">
        <w:rPr>
          <w:rFonts w:asciiTheme="minorHAnsi" w:eastAsiaTheme="minorHAnsi" w:hAnsiTheme="minorHAnsi" w:cstheme="minorBidi"/>
          <w:szCs w:val="22"/>
        </w:rPr>
        <w:t xml:space="preserve"> c</w:t>
      </w:r>
      <w:r w:rsidR="00325F7C" w:rsidRPr="009E2778">
        <w:rPr>
          <w:rFonts w:asciiTheme="minorHAnsi" w:eastAsiaTheme="minorHAnsi" w:hAnsiTheme="minorHAnsi" w:cstheme="minorBidi"/>
          <w:szCs w:val="22"/>
        </w:rPr>
        <w:t xml:space="preserve">lear and relevant for the intended audiences. </w:t>
      </w:r>
      <w:r w:rsidR="00E10E41" w:rsidRPr="009E2778">
        <w:rPr>
          <w:rFonts w:asciiTheme="minorHAnsi" w:eastAsiaTheme="minorHAnsi" w:hAnsiTheme="minorHAnsi" w:cstheme="minorBidi"/>
          <w:szCs w:val="22"/>
        </w:rPr>
        <w:t xml:space="preserve">NINR was approved by </w:t>
      </w:r>
      <w:r w:rsidR="00E10E41">
        <w:rPr>
          <w:rFonts w:asciiTheme="minorHAnsi" w:eastAsiaTheme="minorHAnsi" w:hAnsiTheme="minorHAnsi" w:cstheme="minorBidi"/>
          <w:szCs w:val="22"/>
        </w:rPr>
        <w:t xml:space="preserve">OMB </w:t>
      </w:r>
      <w:r w:rsidR="00E10E41" w:rsidRPr="009E2778">
        <w:rPr>
          <w:rFonts w:asciiTheme="minorHAnsi" w:eastAsiaTheme="minorHAnsi" w:hAnsiTheme="minorHAnsi" w:cstheme="minorBidi"/>
          <w:szCs w:val="22"/>
        </w:rPr>
        <w:t xml:space="preserve">for the </w:t>
      </w:r>
      <w:r w:rsidR="00E10E41">
        <w:rPr>
          <w:rFonts w:asciiTheme="minorHAnsi" w:eastAsiaTheme="minorHAnsi" w:hAnsiTheme="minorHAnsi" w:cstheme="minorBidi"/>
          <w:szCs w:val="22"/>
        </w:rPr>
        <w:t>testing of these materials</w:t>
      </w:r>
      <w:r w:rsidR="00E10E41" w:rsidRPr="009E2778">
        <w:rPr>
          <w:rFonts w:asciiTheme="minorHAnsi" w:eastAsiaTheme="minorHAnsi" w:hAnsiTheme="minorHAnsi" w:cstheme="minorBidi"/>
          <w:szCs w:val="22"/>
        </w:rPr>
        <w:t xml:space="preserve"> under </w:t>
      </w:r>
      <w:r w:rsidR="00E10E41" w:rsidRPr="00F35854">
        <w:rPr>
          <w:rFonts w:asciiTheme="minorHAnsi" w:hAnsiTheme="minorHAnsi"/>
          <w:u w:val="single"/>
        </w:rPr>
        <w:t>Generic Clearance for the Collection of Qualitative Feedback on Agency Service Delivery (NINR)</w:t>
      </w:r>
      <w:r w:rsidR="00E10E41" w:rsidRPr="009E2778">
        <w:rPr>
          <w:rFonts w:asciiTheme="minorHAnsi" w:hAnsiTheme="minorHAnsi"/>
        </w:rPr>
        <w:t>, OMB#: 0925-06</w:t>
      </w:r>
      <w:r w:rsidR="00E10E41">
        <w:rPr>
          <w:rFonts w:asciiTheme="minorHAnsi" w:hAnsiTheme="minorHAnsi"/>
        </w:rPr>
        <w:t>5</w:t>
      </w:r>
      <w:r w:rsidR="00E10E41" w:rsidRPr="009E2778">
        <w:rPr>
          <w:rFonts w:asciiTheme="minorHAnsi" w:hAnsiTheme="minorHAnsi"/>
        </w:rPr>
        <w:t xml:space="preserve">3, Expiration Date: </w:t>
      </w:r>
      <w:r w:rsidR="00F35854">
        <w:rPr>
          <w:rFonts w:asciiTheme="minorHAnsi" w:hAnsiTheme="minorHAnsi"/>
        </w:rPr>
        <w:t>04</w:t>
      </w:r>
      <w:r w:rsidR="00E10E41" w:rsidRPr="009E2778">
        <w:rPr>
          <w:rFonts w:asciiTheme="minorHAnsi" w:hAnsiTheme="minorHAnsi"/>
        </w:rPr>
        <w:t>/3</w:t>
      </w:r>
      <w:r w:rsidR="00F35854">
        <w:rPr>
          <w:rFonts w:asciiTheme="minorHAnsi" w:hAnsiTheme="minorHAnsi"/>
        </w:rPr>
        <w:t>0</w:t>
      </w:r>
      <w:r w:rsidR="00E10E41" w:rsidRPr="009E2778">
        <w:rPr>
          <w:rFonts w:asciiTheme="minorHAnsi" w:hAnsiTheme="minorHAnsi"/>
        </w:rPr>
        <w:t>/201</w:t>
      </w:r>
      <w:r w:rsidR="00F35854">
        <w:rPr>
          <w:rFonts w:asciiTheme="minorHAnsi" w:hAnsiTheme="minorHAnsi"/>
        </w:rPr>
        <w:t>8</w:t>
      </w:r>
      <w:r w:rsidR="00E10E41" w:rsidRPr="009E2778">
        <w:rPr>
          <w:rFonts w:asciiTheme="minorHAnsi" w:hAnsiTheme="minorHAnsi"/>
        </w:rPr>
        <w:t>.</w:t>
      </w:r>
    </w:p>
    <w:p w14:paraId="33463CF6" w14:textId="77777777" w:rsidR="00082815" w:rsidRPr="009E2778" w:rsidRDefault="00082815" w:rsidP="00830A78">
      <w:pPr>
        <w:pStyle w:val="P1-StandPara"/>
        <w:tabs>
          <w:tab w:val="left" w:pos="720"/>
          <w:tab w:val="right" w:leader="dot" w:pos="9504"/>
        </w:tabs>
        <w:spacing w:after="240" w:line="276" w:lineRule="auto"/>
        <w:ind w:firstLine="0"/>
        <w:rPr>
          <w:rFonts w:asciiTheme="minorHAnsi" w:hAnsiTheme="minorHAnsi"/>
          <w:b/>
          <w:szCs w:val="22"/>
        </w:rPr>
      </w:pPr>
      <w:r w:rsidRPr="009E2778">
        <w:rPr>
          <w:rFonts w:asciiTheme="minorHAnsi" w:eastAsiaTheme="minorHAnsi" w:hAnsiTheme="minorHAnsi" w:cstheme="minorBidi"/>
          <w:szCs w:val="22"/>
        </w:rPr>
        <w:t xml:space="preserve">Phase Two campaign materials and messages are designed to assist families and caregivers with ongoing conversations about palliative care. Examples of messages used include:  </w:t>
      </w:r>
    </w:p>
    <w:p w14:paraId="289D79C4" w14:textId="77777777" w:rsidR="00082815" w:rsidRPr="009E2778" w:rsidRDefault="00082815" w:rsidP="00830A78">
      <w:pPr>
        <w:pStyle w:val="Heading2"/>
        <w:numPr>
          <w:ilvl w:val="0"/>
          <w:numId w:val="12"/>
        </w:numPr>
        <w:spacing w:after="240" w:line="276" w:lineRule="auto"/>
        <w:jc w:val="left"/>
        <w:rPr>
          <w:rFonts w:asciiTheme="minorHAnsi" w:eastAsiaTheme="minorHAnsi" w:hAnsiTheme="minorHAnsi" w:cstheme="minorBidi"/>
          <w:b w:val="0"/>
          <w:szCs w:val="22"/>
        </w:rPr>
      </w:pPr>
      <w:r w:rsidRPr="009E2778">
        <w:rPr>
          <w:rFonts w:asciiTheme="minorHAnsi" w:eastAsiaTheme="minorHAnsi" w:hAnsiTheme="minorHAnsi" w:cstheme="minorBidi"/>
          <w:b w:val="0"/>
          <w:szCs w:val="22"/>
        </w:rPr>
        <w:lastRenderedPageBreak/>
        <w:t xml:space="preserve">Pediatric palliative care is tailored to the unique needs of your child and family. </w:t>
      </w:r>
    </w:p>
    <w:p w14:paraId="3C552A39" w14:textId="77777777" w:rsidR="00082815" w:rsidRPr="009E2778" w:rsidRDefault="00082815" w:rsidP="00830A78">
      <w:pPr>
        <w:pStyle w:val="Heading2"/>
        <w:numPr>
          <w:ilvl w:val="0"/>
          <w:numId w:val="12"/>
        </w:numPr>
        <w:spacing w:after="240" w:line="276" w:lineRule="auto"/>
        <w:jc w:val="left"/>
        <w:rPr>
          <w:rFonts w:asciiTheme="minorHAnsi" w:eastAsiaTheme="minorHAnsi" w:hAnsiTheme="minorHAnsi" w:cstheme="minorBidi"/>
          <w:b w:val="0"/>
          <w:szCs w:val="22"/>
        </w:rPr>
      </w:pPr>
      <w:r w:rsidRPr="009E2778">
        <w:rPr>
          <w:rFonts w:asciiTheme="minorHAnsi" w:eastAsiaTheme="minorHAnsi" w:hAnsiTheme="minorHAnsi" w:cstheme="minorBidi"/>
          <w:b w:val="0"/>
          <w:szCs w:val="22"/>
        </w:rPr>
        <w:t>Pediatric palliative care can enhance the quality of life for your child and family.</w:t>
      </w:r>
    </w:p>
    <w:p w14:paraId="2A419444" w14:textId="77777777" w:rsidR="00082815" w:rsidRPr="009E2778" w:rsidRDefault="00082815" w:rsidP="00830A78">
      <w:pPr>
        <w:pStyle w:val="Heading2"/>
        <w:numPr>
          <w:ilvl w:val="0"/>
          <w:numId w:val="12"/>
        </w:numPr>
        <w:spacing w:after="240" w:line="276" w:lineRule="auto"/>
        <w:jc w:val="left"/>
        <w:rPr>
          <w:rFonts w:asciiTheme="minorHAnsi" w:eastAsiaTheme="minorHAnsi" w:hAnsiTheme="minorHAnsi" w:cstheme="minorBidi"/>
          <w:b w:val="0"/>
          <w:szCs w:val="22"/>
        </w:rPr>
      </w:pPr>
      <w:r w:rsidRPr="009E2778">
        <w:rPr>
          <w:rFonts w:asciiTheme="minorHAnsi" w:eastAsiaTheme="minorHAnsi" w:hAnsiTheme="minorHAnsi" w:cstheme="minorBidi"/>
          <w:b w:val="0"/>
          <w:szCs w:val="22"/>
        </w:rPr>
        <w:t>Pediatric palliative care can begin at any time and be provided alongside your child’s primary treatment.</w:t>
      </w:r>
    </w:p>
    <w:p w14:paraId="30E1BA17" w14:textId="77777777" w:rsidR="00082815" w:rsidRPr="009E2778" w:rsidRDefault="00082815" w:rsidP="00830A78">
      <w:pPr>
        <w:pStyle w:val="Heading2"/>
        <w:numPr>
          <w:ilvl w:val="0"/>
          <w:numId w:val="12"/>
        </w:numPr>
        <w:spacing w:after="240" w:line="276" w:lineRule="auto"/>
        <w:jc w:val="left"/>
        <w:rPr>
          <w:rFonts w:asciiTheme="minorHAnsi" w:eastAsiaTheme="minorHAnsi" w:hAnsiTheme="minorHAnsi" w:cstheme="minorBidi"/>
          <w:b w:val="0"/>
          <w:szCs w:val="22"/>
        </w:rPr>
      </w:pPr>
      <w:r w:rsidRPr="009E2778">
        <w:rPr>
          <w:rFonts w:asciiTheme="minorHAnsi" w:eastAsiaTheme="minorHAnsi" w:hAnsiTheme="minorHAnsi" w:cstheme="minorBidi"/>
          <w:b w:val="0"/>
          <w:szCs w:val="22"/>
        </w:rPr>
        <w:t>A serious illness affects the entire family, and pediatric palliative care can help support everyone.</w:t>
      </w:r>
    </w:p>
    <w:p w14:paraId="5EACBF79" w14:textId="77777777" w:rsidR="00082815" w:rsidRPr="009E2778" w:rsidRDefault="00082815" w:rsidP="00830A78">
      <w:pPr>
        <w:pStyle w:val="Heading2"/>
        <w:numPr>
          <w:ilvl w:val="0"/>
          <w:numId w:val="12"/>
        </w:numPr>
        <w:spacing w:after="240" w:line="276" w:lineRule="auto"/>
        <w:jc w:val="left"/>
        <w:rPr>
          <w:rFonts w:asciiTheme="minorHAnsi" w:eastAsiaTheme="minorHAnsi" w:hAnsiTheme="minorHAnsi" w:cstheme="minorBidi"/>
          <w:b w:val="0"/>
          <w:szCs w:val="22"/>
        </w:rPr>
      </w:pPr>
      <w:r w:rsidRPr="009E2778">
        <w:rPr>
          <w:rFonts w:asciiTheme="minorHAnsi" w:eastAsiaTheme="minorHAnsi" w:hAnsiTheme="minorHAnsi" w:cstheme="minorBidi"/>
          <w:b w:val="0"/>
          <w:szCs w:val="22"/>
        </w:rPr>
        <w:t>Pediatric palliative care surrounds your family with a team of experts who work together to support you and your child in a variety of settings.</w:t>
      </w:r>
    </w:p>
    <w:p w14:paraId="243A6ADD" w14:textId="77777777" w:rsidR="00082815" w:rsidRPr="009E2778" w:rsidRDefault="00082815" w:rsidP="00830A78">
      <w:pPr>
        <w:pStyle w:val="Heading2"/>
        <w:numPr>
          <w:ilvl w:val="0"/>
          <w:numId w:val="12"/>
        </w:numPr>
        <w:spacing w:after="240" w:line="276" w:lineRule="auto"/>
        <w:jc w:val="left"/>
        <w:rPr>
          <w:rFonts w:asciiTheme="minorHAnsi" w:eastAsiaTheme="minorHAnsi" w:hAnsiTheme="minorHAnsi" w:cstheme="minorBidi"/>
          <w:b w:val="0"/>
          <w:szCs w:val="22"/>
        </w:rPr>
      </w:pPr>
      <w:r w:rsidRPr="009E2778">
        <w:rPr>
          <w:rFonts w:asciiTheme="minorHAnsi" w:eastAsiaTheme="minorHAnsi" w:hAnsiTheme="minorHAnsi" w:cstheme="minorBidi"/>
          <w:b w:val="0"/>
          <w:szCs w:val="22"/>
        </w:rPr>
        <w:t>Talk to your loved ones and health care team about how pediatric palliative care can help your child and family.</w:t>
      </w:r>
    </w:p>
    <w:p w14:paraId="702254F5" w14:textId="0AC8A5C1" w:rsidR="00250FC1" w:rsidRPr="009E2778" w:rsidRDefault="00082815" w:rsidP="00830A78">
      <w:pPr>
        <w:pStyle w:val="Heading2"/>
        <w:spacing w:after="240" w:line="276" w:lineRule="auto"/>
        <w:ind w:left="0" w:firstLine="0"/>
        <w:jc w:val="left"/>
        <w:rPr>
          <w:rFonts w:asciiTheme="minorHAnsi" w:eastAsiaTheme="minorHAnsi" w:hAnsiTheme="minorHAnsi" w:cstheme="minorBidi"/>
          <w:b w:val="0"/>
          <w:szCs w:val="22"/>
        </w:rPr>
      </w:pPr>
      <w:r w:rsidRPr="009E2778">
        <w:rPr>
          <w:rFonts w:asciiTheme="minorHAnsi" w:eastAsiaTheme="minorHAnsi" w:hAnsiTheme="minorHAnsi" w:cstheme="minorBidi"/>
          <w:b w:val="0"/>
          <w:szCs w:val="22"/>
        </w:rPr>
        <w:t xml:space="preserve">The purpose of the </w:t>
      </w:r>
      <w:r w:rsidRPr="009E2778">
        <w:rPr>
          <w:rFonts w:asciiTheme="minorHAnsi" w:eastAsiaTheme="minorHAnsi" w:hAnsiTheme="minorHAnsi" w:cstheme="minorBidi"/>
          <w:b w:val="0"/>
          <w:i/>
          <w:szCs w:val="22"/>
        </w:rPr>
        <w:t>Palliative Care: Conversations Matter®</w:t>
      </w:r>
      <w:r w:rsidRPr="009E2778">
        <w:rPr>
          <w:rFonts w:asciiTheme="minorHAnsi" w:eastAsiaTheme="minorHAnsi" w:hAnsiTheme="minorHAnsi" w:cstheme="minorBidi"/>
          <w:b w:val="0"/>
          <w:szCs w:val="22"/>
        </w:rPr>
        <w:t xml:space="preserve"> Phase Two </w:t>
      </w:r>
      <w:r w:rsidR="004A1E04" w:rsidRPr="009E2778">
        <w:rPr>
          <w:rFonts w:asciiTheme="minorHAnsi" w:eastAsiaTheme="minorHAnsi" w:hAnsiTheme="minorHAnsi" w:cstheme="minorBidi"/>
          <w:b w:val="0"/>
          <w:szCs w:val="22"/>
        </w:rPr>
        <w:t>Evaluation</w:t>
      </w:r>
      <w:r w:rsidRPr="009E2778">
        <w:rPr>
          <w:rFonts w:asciiTheme="minorHAnsi" w:eastAsiaTheme="minorHAnsi" w:hAnsiTheme="minorHAnsi" w:cstheme="minorBidi"/>
          <w:b w:val="0"/>
          <w:szCs w:val="22"/>
        </w:rPr>
        <w:t xml:space="preserve"> is to measure the effectiveness of the </w:t>
      </w:r>
      <w:r w:rsidR="008C26E9">
        <w:rPr>
          <w:rFonts w:asciiTheme="minorHAnsi" w:eastAsiaTheme="minorHAnsi" w:hAnsiTheme="minorHAnsi" w:cstheme="minorBidi"/>
          <w:b w:val="0"/>
          <w:szCs w:val="22"/>
        </w:rPr>
        <w:t xml:space="preserve">second phase of the </w:t>
      </w:r>
      <w:r w:rsidRPr="009E2778">
        <w:rPr>
          <w:rFonts w:asciiTheme="minorHAnsi" w:eastAsiaTheme="minorHAnsi" w:hAnsiTheme="minorHAnsi" w:cstheme="minorBidi"/>
          <w:b w:val="0"/>
          <w:szCs w:val="22"/>
        </w:rPr>
        <w:t xml:space="preserve">campaign and its educational materials. </w:t>
      </w:r>
    </w:p>
    <w:p w14:paraId="70222F71" w14:textId="59429907" w:rsidR="00082815" w:rsidRPr="009E2778" w:rsidRDefault="00082815" w:rsidP="00830A78">
      <w:pPr>
        <w:pStyle w:val="Heading2"/>
        <w:spacing w:after="240" w:line="276" w:lineRule="auto"/>
        <w:ind w:left="0" w:firstLine="0"/>
        <w:jc w:val="left"/>
        <w:rPr>
          <w:rFonts w:asciiTheme="minorHAnsi" w:eastAsiaTheme="minorHAnsi" w:hAnsiTheme="minorHAnsi" w:cstheme="minorBidi"/>
          <w:b w:val="0"/>
          <w:szCs w:val="22"/>
        </w:rPr>
      </w:pPr>
      <w:r w:rsidRPr="009E2778">
        <w:rPr>
          <w:rFonts w:asciiTheme="minorHAnsi" w:eastAsiaTheme="minorHAnsi" w:hAnsiTheme="minorHAnsi" w:cstheme="minorBidi"/>
          <w:b w:val="0"/>
          <w:szCs w:val="22"/>
        </w:rPr>
        <w:t xml:space="preserve">In accordance with the Paperwork Reduction Act of 1995 (44 U.S.C. 3501 et seq.), NINR is requesting clearance from the Office of Management and Budget (OMB) to conduct a data collection procedure for the </w:t>
      </w:r>
      <w:r w:rsidRPr="009E2778">
        <w:rPr>
          <w:rFonts w:asciiTheme="minorHAnsi" w:eastAsiaTheme="minorHAnsi" w:hAnsiTheme="minorHAnsi" w:cstheme="minorBidi"/>
          <w:b w:val="0"/>
          <w:i/>
          <w:szCs w:val="22"/>
        </w:rPr>
        <w:t>Palliative Care: Conversations Matter®</w:t>
      </w:r>
      <w:r w:rsidRPr="009E2778">
        <w:rPr>
          <w:rFonts w:asciiTheme="minorHAnsi" w:eastAsiaTheme="minorHAnsi" w:hAnsiTheme="minorHAnsi" w:cstheme="minorBidi"/>
          <w:b w:val="0"/>
          <w:szCs w:val="22"/>
        </w:rPr>
        <w:t xml:space="preserve"> </w:t>
      </w:r>
      <w:r w:rsidR="008C26E9">
        <w:rPr>
          <w:rFonts w:asciiTheme="minorHAnsi" w:eastAsiaTheme="minorHAnsi" w:hAnsiTheme="minorHAnsi" w:cstheme="minorBidi"/>
          <w:b w:val="0"/>
          <w:szCs w:val="22"/>
        </w:rPr>
        <w:t>c</w:t>
      </w:r>
      <w:r w:rsidRPr="009E2778">
        <w:rPr>
          <w:rFonts w:asciiTheme="minorHAnsi" w:eastAsiaTheme="minorHAnsi" w:hAnsiTheme="minorHAnsi" w:cstheme="minorBidi"/>
          <w:b w:val="0"/>
          <w:szCs w:val="22"/>
        </w:rPr>
        <w:t>ampaign. Specifically, clearance is requested for a 21</w:t>
      </w:r>
      <w:r w:rsidR="00412E18" w:rsidRPr="009E2778">
        <w:rPr>
          <w:rFonts w:asciiTheme="minorHAnsi" w:eastAsiaTheme="minorHAnsi" w:hAnsiTheme="minorHAnsi" w:cstheme="minorBidi"/>
          <w:b w:val="0"/>
          <w:szCs w:val="22"/>
        </w:rPr>
        <w:t xml:space="preserve"> </w:t>
      </w:r>
      <w:r w:rsidRPr="009E2778">
        <w:rPr>
          <w:rFonts w:asciiTheme="minorHAnsi" w:eastAsiaTheme="minorHAnsi" w:hAnsiTheme="minorHAnsi" w:cstheme="minorBidi"/>
          <w:b w:val="0"/>
          <w:szCs w:val="22"/>
        </w:rPr>
        <w:t>item web-based survey of parents and caregivers at one point in time</w:t>
      </w:r>
      <w:r w:rsidR="00412E18" w:rsidRPr="009E2778">
        <w:rPr>
          <w:rFonts w:asciiTheme="minorHAnsi" w:eastAsiaTheme="minorHAnsi" w:hAnsiTheme="minorHAnsi" w:cstheme="minorBidi"/>
          <w:b w:val="0"/>
          <w:szCs w:val="22"/>
        </w:rPr>
        <w:t xml:space="preserve"> for</w:t>
      </w:r>
      <w:r w:rsidRPr="009E2778">
        <w:rPr>
          <w:rFonts w:asciiTheme="minorHAnsi" w:eastAsiaTheme="minorHAnsi" w:hAnsiTheme="minorHAnsi" w:cstheme="minorBidi"/>
          <w:b w:val="0"/>
          <w:szCs w:val="22"/>
        </w:rPr>
        <w:t xml:space="preserve"> </w:t>
      </w:r>
      <w:r w:rsidR="00412E18" w:rsidRPr="009E2778">
        <w:rPr>
          <w:rFonts w:asciiTheme="minorHAnsi" w:eastAsiaTheme="minorHAnsi" w:hAnsiTheme="minorHAnsi" w:cstheme="minorBidi"/>
          <w:b w:val="0"/>
          <w:szCs w:val="22"/>
        </w:rPr>
        <w:t xml:space="preserve">three </w:t>
      </w:r>
      <w:r w:rsidRPr="009E2778">
        <w:rPr>
          <w:rFonts w:asciiTheme="minorHAnsi" w:eastAsiaTheme="minorHAnsi" w:hAnsiTheme="minorHAnsi" w:cstheme="minorBidi"/>
          <w:b w:val="0"/>
          <w:szCs w:val="22"/>
        </w:rPr>
        <w:t xml:space="preserve">years.  </w:t>
      </w:r>
    </w:p>
    <w:p w14:paraId="6A82E661" w14:textId="77777777" w:rsidR="000F3043" w:rsidRPr="009E2778" w:rsidRDefault="000F3043" w:rsidP="00830A78">
      <w:pPr>
        <w:pStyle w:val="Heading2"/>
        <w:spacing w:after="240" w:line="276" w:lineRule="auto"/>
        <w:ind w:left="0" w:firstLine="0"/>
        <w:jc w:val="left"/>
        <w:rPr>
          <w:rFonts w:asciiTheme="minorHAnsi" w:hAnsiTheme="minorHAnsi"/>
          <w:szCs w:val="22"/>
        </w:rPr>
      </w:pPr>
      <w:r w:rsidRPr="009E2778">
        <w:rPr>
          <w:rFonts w:asciiTheme="minorHAnsi" w:hAnsiTheme="minorHAnsi"/>
          <w:szCs w:val="22"/>
        </w:rPr>
        <w:t>A.2    Purpose and Use of the Information</w:t>
      </w:r>
      <w:bookmarkEnd w:id="1"/>
      <w:bookmarkEnd w:id="2"/>
      <w:bookmarkEnd w:id="3"/>
      <w:bookmarkEnd w:id="4"/>
      <w:r w:rsidRPr="009E2778">
        <w:rPr>
          <w:rFonts w:asciiTheme="minorHAnsi" w:hAnsiTheme="minorHAnsi"/>
          <w:szCs w:val="22"/>
        </w:rPr>
        <w:t xml:space="preserve"> Collection</w:t>
      </w:r>
    </w:p>
    <w:p w14:paraId="3ACCF978" w14:textId="07C467FA" w:rsidR="0035159D" w:rsidRDefault="0026340B" w:rsidP="00830A78">
      <w:pPr>
        <w:spacing w:after="240"/>
        <w:rPr>
          <w:lang w:val="x-none"/>
        </w:rPr>
      </w:pPr>
      <w:r>
        <w:t xml:space="preserve">This information collection is a revision to the previously OMB approved, </w:t>
      </w:r>
      <w:r w:rsidRPr="00F35854">
        <w:rPr>
          <w:u w:val="single"/>
        </w:rPr>
        <w:t>Palliative Care: Conversations Matter Assessment (NINR)</w:t>
      </w:r>
      <w:r w:rsidRPr="009E2778">
        <w:t>, OMB#: 0925-0683, Expiration Date: 10/31/2016.</w:t>
      </w:r>
      <w:r w:rsidR="00A868AA">
        <w:t xml:space="preserve"> </w:t>
      </w:r>
      <w:r w:rsidR="0035159D" w:rsidRPr="009E2778">
        <w:rPr>
          <w:lang w:val="x-none"/>
        </w:rPr>
        <w:t xml:space="preserve">The purpose of the </w:t>
      </w:r>
      <w:r w:rsidRPr="005A30B9">
        <w:t>revision</w:t>
      </w:r>
      <w:r w:rsidR="0035159D" w:rsidRPr="009E2778">
        <w:rPr>
          <w:lang w:val="x-none"/>
        </w:rPr>
        <w:t xml:space="preserve"> is to </w:t>
      </w:r>
      <w:r>
        <w:t xml:space="preserve">conduct an evaluation of </w:t>
      </w:r>
      <w:r w:rsidR="002C37A8">
        <w:t xml:space="preserve">the </w:t>
      </w:r>
      <w:r w:rsidR="005A30B9">
        <w:t>second phase</w:t>
      </w:r>
      <w:r>
        <w:t xml:space="preserve"> of the </w:t>
      </w:r>
      <w:r w:rsidRPr="009E2778">
        <w:rPr>
          <w:i/>
        </w:rPr>
        <w:t>Palliative Care: Conversations Matter®</w:t>
      </w:r>
      <w:r w:rsidR="002C37A8">
        <w:rPr>
          <w:i/>
        </w:rPr>
        <w:t xml:space="preserve"> </w:t>
      </w:r>
      <w:r w:rsidR="002C37A8">
        <w:t>campaign</w:t>
      </w:r>
      <w:r w:rsidR="0018104D">
        <w:t>. This second phase evaluation</w:t>
      </w:r>
      <w:r>
        <w:t xml:space="preserve"> involves </w:t>
      </w:r>
      <w:r w:rsidR="0035159D" w:rsidRPr="009E2778">
        <w:rPr>
          <w:lang w:val="x-none"/>
        </w:rPr>
        <w:t>collect</w:t>
      </w:r>
      <w:r>
        <w:t>ing</w:t>
      </w:r>
      <w:r w:rsidR="0035159D" w:rsidRPr="009E2778">
        <w:rPr>
          <w:lang w:val="x-none"/>
        </w:rPr>
        <w:t xml:space="preserve"> feedback from </w:t>
      </w:r>
      <w:r w:rsidR="0035159D" w:rsidRPr="009E2778">
        <w:t>parents and caregivers</w:t>
      </w:r>
      <w:r w:rsidR="0035159D" w:rsidRPr="009E2778">
        <w:rPr>
          <w:lang w:val="x-none"/>
        </w:rPr>
        <w:t xml:space="preserve"> to ensure that </w:t>
      </w:r>
      <w:r>
        <w:t>the</w:t>
      </w:r>
      <w:r w:rsidR="0035159D" w:rsidRPr="009E2778">
        <w:rPr>
          <w:lang w:val="x-none"/>
        </w:rPr>
        <w:t xml:space="preserve"> </w:t>
      </w:r>
      <w:r w:rsidR="0035159D" w:rsidRPr="009E2778">
        <w:t xml:space="preserve">campaign </w:t>
      </w:r>
      <w:r w:rsidR="0035159D" w:rsidRPr="009E2778">
        <w:rPr>
          <w:lang w:val="x-none"/>
        </w:rPr>
        <w:t xml:space="preserve">is effective, relevant, and useful </w:t>
      </w:r>
      <w:r w:rsidR="00216F10" w:rsidRPr="009E2778">
        <w:t>for</w:t>
      </w:r>
      <w:r w:rsidR="0035159D" w:rsidRPr="009E2778">
        <w:rPr>
          <w:lang w:val="x-none"/>
        </w:rPr>
        <w:t xml:space="preserve"> </w:t>
      </w:r>
      <w:r w:rsidR="0035159D" w:rsidRPr="009E2778">
        <w:t xml:space="preserve">this </w:t>
      </w:r>
      <w:r>
        <w:t xml:space="preserve">specific </w:t>
      </w:r>
      <w:r w:rsidR="0035159D" w:rsidRPr="009E2778">
        <w:t>audience</w:t>
      </w:r>
      <w:r w:rsidR="0018104D">
        <w:t>; whereas the</w:t>
      </w:r>
      <w:r w:rsidR="00E1755A">
        <w:t xml:space="preserve"> first phase of the campaign collected data from health care providers. </w:t>
      </w:r>
    </w:p>
    <w:p w14:paraId="6CB6C8FB" w14:textId="22EDC709" w:rsidR="00AF7489" w:rsidRDefault="002B4FA1" w:rsidP="00830A78">
      <w:pPr>
        <w:spacing w:after="240"/>
      </w:pPr>
      <w:r>
        <w:t xml:space="preserve">Phase One evaluation of the </w:t>
      </w:r>
      <w:r w:rsidRPr="009E2778">
        <w:rPr>
          <w:i/>
        </w:rPr>
        <w:t>Palliative Care: Conversations Matter®</w:t>
      </w:r>
      <w:r>
        <w:rPr>
          <w:i/>
        </w:rPr>
        <w:t xml:space="preserve"> </w:t>
      </w:r>
      <w:r>
        <w:t>campaign involved health care providers</w:t>
      </w:r>
      <w:r w:rsidR="00EF253E">
        <w:t xml:space="preserve"> filling out a baseline and post survey online to inform NINR of how </w:t>
      </w:r>
      <w:r w:rsidR="00EF253E" w:rsidRPr="00EF253E">
        <w:t xml:space="preserve">effective the campaign </w:t>
      </w:r>
      <w:r w:rsidR="00EF253E">
        <w:t>was</w:t>
      </w:r>
      <w:r w:rsidR="00EF253E" w:rsidRPr="00EF253E">
        <w:t xml:space="preserve"> in initiating and continuin</w:t>
      </w:r>
      <w:r w:rsidR="00E1755A">
        <w:t>g a palliative care conversation</w:t>
      </w:r>
      <w:r w:rsidR="00EF253E">
        <w:t>. Participants were</w:t>
      </w:r>
      <w:r w:rsidR="00EF253E" w:rsidRPr="007A2885">
        <w:t xml:space="preserve"> primarily registered nurses </w:t>
      </w:r>
      <w:r w:rsidR="00EF253E">
        <w:t xml:space="preserve">and specialist physicians who </w:t>
      </w:r>
      <w:r w:rsidR="00E1755A">
        <w:t>cared for</w:t>
      </w:r>
      <w:r w:rsidR="00EF253E">
        <w:t xml:space="preserve"> </w:t>
      </w:r>
      <w:r w:rsidR="00EF253E" w:rsidRPr="007A2885">
        <w:t xml:space="preserve">pediatric patients on a regular basis. </w:t>
      </w:r>
      <w:r>
        <w:t xml:space="preserve"> </w:t>
      </w:r>
      <w:r w:rsidR="00EF253E">
        <w:t>The</w:t>
      </w:r>
      <w:r>
        <w:t xml:space="preserve"> </w:t>
      </w:r>
      <w:r w:rsidR="007A2885">
        <w:t>baseline survey</w:t>
      </w:r>
      <w:r w:rsidR="00EF253E">
        <w:t xml:space="preserve"> was conducted</w:t>
      </w:r>
      <w:r w:rsidR="007A2885">
        <w:t xml:space="preserve"> in December 2013 and </w:t>
      </w:r>
      <w:r w:rsidR="00EF253E">
        <w:t>the</w:t>
      </w:r>
      <w:r w:rsidR="007A2885">
        <w:t xml:space="preserve"> post sur</w:t>
      </w:r>
      <w:r w:rsidR="00EF253E">
        <w:t>vey conducted in December 2014.</w:t>
      </w:r>
      <w:r w:rsidR="007A2885">
        <w:t xml:space="preserve"> </w:t>
      </w:r>
      <w:r w:rsidR="00E1755A">
        <w:t>T</w:t>
      </w:r>
      <w:r w:rsidR="007A2885">
        <w:t xml:space="preserve">he baseline survey involved 45 health care providers and the post survey involved 17 health care providers, which was 38% of the baseline participants. </w:t>
      </w:r>
      <w:r>
        <w:t>The estimated time for completing the surveys was 20 minutes. The</w:t>
      </w:r>
      <w:r w:rsidR="00E1755A">
        <w:t>refore, the</w:t>
      </w:r>
      <w:r>
        <w:t xml:space="preserve"> total annual burden </w:t>
      </w:r>
      <w:r w:rsidR="007A2885">
        <w:t>was approximately 21 hours</w:t>
      </w:r>
      <w:r w:rsidR="00EF253E">
        <w:t xml:space="preserve"> and the</w:t>
      </w:r>
      <w:r>
        <w:t xml:space="preserve"> total annual cost to </w:t>
      </w:r>
      <w:r w:rsidR="007A2885">
        <w:t>respondents was about $1,030.</w:t>
      </w:r>
      <w:r>
        <w:t xml:space="preserve"> </w:t>
      </w:r>
      <w:r w:rsidR="007A2885">
        <w:t xml:space="preserve"> </w:t>
      </w:r>
    </w:p>
    <w:p w14:paraId="47D88ADE" w14:textId="4F77FE14" w:rsidR="004535CD" w:rsidRPr="002B4FA1" w:rsidRDefault="004535CD" w:rsidP="00830A78">
      <w:pPr>
        <w:spacing w:after="240"/>
      </w:pPr>
      <w:r>
        <w:t xml:space="preserve">For this revised collection, </w:t>
      </w:r>
      <w:r w:rsidR="007A2885" w:rsidRPr="009E2778">
        <w:t xml:space="preserve">NINR </w:t>
      </w:r>
      <w:r w:rsidR="00E1755A">
        <w:t>expects to</w:t>
      </w:r>
      <w:r w:rsidR="0018104D">
        <w:t xml:space="preserve"> conduct an online</w:t>
      </w:r>
      <w:r w:rsidR="007A2885" w:rsidRPr="009E2778">
        <w:t xml:space="preserve"> </w:t>
      </w:r>
      <w:r w:rsidR="007A2885">
        <w:t>survey</w:t>
      </w:r>
      <w:r w:rsidR="007A2885" w:rsidRPr="009E2778">
        <w:t xml:space="preserve"> </w:t>
      </w:r>
      <w:r w:rsidR="0018104D">
        <w:t xml:space="preserve">with </w:t>
      </w:r>
      <w:r w:rsidR="007A2885" w:rsidRPr="009E2778">
        <w:t xml:space="preserve">150 parents and </w:t>
      </w:r>
      <w:r w:rsidR="00EF253E">
        <w:t>caregivers</w:t>
      </w:r>
      <w:r w:rsidR="007A2885" w:rsidRPr="009E2778">
        <w:rPr>
          <w:lang w:val="x-none"/>
        </w:rPr>
        <w:t>.</w:t>
      </w:r>
      <w:r w:rsidR="007A2885" w:rsidRPr="009E2778" w:rsidDel="00C57427">
        <w:rPr>
          <w:lang w:val="x-none"/>
        </w:rPr>
        <w:t xml:space="preserve"> </w:t>
      </w:r>
      <w:r w:rsidR="007A2885" w:rsidRPr="009E2778">
        <w:rPr>
          <w:lang w:val="x-none"/>
        </w:rPr>
        <w:t xml:space="preserve">The survey </w:t>
      </w:r>
      <w:r w:rsidR="007A2885" w:rsidRPr="009E2778">
        <w:t>should take</w:t>
      </w:r>
      <w:r w:rsidR="007A2885" w:rsidRPr="009E2778">
        <w:rPr>
          <w:lang w:val="x-none"/>
        </w:rPr>
        <w:t xml:space="preserve"> approximately </w:t>
      </w:r>
      <w:r w:rsidR="007A2885" w:rsidRPr="009E2778">
        <w:t>15</w:t>
      </w:r>
      <w:r w:rsidR="00EF253E">
        <w:rPr>
          <w:lang w:val="x-none"/>
        </w:rPr>
        <w:t xml:space="preserve"> minutes to complete.</w:t>
      </w:r>
      <w:r w:rsidR="00EF253E">
        <w:t xml:space="preserve"> The total annual burden is estimated at approximately 371 hours. The total annual cost to respondents is estimated to be about $8,425. </w:t>
      </w:r>
      <w:r w:rsidR="00A868AA" w:rsidRPr="009E2778">
        <w:rPr>
          <w:lang w:val="x-none"/>
        </w:rPr>
        <w:t xml:space="preserve">Data collected </w:t>
      </w:r>
      <w:r w:rsidR="00A868AA" w:rsidRPr="009E2778">
        <w:t xml:space="preserve">are intended to </w:t>
      </w:r>
      <w:r w:rsidR="00A868AA" w:rsidRPr="009E2778">
        <w:rPr>
          <w:lang w:val="x-none"/>
        </w:rPr>
        <w:t xml:space="preserve">indicate </w:t>
      </w:r>
      <w:r w:rsidR="00A868AA" w:rsidRPr="009E2778">
        <w:t>how</w:t>
      </w:r>
      <w:r w:rsidR="00A868AA" w:rsidRPr="009E2778">
        <w:rPr>
          <w:lang w:val="x-none"/>
        </w:rPr>
        <w:t xml:space="preserve"> effective the campaign </w:t>
      </w:r>
      <w:r w:rsidR="00A868AA" w:rsidRPr="009E2778">
        <w:t xml:space="preserve">is </w:t>
      </w:r>
      <w:r w:rsidR="00A868AA" w:rsidRPr="009E2778">
        <w:rPr>
          <w:lang w:val="x-none"/>
        </w:rPr>
        <w:t xml:space="preserve">in initiating and continuing a palliative care </w:t>
      </w:r>
      <w:r w:rsidR="00A868AA" w:rsidRPr="009E2778">
        <w:rPr>
          <w:lang w:val="x-none"/>
        </w:rPr>
        <w:lastRenderedPageBreak/>
        <w:t xml:space="preserve">conversation and addressing the communication needs of </w:t>
      </w:r>
      <w:r w:rsidR="00A868AA" w:rsidRPr="009E2778">
        <w:t>patients and their families</w:t>
      </w:r>
      <w:r w:rsidR="00A868AA" w:rsidRPr="009E2778">
        <w:rPr>
          <w:lang w:val="x-none"/>
        </w:rPr>
        <w:t xml:space="preserve">. </w:t>
      </w:r>
      <w:r w:rsidR="00C4778B">
        <w:t>NINR requests OMB approval for three years.</w:t>
      </w:r>
    </w:p>
    <w:p w14:paraId="648B4F73" w14:textId="77777777" w:rsidR="0035159D" w:rsidRPr="009E2778" w:rsidRDefault="0035159D" w:rsidP="00830A78">
      <w:pPr>
        <w:spacing w:after="240"/>
        <w:rPr>
          <w:lang w:val="x-none"/>
        </w:rPr>
      </w:pPr>
      <w:r w:rsidRPr="009E2778">
        <w:rPr>
          <w:lang w:val="x-none"/>
        </w:rPr>
        <w:t xml:space="preserve">Information obtained through this </w:t>
      </w:r>
      <w:r w:rsidR="004A1E04" w:rsidRPr="009E2778">
        <w:t>evaluation</w:t>
      </w:r>
      <w:r w:rsidRPr="009E2778">
        <w:rPr>
          <w:lang w:val="x-none"/>
        </w:rPr>
        <w:t xml:space="preserve"> will provide strategic guidance for</w:t>
      </w:r>
      <w:r w:rsidRPr="009E2778">
        <w:t xml:space="preserve"> future</w:t>
      </w:r>
      <w:r w:rsidRPr="009E2778">
        <w:rPr>
          <w:lang w:val="x-none"/>
        </w:rPr>
        <w:t xml:space="preserve"> campaign </w:t>
      </w:r>
      <w:r w:rsidRPr="009E2778">
        <w:t>efforts</w:t>
      </w:r>
      <w:r w:rsidRPr="009E2778">
        <w:rPr>
          <w:lang w:val="x-none"/>
        </w:rPr>
        <w:t>. Without this information</w:t>
      </w:r>
      <w:r w:rsidRPr="009E2778">
        <w:t>,</w:t>
      </w:r>
      <w:r w:rsidRPr="009E2778">
        <w:rPr>
          <w:lang w:val="x-none"/>
        </w:rPr>
        <w:t xml:space="preserve"> NINR risks the possibility of inefficiently and ineffectively expanding the campaign</w:t>
      </w:r>
      <w:r w:rsidRPr="009E2778">
        <w:t xml:space="preserve"> in the future</w:t>
      </w:r>
      <w:r w:rsidRPr="009E2778">
        <w:rPr>
          <w:lang w:val="x-none"/>
        </w:rPr>
        <w:t>.</w:t>
      </w:r>
    </w:p>
    <w:p w14:paraId="4F73ED55" w14:textId="77777777" w:rsidR="0035159D" w:rsidRPr="009E2778" w:rsidRDefault="0035159D" w:rsidP="00830A78">
      <w:pPr>
        <w:spacing w:after="240"/>
        <w:rPr>
          <w:lang w:val="x-none"/>
        </w:rPr>
      </w:pPr>
      <w:r w:rsidRPr="009E2778">
        <w:rPr>
          <w:lang w:val="x-none"/>
        </w:rPr>
        <w:t>This data collection is designed to answer the following questions:</w:t>
      </w:r>
      <w:r w:rsidRPr="009E2778">
        <w:rPr>
          <w:lang w:val="x-none"/>
        </w:rPr>
        <w:tab/>
      </w:r>
    </w:p>
    <w:p w14:paraId="2D64A7B4" w14:textId="77777777" w:rsidR="0035159D" w:rsidRPr="009E2778" w:rsidRDefault="0035159D" w:rsidP="00830A78">
      <w:pPr>
        <w:numPr>
          <w:ilvl w:val="0"/>
          <w:numId w:val="13"/>
        </w:numPr>
        <w:spacing w:after="240"/>
      </w:pPr>
      <w:r w:rsidRPr="009E2778">
        <w:t>Has the campaign (including its messages and materials) been effective in shifting attitudes, perceptions, and behaviors related to pediatric palliative care?</w:t>
      </w:r>
    </w:p>
    <w:p w14:paraId="0982655B" w14:textId="77777777" w:rsidR="0035159D" w:rsidRPr="009E2778" w:rsidRDefault="00984C2C" w:rsidP="00830A78">
      <w:pPr>
        <w:numPr>
          <w:ilvl w:val="0"/>
          <w:numId w:val="13"/>
        </w:numPr>
        <w:spacing w:after="240"/>
      </w:pPr>
      <w:r w:rsidRPr="009E2778">
        <w:t>Have the dissemination methods for the campaign been effective in reaching the intended audiences?</w:t>
      </w:r>
    </w:p>
    <w:p w14:paraId="0000C770" w14:textId="411A45E3" w:rsidR="0035159D" w:rsidRPr="009E2778" w:rsidRDefault="0035159D" w:rsidP="00830A78">
      <w:pPr>
        <w:spacing w:after="240"/>
      </w:pPr>
      <w:r w:rsidRPr="009E2778">
        <w:t>NINR will invite 150 parents and caregivers to provide feedback through the evaluation survey</w:t>
      </w:r>
      <w:r w:rsidRPr="009E2778">
        <w:rPr>
          <w:lang w:val="x-none"/>
        </w:rPr>
        <w:t>. The survey will be voluntary and will be conducted online.</w:t>
      </w:r>
      <w:r w:rsidRPr="009E2778" w:rsidDel="00C57427">
        <w:rPr>
          <w:lang w:val="x-none"/>
        </w:rPr>
        <w:t xml:space="preserve"> </w:t>
      </w:r>
      <w:r w:rsidRPr="009E2778">
        <w:rPr>
          <w:lang w:val="x-none"/>
        </w:rPr>
        <w:t>The survey (see Attachment</w:t>
      </w:r>
      <w:r w:rsidRPr="009E2778">
        <w:t>s</w:t>
      </w:r>
      <w:r w:rsidRPr="009E2778">
        <w:rPr>
          <w:lang w:val="x-none"/>
        </w:rPr>
        <w:t xml:space="preserve"> 1</w:t>
      </w:r>
      <w:r w:rsidRPr="009E2778">
        <w:t xml:space="preserve"> and 2</w:t>
      </w:r>
      <w:r w:rsidRPr="009E2778">
        <w:rPr>
          <w:lang w:val="x-none"/>
        </w:rPr>
        <w:t xml:space="preserve">) </w:t>
      </w:r>
      <w:r w:rsidR="0005164E" w:rsidRPr="009E2778">
        <w:t>should take</w:t>
      </w:r>
      <w:r w:rsidRPr="009E2778">
        <w:rPr>
          <w:lang w:val="x-none"/>
        </w:rPr>
        <w:t xml:space="preserve"> approximately </w:t>
      </w:r>
      <w:r w:rsidRPr="009E2778">
        <w:t>15</w:t>
      </w:r>
      <w:r w:rsidRPr="009E2778">
        <w:rPr>
          <w:lang w:val="x-none"/>
        </w:rPr>
        <w:t xml:space="preserve"> minutes to complete and contain</w:t>
      </w:r>
      <w:r w:rsidR="00292938" w:rsidRPr="009E2778">
        <w:t>s</w:t>
      </w:r>
      <w:r w:rsidRPr="009E2778">
        <w:rPr>
          <w:lang w:val="x-none"/>
        </w:rPr>
        <w:t xml:space="preserve"> </w:t>
      </w:r>
      <w:r w:rsidRPr="009E2778">
        <w:t xml:space="preserve">21 </w:t>
      </w:r>
      <w:r w:rsidRPr="009E2778">
        <w:rPr>
          <w:lang w:val="x-none"/>
        </w:rPr>
        <w:t>questions. The survey include</w:t>
      </w:r>
      <w:r w:rsidRPr="009E2778">
        <w:t>s</w:t>
      </w:r>
      <w:r w:rsidRPr="009E2778">
        <w:rPr>
          <w:lang w:val="x-none"/>
        </w:rPr>
        <w:t xml:space="preserve"> the following components</w:t>
      </w:r>
      <w:r w:rsidR="00292938" w:rsidRPr="009E2778">
        <w:t>:</w:t>
      </w:r>
    </w:p>
    <w:p w14:paraId="38EFCB5C" w14:textId="01F6A372" w:rsidR="0035159D" w:rsidRPr="009E2778" w:rsidRDefault="0035159D" w:rsidP="00830A78">
      <w:pPr>
        <w:numPr>
          <w:ilvl w:val="1"/>
          <w:numId w:val="14"/>
        </w:numPr>
        <w:spacing w:after="240"/>
      </w:pPr>
      <w:r w:rsidRPr="009E2778">
        <w:rPr>
          <w:bCs/>
          <w:lang w:val="en-GB"/>
        </w:rPr>
        <w:t>GENERAL AWARENESS</w:t>
      </w:r>
      <w:r w:rsidR="00292938" w:rsidRPr="009E2778">
        <w:rPr>
          <w:bCs/>
          <w:lang w:val="en-GB"/>
        </w:rPr>
        <w:t>, KNOWLEDGE</w:t>
      </w:r>
      <w:r w:rsidR="00216F10" w:rsidRPr="009E2778">
        <w:rPr>
          <w:bCs/>
          <w:lang w:val="en-GB"/>
        </w:rPr>
        <w:t>,</w:t>
      </w:r>
      <w:r w:rsidRPr="009E2778">
        <w:rPr>
          <w:bCs/>
          <w:lang w:val="en-GB"/>
        </w:rPr>
        <w:t xml:space="preserve"> AND PERCEPTIONS OF PEDIATRIC PALLIATIVE CARE </w:t>
      </w:r>
      <w:r w:rsidRPr="009E2778">
        <w:t>–</w:t>
      </w:r>
      <w:r w:rsidRPr="009E2778">
        <w:rPr>
          <w:bCs/>
          <w:lang w:val="en-GB"/>
        </w:rPr>
        <w:t xml:space="preserve"> a section in which parents and caregivers are asked to define </w:t>
      </w:r>
      <w:proofErr w:type="spellStart"/>
      <w:r w:rsidRPr="009E2778">
        <w:rPr>
          <w:bCs/>
          <w:lang w:val="en-GB"/>
        </w:rPr>
        <w:t>pediatric</w:t>
      </w:r>
      <w:proofErr w:type="spellEnd"/>
      <w:r w:rsidRPr="009E2778">
        <w:rPr>
          <w:bCs/>
          <w:lang w:val="en-GB"/>
        </w:rPr>
        <w:t xml:space="preserve"> palliative care and answer questions related to their palliative care </w:t>
      </w:r>
      <w:r w:rsidRPr="009E2778">
        <w:t>experiences, attitudes</w:t>
      </w:r>
      <w:r w:rsidR="00216F10" w:rsidRPr="009E2778">
        <w:t>,</w:t>
      </w:r>
      <w:r w:rsidRPr="009E2778">
        <w:t xml:space="preserve"> and beliefs. </w:t>
      </w:r>
    </w:p>
    <w:p w14:paraId="625960B0" w14:textId="4D01C446" w:rsidR="0035159D" w:rsidRPr="009E2778" w:rsidRDefault="0035159D" w:rsidP="00830A78">
      <w:pPr>
        <w:numPr>
          <w:ilvl w:val="1"/>
          <w:numId w:val="14"/>
        </w:numPr>
        <w:spacing w:after="240"/>
        <w:rPr>
          <w:lang w:val="en-GB"/>
        </w:rPr>
      </w:pPr>
      <w:r w:rsidRPr="009E2778">
        <w:rPr>
          <w:lang w:val="en-GB"/>
        </w:rPr>
        <w:t xml:space="preserve">CAMPAIGN AWARENESS AND PERCEPTIONS </w:t>
      </w:r>
      <w:r w:rsidRPr="009E2778">
        <w:t>–</w:t>
      </w:r>
      <w:r w:rsidRPr="009E2778">
        <w:rPr>
          <w:lang w:val="en-GB"/>
        </w:rPr>
        <w:t xml:space="preserve"> a section where parents and caregivers are asked about their awareness of the campaign and its materials, and </w:t>
      </w:r>
      <w:r w:rsidR="007F1DD8" w:rsidRPr="009E2778">
        <w:rPr>
          <w:lang w:val="en-GB"/>
        </w:rPr>
        <w:t>behaviours</w:t>
      </w:r>
      <w:r w:rsidRPr="009E2778">
        <w:rPr>
          <w:lang w:val="en-GB"/>
        </w:rPr>
        <w:t xml:space="preserve"> related to seeking out </w:t>
      </w:r>
      <w:proofErr w:type="spellStart"/>
      <w:r w:rsidRPr="009E2778">
        <w:rPr>
          <w:lang w:val="en-GB"/>
        </w:rPr>
        <w:t>pediatric</w:t>
      </w:r>
      <w:proofErr w:type="spellEnd"/>
      <w:r w:rsidRPr="009E2778">
        <w:rPr>
          <w:lang w:val="en-GB"/>
        </w:rPr>
        <w:t xml:space="preserve"> palliative care information and resources.  </w:t>
      </w:r>
    </w:p>
    <w:p w14:paraId="19DF2684" w14:textId="77777777" w:rsidR="0035159D" w:rsidRPr="009E2778" w:rsidRDefault="0035159D" w:rsidP="00830A78">
      <w:pPr>
        <w:numPr>
          <w:ilvl w:val="1"/>
          <w:numId w:val="14"/>
        </w:numPr>
        <w:spacing w:after="240"/>
      </w:pPr>
      <w:r w:rsidRPr="009E2778">
        <w:t>BACKGROUND INFORMATION – includes questions related to the demographics of the respondent.</w:t>
      </w:r>
    </w:p>
    <w:p w14:paraId="20D562FB" w14:textId="08A62822" w:rsidR="0035159D" w:rsidRPr="009E2778" w:rsidRDefault="0035159D" w:rsidP="00830A78">
      <w:pPr>
        <w:spacing w:after="240"/>
      </w:pPr>
      <w:r w:rsidRPr="009E2778">
        <w:t>The data collection period is estimated to last no more than two months. There has been no previous collection of this information</w:t>
      </w:r>
      <w:r w:rsidR="003B6CBF" w:rsidRPr="009E2778">
        <w:t xml:space="preserve"> by NINR</w:t>
      </w:r>
      <w:r w:rsidRPr="009E2778">
        <w:t xml:space="preserve">. </w:t>
      </w:r>
    </w:p>
    <w:p w14:paraId="35430689" w14:textId="77777777" w:rsidR="00A00CF8" w:rsidRPr="009E2778" w:rsidRDefault="00A00CF8" w:rsidP="00830A78">
      <w:pPr>
        <w:spacing w:after="240"/>
        <w:rPr>
          <w:b/>
          <w:color w:val="000000" w:themeColor="text1"/>
        </w:rPr>
      </w:pPr>
      <w:r w:rsidRPr="009E2778">
        <w:rPr>
          <w:b/>
          <w:color w:val="000000" w:themeColor="text1"/>
        </w:rPr>
        <w:t>A.3     Use of Information Technology and Burden Reduction</w:t>
      </w:r>
    </w:p>
    <w:p w14:paraId="675E76F4" w14:textId="3CC16B41" w:rsidR="0035159D" w:rsidRPr="009E2778" w:rsidRDefault="0035159D" w:rsidP="00830A78">
      <w:pPr>
        <w:spacing w:after="240"/>
        <w:rPr>
          <w:color w:val="000000" w:themeColor="text1"/>
          <w:lang w:val="x-none"/>
        </w:rPr>
      </w:pPr>
      <w:r w:rsidRPr="009E2778">
        <w:rPr>
          <w:color w:val="000000" w:themeColor="text1"/>
          <w:lang w:val="x-none"/>
        </w:rPr>
        <w:t xml:space="preserve">To reduce respondent burden, the </w:t>
      </w:r>
      <w:r w:rsidR="00216F10" w:rsidRPr="009E2778">
        <w:rPr>
          <w:color w:val="000000" w:themeColor="text1"/>
        </w:rPr>
        <w:t>evaluation survey</w:t>
      </w:r>
      <w:r w:rsidRPr="009E2778">
        <w:rPr>
          <w:color w:val="000000" w:themeColor="text1"/>
        </w:rPr>
        <w:t xml:space="preserve"> </w:t>
      </w:r>
      <w:r w:rsidRPr="009E2778">
        <w:rPr>
          <w:color w:val="000000" w:themeColor="text1"/>
          <w:lang w:val="x-none"/>
        </w:rPr>
        <w:t xml:space="preserve">will be deployed and submitted using a web-based electronic tool. </w:t>
      </w:r>
      <w:r w:rsidRPr="009E2778">
        <w:rPr>
          <w:color w:val="000000" w:themeColor="text1"/>
        </w:rPr>
        <w:t>Respondents</w:t>
      </w:r>
      <w:r w:rsidRPr="009E2778">
        <w:rPr>
          <w:color w:val="000000" w:themeColor="text1"/>
          <w:lang w:val="x-none"/>
        </w:rPr>
        <w:t xml:space="preserve"> </w:t>
      </w:r>
      <w:r w:rsidR="00CE3707" w:rsidRPr="009E2778">
        <w:rPr>
          <w:color w:val="000000" w:themeColor="text1"/>
        </w:rPr>
        <w:t xml:space="preserve">will </w:t>
      </w:r>
      <w:r w:rsidRPr="009E2778">
        <w:rPr>
          <w:color w:val="000000" w:themeColor="text1"/>
          <w:lang w:val="x-none"/>
        </w:rPr>
        <w:t xml:space="preserve">be sent an active URL link via email to access the </w:t>
      </w:r>
      <w:r w:rsidR="00CE3707" w:rsidRPr="009E2778">
        <w:rPr>
          <w:color w:val="000000" w:themeColor="text1"/>
        </w:rPr>
        <w:t xml:space="preserve">screener for the </w:t>
      </w:r>
      <w:r w:rsidRPr="009E2778">
        <w:rPr>
          <w:color w:val="000000" w:themeColor="text1"/>
          <w:lang w:val="x-none"/>
        </w:rPr>
        <w:t>survey</w:t>
      </w:r>
      <w:r w:rsidR="00292938" w:rsidRPr="009E2778">
        <w:rPr>
          <w:color w:val="000000" w:themeColor="text1"/>
        </w:rPr>
        <w:t xml:space="preserve"> to ensure that the survey will only be administered to individuals to whom the information is relevant</w:t>
      </w:r>
      <w:r w:rsidRPr="009E2778">
        <w:rPr>
          <w:color w:val="000000" w:themeColor="text1"/>
          <w:lang w:val="x-none"/>
        </w:rPr>
        <w:t xml:space="preserve">. Given the busy schedules of this </w:t>
      </w:r>
      <w:r w:rsidR="00292938" w:rsidRPr="009E2778">
        <w:rPr>
          <w:color w:val="000000" w:themeColor="text1"/>
        </w:rPr>
        <w:t xml:space="preserve">specific </w:t>
      </w:r>
      <w:r w:rsidRPr="009E2778">
        <w:rPr>
          <w:color w:val="000000" w:themeColor="text1"/>
          <w:lang w:val="x-none"/>
        </w:rPr>
        <w:t xml:space="preserve">audience, this </w:t>
      </w:r>
      <w:r w:rsidR="00292938" w:rsidRPr="009E2778">
        <w:rPr>
          <w:color w:val="000000" w:themeColor="text1"/>
        </w:rPr>
        <w:t xml:space="preserve">online </w:t>
      </w:r>
      <w:r w:rsidRPr="009E2778">
        <w:rPr>
          <w:color w:val="000000" w:themeColor="text1"/>
          <w:lang w:val="x-none"/>
        </w:rPr>
        <w:t xml:space="preserve">methodology will allow survey respondents to provide information at their convenience. In addition, </w:t>
      </w:r>
      <w:r w:rsidRPr="009E2778">
        <w:rPr>
          <w:color w:val="000000" w:themeColor="text1"/>
        </w:rPr>
        <w:t xml:space="preserve">the </w:t>
      </w:r>
      <w:r w:rsidRPr="009E2778">
        <w:rPr>
          <w:color w:val="000000" w:themeColor="text1"/>
          <w:lang w:val="x-none"/>
        </w:rPr>
        <w:t xml:space="preserve">use of </w:t>
      </w:r>
      <w:r w:rsidRPr="009E2778">
        <w:rPr>
          <w:color w:val="000000" w:themeColor="text1"/>
        </w:rPr>
        <w:t xml:space="preserve">an </w:t>
      </w:r>
      <w:r w:rsidRPr="009E2778">
        <w:rPr>
          <w:color w:val="000000" w:themeColor="text1"/>
          <w:lang w:val="x-none"/>
        </w:rPr>
        <w:t>online survey will ensure quality and accurate collection of data, while also providing the greatest privacy to respondents and the least burden of time.</w:t>
      </w:r>
    </w:p>
    <w:p w14:paraId="2E066FE5" w14:textId="77777777" w:rsidR="0035159D" w:rsidRPr="009E2778" w:rsidRDefault="0035159D" w:rsidP="00830A78">
      <w:pPr>
        <w:spacing w:after="240"/>
        <w:rPr>
          <w:color w:val="000000" w:themeColor="text1"/>
          <w:lang w:val="x-none"/>
        </w:rPr>
      </w:pPr>
      <w:r w:rsidRPr="009E2778">
        <w:rPr>
          <w:color w:val="000000" w:themeColor="text1"/>
          <w:lang w:val="x-none"/>
        </w:rPr>
        <w:lastRenderedPageBreak/>
        <w:t>Online administration of the questionnaire</w:t>
      </w:r>
      <w:r w:rsidRPr="009E2778">
        <w:rPr>
          <w:color w:val="000000" w:themeColor="text1"/>
        </w:rPr>
        <w:t xml:space="preserve"> </w:t>
      </w:r>
      <w:r w:rsidRPr="009E2778">
        <w:rPr>
          <w:color w:val="000000" w:themeColor="text1"/>
          <w:lang w:val="x-none"/>
        </w:rPr>
        <w:t>is efficient because the respondent will enter the data directly into the database, avoiding the separate step of key entry of paper questionnaire data into a database. The cleaning of the data will also be facilitated through online administration.</w:t>
      </w:r>
    </w:p>
    <w:p w14:paraId="47FF6454" w14:textId="480B3059" w:rsidR="0035159D" w:rsidRPr="009E2778" w:rsidRDefault="00292938" w:rsidP="00830A78">
      <w:pPr>
        <w:spacing w:after="240"/>
        <w:rPr>
          <w:color w:val="000000" w:themeColor="text1"/>
          <w:lang w:val="x-none"/>
        </w:rPr>
      </w:pPr>
      <w:r w:rsidRPr="009E2778">
        <w:rPr>
          <w:color w:val="000000" w:themeColor="text1"/>
        </w:rPr>
        <w:t xml:space="preserve">The selected data collection vendor, </w:t>
      </w:r>
      <w:r w:rsidR="00CE3707" w:rsidRPr="009E2778">
        <w:rPr>
          <w:color w:val="000000" w:themeColor="text1"/>
        </w:rPr>
        <w:t>Edge Research</w:t>
      </w:r>
      <w:r w:rsidRPr="009E2778">
        <w:rPr>
          <w:color w:val="000000" w:themeColor="text1"/>
        </w:rPr>
        <w:t>,</w:t>
      </w:r>
      <w:r w:rsidR="00CE3707" w:rsidRPr="009E2778">
        <w:rPr>
          <w:color w:val="000000" w:themeColor="text1"/>
        </w:rPr>
        <w:t xml:space="preserve"> will</w:t>
      </w:r>
      <w:r w:rsidR="0035159D" w:rsidRPr="009E2778">
        <w:rPr>
          <w:color w:val="000000" w:themeColor="text1"/>
          <w:lang w:val="x-none"/>
        </w:rPr>
        <w:t xml:space="preserve"> program </w:t>
      </w:r>
      <w:r w:rsidR="0035159D" w:rsidRPr="009E2778">
        <w:rPr>
          <w:color w:val="000000" w:themeColor="text1"/>
        </w:rPr>
        <w:t xml:space="preserve">and deploy </w:t>
      </w:r>
      <w:r w:rsidR="0035159D" w:rsidRPr="009E2778">
        <w:rPr>
          <w:color w:val="000000" w:themeColor="text1"/>
          <w:lang w:val="x-none"/>
        </w:rPr>
        <w:t>the online survey</w:t>
      </w:r>
      <w:r w:rsidR="0035159D" w:rsidRPr="009E2778">
        <w:rPr>
          <w:color w:val="000000" w:themeColor="text1"/>
        </w:rPr>
        <w:t>s</w:t>
      </w:r>
      <w:r w:rsidR="0035159D" w:rsidRPr="009E2778">
        <w:rPr>
          <w:color w:val="000000" w:themeColor="text1"/>
          <w:lang w:val="x-none"/>
        </w:rPr>
        <w:t xml:space="preserve"> </w:t>
      </w:r>
      <w:r w:rsidR="000C0A20" w:rsidRPr="009E2778">
        <w:rPr>
          <w:color w:val="000000" w:themeColor="text1"/>
        </w:rPr>
        <w:t xml:space="preserve">through opt-in online survey sample providers </w:t>
      </w:r>
      <w:r w:rsidR="0035159D" w:rsidRPr="009E2778">
        <w:rPr>
          <w:color w:val="000000" w:themeColor="text1"/>
          <w:lang w:val="x-none"/>
        </w:rPr>
        <w:t xml:space="preserve">and host a secure website for the survey administration. </w:t>
      </w:r>
    </w:p>
    <w:p w14:paraId="2BB8D6F0" w14:textId="1C798151" w:rsidR="0035159D" w:rsidRPr="009E2778" w:rsidRDefault="0035159D" w:rsidP="00830A78">
      <w:pPr>
        <w:spacing w:after="240"/>
        <w:rPr>
          <w:color w:val="000000" w:themeColor="text1"/>
        </w:rPr>
      </w:pPr>
      <w:r w:rsidRPr="009E2778">
        <w:rPr>
          <w:color w:val="000000" w:themeColor="text1"/>
          <w:lang w:val="x-none"/>
        </w:rPr>
        <w:t>An email notification</w:t>
      </w:r>
      <w:r w:rsidRPr="009E2778">
        <w:rPr>
          <w:color w:val="000000" w:themeColor="text1"/>
        </w:rPr>
        <w:t>/</w:t>
      </w:r>
      <w:r w:rsidRPr="009E2778">
        <w:rPr>
          <w:color w:val="000000" w:themeColor="text1"/>
          <w:lang w:val="x-none"/>
        </w:rPr>
        <w:t>invitation letter (see Attachment</w:t>
      </w:r>
      <w:r w:rsidR="009B350F">
        <w:rPr>
          <w:color w:val="000000" w:themeColor="text1"/>
        </w:rPr>
        <w:t>s</w:t>
      </w:r>
      <w:r w:rsidRPr="009E2778">
        <w:rPr>
          <w:color w:val="000000" w:themeColor="text1"/>
          <w:lang w:val="x-none"/>
        </w:rPr>
        <w:t xml:space="preserve"> </w:t>
      </w:r>
      <w:r w:rsidRPr="009E2778">
        <w:rPr>
          <w:color w:val="000000" w:themeColor="text1"/>
        </w:rPr>
        <w:t>3</w:t>
      </w:r>
      <w:r w:rsidR="009B350F">
        <w:rPr>
          <w:color w:val="000000" w:themeColor="text1"/>
        </w:rPr>
        <w:t xml:space="preserve"> and 4</w:t>
      </w:r>
      <w:r w:rsidRPr="009E2778">
        <w:rPr>
          <w:color w:val="000000" w:themeColor="text1"/>
          <w:lang w:val="x-none"/>
        </w:rPr>
        <w:t xml:space="preserve">) will be sent </w:t>
      </w:r>
      <w:r w:rsidRPr="009E2778">
        <w:rPr>
          <w:color w:val="000000" w:themeColor="text1"/>
        </w:rPr>
        <w:t xml:space="preserve">by </w:t>
      </w:r>
      <w:r w:rsidR="000C0A20" w:rsidRPr="009E2778">
        <w:rPr>
          <w:color w:val="000000" w:themeColor="text1"/>
          <w:lang w:val="x-none"/>
        </w:rPr>
        <w:t>the</w:t>
      </w:r>
      <w:r w:rsidR="000C0A20" w:rsidRPr="009E2778">
        <w:rPr>
          <w:color w:val="000000" w:themeColor="text1"/>
        </w:rPr>
        <w:t xml:space="preserve"> panel provider targeting</w:t>
      </w:r>
      <w:r w:rsidR="00CE3707" w:rsidRPr="009E2778">
        <w:rPr>
          <w:color w:val="000000" w:themeColor="text1"/>
        </w:rPr>
        <w:t xml:space="preserve"> </w:t>
      </w:r>
      <w:r w:rsidR="000C0A20" w:rsidRPr="009E2778">
        <w:rPr>
          <w:color w:val="000000" w:themeColor="text1"/>
        </w:rPr>
        <w:t>their databases of</w:t>
      </w:r>
      <w:r w:rsidR="00CE3707" w:rsidRPr="009E2778">
        <w:rPr>
          <w:color w:val="000000" w:themeColor="text1"/>
        </w:rPr>
        <w:t xml:space="preserve"> parents </w:t>
      </w:r>
      <w:r w:rsidR="00216F10" w:rsidRPr="009E2778">
        <w:rPr>
          <w:color w:val="000000" w:themeColor="text1"/>
        </w:rPr>
        <w:t xml:space="preserve">and caregivers </w:t>
      </w:r>
      <w:r w:rsidR="000C0A20" w:rsidRPr="009E2778">
        <w:rPr>
          <w:color w:val="000000" w:themeColor="text1"/>
        </w:rPr>
        <w:t xml:space="preserve">with </w:t>
      </w:r>
      <w:r w:rsidR="00CE3707" w:rsidRPr="009E2778">
        <w:rPr>
          <w:color w:val="000000" w:themeColor="text1"/>
        </w:rPr>
        <w:t>child</w:t>
      </w:r>
      <w:r w:rsidR="000C0A20" w:rsidRPr="009E2778">
        <w:rPr>
          <w:color w:val="000000" w:themeColor="text1"/>
        </w:rPr>
        <w:t>ren</w:t>
      </w:r>
      <w:r w:rsidR="00CE3707" w:rsidRPr="009E2778">
        <w:rPr>
          <w:color w:val="000000" w:themeColor="text1"/>
        </w:rPr>
        <w:t xml:space="preserve"> under </w:t>
      </w:r>
      <w:r w:rsidR="00216F10" w:rsidRPr="009E2778">
        <w:rPr>
          <w:color w:val="000000" w:themeColor="text1"/>
        </w:rPr>
        <w:t xml:space="preserve">the </w:t>
      </w:r>
      <w:r w:rsidR="00CE3707" w:rsidRPr="009E2778">
        <w:rPr>
          <w:color w:val="000000" w:themeColor="text1"/>
        </w:rPr>
        <w:t>age</w:t>
      </w:r>
      <w:r w:rsidR="00216F10" w:rsidRPr="009E2778">
        <w:rPr>
          <w:color w:val="000000" w:themeColor="text1"/>
        </w:rPr>
        <w:t xml:space="preserve"> of</w:t>
      </w:r>
      <w:r w:rsidR="00CE3707" w:rsidRPr="009E2778">
        <w:rPr>
          <w:color w:val="000000" w:themeColor="text1"/>
        </w:rPr>
        <w:t xml:space="preserve"> 18</w:t>
      </w:r>
      <w:r w:rsidRPr="009E2778">
        <w:rPr>
          <w:color w:val="000000" w:themeColor="text1"/>
          <w:lang w:val="x-none"/>
        </w:rPr>
        <w:t xml:space="preserve">. The </w:t>
      </w:r>
      <w:r w:rsidR="007B76EB" w:rsidRPr="009E2778">
        <w:rPr>
          <w:color w:val="000000" w:themeColor="text1"/>
        </w:rPr>
        <w:t>email</w:t>
      </w:r>
      <w:r w:rsidRPr="009E2778">
        <w:rPr>
          <w:color w:val="000000" w:themeColor="text1"/>
          <w:lang w:val="x-none"/>
        </w:rPr>
        <w:t xml:space="preserve"> will inform the </w:t>
      </w:r>
      <w:r w:rsidRPr="009E2778">
        <w:rPr>
          <w:color w:val="000000" w:themeColor="text1"/>
        </w:rPr>
        <w:t>individuals</w:t>
      </w:r>
      <w:r w:rsidRPr="009E2778">
        <w:rPr>
          <w:color w:val="000000" w:themeColor="text1"/>
          <w:lang w:val="x-none"/>
        </w:rPr>
        <w:t xml:space="preserve"> about the survey</w:t>
      </w:r>
      <w:r w:rsidRPr="009E2778">
        <w:rPr>
          <w:color w:val="000000" w:themeColor="text1"/>
        </w:rPr>
        <w:t xml:space="preserve"> and</w:t>
      </w:r>
      <w:r w:rsidRPr="009E2778">
        <w:rPr>
          <w:color w:val="000000" w:themeColor="text1"/>
          <w:lang w:val="x-none"/>
        </w:rPr>
        <w:t xml:space="preserve"> about the importance of their participation. In addition, the </w:t>
      </w:r>
      <w:r w:rsidR="007B76EB" w:rsidRPr="009E2778">
        <w:rPr>
          <w:color w:val="000000" w:themeColor="text1"/>
        </w:rPr>
        <w:t>email</w:t>
      </w:r>
      <w:r w:rsidRPr="009E2778">
        <w:rPr>
          <w:color w:val="000000" w:themeColor="text1"/>
        </w:rPr>
        <w:t xml:space="preserve"> </w:t>
      </w:r>
      <w:r w:rsidRPr="009E2778">
        <w:rPr>
          <w:color w:val="000000" w:themeColor="text1"/>
          <w:lang w:val="x-none"/>
        </w:rPr>
        <w:t xml:space="preserve">will </w:t>
      </w:r>
      <w:r w:rsidRPr="009E2778">
        <w:rPr>
          <w:color w:val="000000" w:themeColor="text1"/>
        </w:rPr>
        <w:t>state</w:t>
      </w:r>
      <w:r w:rsidRPr="009E2778">
        <w:rPr>
          <w:color w:val="000000" w:themeColor="text1"/>
          <w:lang w:val="x-none"/>
        </w:rPr>
        <w:t xml:space="preserve"> that the s</w:t>
      </w:r>
      <w:r w:rsidRPr="009E2778">
        <w:rPr>
          <w:color w:val="000000" w:themeColor="text1"/>
        </w:rPr>
        <w:t>urvey</w:t>
      </w:r>
      <w:r w:rsidRPr="009E2778">
        <w:rPr>
          <w:color w:val="000000" w:themeColor="text1"/>
          <w:lang w:val="x-none"/>
        </w:rPr>
        <w:t xml:space="preserve"> </w:t>
      </w:r>
      <w:r w:rsidRPr="009E2778">
        <w:rPr>
          <w:color w:val="000000" w:themeColor="text1"/>
        </w:rPr>
        <w:t>is</w:t>
      </w:r>
      <w:r w:rsidRPr="009E2778">
        <w:rPr>
          <w:color w:val="000000" w:themeColor="text1"/>
          <w:lang w:val="x-none"/>
        </w:rPr>
        <w:t xml:space="preserve"> </w:t>
      </w:r>
      <w:r w:rsidRPr="009E2778">
        <w:rPr>
          <w:color w:val="000000" w:themeColor="text1"/>
        </w:rPr>
        <w:t xml:space="preserve">being </w:t>
      </w:r>
      <w:r w:rsidRPr="009E2778">
        <w:rPr>
          <w:color w:val="000000" w:themeColor="text1"/>
          <w:lang w:val="x-none"/>
        </w:rPr>
        <w:t xml:space="preserve">conducted </w:t>
      </w:r>
      <w:r w:rsidR="007E7AE5">
        <w:rPr>
          <w:color w:val="000000" w:themeColor="text1"/>
        </w:rPr>
        <w:t>on behalf of</w:t>
      </w:r>
      <w:r w:rsidRPr="009E2778">
        <w:rPr>
          <w:color w:val="000000" w:themeColor="text1"/>
        </w:rPr>
        <w:t xml:space="preserve"> NINR</w:t>
      </w:r>
      <w:r w:rsidRPr="009E2778">
        <w:rPr>
          <w:color w:val="000000" w:themeColor="text1"/>
          <w:lang w:val="x-none"/>
        </w:rPr>
        <w:t xml:space="preserve"> and will inform readers of the purpose and importance of the questionnaire, the confidentiality of the data, the procedures for maintaining the privacy of respondents, and that response</w:t>
      </w:r>
      <w:r w:rsidRPr="009E2778">
        <w:rPr>
          <w:color w:val="000000" w:themeColor="text1"/>
        </w:rPr>
        <w:t>s are</w:t>
      </w:r>
      <w:r w:rsidRPr="009E2778">
        <w:rPr>
          <w:color w:val="000000" w:themeColor="text1"/>
          <w:lang w:val="x-none"/>
        </w:rPr>
        <w:t xml:space="preserve"> voluntary. </w:t>
      </w:r>
      <w:r w:rsidR="007B76EB" w:rsidRPr="009E2778">
        <w:rPr>
          <w:color w:val="000000" w:themeColor="text1"/>
        </w:rPr>
        <w:t>The email</w:t>
      </w:r>
      <w:r w:rsidRPr="009E2778">
        <w:rPr>
          <w:color w:val="000000" w:themeColor="text1"/>
          <w:lang w:val="x-none"/>
        </w:rPr>
        <w:t xml:space="preserve"> will </w:t>
      </w:r>
      <w:r w:rsidR="007B76EB" w:rsidRPr="009E2778">
        <w:rPr>
          <w:color w:val="000000" w:themeColor="text1"/>
        </w:rPr>
        <w:t xml:space="preserve">also </w:t>
      </w:r>
      <w:r w:rsidRPr="009E2778">
        <w:rPr>
          <w:color w:val="000000" w:themeColor="text1"/>
          <w:lang w:val="x-none"/>
        </w:rPr>
        <w:t>include a URL link to a secure website</w:t>
      </w:r>
      <w:r w:rsidRPr="009E2778">
        <w:rPr>
          <w:color w:val="000000" w:themeColor="text1"/>
        </w:rPr>
        <w:t xml:space="preserve"> and a unique login code</w:t>
      </w:r>
      <w:r w:rsidRPr="009E2778">
        <w:rPr>
          <w:color w:val="000000" w:themeColor="text1"/>
          <w:lang w:val="x-none"/>
        </w:rPr>
        <w:t xml:space="preserve"> wh</w:t>
      </w:r>
      <w:r w:rsidRPr="009E2778">
        <w:rPr>
          <w:color w:val="000000" w:themeColor="text1"/>
        </w:rPr>
        <w:t>ich</w:t>
      </w:r>
      <w:r w:rsidRPr="009E2778">
        <w:rPr>
          <w:color w:val="000000" w:themeColor="text1"/>
          <w:lang w:val="x-none"/>
        </w:rPr>
        <w:t xml:space="preserve"> </w:t>
      </w:r>
      <w:r w:rsidRPr="009E2778">
        <w:rPr>
          <w:color w:val="000000" w:themeColor="text1"/>
        </w:rPr>
        <w:t>individuals</w:t>
      </w:r>
      <w:r w:rsidRPr="009E2778">
        <w:rPr>
          <w:color w:val="000000" w:themeColor="text1"/>
          <w:lang w:val="x-none"/>
        </w:rPr>
        <w:t xml:space="preserve"> can </w:t>
      </w:r>
      <w:r w:rsidRPr="009E2778">
        <w:rPr>
          <w:color w:val="000000" w:themeColor="text1"/>
        </w:rPr>
        <w:t xml:space="preserve">use to </w:t>
      </w:r>
      <w:r w:rsidRPr="009E2778">
        <w:rPr>
          <w:color w:val="000000" w:themeColor="text1"/>
          <w:lang w:val="x-none"/>
        </w:rPr>
        <w:t>complete the</w:t>
      </w:r>
      <w:r w:rsidR="00B509AA" w:rsidRPr="009E2778">
        <w:rPr>
          <w:color w:val="000000" w:themeColor="text1"/>
        </w:rPr>
        <w:t xml:space="preserve"> screener and the</w:t>
      </w:r>
      <w:r w:rsidRPr="009E2778">
        <w:rPr>
          <w:color w:val="000000" w:themeColor="text1"/>
          <w:lang w:val="x-none"/>
        </w:rPr>
        <w:t xml:space="preserve"> survey</w:t>
      </w:r>
      <w:r w:rsidRPr="009E2778">
        <w:rPr>
          <w:color w:val="000000" w:themeColor="text1"/>
        </w:rPr>
        <w:t xml:space="preserve"> anonymously.</w:t>
      </w:r>
    </w:p>
    <w:p w14:paraId="6D1A88A8" w14:textId="098CF209" w:rsidR="000F3043" w:rsidRPr="009E2778" w:rsidRDefault="006968A0" w:rsidP="00830A78">
      <w:pPr>
        <w:spacing w:after="240"/>
        <w:rPr>
          <w:color w:val="000000" w:themeColor="text1"/>
        </w:rPr>
      </w:pPr>
      <w:r w:rsidRPr="009E2778">
        <w:rPr>
          <w:color w:val="000000" w:themeColor="text1"/>
        </w:rPr>
        <w:t xml:space="preserve">Currently a </w:t>
      </w:r>
      <w:r w:rsidR="00A00CF8" w:rsidRPr="009E2778">
        <w:rPr>
          <w:color w:val="000000" w:themeColor="text1"/>
        </w:rPr>
        <w:t xml:space="preserve">Privacy </w:t>
      </w:r>
      <w:r w:rsidRPr="009E2778">
        <w:rPr>
          <w:color w:val="000000" w:themeColor="text1"/>
        </w:rPr>
        <w:t>Impact Assessment (PIA) is pending and will be</w:t>
      </w:r>
      <w:r w:rsidR="002C37A8">
        <w:rPr>
          <w:color w:val="000000" w:themeColor="text1"/>
        </w:rPr>
        <w:t xml:space="preserve"> provided when complete.</w:t>
      </w:r>
      <w:r w:rsidRPr="009E2778">
        <w:rPr>
          <w:color w:val="000000" w:themeColor="text1"/>
        </w:rPr>
        <w:t xml:space="preserve"> </w:t>
      </w:r>
    </w:p>
    <w:p w14:paraId="2DF97C35" w14:textId="77777777" w:rsidR="00685B30" w:rsidRPr="009E2778" w:rsidRDefault="00685B30" w:rsidP="00830A78">
      <w:pPr>
        <w:pStyle w:val="Heading2"/>
        <w:spacing w:after="240" w:line="276" w:lineRule="auto"/>
        <w:ind w:left="720" w:hanging="720"/>
        <w:jc w:val="left"/>
        <w:rPr>
          <w:rFonts w:asciiTheme="minorHAnsi" w:hAnsiTheme="minorHAnsi"/>
          <w:szCs w:val="22"/>
        </w:rPr>
      </w:pPr>
      <w:bookmarkStart w:id="5" w:name="_Toc443881745"/>
      <w:bookmarkStart w:id="6" w:name="_Toc451592234"/>
      <w:bookmarkStart w:id="7" w:name="_Toc5610275"/>
      <w:bookmarkStart w:id="8" w:name="_Toc99178781"/>
      <w:r w:rsidRPr="009E2778">
        <w:rPr>
          <w:rFonts w:asciiTheme="minorHAnsi" w:hAnsiTheme="minorHAnsi"/>
          <w:szCs w:val="22"/>
        </w:rPr>
        <w:t>A.4</w:t>
      </w:r>
      <w:r w:rsidRPr="009E2778">
        <w:rPr>
          <w:rFonts w:asciiTheme="minorHAnsi" w:hAnsiTheme="minorHAnsi"/>
          <w:szCs w:val="22"/>
        </w:rPr>
        <w:tab/>
        <w:t>Efforts to Identify Duplication and Use of Similar Information</w:t>
      </w:r>
      <w:bookmarkEnd w:id="5"/>
      <w:bookmarkEnd w:id="6"/>
      <w:bookmarkEnd w:id="7"/>
      <w:bookmarkEnd w:id="8"/>
    </w:p>
    <w:p w14:paraId="571EDBBD" w14:textId="571DFD72" w:rsidR="00E01D41" w:rsidRPr="009E2778" w:rsidRDefault="00E01D41" w:rsidP="00830A78">
      <w:pPr>
        <w:spacing w:after="240"/>
        <w:rPr>
          <w:b/>
        </w:rPr>
      </w:pPr>
      <w:bookmarkStart w:id="9" w:name="_Toc443881746"/>
      <w:bookmarkStart w:id="10" w:name="_Toc451592235"/>
      <w:bookmarkStart w:id="11" w:name="_Toc5610276"/>
      <w:bookmarkStart w:id="12" w:name="_Toc99178782"/>
      <w:r w:rsidRPr="009E2778">
        <w:t xml:space="preserve">An evaluation survey for the </w:t>
      </w:r>
      <w:r w:rsidRPr="009E2778">
        <w:rPr>
          <w:i/>
        </w:rPr>
        <w:t xml:space="preserve">Palliative Care: Conversations Matter® </w:t>
      </w:r>
      <w:r w:rsidRPr="009E2778">
        <w:t>campaign has not</w:t>
      </w:r>
      <w:r w:rsidR="00216F10" w:rsidRPr="009E2778">
        <w:t xml:space="preserve"> been</w:t>
      </w:r>
      <w:r w:rsidRPr="009E2778">
        <w:t xml:space="preserve"> previously conducted </w:t>
      </w:r>
      <w:r w:rsidR="00292938" w:rsidRPr="009E2778">
        <w:t xml:space="preserve">among </w:t>
      </w:r>
      <w:r w:rsidRPr="009E2778">
        <w:t xml:space="preserve">this population. The only similar information available may be from organizations such as </w:t>
      </w:r>
      <w:r w:rsidR="00216F10" w:rsidRPr="009E2778">
        <w:t xml:space="preserve">the </w:t>
      </w:r>
      <w:r w:rsidRPr="009E2778">
        <w:t>National Hospice and Palliative Care Organization (NHPCO) or the Agency for Healthcare Research and Quality (AHRQ)</w:t>
      </w:r>
      <w:r w:rsidR="00216F10" w:rsidRPr="009E2778">
        <w:t>,</w:t>
      </w:r>
      <w:r w:rsidRPr="009E2778">
        <w:t xml:space="preserve"> who collect general data on issues related to pediatric palliative care. However, since NINR is using this survey to specifically evaluate the campaign, no other questionnaire or data could provide the information required for the proposed study.  </w:t>
      </w:r>
    </w:p>
    <w:p w14:paraId="55E0BD5F" w14:textId="77777777" w:rsidR="00685B30" w:rsidRPr="009E2778" w:rsidRDefault="00685B30" w:rsidP="00830A78">
      <w:pPr>
        <w:pStyle w:val="Heading2"/>
        <w:spacing w:after="240" w:line="276" w:lineRule="auto"/>
        <w:ind w:left="720" w:hanging="720"/>
        <w:jc w:val="left"/>
        <w:rPr>
          <w:rFonts w:asciiTheme="minorHAnsi" w:hAnsiTheme="minorHAnsi"/>
          <w:szCs w:val="22"/>
        </w:rPr>
      </w:pPr>
      <w:r w:rsidRPr="009E2778">
        <w:rPr>
          <w:rFonts w:asciiTheme="minorHAnsi" w:hAnsiTheme="minorHAnsi"/>
          <w:szCs w:val="22"/>
        </w:rPr>
        <w:t>A.5</w:t>
      </w:r>
      <w:r w:rsidRPr="009E2778">
        <w:rPr>
          <w:rFonts w:asciiTheme="minorHAnsi" w:hAnsiTheme="minorHAnsi"/>
          <w:szCs w:val="22"/>
        </w:rPr>
        <w:tab/>
        <w:t>Impact on Small Businesses or Other Small Entities</w:t>
      </w:r>
      <w:bookmarkEnd w:id="9"/>
      <w:bookmarkEnd w:id="10"/>
      <w:bookmarkEnd w:id="11"/>
      <w:bookmarkEnd w:id="12"/>
    </w:p>
    <w:p w14:paraId="29CDCBF1" w14:textId="77777777" w:rsidR="00E01D41" w:rsidRPr="009E2778" w:rsidRDefault="00E01D41" w:rsidP="00830A78">
      <w:pPr>
        <w:spacing w:after="240"/>
      </w:pPr>
      <w:bookmarkStart w:id="13" w:name="_Toc443881747"/>
      <w:bookmarkStart w:id="14" w:name="_Toc451592236"/>
      <w:bookmarkStart w:id="15" w:name="_Toc5610277"/>
      <w:bookmarkStart w:id="16" w:name="_Toc99178783"/>
      <w:r w:rsidRPr="009E2778">
        <w:t xml:space="preserve">No small businesses or other small entities will be involved in this study. </w:t>
      </w:r>
    </w:p>
    <w:p w14:paraId="75CF0215" w14:textId="77777777" w:rsidR="00830A78" w:rsidRPr="009E2778" w:rsidRDefault="00685B30" w:rsidP="00830A78">
      <w:pPr>
        <w:pStyle w:val="Heading2"/>
        <w:spacing w:after="240" w:line="276" w:lineRule="auto"/>
        <w:ind w:left="720" w:hanging="720"/>
        <w:jc w:val="left"/>
        <w:rPr>
          <w:rFonts w:asciiTheme="minorHAnsi" w:hAnsiTheme="minorHAnsi"/>
          <w:szCs w:val="22"/>
        </w:rPr>
      </w:pPr>
      <w:r w:rsidRPr="009E2778">
        <w:rPr>
          <w:rFonts w:asciiTheme="minorHAnsi" w:hAnsiTheme="minorHAnsi"/>
          <w:szCs w:val="22"/>
        </w:rPr>
        <w:t>A.6</w:t>
      </w:r>
      <w:r w:rsidRPr="009E2778">
        <w:rPr>
          <w:rFonts w:asciiTheme="minorHAnsi" w:hAnsiTheme="minorHAnsi"/>
          <w:szCs w:val="22"/>
        </w:rPr>
        <w:tab/>
        <w:t>Consequences of Collecting the Information Less Frequently</w:t>
      </w:r>
      <w:bookmarkStart w:id="17" w:name="_Toc443881748"/>
      <w:bookmarkStart w:id="18" w:name="_Toc451592237"/>
      <w:bookmarkStart w:id="19" w:name="_Toc5610278"/>
      <w:bookmarkStart w:id="20" w:name="_Toc99178784"/>
      <w:bookmarkEnd w:id="13"/>
      <w:bookmarkEnd w:id="14"/>
      <w:bookmarkEnd w:id="15"/>
      <w:bookmarkEnd w:id="16"/>
    </w:p>
    <w:p w14:paraId="7300BA2B" w14:textId="218FD0EC" w:rsidR="00E01D41" w:rsidRPr="009E2778" w:rsidRDefault="00E01D41" w:rsidP="00830A78">
      <w:pPr>
        <w:spacing w:after="240"/>
      </w:pPr>
      <w:r w:rsidRPr="009E2778">
        <w:rPr>
          <w:rStyle w:val="BodyTextChar"/>
          <w:rFonts w:asciiTheme="minorHAnsi" w:hAnsiTheme="minorHAnsi"/>
          <w:sz w:val="22"/>
          <w:szCs w:val="22"/>
        </w:rPr>
        <w:t xml:space="preserve">Currently there is a lack of research and data to understand the awareness, attitudes, and behaviors surrounding the use of pediatric palliative care. Assessment of this campaign will be used to help </w:t>
      </w:r>
      <w:r w:rsidR="00216F10" w:rsidRPr="009E2778">
        <w:rPr>
          <w:rStyle w:val="BodyTextChar"/>
          <w:rFonts w:asciiTheme="minorHAnsi" w:hAnsiTheme="minorHAnsi"/>
          <w:sz w:val="22"/>
          <w:szCs w:val="22"/>
          <w:lang w:val="en-US"/>
        </w:rPr>
        <w:t xml:space="preserve">NINR </w:t>
      </w:r>
      <w:r w:rsidRPr="009E2778">
        <w:rPr>
          <w:rStyle w:val="BodyTextChar"/>
          <w:rFonts w:asciiTheme="minorHAnsi" w:hAnsiTheme="minorHAnsi"/>
          <w:sz w:val="22"/>
          <w:szCs w:val="22"/>
        </w:rPr>
        <w:t xml:space="preserve">with future communications efforts. The viability and utility of the </w:t>
      </w:r>
      <w:r w:rsidRPr="009E2778">
        <w:rPr>
          <w:i/>
        </w:rPr>
        <w:t xml:space="preserve">Palliative Care: Conversations Matter® </w:t>
      </w:r>
      <w:r w:rsidRPr="009E2778">
        <w:t>campaign</w:t>
      </w:r>
      <w:r w:rsidRPr="009E2778">
        <w:rPr>
          <w:rStyle w:val="BodyTextChar"/>
          <w:rFonts w:asciiTheme="minorHAnsi" w:hAnsiTheme="minorHAnsi"/>
          <w:sz w:val="22"/>
          <w:szCs w:val="22"/>
        </w:rPr>
        <w:t xml:space="preserve"> may be adversely</w:t>
      </w:r>
      <w:r w:rsidRPr="009E2778">
        <w:t xml:space="preserve"> affected if the information is not collected.</w:t>
      </w:r>
    </w:p>
    <w:p w14:paraId="4FF90317" w14:textId="77777777" w:rsidR="00830A78" w:rsidRPr="009E2778" w:rsidRDefault="001D0FF9" w:rsidP="00830A78">
      <w:pPr>
        <w:pStyle w:val="Heading2"/>
        <w:spacing w:after="240" w:line="276" w:lineRule="auto"/>
        <w:ind w:left="0" w:firstLine="0"/>
        <w:jc w:val="left"/>
        <w:rPr>
          <w:rFonts w:asciiTheme="minorHAnsi" w:hAnsiTheme="minorHAnsi"/>
          <w:szCs w:val="22"/>
        </w:rPr>
      </w:pPr>
      <w:r w:rsidRPr="009E2778">
        <w:rPr>
          <w:rFonts w:asciiTheme="minorHAnsi" w:hAnsiTheme="minorHAnsi"/>
          <w:szCs w:val="22"/>
        </w:rPr>
        <w:t xml:space="preserve">A.7         </w:t>
      </w:r>
      <w:r w:rsidR="00685B30" w:rsidRPr="009E2778">
        <w:rPr>
          <w:rFonts w:asciiTheme="minorHAnsi" w:hAnsiTheme="minorHAnsi"/>
          <w:szCs w:val="22"/>
        </w:rPr>
        <w:t xml:space="preserve">Special Circumstances Relating to the Guidelines of 5 </w:t>
      </w:r>
      <w:smartTag w:uri="urn:schemas-microsoft-com:office:smarttags" w:element="stockticker">
        <w:r w:rsidR="00685B30" w:rsidRPr="009E2778">
          <w:rPr>
            <w:rFonts w:asciiTheme="minorHAnsi" w:hAnsiTheme="minorHAnsi"/>
            <w:szCs w:val="22"/>
          </w:rPr>
          <w:t>CFR</w:t>
        </w:r>
      </w:smartTag>
      <w:r w:rsidR="00685B30" w:rsidRPr="009E2778">
        <w:rPr>
          <w:rFonts w:asciiTheme="minorHAnsi" w:hAnsiTheme="minorHAnsi"/>
          <w:szCs w:val="22"/>
        </w:rPr>
        <w:t xml:space="preserve"> 1320.5</w:t>
      </w:r>
      <w:bookmarkEnd w:id="17"/>
      <w:bookmarkEnd w:id="18"/>
      <w:bookmarkEnd w:id="19"/>
      <w:bookmarkEnd w:id="20"/>
    </w:p>
    <w:p w14:paraId="159D056A" w14:textId="0486B85C" w:rsidR="00830A78" w:rsidRPr="009E2778" w:rsidRDefault="007D01E5" w:rsidP="00830A78">
      <w:pPr>
        <w:spacing w:after="240"/>
      </w:pPr>
      <w:r w:rsidRPr="009E2778">
        <w:t xml:space="preserve">No special circumstances are anticipated. This information collection fully complies with 5 CFR 1320.5(d) (2). </w:t>
      </w:r>
    </w:p>
    <w:p w14:paraId="15A41BAF" w14:textId="77777777" w:rsidR="0036208F" w:rsidRPr="009E2778" w:rsidRDefault="00685B30" w:rsidP="00830A78">
      <w:pPr>
        <w:pStyle w:val="Heading2"/>
        <w:spacing w:after="240" w:line="276" w:lineRule="auto"/>
        <w:ind w:left="720" w:hanging="720"/>
        <w:jc w:val="left"/>
        <w:rPr>
          <w:rFonts w:asciiTheme="minorHAnsi" w:hAnsiTheme="minorHAnsi"/>
          <w:szCs w:val="22"/>
        </w:rPr>
      </w:pPr>
      <w:bookmarkStart w:id="21" w:name="_Toc443881749"/>
      <w:bookmarkStart w:id="22" w:name="_Toc451592238"/>
      <w:bookmarkStart w:id="23" w:name="_Toc5610279"/>
      <w:bookmarkStart w:id="24" w:name="_Toc99178785"/>
      <w:r w:rsidRPr="009E2778">
        <w:rPr>
          <w:rFonts w:asciiTheme="minorHAnsi" w:hAnsiTheme="minorHAnsi"/>
          <w:szCs w:val="22"/>
        </w:rPr>
        <w:lastRenderedPageBreak/>
        <w:t>A.8</w:t>
      </w:r>
      <w:r w:rsidR="0036208F" w:rsidRPr="009E2778">
        <w:rPr>
          <w:rFonts w:asciiTheme="minorHAnsi" w:hAnsiTheme="minorHAnsi"/>
          <w:szCs w:val="22"/>
        </w:rPr>
        <w:t>.1</w:t>
      </w:r>
      <w:r w:rsidRPr="009E2778">
        <w:rPr>
          <w:rFonts w:asciiTheme="minorHAnsi" w:hAnsiTheme="minorHAnsi"/>
          <w:szCs w:val="22"/>
        </w:rPr>
        <w:tab/>
        <w:t xml:space="preserve">Comments in Response to the Federal Register Notice </w:t>
      </w:r>
    </w:p>
    <w:bookmarkEnd w:id="21"/>
    <w:bookmarkEnd w:id="22"/>
    <w:bookmarkEnd w:id="23"/>
    <w:bookmarkEnd w:id="24"/>
    <w:p w14:paraId="494ACE84" w14:textId="7730EF4C" w:rsidR="001B7ABA" w:rsidRPr="001B7ABA" w:rsidRDefault="00333D4F" w:rsidP="001B7ABA">
      <w:pPr>
        <w:spacing w:after="240"/>
      </w:pPr>
      <w:r w:rsidRPr="00333D4F">
        <w:t xml:space="preserve">As required by 5 CFR 1320, a 60-day notice of this proposed data collection was published in the Federal Register, Volume </w:t>
      </w:r>
      <w:r>
        <w:t>81</w:t>
      </w:r>
      <w:r w:rsidRPr="00333D4F">
        <w:t xml:space="preserve">, Page </w:t>
      </w:r>
      <w:r>
        <w:rPr>
          <w:rStyle w:val="page"/>
        </w:rPr>
        <w:t>45169</w:t>
      </w:r>
      <w:r w:rsidRPr="00333D4F">
        <w:t xml:space="preserve"> on </w:t>
      </w:r>
      <w:r>
        <w:t>July 12, 2016</w:t>
      </w:r>
      <w:r w:rsidRPr="00333D4F">
        <w:t xml:space="preserve">, and allowed 60-days for public comment. No public comments were received. </w:t>
      </w:r>
    </w:p>
    <w:p w14:paraId="2CB79428" w14:textId="77777777" w:rsidR="007D01E5" w:rsidRPr="009E2778" w:rsidRDefault="0036208F" w:rsidP="00830A78">
      <w:pPr>
        <w:spacing w:after="240"/>
        <w:rPr>
          <w:b/>
        </w:rPr>
      </w:pPr>
      <w:r w:rsidRPr="009E2778">
        <w:rPr>
          <w:b/>
        </w:rPr>
        <w:t>A.8.2</w:t>
      </w:r>
      <w:r w:rsidRPr="009E2778">
        <w:rPr>
          <w:b/>
        </w:rPr>
        <w:tab/>
        <w:t>Efforts to Consult Outside Agency</w:t>
      </w:r>
    </w:p>
    <w:p w14:paraId="19251268" w14:textId="6C19A0DE" w:rsidR="00906714" w:rsidRPr="009E2778" w:rsidRDefault="00906714" w:rsidP="00906714">
      <w:pPr>
        <w:rPr>
          <w:bCs/>
        </w:rPr>
      </w:pPr>
      <w:r w:rsidRPr="009E2778">
        <w:rPr>
          <w:bCs/>
        </w:rPr>
        <w:t>NINR consulted with several individuals outside the agency regarding the proposed information collection including Edge Research, a communications consultancy with expertise in communication campaigns. They provided comments and suggestions on availability of data, data collection, clarity of instructions and recordkeeping, disclosure, reporting format, and data elements to be recorded disclosed, or reported. These consultants include the following campaign staff and subject matter experts:</w:t>
      </w:r>
    </w:p>
    <w:p w14:paraId="43041B38" w14:textId="544EC95A" w:rsidR="00FE50CA" w:rsidRPr="009E2778" w:rsidRDefault="00FE50CA" w:rsidP="00FE50CA">
      <w:pPr>
        <w:spacing w:after="0"/>
        <w:rPr>
          <w:rFonts w:eastAsia="Times New Roman" w:cs="Times New Roman"/>
          <w:b/>
          <w:bCs/>
        </w:rPr>
      </w:pPr>
      <w:r w:rsidRPr="009E2778">
        <w:rPr>
          <w:rFonts w:eastAsia="Times New Roman" w:cs="Times New Roman"/>
          <w:b/>
          <w:bCs/>
        </w:rPr>
        <w:t>Jon Kulok</w:t>
      </w:r>
      <w:r w:rsidR="00906714" w:rsidRPr="009E2778">
        <w:rPr>
          <w:rFonts w:eastAsia="Times New Roman" w:cs="Times New Roman"/>
          <w:b/>
          <w:bCs/>
        </w:rPr>
        <w:t xml:space="preserve">, </w:t>
      </w:r>
      <w:r w:rsidRPr="009E2778">
        <w:rPr>
          <w:rFonts w:eastAsia="Times New Roman" w:cs="Times New Roman"/>
        </w:rPr>
        <w:t>Principal</w:t>
      </w:r>
      <w:r w:rsidR="00906714" w:rsidRPr="009E2778">
        <w:rPr>
          <w:rFonts w:eastAsia="Times New Roman" w:cs="Times New Roman"/>
          <w:b/>
          <w:bCs/>
        </w:rPr>
        <w:t xml:space="preserve">, </w:t>
      </w:r>
      <w:r w:rsidRPr="009E2778">
        <w:rPr>
          <w:rFonts w:eastAsia="Times New Roman" w:cs="Times New Roman"/>
        </w:rPr>
        <w:t>Edge Research</w:t>
      </w:r>
    </w:p>
    <w:p w14:paraId="20390B94" w14:textId="18ECBF51" w:rsidR="00906714" w:rsidRPr="009E2778" w:rsidRDefault="00906714" w:rsidP="00FE50CA">
      <w:pPr>
        <w:spacing w:after="0"/>
        <w:rPr>
          <w:rFonts w:eastAsia="Times New Roman" w:cs="Times New Roman"/>
        </w:rPr>
      </w:pPr>
      <w:r w:rsidRPr="009E2778">
        <w:rPr>
          <w:rFonts w:eastAsia="Times New Roman" w:cs="Times New Roman"/>
          <w:lang w:val="en"/>
        </w:rPr>
        <w:t>1560 Wilson Boulevard, Suite 475, Arlington, VA 22209</w:t>
      </w:r>
    </w:p>
    <w:p w14:paraId="0F951A13" w14:textId="477DE230" w:rsidR="00FE50CA" w:rsidRPr="009E2778" w:rsidRDefault="00FE50CA" w:rsidP="00FE50CA">
      <w:pPr>
        <w:spacing w:after="0"/>
        <w:rPr>
          <w:rFonts w:eastAsia="Times New Roman" w:cs="Times New Roman"/>
        </w:rPr>
      </w:pPr>
      <w:r w:rsidRPr="009E2778">
        <w:rPr>
          <w:rFonts w:eastAsia="Times New Roman" w:cs="Times New Roman"/>
        </w:rPr>
        <w:t>kulok@edgeresearch.com</w:t>
      </w:r>
    </w:p>
    <w:p w14:paraId="6615FF80" w14:textId="77777777" w:rsidR="00FE50CA" w:rsidRPr="009E2778" w:rsidRDefault="00FE50CA" w:rsidP="00FE50CA">
      <w:pPr>
        <w:spacing w:after="0"/>
        <w:rPr>
          <w:rFonts w:eastAsia="Times New Roman" w:cs="Times New Roman"/>
        </w:rPr>
      </w:pPr>
      <w:r w:rsidRPr="009E2778">
        <w:rPr>
          <w:rFonts w:eastAsia="Times New Roman" w:cs="Times New Roman"/>
        </w:rPr>
        <w:t>703-842-0201</w:t>
      </w:r>
    </w:p>
    <w:p w14:paraId="6AC2AE89" w14:textId="77777777" w:rsidR="00FE50CA" w:rsidRPr="009E2778" w:rsidRDefault="00FE50CA" w:rsidP="00FE50CA">
      <w:pPr>
        <w:spacing w:after="0"/>
        <w:rPr>
          <w:rFonts w:eastAsia="Times New Roman" w:cs="Times New Roman"/>
          <w:bCs/>
        </w:rPr>
      </w:pPr>
    </w:p>
    <w:p w14:paraId="2D43F209" w14:textId="551DCA40" w:rsidR="00FE50CA" w:rsidRPr="009E2778" w:rsidRDefault="00FE50CA" w:rsidP="00FE50CA">
      <w:pPr>
        <w:spacing w:after="0"/>
        <w:rPr>
          <w:rFonts w:eastAsia="Times New Roman" w:cs="Times New Roman"/>
          <w:b/>
          <w:bCs/>
        </w:rPr>
      </w:pPr>
      <w:r w:rsidRPr="009E2778">
        <w:rPr>
          <w:rFonts w:eastAsia="Times New Roman" w:cs="Times New Roman"/>
          <w:b/>
          <w:bCs/>
        </w:rPr>
        <w:t>Emily Sanders</w:t>
      </w:r>
      <w:r w:rsidR="00906714" w:rsidRPr="009E2778">
        <w:rPr>
          <w:rFonts w:eastAsia="Times New Roman" w:cs="Times New Roman"/>
          <w:b/>
          <w:bCs/>
        </w:rPr>
        <w:t xml:space="preserve">, </w:t>
      </w:r>
      <w:r w:rsidRPr="009E2778">
        <w:rPr>
          <w:rFonts w:eastAsia="Times New Roman" w:cs="Times New Roman"/>
        </w:rPr>
        <w:t>Research Analyst II</w:t>
      </w:r>
      <w:r w:rsidR="00906714" w:rsidRPr="009E2778">
        <w:rPr>
          <w:rFonts w:eastAsia="Times New Roman" w:cs="Times New Roman"/>
          <w:b/>
          <w:bCs/>
        </w:rPr>
        <w:t xml:space="preserve">, </w:t>
      </w:r>
      <w:r w:rsidRPr="009E2778">
        <w:rPr>
          <w:rFonts w:eastAsia="Times New Roman" w:cs="Times New Roman"/>
        </w:rPr>
        <w:t>Edge Research</w:t>
      </w:r>
    </w:p>
    <w:p w14:paraId="54EEA9B5" w14:textId="0219FF59" w:rsidR="00906714" w:rsidRPr="009E2778" w:rsidRDefault="00906714" w:rsidP="00FE50CA">
      <w:pPr>
        <w:spacing w:after="0"/>
        <w:rPr>
          <w:rFonts w:eastAsia="Times New Roman" w:cs="Times New Roman"/>
        </w:rPr>
      </w:pPr>
      <w:r w:rsidRPr="009E2778">
        <w:rPr>
          <w:rFonts w:eastAsia="Times New Roman" w:cs="Times New Roman"/>
          <w:lang w:val="en"/>
        </w:rPr>
        <w:t>1560 Wilson Boulevard, Suite 475, Arlington, VA 22209</w:t>
      </w:r>
    </w:p>
    <w:p w14:paraId="22A91C36" w14:textId="77777777" w:rsidR="00FE50CA" w:rsidRPr="009E2778" w:rsidRDefault="00FE50CA" w:rsidP="00FE50CA">
      <w:pPr>
        <w:spacing w:after="0"/>
        <w:rPr>
          <w:rFonts w:eastAsia="Times New Roman" w:cs="Times New Roman"/>
        </w:rPr>
      </w:pPr>
      <w:r w:rsidRPr="009E2778">
        <w:rPr>
          <w:rFonts w:eastAsia="Times New Roman" w:cs="Times New Roman"/>
        </w:rPr>
        <w:t>sanders@edgeresearch.com</w:t>
      </w:r>
    </w:p>
    <w:p w14:paraId="23DE7510" w14:textId="3A65AEC2" w:rsidR="00333588" w:rsidRPr="009E2778" w:rsidRDefault="00FE50CA" w:rsidP="006968A0">
      <w:pPr>
        <w:spacing w:after="0"/>
        <w:rPr>
          <w:rFonts w:eastAsia="Times New Roman" w:cs="Times New Roman"/>
        </w:rPr>
      </w:pPr>
      <w:r w:rsidRPr="009E2778">
        <w:rPr>
          <w:rFonts w:eastAsia="Times New Roman" w:cs="Times New Roman"/>
        </w:rPr>
        <w:t>703-842-0214</w:t>
      </w:r>
    </w:p>
    <w:p w14:paraId="69EE0F82" w14:textId="77777777" w:rsidR="006968A0" w:rsidRPr="009E2778" w:rsidRDefault="006968A0" w:rsidP="006968A0">
      <w:pPr>
        <w:spacing w:after="0"/>
        <w:rPr>
          <w:rFonts w:eastAsia="Times New Roman" w:cs="Times New Roman"/>
        </w:rPr>
      </w:pPr>
    </w:p>
    <w:p w14:paraId="4AD2B80F" w14:textId="77777777" w:rsidR="00685B30" w:rsidRPr="009E2778" w:rsidRDefault="00685B30" w:rsidP="00830A78">
      <w:pPr>
        <w:pStyle w:val="P1-StandPara"/>
        <w:spacing w:after="240" w:line="276" w:lineRule="auto"/>
        <w:ind w:firstLine="0"/>
        <w:rPr>
          <w:rFonts w:asciiTheme="minorHAnsi" w:hAnsiTheme="minorHAnsi"/>
          <w:b/>
          <w:szCs w:val="22"/>
        </w:rPr>
      </w:pPr>
      <w:r w:rsidRPr="009E2778">
        <w:rPr>
          <w:rFonts w:asciiTheme="minorHAnsi" w:hAnsiTheme="minorHAnsi"/>
          <w:b/>
          <w:szCs w:val="22"/>
        </w:rPr>
        <w:t>A.9</w:t>
      </w:r>
      <w:r w:rsidRPr="009E2778">
        <w:rPr>
          <w:rFonts w:asciiTheme="minorHAnsi" w:hAnsiTheme="minorHAnsi"/>
          <w:b/>
          <w:szCs w:val="22"/>
        </w:rPr>
        <w:tab/>
        <w:t>Explanation of Any Payment of Gift to Respondents</w:t>
      </w:r>
    </w:p>
    <w:p w14:paraId="75F3F288" w14:textId="33785628" w:rsidR="00B81B66" w:rsidRDefault="00B81B66" w:rsidP="00830A78">
      <w:pPr>
        <w:spacing w:after="240"/>
      </w:pPr>
      <w:r w:rsidRPr="009E2778">
        <w:t>A customary element of panel management is to offer those who complete surve</w:t>
      </w:r>
      <w:r w:rsidR="007F7D2A" w:rsidRPr="009E2778">
        <w:t xml:space="preserve">ys a certain number of points. </w:t>
      </w:r>
      <w:r w:rsidRPr="009E2778">
        <w:t>Over time, panel members have the opportunity to turn in</w:t>
      </w:r>
      <w:r w:rsidR="007F7D2A" w:rsidRPr="009E2778">
        <w:t xml:space="preserve"> these points for small prizes.</w:t>
      </w:r>
      <w:r w:rsidRPr="009E2778">
        <w:t xml:space="preserve"> Individuals who respond to this survey will receive a number of points identified by the panel provider that panel members typically receive for a survey of a similar length and incidence.  </w:t>
      </w:r>
    </w:p>
    <w:p w14:paraId="1AB21070" w14:textId="13FD8558" w:rsidR="0006752F" w:rsidRPr="0006752F" w:rsidRDefault="0006752F" w:rsidP="00830A78">
      <w:pPr>
        <w:spacing w:after="240"/>
        <w:rPr>
          <w:iCs/>
        </w:rPr>
      </w:pPr>
      <w:r w:rsidRPr="0006752F">
        <w:t>For this specific survey, participants will receive My View Points (MVP) for completing the survey. MVP are reward points panelists collect for participating in surveys on the Critical Mix Panel over time. The reward points panelists collect after taking various surveys can eventually be traded in for a range of gifts. Therefore, the points they obtain for completing this survey are not directly tied to a specific gift.</w:t>
      </w:r>
    </w:p>
    <w:p w14:paraId="7FD419D7" w14:textId="77777777" w:rsidR="00685B30" w:rsidRPr="009E2778" w:rsidRDefault="00685B30" w:rsidP="00830A78">
      <w:pPr>
        <w:pStyle w:val="P1-StandPara"/>
        <w:spacing w:after="240" w:line="276" w:lineRule="auto"/>
        <w:ind w:firstLine="0"/>
        <w:rPr>
          <w:rFonts w:asciiTheme="minorHAnsi" w:hAnsiTheme="minorHAnsi"/>
          <w:b/>
          <w:szCs w:val="22"/>
        </w:rPr>
      </w:pPr>
      <w:r w:rsidRPr="009E2778">
        <w:rPr>
          <w:rFonts w:asciiTheme="minorHAnsi" w:hAnsiTheme="minorHAnsi"/>
          <w:b/>
          <w:szCs w:val="22"/>
        </w:rPr>
        <w:t>A.10</w:t>
      </w:r>
      <w:r w:rsidRPr="009E2778">
        <w:rPr>
          <w:rFonts w:asciiTheme="minorHAnsi" w:hAnsiTheme="minorHAnsi"/>
          <w:b/>
          <w:szCs w:val="22"/>
        </w:rPr>
        <w:tab/>
        <w:t>Assurance of Confidentiality Provided to Respondents</w:t>
      </w:r>
    </w:p>
    <w:p w14:paraId="505DB446" w14:textId="25BA1D68" w:rsidR="007D01E5" w:rsidRPr="009E2778" w:rsidRDefault="007D01E5" w:rsidP="00830A78">
      <w:pPr>
        <w:pStyle w:val="BodyText"/>
        <w:tabs>
          <w:tab w:val="left" w:pos="6300"/>
        </w:tabs>
        <w:spacing w:before="0" w:after="240" w:line="276" w:lineRule="auto"/>
        <w:rPr>
          <w:rFonts w:asciiTheme="minorHAnsi" w:hAnsiTheme="minorHAnsi"/>
          <w:sz w:val="22"/>
          <w:szCs w:val="22"/>
        </w:rPr>
      </w:pPr>
      <w:r w:rsidRPr="009E2778">
        <w:rPr>
          <w:rFonts w:asciiTheme="minorHAnsi" w:hAnsiTheme="minorHAnsi"/>
          <w:sz w:val="22"/>
          <w:szCs w:val="22"/>
        </w:rPr>
        <w:t xml:space="preserve">Information provided by the respondents will be kept private </w:t>
      </w:r>
      <w:r w:rsidR="00830A78" w:rsidRPr="009E2778">
        <w:rPr>
          <w:rFonts w:asciiTheme="minorHAnsi" w:hAnsiTheme="minorHAnsi"/>
          <w:sz w:val="22"/>
          <w:szCs w:val="22"/>
        </w:rPr>
        <w:t xml:space="preserve">to the extent permitted by law. </w:t>
      </w:r>
      <w:r w:rsidRPr="009E2778">
        <w:rPr>
          <w:rFonts w:asciiTheme="minorHAnsi" w:hAnsiTheme="minorHAnsi"/>
          <w:sz w:val="22"/>
          <w:szCs w:val="22"/>
        </w:rPr>
        <w:t xml:space="preserve">This information will be communicated to respondents by means of an email invitation and reminder email, if necessary, </w:t>
      </w:r>
      <w:r w:rsidRPr="009E2778">
        <w:rPr>
          <w:rFonts w:asciiTheme="minorHAnsi" w:hAnsiTheme="minorHAnsi"/>
          <w:sz w:val="22"/>
          <w:szCs w:val="22"/>
          <w:lang w:val="en-US"/>
        </w:rPr>
        <w:t xml:space="preserve">which </w:t>
      </w:r>
      <w:r w:rsidRPr="009E2778">
        <w:rPr>
          <w:rFonts w:asciiTheme="minorHAnsi" w:hAnsiTheme="minorHAnsi"/>
          <w:sz w:val="22"/>
          <w:szCs w:val="22"/>
        </w:rPr>
        <w:t>includes information about the questionnaire</w:t>
      </w:r>
      <w:r w:rsidR="00830A78" w:rsidRPr="009E2778">
        <w:rPr>
          <w:rFonts w:asciiTheme="minorHAnsi" w:hAnsiTheme="minorHAnsi"/>
          <w:sz w:val="22"/>
          <w:szCs w:val="22"/>
        </w:rPr>
        <w:t xml:space="preserve"> (Attachment</w:t>
      </w:r>
      <w:r w:rsidR="009B350F">
        <w:rPr>
          <w:rFonts w:asciiTheme="minorHAnsi" w:hAnsiTheme="minorHAnsi"/>
          <w:sz w:val="22"/>
          <w:szCs w:val="22"/>
          <w:lang w:val="en-US"/>
        </w:rPr>
        <w:t>s</w:t>
      </w:r>
      <w:r w:rsidR="00830A78" w:rsidRPr="009E2778">
        <w:rPr>
          <w:rFonts w:asciiTheme="minorHAnsi" w:hAnsiTheme="minorHAnsi"/>
          <w:sz w:val="22"/>
          <w:szCs w:val="22"/>
        </w:rPr>
        <w:t xml:space="preserve"> 3</w:t>
      </w:r>
      <w:r w:rsidR="009B350F">
        <w:rPr>
          <w:rFonts w:asciiTheme="minorHAnsi" w:hAnsiTheme="minorHAnsi"/>
          <w:sz w:val="22"/>
          <w:szCs w:val="22"/>
          <w:lang w:val="en-US"/>
        </w:rPr>
        <w:t xml:space="preserve"> and 4</w:t>
      </w:r>
      <w:r w:rsidR="00830A78" w:rsidRPr="009E2778">
        <w:rPr>
          <w:rFonts w:asciiTheme="minorHAnsi" w:hAnsiTheme="minorHAnsi"/>
          <w:sz w:val="22"/>
          <w:szCs w:val="22"/>
        </w:rPr>
        <w:t xml:space="preserve">). </w:t>
      </w:r>
      <w:r w:rsidRPr="009E2778">
        <w:rPr>
          <w:rFonts w:asciiTheme="minorHAnsi" w:hAnsiTheme="minorHAnsi"/>
          <w:sz w:val="22"/>
          <w:szCs w:val="22"/>
        </w:rPr>
        <w:t>The beginning of the web-based survey include</w:t>
      </w:r>
      <w:r w:rsidR="00830A78" w:rsidRPr="009E2778">
        <w:rPr>
          <w:rFonts w:asciiTheme="minorHAnsi" w:hAnsiTheme="minorHAnsi"/>
          <w:sz w:val="22"/>
          <w:szCs w:val="22"/>
          <w:lang w:val="en-US"/>
        </w:rPr>
        <w:t>s</w:t>
      </w:r>
      <w:r w:rsidRPr="009E2778">
        <w:rPr>
          <w:rFonts w:asciiTheme="minorHAnsi" w:hAnsiTheme="minorHAnsi"/>
          <w:sz w:val="22"/>
          <w:szCs w:val="22"/>
        </w:rPr>
        <w:t xml:space="preserve"> information about</w:t>
      </w:r>
      <w:r w:rsidR="00830A78" w:rsidRPr="009E2778">
        <w:rPr>
          <w:rFonts w:asciiTheme="minorHAnsi" w:hAnsiTheme="minorHAnsi"/>
          <w:sz w:val="22"/>
          <w:szCs w:val="22"/>
        </w:rPr>
        <w:t xml:space="preserve"> privacy (Attachments 1 and 2). </w:t>
      </w:r>
      <w:r w:rsidRPr="009E2778">
        <w:rPr>
          <w:rFonts w:asciiTheme="minorHAnsi" w:hAnsiTheme="minorHAnsi"/>
          <w:sz w:val="22"/>
          <w:szCs w:val="22"/>
        </w:rPr>
        <w:t>NINR</w:t>
      </w:r>
      <w:r w:rsidRPr="009E2778">
        <w:rPr>
          <w:rFonts w:asciiTheme="minorHAnsi" w:hAnsiTheme="minorHAnsi"/>
          <w:sz w:val="22"/>
          <w:szCs w:val="22"/>
          <w:lang w:val="en-US"/>
        </w:rPr>
        <w:t xml:space="preserve"> and</w:t>
      </w:r>
      <w:r w:rsidRPr="009E2778">
        <w:rPr>
          <w:rFonts w:asciiTheme="minorHAnsi" w:hAnsiTheme="minorHAnsi"/>
          <w:sz w:val="22"/>
          <w:szCs w:val="22"/>
        </w:rPr>
        <w:t xml:space="preserve"> </w:t>
      </w:r>
      <w:r w:rsidR="00CE3707" w:rsidRPr="009E2778">
        <w:rPr>
          <w:rFonts w:asciiTheme="minorHAnsi" w:hAnsiTheme="minorHAnsi"/>
          <w:sz w:val="22"/>
          <w:szCs w:val="22"/>
          <w:lang w:val="en-US"/>
        </w:rPr>
        <w:t xml:space="preserve">Edge Research </w:t>
      </w:r>
      <w:r w:rsidRPr="009E2778">
        <w:rPr>
          <w:rFonts w:asciiTheme="minorHAnsi" w:hAnsiTheme="minorHAnsi"/>
          <w:sz w:val="22"/>
          <w:szCs w:val="22"/>
        </w:rPr>
        <w:t xml:space="preserve">will follow best practices to maximize privacy and security of all data. </w:t>
      </w:r>
    </w:p>
    <w:p w14:paraId="7CC419CE" w14:textId="6894E28A" w:rsidR="007D01E5" w:rsidRPr="009E2778" w:rsidRDefault="007D01E5" w:rsidP="00830A78">
      <w:pPr>
        <w:pStyle w:val="BodyText"/>
        <w:spacing w:before="0" w:after="240" w:line="276" w:lineRule="auto"/>
        <w:rPr>
          <w:rFonts w:asciiTheme="minorHAnsi" w:hAnsiTheme="minorHAnsi"/>
          <w:sz w:val="22"/>
          <w:szCs w:val="22"/>
          <w:lang w:val="en-US"/>
        </w:rPr>
      </w:pPr>
      <w:r w:rsidRPr="009E2778">
        <w:rPr>
          <w:rFonts w:asciiTheme="minorHAnsi" w:hAnsiTheme="minorHAnsi"/>
          <w:sz w:val="22"/>
          <w:szCs w:val="22"/>
        </w:rPr>
        <w:lastRenderedPageBreak/>
        <w:t>An informed consent form</w:t>
      </w:r>
      <w:r w:rsidRPr="009E2778">
        <w:rPr>
          <w:rFonts w:asciiTheme="minorHAnsi" w:hAnsiTheme="minorHAnsi"/>
          <w:sz w:val="22"/>
          <w:szCs w:val="22"/>
          <w:lang w:val="en-US"/>
        </w:rPr>
        <w:t xml:space="preserve"> </w:t>
      </w:r>
      <w:r w:rsidRPr="009E2778">
        <w:rPr>
          <w:rFonts w:asciiTheme="minorHAnsi" w:hAnsiTheme="minorHAnsi"/>
          <w:sz w:val="22"/>
          <w:szCs w:val="22"/>
        </w:rPr>
        <w:t>will be shown to all potential participants before they start the survey</w:t>
      </w:r>
      <w:r w:rsidR="00830A78" w:rsidRPr="009E2778">
        <w:rPr>
          <w:rFonts w:asciiTheme="minorHAnsi" w:hAnsiTheme="minorHAnsi"/>
          <w:sz w:val="22"/>
          <w:szCs w:val="22"/>
        </w:rPr>
        <w:t xml:space="preserve">. </w:t>
      </w:r>
      <w:r w:rsidRPr="009E2778">
        <w:rPr>
          <w:rFonts w:asciiTheme="minorHAnsi" w:hAnsiTheme="minorHAnsi"/>
          <w:sz w:val="22"/>
          <w:szCs w:val="22"/>
        </w:rPr>
        <w:t xml:space="preserve">The form describes the purpose of the survey and the confidentiality of the data.  Participants will be prompted to accept or decline participation by selecting the appropriate button at the </w:t>
      </w:r>
      <w:r w:rsidR="00830A78" w:rsidRPr="009E2778">
        <w:rPr>
          <w:rFonts w:asciiTheme="minorHAnsi" w:hAnsiTheme="minorHAnsi"/>
          <w:sz w:val="22"/>
          <w:szCs w:val="22"/>
        </w:rPr>
        <w:t xml:space="preserve">bottom of the electronic form. </w:t>
      </w:r>
      <w:r w:rsidRPr="009E2778">
        <w:rPr>
          <w:rFonts w:asciiTheme="minorHAnsi" w:hAnsiTheme="minorHAnsi"/>
          <w:sz w:val="22"/>
          <w:szCs w:val="22"/>
        </w:rPr>
        <w:t>By giving consent, participants indicate that they have read the form, understand what they are consenting to, and are aware of</w:t>
      </w:r>
      <w:r w:rsidR="00830A78" w:rsidRPr="009E2778">
        <w:rPr>
          <w:rFonts w:asciiTheme="minorHAnsi" w:hAnsiTheme="minorHAnsi"/>
          <w:sz w:val="22"/>
          <w:szCs w:val="22"/>
        </w:rPr>
        <w:t xml:space="preserve"> their rights as participants. </w:t>
      </w:r>
      <w:r w:rsidRPr="009E2778">
        <w:rPr>
          <w:rFonts w:asciiTheme="minorHAnsi" w:hAnsiTheme="minorHAnsi"/>
          <w:sz w:val="22"/>
          <w:szCs w:val="22"/>
        </w:rPr>
        <w:t>The consent form will state the following:</w:t>
      </w:r>
    </w:p>
    <w:p w14:paraId="0A1EE8CD" w14:textId="77777777" w:rsidR="007D01E5" w:rsidRPr="009E2778" w:rsidRDefault="007D01E5" w:rsidP="00830A78">
      <w:pPr>
        <w:pStyle w:val="ListParagraph"/>
        <w:numPr>
          <w:ilvl w:val="0"/>
          <w:numId w:val="15"/>
        </w:numPr>
        <w:spacing w:after="240"/>
        <w:ind w:left="720"/>
        <w:contextualSpacing w:val="0"/>
        <w:rPr>
          <w:rFonts w:cs="Times New Roman"/>
        </w:rPr>
      </w:pPr>
      <w:r w:rsidRPr="009E2778">
        <w:rPr>
          <w:rFonts w:cs="Times New Roman"/>
        </w:rPr>
        <w:t>Information provided by respondents will be kept private and secure to the extent permitted by law. The information will be used only by the researchers conducting this study and will not be disclosed except as required by law.</w:t>
      </w:r>
    </w:p>
    <w:p w14:paraId="5ED5C8C7" w14:textId="33DF77F0" w:rsidR="007D01E5" w:rsidRPr="009E2778" w:rsidRDefault="007D01E5" w:rsidP="00830A78">
      <w:pPr>
        <w:pStyle w:val="ListParagraph"/>
        <w:numPr>
          <w:ilvl w:val="0"/>
          <w:numId w:val="15"/>
        </w:numPr>
        <w:spacing w:after="240"/>
        <w:ind w:left="720"/>
        <w:contextualSpacing w:val="0"/>
        <w:rPr>
          <w:rFonts w:cs="Times New Roman"/>
        </w:rPr>
      </w:pPr>
      <w:r w:rsidRPr="009E2778">
        <w:rPr>
          <w:rFonts w:cs="Times New Roman"/>
        </w:rPr>
        <w:t xml:space="preserve">A transcript of the </w:t>
      </w:r>
      <w:r w:rsidR="00830A78" w:rsidRPr="009E2778">
        <w:rPr>
          <w:rFonts w:cs="Times New Roman"/>
        </w:rPr>
        <w:t>questionnaire</w:t>
      </w:r>
      <w:r w:rsidRPr="009E2778">
        <w:rPr>
          <w:rFonts w:cs="Times New Roman"/>
        </w:rPr>
        <w:t xml:space="preserve"> will be stored securely and will only be accessible to the research team.</w:t>
      </w:r>
    </w:p>
    <w:p w14:paraId="4A845EFF" w14:textId="393ED8CB" w:rsidR="007D01E5" w:rsidRPr="009E2778" w:rsidRDefault="007D01E5" w:rsidP="00830A78">
      <w:pPr>
        <w:pStyle w:val="ListParagraph"/>
        <w:numPr>
          <w:ilvl w:val="0"/>
          <w:numId w:val="15"/>
        </w:numPr>
        <w:spacing w:after="240"/>
        <w:ind w:left="720"/>
        <w:contextualSpacing w:val="0"/>
        <w:rPr>
          <w:rFonts w:cs="Times New Roman"/>
        </w:rPr>
      </w:pPr>
      <w:r w:rsidRPr="009E2778">
        <w:rPr>
          <w:rFonts w:cs="Times New Roman"/>
        </w:rPr>
        <w:t xml:space="preserve">Respondents will not be asked any personally identifying information when </w:t>
      </w:r>
      <w:r w:rsidR="00830A78" w:rsidRPr="009E2778">
        <w:rPr>
          <w:rFonts w:cs="Times New Roman"/>
        </w:rPr>
        <w:t>responding to the questionnaire</w:t>
      </w:r>
      <w:r w:rsidRPr="009E2778">
        <w:rPr>
          <w:rFonts w:cs="Times New Roman"/>
        </w:rPr>
        <w:t>.</w:t>
      </w:r>
    </w:p>
    <w:p w14:paraId="533D3B45" w14:textId="50B8B483" w:rsidR="007D01E5" w:rsidRPr="009E2778" w:rsidRDefault="00830A78" w:rsidP="00830A78">
      <w:pPr>
        <w:pStyle w:val="ListParagraph"/>
        <w:numPr>
          <w:ilvl w:val="0"/>
          <w:numId w:val="15"/>
        </w:numPr>
        <w:spacing w:after="240"/>
        <w:ind w:left="720"/>
        <w:contextualSpacing w:val="0"/>
        <w:rPr>
          <w:rFonts w:cs="Times New Roman"/>
        </w:rPr>
      </w:pPr>
      <w:r w:rsidRPr="009E2778">
        <w:rPr>
          <w:rFonts w:cs="Times New Roman"/>
        </w:rPr>
        <w:t>Respon</w:t>
      </w:r>
      <w:r w:rsidR="004C36FD">
        <w:rPr>
          <w:rFonts w:cs="Times New Roman"/>
        </w:rPr>
        <w:t xml:space="preserve">ding </w:t>
      </w:r>
      <w:r w:rsidRPr="009E2778">
        <w:rPr>
          <w:rFonts w:cs="Times New Roman"/>
        </w:rPr>
        <w:t>to the survey</w:t>
      </w:r>
      <w:r w:rsidR="007D01E5" w:rsidRPr="009E2778">
        <w:rPr>
          <w:rFonts w:cs="Times New Roman"/>
        </w:rPr>
        <w:t xml:space="preserve"> </w:t>
      </w:r>
      <w:r w:rsidRPr="009E2778">
        <w:rPr>
          <w:rFonts w:cs="Times New Roman"/>
        </w:rPr>
        <w:t>is</w:t>
      </w:r>
      <w:r w:rsidR="007D01E5" w:rsidRPr="009E2778">
        <w:rPr>
          <w:rFonts w:cs="Times New Roman"/>
        </w:rPr>
        <w:t xml:space="preserve"> voluntary, and the respondent can choose not to answer questions or can </w:t>
      </w:r>
      <w:r w:rsidRPr="009E2778">
        <w:rPr>
          <w:rFonts w:cs="Times New Roman"/>
        </w:rPr>
        <w:t>withdraw from the questionnaire</w:t>
      </w:r>
      <w:r w:rsidR="007D01E5" w:rsidRPr="009E2778">
        <w:rPr>
          <w:rFonts w:cs="Times New Roman"/>
        </w:rPr>
        <w:t xml:space="preserve"> at any time. </w:t>
      </w:r>
    </w:p>
    <w:p w14:paraId="6F17AFB6" w14:textId="0220B1C7" w:rsidR="007D01E5" w:rsidRPr="009E2778" w:rsidRDefault="007D01E5" w:rsidP="00830A78">
      <w:pPr>
        <w:pStyle w:val="ListParagraph"/>
        <w:numPr>
          <w:ilvl w:val="0"/>
          <w:numId w:val="15"/>
        </w:numPr>
        <w:spacing w:after="240"/>
        <w:ind w:left="720"/>
        <w:contextualSpacing w:val="0"/>
        <w:rPr>
          <w:rFonts w:cs="Times New Roman"/>
        </w:rPr>
      </w:pPr>
      <w:r w:rsidRPr="009E2778">
        <w:rPr>
          <w:rFonts w:cs="Times New Roman"/>
        </w:rPr>
        <w:t>NINR is authoriz</w:t>
      </w:r>
      <w:r w:rsidR="00830A78" w:rsidRPr="009E2778">
        <w:rPr>
          <w:rFonts w:cs="Times New Roman"/>
        </w:rPr>
        <w:t>ed to conduct the questionnaire</w:t>
      </w:r>
      <w:r w:rsidRPr="009E2778">
        <w:rPr>
          <w:rFonts w:cs="Times New Roman"/>
        </w:rPr>
        <w:t xml:space="preserve"> under section 42USC 285q of U.S. Law.</w:t>
      </w:r>
    </w:p>
    <w:p w14:paraId="7ABCDDA9" w14:textId="6496E09F" w:rsidR="007D01E5" w:rsidRPr="009E2778" w:rsidRDefault="00830A78" w:rsidP="00830A78">
      <w:pPr>
        <w:pStyle w:val="ListParagraph"/>
        <w:numPr>
          <w:ilvl w:val="0"/>
          <w:numId w:val="15"/>
        </w:numPr>
        <w:spacing w:after="240"/>
        <w:ind w:left="720"/>
        <w:contextualSpacing w:val="0"/>
        <w:rPr>
          <w:rFonts w:cs="Times New Roman"/>
        </w:rPr>
      </w:pPr>
      <w:r w:rsidRPr="009E2778">
        <w:rPr>
          <w:rFonts w:cs="Times New Roman"/>
        </w:rPr>
        <w:t>To</w:t>
      </w:r>
      <w:r w:rsidR="007D01E5" w:rsidRPr="009E2778">
        <w:rPr>
          <w:rFonts w:cs="Times New Roman"/>
        </w:rPr>
        <w:t xml:space="preserve"> protect respondents’ privacy, all presentation of data in reports will be in aggregate form, with no links to individuals. </w:t>
      </w:r>
    </w:p>
    <w:p w14:paraId="0B3427FB" w14:textId="6B08505E" w:rsidR="00830A78" w:rsidRPr="009E2778" w:rsidRDefault="00CE3707" w:rsidP="00830A78">
      <w:p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In addition, IT security procedures will be implemented to protect data during and after administration of the survey. Specifically:</w:t>
      </w:r>
    </w:p>
    <w:p w14:paraId="5AB195DC" w14:textId="77777777" w:rsidR="00CE3707" w:rsidRPr="009E2778" w:rsidRDefault="00CE3707" w:rsidP="00830A78">
      <w:pPr>
        <w:pStyle w:val="ListParagraph"/>
        <w:numPr>
          <w:ilvl w:val="0"/>
          <w:numId w:val="18"/>
        </w:num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Data will be collected using secure servers.</w:t>
      </w:r>
    </w:p>
    <w:p w14:paraId="69CEFFB9" w14:textId="672BFC44" w:rsidR="00CE3707" w:rsidRPr="009E2778" w:rsidRDefault="00CE3707" w:rsidP="00830A78">
      <w:pPr>
        <w:pStyle w:val="ListParagraph"/>
        <w:numPr>
          <w:ilvl w:val="0"/>
          <w:numId w:val="18"/>
        </w:num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Once data are collected, any meta-data associat</w:t>
      </w:r>
      <w:r w:rsidR="00830A78" w:rsidRPr="009E2778">
        <w:rPr>
          <w:rFonts w:eastAsia="MS Mincho" w:cs="Times New Roman"/>
          <w:lang w:val="x-none" w:eastAsia="ja-JP"/>
        </w:rPr>
        <w:t>ed with data collection (e.g. e</w:t>
      </w:r>
      <w:r w:rsidRPr="009E2778">
        <w:rPr>
          <w:rFonts w:eastAsia="MS Mincho" w:cs="Times New Roman"/>
          <w:lang w:val="x-none" w:eastAsia="ja-JP"/>
        </w:rPr>
        <w:t>mail address, and operating system used by the device to complete the system will be stripped from the files).</w:t>
      </w:r>
    </w:p>
    <w:p w14:paraId="45353E23" w14:textId="1D79B351" w:rsidR="00CE3707" w:rsidRPr="009E2778" w:rsidRDefault="00CE3707" w:rsidP="00830A78">
      <w:pPr>
        <w:pStyle w:val="ListParagraph"/>
        <w:numPr>
          <w:ilvl w:val="0"/>
          <w:numId w:val="18"/>
        </w:num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 xml:space="preserve">Both </w:t>
      </w:r>
      <w:r w:rsidRPr="009E2778">
        <w:rPr>
          <w:rFonts w:eastAsia="MS Mincho" w:cs="Times New Roman"/>
          <w:lang w:eastAsia="ja-JP"/>
        </w:rPr>
        <w:t>Edge Research and NINR will</w:t>
      </w:r>
      <w:r w:rsidRPr="009E2778">
        <w:rPr>
          <w:rFonts w:eastAsia="MS Mincho" w:cs="Times New Roman"/>
          <w:lang w:val="x-none" w:eastAsia="ja-JP"/>
        </w:rPr>
        <w:t xml:space="preserve"> follow the prescribed security protocols including: </w:t>
      </w:r>
    </w:p>
    <w:p w14:paraId="269DAE11" w14:textId="77777777" w:rsidR="00CE3707" w:rsidRPr="009E2778" w:rsidRDefault="00CE3707" w:rsidP="00830A78">
      <w:pPr>
        <w:pStyle w:val="ListParagraph"/>
        <w:numPr>
          <w:ilvl w:val="1"/>
          <w:numId w:val="18"/>
        </w:num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Secure access to physical facilities.</w:t>
      </w:r>
    </w:p>
    <w:p w14:paraId="0A2B847E" w14:textId="77777777" w:rsidR="00CE3707" w:rsidRPr="009E2778" w:rsidRDefault="00CE3707" w:rsidP="00830A78">
      <w:pPr>
        <w:pStyle w:val="ListParagraph"/>
        <w:numPr>
          <w:ilvl w:val="1"/>
          <w:numId w:val="18"/>
        </w:num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Use of network security software.</w:t>
      </w:r>
    </w:p>
    <w:p w14:paraId="42867FBC" w14:textId="77777777" w:rsidR="00CE3707" w:rsidRPr="009E2778" w:rsidRDefault="00CE3707" w:rsidP="00830A78">
      <w:pPr>
        <w:pStyle w:val="ListParagraph"/>
        <w:numPr>
          <w:ilvl w:val="1"/>
          <w:numId w:val="18"/>
        </w:num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 xml:space="preserve">Strong password requirements to access networks and password policies requiring frequent changes in passwords. </w:t>
      </w:r>
    </w:p>
    <w:p w14:paraId="3CDF1E59" w14:textId="77777777" w:rsidR="00CE3707" w:rsidRPr="009E2778" w:rsidRDefault="00CE3707" w:rsidP="00830A78">
      <w:pPr>
        <w:pStyle w:val="ListParagraph"/>
        <w:numPr>
          <w:ilvl w:val="1"/>
          <w:numId w:val="18"/>
        </w:num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 xml:space="preserve">No administrative privileges for users of work stations. </w:t>
      </w:r>
    </w:p>
    <w:p w14:paraId="23995587" w14:textId="7E7A925B" w:rsidR="00232AA0" w:rsidRPr="009E2778" w:rsidRDefault="00CE3707" w:rsidP="00830A78">
      <w:pPr>
        <w:pStyle w:val="ListParagraph"/>
        <w:numPr>
          <w:ilvl w:val="1"/>
          <w:numId w:val="18"/>
        </w:numPr>
        <w:autoSpaceDE w:val="0"/>
        <w:autoSpaceDN w:val="0"/>
        <w:adjustRightInd w:val="0"/>
        <w:spacing w:after="240"/>
        <w:rPr>
          <w:rFonts w:eastAsia="MS Mincho" w:cs="Times New Roman"/>
          <w:lang w:val="x-none" w:eastAsia="ja-JP"/>
        </w:rPr>
      </w:pPr>
      <w:r w:rsidRPr="009E2778">
        <w:rPr>
          <w:rFonts w:eastAsia="MS Mincho" w:cs="Times New Roman"/>
          <w:lang w:val="x-none" w:eastAsia="ja-JP"/>
        </w:rPr>
        <w:t>Disaster recovery plans.</w:t>
      </w:r>
    </w:p>
    <w:p w14:paraId="707C3C45" w14:textId="77777777" w:rsidR="00232AA0" w:rsidRPr="009E2778" w:rsidRDefault="00CE3707" w:rsidP="00830A78">
      <w:pPr>
        <w:spacing w:after="240"/>
        <w:rPr>
          <w:rFonts w:cs="Arial"/>
          <w:sz w:val="20"/>
          <w:szCs w:val="20"/>
        </w:rPr>
      </w:pPr>
      <w:r w:rsidRPr="009E2778">
        <w:rPr>
          <w:rFonts w:eastAsia="MS Mincho" w:cs="Times New Roman"/>
          <w:lang w:val="x-none" w:eastAsia="ja-JP"/>
        </w:rPr>
        <w:t>Once data are collected, only the staff working on the project will have access to the data.</w:t>
      </w:r>
      <w:r w:rsidRPr="009E2778">
        <w:rPr>
          <w:rFonts w:cs="Arial"/>
          <w:sz w:val="20"/>
          <w:szCs w:val="20"/>
        </w:rPr>
        <w:t xml:space="preserve">  </w:t>
      </w:r>
    </w:p>
    <w:p w14:paraId="0F984417" w14:textId="2B593B16" w:rsidR="00E35DD1" w:rsidRPr="009E2778" w:rsidRDefault="007D01E5" w:rsidP="00830A78">
      <w:pPr>
        <w:spacing w:after="240"/>
        <w:rPr>
          <w:rFonts w:cs="Arial"/>
          <w:sz w:val="20"/>
          <w:szCs w:val="20"/>
        </w:rPr>
      </w:pPr>
      <w:r w:rsidRPr="009E2778">
        <w:t>With regards to the Institutional Review Board</w:t>
      </w:r>
      <w:r w:rsidR="00830A78" w:rsidRPr="009E2778">
        <w:t xml:space="preserve"> (IRB)</w:t>
      </w:r>
      <w:r w:rsidRPr="009E2778">
        <w:t>, this data collection is exempt from the regulations. NINR</w:t>
      </w:r>
      <w:r w:rsidR="001244E2" w:rsidRPr="009E2778">
        <w:t xml:space="preserve"> reviewed the Office of Human Subjects Research Protections’ (OHSRP) Request for Determination Form and upon answering the initial questions, determined that NINR did not need to seek IRB review. NINR also</w:t>
      </w:r>
      <w:r w:rsidRPr="009E2778">
        <w:t xml:space="preserve"> received the following guidance from </w:t>
      </w:r>
      <w:r w:rsidR="001244E2" w:rsidRPr="009E2778">
        <w:t>OHSRP</w:t>
      </w:r>
      <w:r w:rsidRPr="009E2778">
        <w:t xml:space="preserve"> regarding what is considered exempt: “</w:t>
      </w:r>
      <w:r w:rsidR="001244E2" w:rsidRPr="009E2778">
        <w:t xml:space="preserve">As long as </w:t>
      </w:r>
      <w:r w:rsidR="001244E2" w:rsidRPr="009E2778">
        <w:lastRenderedPageBreak/>
        <w:t>your project fits the description of Quality Assurance/Quality Improvement activity with non‐clinical practice focus and is not to conduct research, you may proceed without obtaining OHSRP approval.</w:t>
      </w:r>
      <w:r w:rsidRPr="009E2778">
        <w:t>” (</w:t>
      </w:r>
      <w:r w:rsidR="001244E2" w:rsidRPr="009E2778">
        <w:t>S</w:t>
      </w:r>
      <w:r w:rsidRPr="009E2778">
        <w:t xml:space="preserve">ee Attachment </w:t>
      </w:r>
      <w:r w:rsidR="009B350F">
        <w:t>5</w:t>
      </w:r>
      <w:r w:rsidR="001244E2" w:rsidRPr="009E2778">
        <w:t>).</w:t>
      </w:r>
    </w:p>
    <w:p w14:paraId="5F78D423" w14:textId="77777777" w:rsidR="00685B30" w:rsidRPr="009E2778" w:rsidRDefault="00685B30" w:rsidP="00830A78">
      <w:pPr>
        <w:pStyle w:val="P1-StandPara"/>
        <w:spacing w:after="240" w:line="276" w:lineRule="auto"/>
        <w:ind w:firstLine="0"/>
        <w:rPr>
          <w:rFonts w:asciiTheme="minorHAnsi" w:hAnsiTheme="minorHAnsi"/>
          <w:b/>
          <w:szCs w:val="22"/>
        </w:rPr>
      </w:pPr>
      <w:r w:rsidRPr="009E2778">
        <w:rPr>
          <w:rFonts w:asciiTheme="minorHAnsi" w:hAnsiTheme="minorHAnsi"/>
          <w:b/>
          <w:szCs w:val="22"/>
        </w:rPr>
        <w:t>A.11</w:t>
      </w:r>
      <w:r w:rsidRPr="009E2778">
        <w:rPr>
          <w:rFonts w:asciiTheme="minorHAnsi" w:hAnsiTheme="minorHAnsi"/>
          <w:b/>
          <w:szCs w:val="22"/>
        </w:rPr>
        <w:tab/>
        <w:t>Justification for Sensitive Questions</w:t>
      </w:r>
    </w:p>
    <w:p w14:paraId="768D666B" w14:textId="3F5B677B" w:rsidR="00685B30" w:rsidRPr="009E2778" w:rsidRDefault="001244E2" w:rsidP="00830A78">
      <w:pPr>
        <w:pStyle w:val="P1-StandPara"/>
        <w:spacing w:after="240" w:line="276" w:lineRule="auto"/>
        <w:ind w:firstLine="0"/>
        <w:rPr>
          <w:rFonts w:asciiTheme="minorHAnsi" w:hAnsiTheme="minorHAnsi"/>
          <w:szCs w:val="22"/>
        </w:rPr>
      </w:pPr>
      <w:r w:rsidRPr="009E2778">
        <w:rPr>
          <w:rFonts w:asciiTheme="minorHAnsi" w:hAnsiTheme="minorHAnsi"/>
          <w:szCs w:val="22"/>
        </w:rPr>
        <w:t>No questions of a sensitive nature will be asked. Questions are of a general nature and disclosure would not create harm to individuals. Nevertheless, data will be kept private and information will be reported in the aggregate rather than attributed to specific individuals. All respondents have the right not to answer a particular question or to stop their participation at any time without any consequence.</w:t>
      </w:r>
    </w:p>
    <w:p w14:paraId="08D9778E" w14:textId="77777777" w:rsidR="00B42AD8" w:rsidRPr="009E2778" w:rsidRDefault="00685B30" w:rsidP="00172668">
      <w:pPr>
        <w:spacing w:after="240"/>
        <w:rPr>
          <w:b/>
        </w:rPr>
      </w:pPr>
      <w:r w:rsidRPr="009E2778">
        <w:rPr>
          <w:b/>
        </w:rPr>
        <w:t>A.12</w:t>
      </w:r>
      <w:r w:rsidR="00BF491C" w:rsidRPr="009E2778">
        <w:rPr>
          <w:b/>
        </w:rPr>
        <w:t>.1</w:t>
      </w:r>
      <w:r w:rsidRPr="009E2778">
        <w:rPr>
          <w:b/>
        </w:rPr>
        <w:tab/>
        <w:t>Estimates of Hour Burden Including Annualized Hourly Costs</w:t>
      </w:r>
      <w:r w:rsidR="00172668" w:rsidRPr="009E2778">
        <w:rPr>
          <w:b/>
        </w:rPr>
        <w:t xml:space="preserve"> </w:t>
      </w:r>
    </w:p>
    <w:p w14:paraId="1AC42C59" w14:textId="16B590E5" w:rsidR="00172668" w:rsidRPr="009E2778" w:rsidRDefault="00B42AD8" w:rsidP="00172668">
      <w:pPr>
        <w:spacing w:after="240"/>
      </w:pPr>
      <w:r w:rsidRPr="009E2778">
        <w:t>The</w:t>
      </w:r>
      <w:r w:rsidR="00172668" w:rsidRPr="009E2778">
        <w:t xml:space="preserve"> incidence of parents and caregivers </w:t>
      </w:r>
      <w:r w:rsidR="004C36FD">
        <w:t>who</w:t>
      </w:r>
      <w:r w:rsidR="004C36FD" w:rsidRPr="009E2778">
        <w:t xml:space="preserve"> have a child</w:t>
      </w:r>
      <w:r w:rsidR="004C36FD">
        <w:t xml:space="preserve"> with a </w:t>
      </w:r>
      <w:r w:rsidR="006F5972">
        <w:t>serious</w:t>
      </w:r>
      <w:r w:rsidR="004C36FD">
        <w:t xml:space="preserve"> illness</w:t>
      </w:r>
      <w:r w:rsidR="004C36FD" w:rsidRPr="009E2778">
        <w:t xml:space="preserve"> </w:t>
      </w:r>
      <w:r w:rsidR="00172668" w:rsidRPr="009E2778">
        <w:t xml:space="preserve">is </w:t>
      </w:r>
      <w:r w:rsidRPr="009E2778">
        <w:t xml:space="preserve">estimated to be </w:t>
      </w:r>
      <w:r w:rsidR="00172668" w:rsidRPr="009E2778">
        <w:t>about 5%</w:t>
      </w:r>
      <w:r w:rsidR="004C36FD">
        <w:t xml:space="preserve"> of all parents</w:t>
      </w:r>
      <w:r w:rsidR="006F5972">
        <w:t xml:space="preserve"> with children under the age of 18</w:t>
      </w:r>
      <w:r w:rsidR="00172668" w:rsidRPr="009E2778">
        <w:t xml:space="preserve">.  As a result, </w:t>
      </w:r>
      <w:r w:rsidRPr="009E2778">
        <w:t xml:space="preserve">it is </w:t>
      </w:r>
      <w:r w:rsidR="00172668" w:rsidRPr="009E2778">
        <w:t>estimate</w:t>
      </w:r>
      <w:r w:rsidRPr="009E2778">
        <w:t>d</w:t>
      </w:r>
      <w:r w:rsidR="00172668" w:rsidRPr="009E2778">
        <w:t xml:space="preserve"> </w:t>
      </w:r>
      <w:r w:rsidRPr="009E2778">
        <w:t>that</w:t>
      </w:r>
      <w:r w:rsidR="00172668" w:rsidRPr="009E2778">
        <w:t xml:space="preserve"> 10,000 possible participants</w:t>
      </w:r>
      <w:r w:rsidRPr="009E2778">
        <w:t xml:space="preserve"> will need to be screened</w:t>
      </w:r>
      <w:r w:rsidR="00172668" w:rsidRPr="009E2778">
        <w:t xml:space="preserve"> to find 500 who qualify for the resear</w:t>
      </w:r>
      <w:r w:rsidR="00EB673D" w:rsidRPr="009E2778">
        <w:t>ch. Among</w:t>
      </w:r>
      <w:r w:rsidR="00172668" w:rsidRPr="009E2778">
        <w:t xml:space="preserve"> th</w:t>
      </w:r>
      <w:r w:rsidRPr="009E2778">
        <w:t>o</w:t>
      </w:r>
      <w:r w:rsidR="00172668" w:rsidRPr="009E2778">
        <w:t xml:space="preserve">se respondents that successfully complete the screening criteria for the survey, a response rate of 30% (150/500) is expected. This response rate is expected because of the time limitations of </w:t>
      </w:r>
      <w:r w:rsidRPr="009E2778">
        <w:t>the</w:t>
      </w:r>
      <w:r w:rsidR="00172668" w:rsidRPr="009E2778">
        <w:t xml:space="preserve"> audience (parents dealing with </w:t>
      </w:r>
      <w:r w:rsidR="006F5972">
        <w:t xml:space="preserve">the serious illness of a child). </w:t>
      </w:r>
      <w:r w:rsidR="00172668" w:rsidRPr="009E2778">
        <w:t xml:space="preserve">This estimated response rate would </w:t>
      </w:r>
      <w:r w:rsidR="00EB673D" w:rsidRPr="009E2778">
        <w:t>produce</w:t>
      </w:r>
      <w:r w:rsidR="00172668" w:rsidRPr="009E2778">
        <w:t xml:space="preserve"> the 150 total completes necessary f</w:t>
      </w:r>
      <w:r w:rsidR="00EB673D" w:rsidRPr="009E2778">
        <w:t xml:space="preserve">or the survey. </w:t>
      </w:r>
      <w:r w:rsidR="00172668" w:rsidRPr="009E2778">
        <w:t>These estimates and corresponding burden hour calculations are below.</w:t>
      </w:r>
    </w:p>
    <w:p w14:paraId="25A02E4F" w14:textId="3F35B9F4" w:rsidR="00E72F55" w:rsidRDefault="00683D98" w:rsidP="00830A78">
      <w:pPr>
        <w:spacing w:after="240"/>
      </w:pPr>
      <w:r w:rsidRPr="009E2778">
        <w:t xml:space="preserve">The total annual burden is estimated to be </w:t>
      </w:r>
      <w:r w:rsidR="00C4778B">
        <w:t>371</w:t>
      </w:r>
      <w:r w:rsidR="00C4778B" w:rsidRPr="009E2778">
        <w:t xml:space="preserve"> </w:t>
      </w:r>
      <w:r w:rsidRPr="009E2778">
        <w:t xml:space="preserve">hours (see Table </w:t>
      </w:r>
      <w:r w:rsidR="004A21B9" w:rsidRPr="009E2778">
        <w:t>A-</w:t>
      </w:r>
      <w:r w:rsidRPr="009E2778">
        <w:t>12-1).</w:t>
      </w:r>
    </w:p>
    <w:p w14:paraId="10B48CF0" w14:textId="77777777" w:rsidR="0085169D" w:rsidRPr="009E2778" w:rsidRDefault="0085169D" w:rsidP="00830A78">
      <w:pPr>
        <w:spacing w:after="240"/>
      </w:pPr>
    </w:p>
    <w:tbl>
      <w:tblPr>
        <w:tblStyle w:val="TableGrid"/>
        <w:tblW w:w="0" w:type="auto"/>
        <w:tblLayout w:type="fixed"/>
        <w:tblLook w:val="04A0" w:firstRow="1" w:lastRow="0" w:firstColumn="1" w:lastColumn="0" w:noHBand="0" w:noVBand="1"/>
      </w:tblPr>
      <w:tblGrid>
        <w:gridCol w:w="1345"/>
        <w:gridCol w:w="2520"/>
        <w:gridCol w:w="1440"/>
        <w:gridCol w:w="1440"/>
        <w:gridCol w:w="1620"/>
        <w:gridCol w:w="1273"/>
      </w:tblGrid>
      <w:tr w:rsidR="008409BF" w:rsidRPr="009E2778" w14:paraId="3B5042BF" w14:textId="77777777" w:rsidTr="006815B8">
        <w:tc>
          <w:tcPr>
            <w:tcW w:w="9638" w:type="dxa"/>
            <w:gridSpan w:val="6"/>
          </w:tcPr>
          <w:p w14:paraId="38EB70B9" w14:textId="5D33B6F4" w:rsidR="008409BF" w:rsidRPr="009E2778" w:rsidRDefault="008409BF" w:rsidP="000F50CA">
            <w:pPr>
              <w:spacing w:line="276" w:lineRule="auto"/>
              <w:jc w:val="center"/>
              <w:rPr>
                <w:rFonts w:asciiTheme="minorHAnsi" w:hAnsiTheme="minorHAnsi"/>
                <w:b/>
              </w:rPr>
            </w:pPr>
            <w:r w:rsidRPr="009E2778">
              <w:rPr>
                <w:rFonts w:asciiTheme="minorHAnsi" w:hAnsiTheme="minorHAnsi"/>
                <w:b/>
              </w:rPr>
              <w:t>Table A-12-1 Estimated Annualized Burden Hours</w:t>
            </w:r>
          </w:p>
        </w:tc>
      </w:tr>
      <w:tr w:rsidR="00E72F55" w:rsidRPr="009E2778" w14:paraId="303E1797" w14:textId="77777777" w:rsidTr="006815B8">
        <w:tc>
          <w:tcPr>
            <w:tcW w:w="1345" w:type="dxa"/>
          </w:tcPr>
          <w:p w14:paraId="111D758D" w14:textId="77777777" w:rsidR="00E72F55" w:rsidRPr="009E2778" w:rsidRDefault="00E72F55" w:rsidP="000F50CA">
            <w:pPr>
              <w:spacing w:line="276" w:lineRule="auto"/>
              <w:rPr>
                <w:rFonts w:asciiTheme="minorHAnsi" w:hAnsiTheme="minorHAnsi"/>
                <w:b/>
              </w:rPr>
            </w:pPr>
            <w:r w:rsidRPr="009E2778">
              <w:rPr>
                <w:rFonts w:asciiTheme="minorHAnsi" w:hAnsiTheme="minorHAnsi"/>
                <w:b/>
              </w:rPr>
              <w:t>Form Name</w:t>
            </w:r>
          </w:p>
        </w:tc>
        <w:tc>
          <w:tcPr>
            <w:tcW w:w="2520" w:type="dxa"/>
          </w:tcPr>
          <w:p w14:paraId="323365BC" w14:textId="77777777" w:rsidR="00E72F55" w:rsidRPr="009E2778" w:rsidRDefault="00E72F55" w:rsidP="000F50CA">
            <w:pPr>
              <w:spacing w:line="276" w:lineRule="auto"/>
              <w:rPr>
                <w:rFonts w:asciiTheme="minorHAnsi" w:hAnsiTheme="minorHAnsi"/>
                <w:b/>
              </w:rPr>
            </w:pPr>
            <w:r w:rsidRPr="009E2778">
              <w:rPr>
                <w:rFonts w:asciiTheme="minorHAnsi" w:hAnsiTheme="minorHAnsi"/>
                <w:b/>
              </w:rPr>
              <w:t>Type of Respondents</w:t>
            </w:r>
          </w:p>
        </w:tc>
        <w:tc>
          <w:tcPr>
            <w:tcW w:w="1440" w:type="dxa"/>
          </w:tcPr>
          <w:p w14:paraId="78D2AA05" w14:textId="77777777" w:rsidR="00E72F55" w:rsidRPr="009E2778" w:rsidRDefault="00E72F55" w:rsidP="000F50CA">
            <w:pPr>
              <w:spacing w:line="276" w:lineRule="auto"/>
              <w:rPr>
                <w:rFonts w:asciiTheme="minorHAnsi" w:hAnsiTheme="minorHAnsi"/>
                <w:b/>
              </w:rPr>
            </w:pPr>
            <w:r w:rsidRPr="009E2778">
              <w:rPr>
                <w:rFonts w:asciiTheme="minorHAnsi" w:hAnsiTheme="minorHAnsi"/>
                <w:b/>
              </w:rPr>
              <w:t>Number of Respondents</w:t>
            </w:r>
          </w:p>
        </w:tc>
        <w:tc>
          <w:tcPr>
            <w:tcW w:w="1440" w:type="dxa"/>
          </w:tcPr>
          <w:p w14:paraId="44D18205" w14:textId="77777777" w:rsidR="00E72F55" w:rsidRPr="009E2778" w:rsidRDefault="00E72F55" w:rsidP="000F50CA">
            <w:pPr>
              <w:spacing w:line="276" w:lineRule="auto"/>
              <w:rPr>
                <w:rFonts w:asciiTheme="minorHAnsi" w:hAnsiTheme="minorHAnsi"/>
                <w:b/>
              </w:rPr>
            </w:pPr>
            <w:r w:rsidRPr="009E2778">
              <w:rPr>
                <w:rFonts w:asciiTheme="minorHAnsi" w:hAnsiTheme="minorHAnsi"/>
                <w:b/>
              </w:rPr>
              <w:t>Number of Responses per Respondent</w:t>
            </w:r>
          </w:p>
        </w:tc>
        <w:tc>
          <w:tcPr>
            <w:tcW w:w="1620" w:type="dxa"/>
          </w:tcPr>
          <w:p w14:paraId="73504782" w14:textId="77777777" w:rsidR="00AF7750" w:rsidRPr="009E2778" w:rsidRDefault="00E72F55" w:rsidP="000F50CA">
            <w:pPr>
              <w:spacing w:line="276" w:lineRule="auto"/>
              <w:rPr>
                <w:rFonts w:asciiTheme="minorHAnsi" w:hAnsiTheme="minorHAnsi"/>
                <w:b/>
              </w:rPr>
            </w:pPr>
            <w:r w:rsidRPr="009E2778">
              <w:rPr>
                <w:rFonts w:asciiTheme="minorHAnsi" w:hAnsiTheme="minorHAnsi"/>
                <w:b/>
              </w:rPr>
              <w:t xml:space="preserve">Average Burden per Response </w:t>
            </w:r>
          </w:p>
          <w:p w14:paraId="3475CB90" w14:textId="69D43EB6" w:rsidR="00E72F55" w:rsidRPr="009E2778" w:rsidRDefault="00E72F55" w:rsidP="000F50CA">
            <w:pPr>
              <w:spacing w:line="276" w:lineRule="auto"/>
              <w:rPr>
                <w:rFonts w:asciiTheme="minorHAnsi" w:hAnsiTheme="minorHAnsi"/>
                <w:b/>
              </w:rPr>
            </w:pPr>
            <w:r w:rsidRPr="009E2778">
              <w:rPr>
                <w:rFonts w:asciiTheme="minorHAnsi" w:hAnsiTheme="minorHAnsi"/>
                <w:b/>
              </w:rPr>
              <w:t>(in hours)</w:t>
            </w:r>
          </w:p>
        </w:tc>
        <w:tc>
          <w:tcPr>
            <w:tcW w:w="1273" w:type="dxa"/>
          </w:tcPr>
          <w:p w14:paraId="260F33AC" w14:textId="77777777" w:rsidR="00E72F55" w:rsidRPr="009E2778" w:rsidRDefault="00E72F55" w:rsidP="000F50CA">
            <w:pPr>
              <w:spacing w:line="276" w:lineRule="auto"/>
              <w:rPr>
                <w:rFonts w:asciiTheme="minorHAnsi" w:hAnsiTheme="minorHAnsi"/>
                <w:b/>
              </w:rPr>
            </w:pPr>
            <w:r w:rsidRPr="009E2778">
              <w:rPr>
                <w:rFonts w:asciiTheme="minorHAnsi" w:hAnsiTheme="minorHAnsi"/>
                <w:b/>
              </w:rPr>
              <w:t>Total Annual Burden Hours</w:t>
            </w:r>
          </w:p>
        </w:tc>
      </w:tr>
      <w:tr w:rsidR="00E72F55" w:rsidRPr="009E2778" w14:paraId="4D197420" w14:textId="77777777" w:rsidTr="006815B8">
        <w:tc>
          <w:tcPr>
            <w:tcW w:w="1345" w:type="dxa"/>
          </w:tcPr>
          <w:p w14:paraId="591BC7FB" w14:textId="46E02C0D" w:rsidR="00E72F55" w:rsidRPr="009E2778" w:rsidRDefault="007E6CBD" w:rsidP="000F50CA">
            <w:pPr>
              <w:spacing w:line="276" w:lineRule="auto"/>
              <w:rPr>
                <w:rFonts w:asciiTheme="minorHAnsi" w:hAnsiTheme="minorHAnsi"/>
              </w:rPr>
            </w:pPr>
            <w:r w:rsidRPr="009E2778">
              <w:rPr>
                <w:rFonts w:asciiTheme="minorHAnsi" w:hAnsiTheme="minorHAnsi"/>
              </w:rPr>
              <w:t>Screener</w:t>
            </w:r>
          </w:p>
        </w:tc>
        <w:tc>
          <w:tcPr>
            <w:tcW w:w="2520" w:type="dxa"/>
          </w:tcPr>
          <w:p w14:paraId="19D3D701" w14:textId="2106C2B8" w:rsidR="00E72F55" w:rsidRPr="009E2778" w:rsidRDefault="007E6CBD" w:rsidP="000F50CA">
            <w:pPr>
              <w:spacing w:line="276" w:lineRule="auto"/>
              <w:rPr>
                <w:rFonts w:asciiTheme="minorHAnsi" w:hAnsiTheme="minorHAnsi"/>
              </w:rPr>
            </w:pPr>
            <w:r w:rsidRPr="009E2778">
              <w:rPr>
                <w:rFonts w:asciiTheme="minorHAnsi" w:hAnsiTheme="minorHAnsi"/>
              </w:rPr>
              <w:t>Parents and Caregivers</w:t>
            </w:r>
          </w:p>
        </w:tc>
        <w:tc>
          <w:tcPr>
            <w:tcW w:w="1440" w:type="dxa"/>
          </w:tcPr>
          <w:p w14:paraId="6EEC0DA3" w14:textId="20361278" w:rsidR="00E72F55" w:rsidRPr="009E2778" w:rsidRDefault="007E6CBD" w:rsidP="00194BB2">
            <w:pPr>
              <w:spacing w:line="276" w:lineRule="auto"/>
              <w:jc w:val="right"/>
              <w:rPr>
                <w:rFonts w:asciiTheme="minorHAnsi" w:hAnsiTheme="minorHAnsi"/>
              </w:rPr>
            </w:pPr>
            <w:r w:rsidRPr="009E2778">
              <w:rPr>
                <w:rFonts w:asciiTheme="minorHAnsi" w:hAnsiTheme="minorHAnsi"/>
              </w:rPr>
              <w:t>10,000</w:t>
            </w:r>
          </w:p>
        </w:tc>
        <w:tc>
          <w:tcPr>
            <w:tcW w:w="1440" w:type="dxa"/>
          </w:tcPr>
          <w:p w14:paraId="70D422F8" w14:textId="556F3699" w:rsidR="00E72F55" w:rsidRPr="009E2778" w:rsidRDefault="007E6CBD" w:rsidP="00194BB2">
            <w:pPr>
              <w:spacing w:line="276" w:lineRule="auto"/>
              <w:jc w:val="right"/>
              <w:rPr>
                <w:rFonts w:asciiTheme="minorHAnsi" w:hAnsiTheme="minorHAnsi"/>
              </w:rPr>
            </w:pPr>
            <w:r w:rsidRPr="009E2778">
              <w:rPr>
                <w:rFonts w:asciiTheme="minorHAnsi" w:hAnsiTheme="minorHAnsi"/>
              </w:rPr>
              <w:t>1</w:t>
            </w:r>
          </w:p>
        </w:tc>
        <w:tc>
          <w:tcPr>
            <w:tcW w:w="1620" w:type="dxa"/>
          </w:tcPr>
          <w:p w14:paraId="154E6E92" w14:textId="6CD5E68F" w:rsidR="00E72F55" w:rsidRPr="009E2778" w:rsidRDefault="00E85DCB" w:rsidP="00194BB2">
            <w:pPr>
              <w:spacing w:line="276" w:lineRule="auto"/>
              <w:jc w:val="right"/>
              <w:rPr>
                <w:rFonts w:asciiTheme="minorHAnsi" w:hAnsiTheme="minorHAnsi"/>
              </w:rPr>
            </w:pPr>
            <w:r w:rsidRPr="009E2778">
              <w:rPr>
                <w:rFonts w:asciiTheme="minorHAnsi" w:hAnsiTheme="minorHAnsi"/>
              </w:rPr>
              <w:t>2/60</w:t>
            </w:r>
          </w:p>
        </w:tc>
        <w:tc>
          <w:tcPr>
            <w:tcW w:w="1273" w:type="dxa"/>
          </w:tcPr>
          <w:p w14:paraId="7CF48EDB" w14:textId="1F6305F4" w:rsidR="00E72F55" w:rsidRPr="009E2778" w:rsidRDefault="00E60B4B" w:rsidP="00194BB2">
            <w:pPr>
              <w:spacing w:line="276" w:lineRule="auto"/>
              <w:jc w:val="right"/>
              <w:rPr>
                <w:rFonts w:asciiTheme="minorHAnsi" w:hAnsiTheme="minorHAnsi"/>
              </w:rPr>
            </w:pPr>
            <w:r>
              <w:rPr>
                <w:rFonts w:asciiTheme="minorHAnsi" w:hAnsiTheme="minorHAnsi"/>
              </w:rPr>
              <w:t>333</w:t>
            </w:r>
          </w:p>
        </w:tc>
      </w:tr>
      <w:tr w:rsidR="00E72F55" w:rsidRPr="009E2778" w14:paraId="73380BCE" w14:textId="77777777" w:rsidTr="006815B8">
        <w:tc>
          <w:tcPr>
            <w:tcW w:w="1345" w:type="dxa"/>
          </w:tcPr>
          <w:p w14:paraId="6488C02C" w14:textId="77777777" w:rsidR="00E72F55" w:rsidRPr="009E2778" w:rsidRDefault="006815B8" w:rsidP="000F50CA">
            <w:pPr>
              <w:spacing w:line="276" w:lineRule="auto"/>
              <w:rPr>
                <w:rFonts w:asciiTheme="minorHAnsi" w:hAnsiTheme="minorHAnsi"/>
              </w:rPr>
            </w:pPr>
            <w:r w:rsidRPr="009E2778">
              <w:rPr>
                <w:rFonts w:asciiTheme="minorHAnsi" w:hAnsiTheme="minorHAnsi"/>
              </w:rPr>
              <w:t>Main Survey</w:t>
            </w:r>
          </w:p>
        </w:tc>
        <w:tc>
          <w:tcPr>
            <w:tcW w:w="2520" w:type="dxa"/>
          </w:tcPr>
          <w:p w14:paraId="6D413BF0" w14:textId="77777777" w:rsidR="00E72F55" w:rsidRPr="009E2778" w:rsidRDefault="006815B8" w:rsidP="000F50CA">
            <w:pPr>
              <w:spacing w:line="276" w:lineRule="auto"/>
              <w:rPr>
                <w:rFonts w:asciiTheme="minorHAnsi" w:hAnsiTheme="minorHAnsi"/>
              </w:rPr>
            </w:pPr>
            <w:r w:rsidRPr="009E2778">
              <w:rPr>
                <w:rFonts w:asciiTheme="minorHAnsi" w:hAnsiTheme="minorHAnsi"/>
              </w:rPr>
              <w:t>Parents and Caregivers</w:t>
            </w:r>
            <w:r w:rsidR="007E6CBD" w:rsidRPr="009E2778">
              <w:rPr>
                <w:rFonts w:asciiTheme="minorHAnsi" w:hAnsiTheme="minorHAnsi"/>
              </w:rPr>
              <w:t xml:space="preserve"> of Children with Serious Illnesses – Completes</w:t>
            </w:r>
          </w:p>
        </w:tc>
        <w:tc>
          <w:tcPr>
            <w:tcW w:w="1440" w:type="dxa"/>
          </w:tcPr>
          <w:p w14:paraId="7AA54BDD" w14:textId="77777777" w:rsidR="00E72F55" w:rsidRPr="009E2778" w:rsidRDefault="00E72F55" w:rsidP="00194BB2">
            <w:pPr>
              <w:spacing w:line="276" w:lineRule="auto"/>
              <w:jc w:val="right"/>
              <w:rPr>
                <w:rFonts w:asciiTheme="minorHAnsi" w:hAnsiTheme="minorHAnsi"/>
              </w:rPr>
            </w:pPr>
            <w:r w:rsidRPr="009E2778">
              <w:rPr>
                <w:rFonts w:asciiTheme="minorHAnsi" w:hAnsiTheme="minorHAnsi"/>
              </w:rPr>
              <w:t>150</w:t>
            </w:r>
          </w:p>
        </w:tc>
        <w:tc>
          <w:tcPr>
            <w:tcW w:w="1440" w:type="dxa"/>
          </w:tcPr>
          <w:p w14:paraId="325C49DB" w14:textId="77777777" w:rsidR="00E72F55" w:rsidRPr="009E2778" w:rsidRDefault="00E72F55" w:rsidP="00194BB2">
            <w:pPr>
              <w:spacing w:line="276" w:lineRule="auto"/>
              <w:jc w:val="right"/>
              <w:rPr>
                <w:rFonts w:asciiTheme="minorHAnsi" w:hAnsiTheme="minorHAnsi"/>
              </w:rPr>
            </w:pPr>
            <w:r w:rsidRPr="009E2778">
              <w:rPr>
                <w:rFonts w:asciiTheme="minorHAnsi" w:hAnsiTheme="minorHAnsi"/>
              </w:rPr>
              <w:t>1</w:t>
            </w:r>
          </w:p>
        </w:tc>
        <w:tc>
          <w:tcPr>
            <w:tcW w:w="1620" w:type="dxa"/>
          </w:tcPr>
          <w:p w14:paraId="198A380B" w14:textId="64FAF136" w:rsidR="00E72F55" w:rsidRPr="009E2778" w:rsidRDefault="00E85DCB" w:rsidP="00194BB2">
            <w:pPr>
              <w:spacing w:line="276" w:lineRule="auto"/>
              <w:jc w:val="right"/>
              <w:rPr>
                <w:rFonts w:asciiTheme="minorHAnsi" w:hAnsiTheme="minorHAnsi"/>
              </w:rPr>
            </w:pPr>
            <w:r w:rsidRPr="009E2778">
              <w:rPr>
                <w:rFonts w:asciiTheme="minorHAnsi" w:hAnsiTheme="minorHAnsi"/>
              </w:rPr>
              <w:t>15/60</w:t>
            </w:r>
          </w:p>
        </w:tc>
        <w:tc>
          <w:tcPr>
            <w:tcW w:w="1273" w:type="dxa"/>
          </w:tcPr>
          <w:p w14:paraId="6694BD89" w14:textId="4684B150" w:rsidR="00E72F55" w:rsidRPr="009E2778" w:rsidRDefault="00E60B4B" w:rsidP="00194BB2">
            <w:pPr>
              <w:spacing w:line="276" w:lineRule="auto"/>
              <w:jc w:val="right"/>
              <w:rPr>
                <w:rFonts w:asciiTheme="minorHAnsi" w:hAnsiTheme="minorHAnsi"/>
              </w:rPr>
            </w:pPr>
            <w:r>
              <w:rPr>
                <w:rFonts w:asciiTheme="minorHAnsi" w:hAnsiTheme="minorHAnsi"/>
              </w:rPr>
              <w:t>38</w:t>
            </w:r>
          </w:p>
        </w:tc>
      </w:tr>
      <w:tr w:rsidR="007E6CBD" w:rsidRPr="009E2778" w14:paraId="196B4B26" w14:textId="77777777" w:rsidTr="006815B8">
        <w:tc>
          <w:tcPr>
            <w:tcW w:w="1345" w:type="dxa"/>
          </w:tcPr>
          <w:p w14:paraId="3D70ED9C" w14:textId="77777777" w:rsidR="007E6CBD" w:rsidRPr="009E2778" w:rsidRDefault="007E6CBD" w:rsidP="000F50CA">
            <w:pPr>
              <w:spacing w:line="276" w:lineRule="auto"/>
              <w:rPr>
                <w:rFonts w:asciiTheme="minorHAnsi" w:hAnsiTheme="minorHAnsi"/>
                <w:b/>
              </w:rPr>
            </w:pPr>
            <w:r w:rsidRPr="009E2778">
              <w:rPr>
                <w:rFonts w:asciiTheme="minorHAnsi" w:hAnsiTheme="minorHAnsi"/>
                <w:b/>
              </w:rPr>
              <w:t>Total</w:t>
            </w:r>
          </w:p>
        </w:tc>
        <w:tc>
          <w:tcPr>
            <w:tcW w:w="2520" w:type="dxa"/>
          </w:tcPr>
          <w:p w14:paraId="3058444D" w14:textId="77777777" w:rsidR="007E6CBD" w:rsidRPr="009E2778" w:rsidRDefault="007E6CBD" w:rsidP="000F50CA">
            <w:pPr>
              <w:spacing w:line="276" w:lineRule="auto"/>
              <w:rPr>
                <w:rFonts w:asciiTheme="minorHAnsi" w:hAnsiTheme="minorHAnsi"/>
                <w:b/>
              </w:rPr>
            </w:pPr>
          </w:p>
        </w:tc>
        <w:tc>
          <w:tcPr>
            <w:tcW w:w="1440" w:type="dxa"/>
          </w:tcPr>
          <w:p w14:paraId="45411484" w14:textId="6B931B35" w:rsidR="007E6CBD" w:rsidRPr="009E2778" w:rsidRDefault="00A90F22" w:rsidP="00636EB6">
            <w:pPr>
              <w:spacing w:line="276" w:lineRule="auto"/>
              <w:jc w:val="right"/>
              <w:rPr>
                <w:rFonts w:asciiTheme="minorHAnsi" w:hAnsiTheme="minorHAnsi"/>
                <w:b/>
              </w:rPr>
            </w:pPr>
            <w:r w:rsidRPr="009E2778">
              <w:rPr>
                <w:rFonts w:asciiTheme="minorHAnsi" w:hAnsiTheme="minorHAnsi"/>
                <w:b/>
              </w:rPr>
              <w:t>10,</w:t>
            </w:r>
            <w:r w:rsidR="00636EB6">
              <w:rPr>
                <w:rFonts w:asciiTheme="minorHAnsi" w:hAnsiTheme="minorHAnsi"/>
                <w:b/>
              </w:rPr>
              <w:t>15</w:t>
            </w:r>
            <w:r w:rsidR="00636EB6" w:rsidRPr="009E2778">
              <w:rPr>
                <w:rFonts w:asciiTheme="minorHAnsi" w:hAnsiTheme="minorHAnsi"/>
                <w:b/>
              </w:rPr>
              <w:t>0</w:t>
            </w:r>
          </w:p>
        </w:tc>
        <w:tc>
          <w:tcPr>
            <w:tcW w:w="1440" w:type="dxa"/>
          </w:tcPr>
          <w:p w14:paraId="6CBCDDEC" w14:textId="0587B598" w:rsidR="007E6CBD" w:rsidRPr="009E2778" w:rsidRDefault="002F173B" w:rsidP="00194BB2">
            <w:pPr>
              <w:spacing w:line="276" w:lineRule="auto"/>
              <w:jc w:val="right"/>
              <w:rPr>
                <w:rFonts w:asciiTheme="minorHAnsi" w:hAnsiTheme="minorHAnsi"/>
                <w:b/>
              </w:rPr>
            </w:pPr>
            <w:r w:rsidRPr="009E2778">
              <w:rPr>
                <w:rFonts w:asciiTheme="minorHAnsi" w:hAnsiTheme="minorHAnsi"/>
                <w:b/>
              </w:rPr>
              <w:t>10,</w:t>
            </w:r>
            <w:r w:rsidR="00636EB6">
              <w:rPr>
                <w:rFonts w:asciiTheme="minorHAnsi" w:hAnsiTheme="minorHAnsi"/>
                <w:b/>
              </w:rPr>
              <w:t>15</w:t>
            </w:r>
            <w:r w:rsidRPr="009E2778">
              <w:rPr>
                <w:rFonts w:asciiTheme="minorHAnsi" w:hAnsiTheme="minorHAnsi"/>
                <w:b/>
              </w:rPr>
              <w:t>0</w:t>
            </w:r>
          </w:p>
        </w:tc>
        <w:tc>
          <w:tcPr>
            <w:tcW w:w="1620" w:type="dxa"/>
          </w:tcPr>
          <w:p w14:paraId="249A9C00" w14:textId="77777777" w:rsidR="007E6CBD" w:rsidRPr="009E2778" w:rsidRDefault="007E6CBD" w:rsidP="00194BB2">
            <w:pPr>
              <w:spacing w:line="276" w:lineRule="auto"/>
              <w:jc w:val="right"/>
              <w:rPr>
                <w:rFonts w:asciiTheme="minorHAnsi" w:hAnsiTheme="minorHAnsi"/>
                <w:b/>
              </w:rPr>
            </w:pPr>
          </w:p>
        </w:tc>
        <w:tc>
          <w:tcPr>
            <w:tcW w:w="1273" w:type="dxa"/>
          </w:tcPr>
          <w:p w14:paraId="5A5F69D1" w14:textId="424E4D14" w:rsidR="007E6CBD" w:rsidRPr="009E2778" w:rsidRDefault="00636EB6" w:rsidP="00194BB2">
            <w:pPr>
              <w:spacing w:line="276" w:lineRule="auto"/>
              <w:jc w:val="right"/>
              <w:rPr>
                <w:rFonts w:asciiTheme="minorHAnsi" w:hAnsiTheme="minorHAnsi"/>
                <w:b/>
              </w:rPr>
            </w:pPr>
            <w:r>
              <w:rPr>
                <w:rFonts w:asciiTheme="minorHAnsi" w:hAnsiTheme="minorHAnsi"/>
                <w:b/>
              </w:rPr>
              <w:t>371</w:t>
            </w:r>
          </w:p>
        </w:tc>
      </w:tr>
    </w:tbl>
    <w:p w14:paraId="442EAA93" w14:textId="77777777" w:rsidR="00E72F55" w:rsidRPr="009E2778" w:rsidRDefault="00E72F55" w:rsidP="0085169D">
      <w:pPr>
        <w:spacing w:after="0"/>
        <w:ind w:firstLine="720"/>
      </w:pPr>
    </w:p>
    <w:p w14:paraId="4D52A4F7" w14:textId="77777777" w:rsidR="00E72F55" w:rsidRPr="009E2778" w:rsidRDefault="00E72F55" w:rsidP="00830A78">
      <w:pPr>
        <w:spacing w:after="240"/>
        <w:rPr>
          <w:b/>
        </w:rPr>
      </w:pPr>
      <w:r w:rsidRPr="009E2778">
        <w:rPr>
          <w:b/>
        </w:rPr>
        <w:t>A.12.2</w:t>
      </w:r>
      <w:r w:rsidRPr="009E2778">
        <w:rPr>
          <w:b/>
        </w:rPr>
        <w:tab/>
        <w:t>Annual Cost to Respondent</w:t>
      </w:r>
    </w:p>
    <w:p w14:paraId="768F7038" w14:textId="155C1517" w:rsidR="002C5D4F" w:rsidRPr="009E2778" w:rsidRDefault="00E72F55" w:rsidP="00830A78">
      <w:pPr>
        <w:spacing w:after="240"/>
        <w:rPr>
          <w:lang w:val="x-none"/>
        </w:rPr>
      </w:pPr>
      <w:r w:rsidRPr="009E2778">
        <w:rPr>
          <w:lang w:val="x-none"/>
        </w:rPr>
        <w:t>The total annual cost to respondents is estimated at $</w:t>
      </w:r>
      <w:r w:rsidR="006649C8" w:rsidRPr="009E2778">
        <w:t>9,084</w:t>
      </w:r>
      <w:r w:rsidRPr="009E2778">
        <w:rPr>
          <w:lang w:val="x-none"/>
        </w:rPr>
        <w:t xml:space="preserve"> as shown in Table A-12-2. Annualized costs were calculated using the mean hourly wage provided by U.S. Department of Labor, Bureau of Labor Statistics, Occupation Employment and Wages, May 201</w:t>
      </w:r>
      <w:r w:rsidR="004A21B9" w:rsidRPr="009E2778">
        <w:t>4</w:t>
      </w:r>
      <w:r w:rsidRPr="009E2778">
        <w:rPr>
          <w:lang w:val="x-none"/>
        </w:rPr>
        <w:t xml:space="preserve">, </w:t>
      </w:r>
      <w:r w:rsidR="004A21B9" w:rsidRPr="009E2778">
        <w:t>All Occupations,</w:t>
      </w:r>
      <w:r w:rsidRPr="009E2778">
        <w:rPr>
          <w:bCs/>
          <w:vertAlign w:val="superscript"/>
          <w:lang w:val="x-none"/>
        </w:rPr>
        <w:t xml:space="preserve"> </w:t>
      </w:r>
      <w:r w:rsidR="004A21B9" w:rsidRPr="009E2778">
        <w:t>mean hourly</w:t>
      </w:r>
      <w:r w:rsidR="004A21B9" w:rsidRPr="009E2778">
        <w:rPr>
          <w:lang w:val="x-none"/>
        </w:rPr>
        <w:t xml:space="preserve"> wage.* </w:t>
      </w:r>
      <w:r w:rsidRPr="009E2778">
        <w:rPr>
          <w:lang w:val="x-none"/>
        </w:rPr>
        <w:t>Respondents to this questionnaire are parents and caregivers of ch</w:t>
      </w:r>
      <w:r w:rsidR="008409BF" w:rsidRPr="009E2778">
        <w:rPr>
          <w:lang w:val="x-none"/>
        </w:rPr>
        <w:t xml:space="preserve">ildren with serious illnesses. </w:t>
      </w:r>
    </w:p>
    <w:tbl>
      <w:tblPr>
        <w:tblStyle w:val="TableGrid"/>
        <w:tblW w:w="0" w:type="auto"/>
        <w:tblLook w:val="04A0" w:firstRow="1" w:lastRow="0" w:firstColumn="1" w:lastColumn="0" w:noHBand="0" w:noVBand="1"/>
      </w:tblPr>
      <w:tblGrid>
        <w:gridCol w:w="2409"/>
        <w:gridCol w:w="2409"/>
        <w:gridCol w:w="2647"/>
        <w:gridCol w:w="2173"/>
      </w:tblGrid>
      <w:tr w:rsidR="008409BF" w:rsidRPr="009E2778" w14:paraId="6FACDFE0" w14:textId="77777777" w:rsidTr="006815B8">
        <w:tc>
          <w:tcPr>
            <w:tcW w:w="9638" w:type="dxa"/>
            <w:gridSpan w:val="4"/>
          </w:tcPr>
          <w:p w14:paraId="2848107A" w14:textId="243676E1" w:rsidR="008409BF" w:rsidRPr="009E2778" w:rsidRDefault="008409BF" w:rsidP="00194BB2">
            <w:pPr>
              <w:spacing w:line="276" w:lineRule="auto"/>
              <w:jc w:val="center"/>
              <w:rPr>
                <w:rFonts w:asciiTheme="minorHAnsi" w:hAnsiTheme="minorHAnsi"/>
                <w:b/>
              </w:rPr>
            </w:pPr>
            <w:r w:rsidRPr="009E2778">
              <w:rPr>
                <w:rFonts w:asciiTheme="minorHAnsi" w:hAnsiTheme="minorHAnsi"/>
                <w:b/>
              </w:rPr>
              <w:t>Table A-12-2 Annualized Cost to Respondents</w:t>
            </w:r>
          </w:p>
        </w:tc>
      </w:tr>
      <w:tr w:rsidR="00E72F55" w:rsidRPr="009E2778" w14:paraId="484D1C32" w14:textId="77777777" w:rsidTr="008409BF">
        <w:tc>
          <w:tcPr>
            <w:tcW w:w="2409" w:type="dxa"/>
          </w:tcPr>
          <w:p w14:paraId="5615801F" w14:textId="77777777" w:rsidR="00E72F55" w:rsidRPr="009E2778" w:rsidRDefault="00E72F55" w:rsidP="00194B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rFonts w:asciiTheme="minorHAnsi" w:hAnsiTheme="minorHAnsi"/>
              </w:rPr>
            </w:pPr>
            <w:r w:rsidRPr="009E2778">
              <w:rPr>
                <w:rFonts w:asciiTheme="minorHAnsi" w:hAnsiTheme="minorHAnsi"/>
              </w:rPr>
              <w:lastRenderedPageBreak/>
              <w:t>Type of Respondents</w:t>
            </w:r>
          </w:p>
        </w:tc>
        <w:tc>
          <w:tcPr>
            <w:tcW w:w="2409" w:type="dxa"/>
          </w:tcPr>
          <w:p w14:paraId="11E106E5" w14:textId="77777777" w:rsidR="00E72F55" w:rsidRPr="009E2778" w:rsidRDefault="00E72F55" w:rsidP="00194B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rFonts w:asciiTheme="minorHAnsi" w:hAnsiTheme="minorHAnsi"/>
              </w:rPr>
            </w:pPr>
            <w:r w:rsidRPr="009E2778">
              <w:rPr>
                <w:rFonts w:asciiTheme="minorHAnsi" w:hAnsiTheme="minorHAnsi"/>
              </w:rPr>
              <w:t>Total Annual Burden Hours</w:t>
            </w:r>
          </w:p>
        </w:tc>
        <w:tc>
          <w:tcPr>
            <w:tcW w:w="2647" w:type="dxa"/>
          </w:tcPr>
          <w:p w14:paraId="00D24CAC" w14:textId="77777777" w:rsidR="00E72F55" w:rsidRPr="009E2778" w:rsidRDefault="00E72F55" w:rsidP="00194B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rFonts w:asciiTheme="minorHAnsi" w:hAnsiTheme="minorHAnsi"/>
              </w:rPr>
            </w:pPr>
            <w:r w:rsidRPr="009E2778">
              <w:rPr>
                <w:rFonts w:asciiTheme="minorHAnsi" w:hAnsiTheme="minorHAnsi"/>
              </w:rPr>
              <w:t>Hourly Respondent Wage Rate*</w:t>
            </w:r>
          </w:p>
        </w:tc>
        <w:tc>
          <w:tcPr>
            <w:tcW w:w="2173" w:type="dxa"/>
          </w:tcPr>
          <w:p w14:paraId="1ED40EEB" w14:textId="77777777" w:rsidR="00E72F55" w:rsidRPr="009E2778" w:rsidRDefault="00E72F55" w:rsidP="00194B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6" w:lineRule="auto"/>
              <w:rPr>
                <w:rFonts w:asciiTheme="minorHAnsi" w:hAnsiTheme="minorHAnsi"/>
              </w:rPr>
            </w:pPr>
            <w:r w:rsidRPr="009E2778">
              <w:rPr>
                <w:rFonts w:asciiTheme="minorHAnsi" w:hAnsiTheme="minorHAnsi"/>
              </w:rPr>
              <w:t>Respondent Cost</w:t>
            </w:r>
          </w:p>
        </w:tc>
      </w:tr>
      <w:tr w:rsidR="00E72F55" w:rsidRPr="009E2778" w14:paraId="7AA7C9FD" w14:textId="77777777" w:rsidTr="008409BF">
        <w:tc>
          <w:tcPr>
            <w:tcW w:w="2409" w:type="dxa"/>
          </w:tcPr>
          <w:p w14:paraId="513F92CD" w14:textId="77777777" w:rsidR="00E72F55" w:rsidRPr="009E2778" w:rsidRDefault="004A21B9" w:rsidP="00194BB2">
            <w:pPr>
              <w:spacing w:line="276" w:lineRule="auto"/>
              <w:rPr>
                <w:rFonts w:asciiTheme="minorHAnsi" w:hAnsiTheme="minorHAnsi"/>
              </w:rPr>
            </w:pPr>
            <w:r w:rsidRPr="009E2778">
              <w:rPr>
                <w:rFonts w:asciiTheme="minorHAnsi" w:hAnsiTheme="minorHAnsi"/>
              </w:rPr>
              <w:t>General Public</w:t>
            </w:r>
          </w:p>
        </w:tc>
        <w:tc>
          <w:tcPr>
            <w:tcW w:w="2409" w:type="dxa"/>
          </w:tcPr>
          <w:p w14:paraId="0EEFA289" w14:textId="50EFCF55" w:rsidR="00E72F55" w:rsidRPr="009E2778" w:rsidRDefault="00636EB6" w:rsidP="00194BB2">
            <w:pPr>
              <w:spacing w:line="276" w:lineRule="auto"/>
              <w:rPr>
                <w:rFonts w:asciiTheme="minorHAnsi" w:hAnsiTheme="minorHAnsi"/>
              </w:rPr>
            </w:pPr>
            <w:r>
              <w:rPr>
                <w:rFonts w:asciiTheme="minorHAnsi" w:hAnsiTheme="minorHAnsi"/>
              </w:rPr>
              <w:t>371</w:t>
            </w:r>
          </w:p>
        </w:tc>
        <w:tc>
          <w:tcPr>
            <w:tcW w:w="2647" w:type="dxa"/>
          </w:tcPr>
          <w:p w14:paraId="1A3B1001" w14:textId="77777777" w:rsidR="00E72F55" w:rsidRPr="009E2778" w:rsidRDefault="00E72F55" w:rsidP="00194BB2">
            <w:pPr>
              <w:spacing w:line="276" w:lineRule="auto"/>
              <w:rPr>
                <w:rFonts w:asciiTheme="minorHAnsi" w:hAnsiTheme="minorHAnsi"/>
              </w:rPr>
            </w:pPr>
            <w:r w:rsidRPr="009E2778">
              <w:rPr>
                <w:rFonts w:asciiTheme="minorHAnsi" w:hAnsiTheme="minorHAnsi"/>
              </w:rPr>
              <w:t>$22.</w:t>
            </w:r>
            <w:r w:rsidR="004A21B9" w:rsidRPr="009E2778">
              <w:rPr>
                <w:rFonts w:asciiTheme="minorHAnsi" w:hAnsiTheme="minorHAnsi"/>
              </w:rPr>
              <w:t>71</w:t>
            </w:r>
          </w:p>
        </w:tc>
        <w:tc>
          <w:tcPr>
            <w:tcW w:w="2173" w:type="dxa"/>
          </w:tcPr>
          <w:p w14:paraId="66E1AC9C" w14:textId="1AF1CC45" w:rsidR="00E72F55" w:rsidRPr="009E2778" w:rsidRDefault="008409BF" w:rsidP="00636EB6">
            <w:pPr>
              <w:spacing w:line="276" w:lineRule="auto"/>
              <w:rPr>
                <w:rFonts w:asciiTheme="minorHAnsi" w:hAnsiTheme="minorHAnsi"/>
              </w:rPr>
            </w:pPr>
            <w:r w:rsidRPr="009E2778">
              <w:rPr>
                <w:rFonts w:asciiTheme="minorHAnsi" w:hAnsiTheme="minorHAnsi"/>
              </w:rPr>
              <w:t>$</w:t>
            </w:r>
            <w:r w:rsidR="00636EB6">
              <w:rPr>
                <w:rFonts w:asciiTheme="minorHAnsi" w:hAnsiTheme="minorHAnsi"/>
              </w:rPr>
              <w:t>8,425</w:t>
            </w:r>
          </w:p>
        </w:tc>
      </w:tr>
    </w:tbl>
    <w:p w14:paraId="7CD5CAEB" w14:textId="77777777" w:rsidR="00194BB2" w:rsidRPr="009E2778" w:rsidRDefault="00194BB2" w:rsidP="00194BB2">
      <w:pPr>
        <w:spacing w:after="0"/>
        <w:rPr>
          <w:rFonts w:eastAsia="Times New Roman" w:cs="Times New Roman"/>
        </w:rPr>
      </w:pPr>
    </w:p>
    <w:p w14:paraId="2F821C74" w14:textId="77777777" w:rsidR="00B93C77" w:rsidRPr="009E2778" w:rsidRDefault="00B31022" w:rsidP="00194BB2">
      <w:pPr>
        <w:spacing w:after="0"/>
        <w:rPr>
          <w:rFonts w:eastAsia="Times New Roman" w:cs="Times New Roman"/>
          <w:sz w:val="20"/>
          <w:szCs w:val="20"/>
        </w:rPr>
      </w:pPr>
      <w:r w:rsidRPr="009E2778">
        <w:rPr>
          <w:rFonts w:eastAsia="Times New Roman" w:cs="Times New Roman"/>
          <w:sz w:val="20"/>
          <w:szCs w:val="20"/>
        </w:rPr>
        <w:t>*</w:t>
      </w:r>
      <w:r w:rsidR="002C5D4F" w:rsidRPr="009E2778">
        <w:rPr>
          <w:rFonts w:eastAsia="Times New Roman" w:cs="Times New Roman"/>
          <w:sz w:val="20"/>
          <w:szCs w:val="20"/>
        </w:rPr>
        <w:t xml:space="preserve">Bureau of Labor Statistics: The General Public rate was obtained from </w:t>
      </w:r>
      <w:hyperlink r:id="rId9" w:anchor="00-0000" w:history="1">
        <w:r w:rsidR="004A21B9" w:rsidRPr="009E2778">
          <w:rPr>
            <w:rStyle w:val="Hyperlink"/>
            <w:sz w:val="20"/>
            <w:szCs w:val="20"/>
          </w:rPr>
          <w:t>http://www.bls.gov/oes/current/oes_nat.htm#00-0000</w:t>
        </w:r>
      </w:hyperlink>
      <w:r w:rsidR="004A21B9" w:rsidRPr="009E2778">
        <w:rPr>
          <w:sz w:val="20"/>
          <w:szCs w:val="20"/>
        </w:rPr>
        <w:t xml:space="preserve"> </w:t>
      </w:r>
    </w:p>
    <w:p w14:paraId="2D8A589F" w14:textId="77777777" w:rsidR="00B93C77" w:rsidRPr="009E2778" w:rsidRDefault="00B93C77" w:rsidP="00194BB2">
      <w:pPr>
        <w:spacing w:after="0"/>
        <w:rPr>
          <w:rFonts w:eastAsia="Times New Roman" w:cs="Times New Roman"/>
        </w:rPr>
      </w:pPr>
    </w:p>
    <w:p w14:paraId="2F76945E" w14:textId="77777777" w:rsidR="00FF72FC" w:rsidRPr="009E2778" w:rsidRDefault="00FF72FC" w:rsidP="00830A78">
      <w:pPr>
        <w:spacing w:after="240"/>
        <w:rPr>
          <w:b/>
        </w:rPr>
      </w:pPr>
      <w:r w:rsidRPr="009E2778">
        <w:rPr>
          <w:b/>
        </w:rPr>
        <w:t>A.13</w:t>
      </w:r>
      <w:r w:rsidRPr="009E2778">
        <w:rPr>
          <w:b/>
        </w:rPr>
        <w:tab/>
        <w:t>Estimate of Other Total Annual Cost Burden to Respondents or Record Keepers</w:t>
      </w:r>
    </w:p>
    <w:p w14:paraId="7326B45C" w14:textId="77777777" w:rsidR="003C2192" w:rsidRPr="009E2778" w:rsidRDefault="003C2192" w:rsidP="00830A78">
      <w:pPr>
        <w:pStyle w:val="BodyText"/>
        <w:spacing w:before="0" w:after="240" w:line="276" w:lineRule="auto"/>
        <w:rPr>
          <w:rFonts w:asciiTheme="minorHAnsi" w:hAnsiTheme="minorHAnsi"/>
          <w:sz w:val="22"/>
          <w:szCs w:val="22"/>
        </w:rPr>
      </w:pPr>
      <w:r w:rsidRPr="009E2778">
        <w:rPr>
          <w:rFonts w:asciiTheme="minorHAnsi" w:hAnsiTheme="minorHAnsi"/>
          <w:sz w:val="22"/>
          <w:szCs w:val="22"/>
        </w:rPr>
        <w:t>There are no capital or startup costs for the data collection efforts requested; nor are there any costs associated with operation, maintenance, or purchase of services.</w:t>
      </w:r>
    </w:p>
    <w:p w14:paraId="2EE221F0" w14:textId="77777777" w:rsidR="00FF72FC" w:rsidRPr="009E2778" w:rsidRDefault="00FF72FC" w:rsidP="00830A78">
      <w:pPr>
        <w:pStyle w:val="Heading2"/>
        <w:tabs>
          <w:tab w:val="clear" w:pos="1152"/>
          <w:tab w:val="left" w:pos="720"/>
        </w:tabs>
        <w:spacing w:after="240" w:line="276" w:lineRule="auto"/>
        <w:ind w:left="0" w:firstLine="0"/>
        <w:jc w:val="left"/>
        <w:rPr>
          <w:rFonts w:asciiTheme="minorHAnsi" w:hAnsiTheme="minorHAnsi"/>
          <w:szCs w:val="22"/>
        </w:rPr>
      </w:pPr>
      <w:r w:rsidRPr="009E2778">
        <w:rPr>
          <w:rFonts w:asciiTheme="minorHAnsi" w:hAnsiTheme="minorHAnsi"/>
          <w:szCs w:val="22"/>
        </w:rPr>
        <w:t>A.14</w:t>
      </w:r>
      <w:r w:rsidRPr="009E2778">
        <w:rPr>
          <w:rFonts w:asciiTheme="minorHAnsi" w:hAnsiTheme="minorHAnsi"/>
          <w:szCs w:val="22"/>
        </w:rPr>
        <w:tab/>
        <w:t xml:space="preserve">Annualized Cost to the Federal Government  </w:t>
      </w:r>
    </w:p>
    <w:p w14:paraId="343CB90C" w14:textId="1275C9FC" w:rsidR="003C2192" w:rsidRPr="009E2778" w:rsidRDefault="003C2192" w:rsidP="00830A78">
      <w:pPr>
        <w:spacing w:after="240"/>
      </w:pPr>
      <w:r w:rsidRPr="009E2778">
        <w:t>The annualized cost to the government for conducting the evaluation is estimated at $</w:t>
      </w:r>
      <w:r w:rsidR="00EB6AE2" w:rsidRPr="009E2778">
        <w:t>43,750</w:t>
      </w:r>
      <w:r w:rsidRPr="009E2778">
        <w:t>. Cost estimates cover the development, deployment, data collection, and analysis of the survey, including:</w:t>
      </w:r>
    </w:p>
    <w:p w14:paraId="1893D86E" w14:textId="77777777" w:rsidR="003C2192" w:rsidRPr="009E2778" w:rsidRDefault="003C2192" w:rsidP="00194BB2">
      <w:pPr>
        <w:numPr>
          <w:ilvl w:val="0"/>
          <w:numId w:val="16"/>
        </w:numPr>
        <w:spacing w:after="0"/>
      </w:pPr>
      <w:r w:rsidRPr="009E2778">
        <w:t xml:space="preserve">Development of the survey instrument </w:t>
      </w:r>
    </w:p>
    <w:p w14:paraId="16E32BE1" w14:textId="52EB4D79" w:rsidR="00194BB2" w:rsidRPr="009E2778" w:rsidRDefault="003C2192" w:rsidP="00194BB2">
      <w:pPr>
        <w:numPr>
          <w:ilvl w:val="0"/>
          <w:numId w:val="16"/>
        </w:numPr>
      </w:pPr>
      <w:r w:rsidRPr="009E2778">
        <w:t>Programming and deployment of the survey, and management of survey implementation</w:t>
      </w:r>
    </w:p>
    <w:p w14:paraId="7F714CC2" w14:textId="405E866C" w:rsidR="003B063A" w:rsidRDefault="003C2192" w:rsidP="00830A78">
      <w:pPr>
        <w:pStyle w:val="BodyText"/>
        <w:spacing w:before="0" w:after="240" w:line="276" w:lineRule="auto"/>
        <w:rPr>
          <w:rFonts w:asciiTheme="minorHAnsi" w:hAnsiTheme="minorHAnsi"/>
          <w:sz w:val="22"/>
          <w:szCs w:val="22"/>
        </w:rPr>
      </w:pPr>
      <w:r w:rsidRPr="009E2778">
        <w:rPr>
          <w:rFonts w:asciiTheme="minorHAnsi" w:hAnsiTheme="minorHAnsi"/>
          <w:sz w:val="22"/>
          <w:szCs w:val="22"/>
        </w:rPr>
        <w:t>The annualized government cost distribution is summarized in the Table A-14-1.</w:t>
      </w:r>
    </w:p>
    <w:p w14:paraId="798F8DA1" w14:textId="77777777" w:rsidR="0085169D" w:rsidRPr="009E2778" w:rsidRDefault="0085169D" w:rsidP="00830A78">
      <w:pPr>
        <w:pStyle w:val="BodyText"/>
        <w:spacing w:before="0" w:after="240" w:line="276" w:lineRule="auto"/>
        <w:rPr>
          <w:rFonts w:asciiTheme="minorHAnsi" w:hAnsi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160"/>
        <w:gridCol w:w="2634"/>
        <w:gridCol w:w="1879"/>
      </w:tblGrid>
      <w:tr w:rsidR="003B063A" w:rsidRPr="009E2778" w14:paraId="21A4D587" w14:textId="77777777" w:rsidTr="00194BB2">
        <w:tc>
          <w:tcPr>
            <w:tcW w:w="9643" w:type="dxa"/>
            <w:gridSpan w:val="4"/>
          </w:tcPr>
          <w:p w14:paraId="389AB1D4" w14:textId="5634BDB4" w:rsidR="003B063A" w:rsidRPr="009E2778" w:rsidRDefault="003B063A" w:rsidP="00194BB2">
            <w:pPr>
              <w:autoSpaceDE w:val="0"/>
              <w:autoSpaceDN w:val="0"/>
              <w:adjustRightInd w:val="0"/>
              <w:spacing w:after="0"/>
              <w:jc w:val="center"/>
              <w:rPr>
                <w:rFonts w:cs="Arial"/>
                <w:b/>
                <w:bCs/>
                <w:sz w:val="20"/>
                <w:szCs w:val="20"/>
              </w:rPr>
            </w:pPr>
            <w:r w:rsidRPr="009E2778">
              <w:rPr>
                <w:rFonts w:cs="Arial"/>
                <w:b/>
                <w:sz w:val="20"/>
                <w:szCs w:val="20"/>
              </w:rPr>
              <w:t>Table A-14-</w:t>
            </w:r>
            <w:r w:rsidR="00A37FBE" w:rsidRPr="009E2778">
              <w:rPr>
                <w:rFonts w:cs="Arial"/>
                <w:b/>
                <w:sz w:val="20"/>
                <w:szCs w:val="20"/>
              </w:rPr>
              <w:t>1</w:t>
            </w:r>
            <w:r w:rsidRPr="009E2778">
              <w:rPr>
                <w:rFonts w:cs="Arial"/>
                <w:b/>
                <w:sz w:val="20"/>
                <w:szCs w:val="20"/>
              </w:rPr>
              <w:t xml:space="preserve"> </w:t>
            </w:r>
            <w:r w:rsidR="00A37FBE" w:rsidRPr="009E2778">
              <w:rPr>
                <w:rFonts w:cs="Arial"/>
                <w:b/>
                <w:sz w:val="20"/>
                <w:szCs w:val="20"/>
              </w:rPr>
              <w:t>Annualized Government Cost Distribution</w:t>
            </w:r>
          </w:p>
        </w:tc>
      </w:tr>
      <w:tr w:rsidR="003B063A" w:rsidRPr="009E2778" w14:paraId="29549274" w14:textId="77777777" w:rsidTr="00194BB2">
        <w:tc>
          <w:tcPr>
            <w:tcW w:w="2970" w:type="dxa"/>
          </w:tcPr>
          <w:p w14:paraId="4BA068C5" w14:textId="018EFFFD" w:rsidR="003B063A" w:rsidRPr="009E2778" w:rsidRDefault="003B063A" w:rsidP="00194BB2">
            <w:pPr>
              <w:autoSpaceDE w:val="0"/>
              <w:autoSpaceDN w:val="0"/>
              <w:adjustRightInd w:val="0"/>
              <w:spacing w:after="0"/>
              <w:rPr>
                <w:rFonts w:cs="Arial"/>
                <w:b/>
                <w:bCs/>
                <w:sz w:val="20"/>
                <w:szCs w:val="20"/>
              </w:rPr>
            </w:pPr>
            <w:r w:rsidRPr="009E2778">
              <w:rPr>
                <w:rFonts w:cs="Arial"/>
                <w:b/>
                <w:bCs/>
                <w:sz w:val="20"/>
                <w:szCs w:val="20"/>
              </w:rPr>
              <w:t>Government Personnel</w:t>
            </w:r>
          </w:p>
        </w:tc>
        <w:tc>
          <w:tcPr>
            <w:tcW w:w="2160" w:type="dxa"/>
          </w:tcPr>
          <w:p w14:paraId="4D9ACFB9" w14:textId="65FF499A" w:rsidR="003B063A" w:rsidRPr="009E2778" w:rsidRDefault="003B063A" w:rsidP="00194BB2">
            <w:pPr>
              <w:autoSpaceDE w:val="0"/>
              <w:autoSpaceDN w:val="0"/>
              <w:adjustRightInd w:val="0"/>
              <w:spacing w:after="0"/>
              <w:rPr>
                <w:rFonts w:cs="Arial"/>
                <w:b/>
                <w:bCs/>
                <w:sz w:val="20"/>
                <w:szCs w:val="20"/>
              </w:rPr>
            </w:pPr>
            <w:r w:rsidRPr="009E2778">
              <w:rPr>
                <w:rFonts w:cs="Arial"/>
                <w:b/>
                <w:bCs/>
                <w:sz w:val="20"/>
                <w:szCs w:val="20"/>
              </w:rPr>
              <w:t>Time Commitment</w:t>
            </w:r>
          </w:p>
        </w:tc>
        <w:tc>
          <w:tcPr>
            <w:tcW w:w="2634" w:type="dxa"/>
          </w:tcPr>
          <w:p w14:paraId="7B9D271E" w14:textId="0DB777BC" w:rsidR="003B063A" w:rsidRPr="009E2778" w:rsidRDefault="003B063A" w:rsidP="00194BB2">
            <w:pPr>
              <w:autoSpaceDE w:val="0"/>
              <w:autoSpaceDN w:val="0"/>
              <w:adjustRightInd w:val="0"/>
              <w:spacing w:after="0"/>
              <w:rPr>
                <w:rFonts w:cs="Arial"/>
                <w:b/>
                <w:bCs/>
                <w:sz w:val="20"/>
                <w:szCs w:val="20"/>
              </w:rPr>
            </w:pPr>
            <w:r w:rsidRPr="009E2778">
              <w:rPr>
                <w:rFonts w:cs="Arial"/>
                <w:b/>
                <w:bCs/>
                <w:sz w:val="20"/>
                <w:szCs w:val="20"/>
              </w:rPr>
              <w:t>Average Annual Salary</w:t>
            </w:r>
          </w:p>
        </w:tc>
        <w:tc>
          <w:tcPr>
            <w:tcW w:w="1879" w:type="dxa"/>
          </w:tcPr>
          <w:p w14:paraId="63E02767" w14:textId="35DC782E" w:rsidR="003B063A" w:rsidRPr="009E2778" w:rsidRDefault="003B063A" w:rsidP="00194BB2">
            <w:pPr>
              <w:autoSpaceDE w:val="0"/>
              <w:autoSpaceDN w:val="0"/>
              <w:adjustRightInd w:val="0"/>
              <w:spacing w:after="0"/>
              <w:rPr>
                <w:rFonts w:cs="Arial"/>
                <w:b/>
                <w:bCs/>
                <w:sz w:val="20"/>
                <w:szCs w:val="20"/>
              </w:rPr>
            </w:pPr>
            <w:r w:rsidRPr="009E2778">
              <w:rPr>
                <w:rFonts w:cs="Arial"/>
                <w:b/>
                <w:bCs/>
                <w:sz w:val="20"/>
                <w:szCs w:val="20"/>
              </w:rPr>
              <w:t>Total</w:t>
            </w:r>
          </w:p>
        </w:tc>
      </w:tr>
      <w:tr w:rsidR="00A37FBE" w:rsidRPr="009E2778" w14:paraId="3B2F529B" w14:textId="77777777" w:rsidTr="00194BB2">
        <w:tc>
          <w:tcPr>
            <w:tcW w:w="2970" w:type="dxa"/>
          </w:tcPr>
          <w:p w14:paraId="2C834588" w14:textId="7ABD3183" w:rsidR="00A37FBE" w:rsidRPr="009E2778" w:rsidRDefault="00A37FBE" w:rsidP="00C15D9A">
            <w:pPr>
              <w:autoSpaceDE w:val="0"/>
              <w:autoSpaceDN w:val="0"/>
              <w:adjustRightInd w:val="0"/>
              <w:spacing w:after="0"/>
              <w:rPr>
                <w:sz w:val="20"/>
                <w:szCs w:val="20"/>
              </w:rPr>
            </w:pPr>
            <w:r w:rsidRPr="009E2778">
              <w:rPr>
                <w:rFonts w:eastAsia="Times New Roman" w:cs="Times New Roman"/>
                <w:sz w:val="20"/>
                <w:szCs w:val="20"/>
              </w:rPr>
              <w:t>GS-12</w:t>
            </w:r>
            <w:r w:rsidR="00C15D9A">
              <w:rPr>
                <w:rFonts w:eastAsia="Times New Roman" w:cs="Times New Roman"/>
                <w:sz w:val="20"/>
                <w:szCs w:val="20"/>
              </w:rPr>
              <w:t>, Step 5</w:t>
            </w:r>
          </w:p>
        </w:tc>
        <w:tc>
          <w:tcPr>
            <w:tcW w:w="2160" w:type="dxa"/>
          </w:tcPr>
          <w:p w14:paraId="26DE447A" w14:textId="3A9DC38A" w:rsidR="00A37FBE" w:rsidRPr="009E2778" w:rsidRDefault="00A37FBE" w:rsidP="00194BB2">
            <w:pPr>
              <w:autoSpaceDE w:val="0"/>
              <w:autoSpaceDN w:val="0"/>
              <w:adjustRightInd w:val="0"/>
              <w:spacing w:after="0"/>
              <w:rPr>
                <w:rFonts w:cs="Arial"/>
                <w:bCs/>
                <w:sz w:val="20"/>
                <w:szCs w:val="20"/>
              </w:rPr>
            </w:pPr>
            <w:r w:rsidRPr="009E2778">
              <w:rPr>
                <w:rFonts w:eastAsia="Times New Roman" w:cs="Times New Roman"/>
                <w:sz w:val="20"/>
                <w:szCs w:val="20"/>
              </w:rPr>
              <w:t>1</w:t>
            </w:r>
            <w:r w:rsidR="00D614F9" w:rsidRPr="009E2778">
              <w:rPr>
                <w:rFonts w:eastAsia="Times New Roman" w:cs="Times New Roman"/>
                <w:sz w:val="20"/>
                <w:szCs w:val="20"/>
              </w:rPr>
              <w:t>0</w:t>
            </w:r>
            <w:r w:rsidRPr="009E2778">
              <w:rPr>
                <w:rFonts w:eastAsia="Times New Roman" w:cs="Times New Roman"/>
                <w:sz w:val="20"/>
                <w:szCs w:val="20"/>
              </w:rPr>
              <w:t>%</w:t>
            </w:r>
          </w:p>
        </w:tc>
        <w:tc>
          <w:tcPr>
            <w:tcW w:w="2634" w:type="dxa"/>
          </w:tcPr>
          <w:p w14:paraId="33D6B767" w14:textId="4936251E" w:rsidR="00A37FBE" w:rsidRPr="009E2778" w:rsidRDefault="00A37FBE" w:rsidP="00194BB2">
            <w:pPr>
              <w:autoSpaceDE w:val="0"/>
              <w:autoSpaceDN w:val="0"/>
              <w:adjustRightInd w:val="0"/>
              <w:spacing w:after="0"/>
              <w:rPr>
                <w:rFonts w:cs="Arial"/>
                <w:bCs/>
                <w:sz w:val="20"/>
                <w:szCs w:val="20"/>
              </w:rPr>
            </w:pPr>
            <w:r w:rsidRPr="009E2778">
              <w:rPr>
                <w:rFonts w:eastAsia="Times New Roman" w:cs="Times New Roman"/>
                <w:sz w:val="20"/>
                <w:szCs w:val="20"/>
              </w:rPr>
              <w:t>$</w:t>
            </w:r>
            <w:r w:rsidRPr="009E2778">
              <w:rPr>
                <w:sz w:val="20"/>
                <w:szCs w:val="20"/>
              </w:rPr>
              <w:t>8</w:t>
            </w:r>
            <w:r w:rsidR="00C15D9A">
              <w:rPr>
                <w:sz w:val="20"/>
                <w:szCs w:val="20"/>
              </w:rPr>
              <w:t>8</w:t>
            </w:r>
            <w:r w:rsidR="00D614F9" w:rsidRPr="009E2778">
              <w:rPr>
                <w:sz w:val="20"/>
                <w:szCs w:val="20"/>
              </w:rPr>
              <w:t>,000</w:t>
            </w:r>
          </w:p>
        </w:tc>
        <w:tc>
          <w:tcPr>
            <w:tcW w:w="1879" w:type="dxa"/>
          </w:tcPr>
          <w:p w14:paraId="430F40A2" w14:textId="2B5EE1ED" w:rsidR="00A37FBE" w:rsidRPr="009E2778" w:rsidRDefault="00A37FBE" w:rsidP="00194BB2">
            <w:pPr>
              <w:autoSpaceDE w:val="0"/>
              <w:autoSpaceDN w:val="0"/>
              <w:adjustRightInd w:val="0"/>
              <w:spacing w:after="0"/>
              <w:rPr>
                <w:rFonts w:cs="Arial"/>
                <w:bCs/>
                <w:sz w:val="20"/>
                <w:szCs w:val="20"/>
              </w:rPr>
            </w:pPr>
            <w:r w:rsidRPr="009E2778">
              <w:rPr>
                <w:rFonts w:eastAsia="Times New Roman" w:cs="Times New Roman"/>
                <w:sz w:val="20"/>
                <w:szCs w:val="20"/>
              </w:rPr>
              <w:t>$</w:t>
            </w:r>
            <w:r w:rsidR="00D614F9" w:rsidRPr="009E2778">
              <w:rPr>
                <w:rFonts w:eastAsia="Times New Roman" w:cs="Times New Roman"/>
                <w:sz w:val="20"/>
                <w:szCs w:val="20"/>
              </w:rPr>
              <w:t>8,500</w:t>
            </w:r>
          </w:p>
        </w:tc>
      </w:tr>
      <w:tr w:rsidR="00A37FBE" w:rsidRPr="009E2778" w14:paraId="137C80F1" w14:textId="77777777" w:rsidTr="00194BB2">
        <w:tc>
          <w:tcPr>
            <w:tcW w:w="2970" w:type="dxa"/>
          </w:tcPr>
          <w:p w14:paraId="2180D04A" w14:textId="6A9A0BBF" w:rsidR="00A37FBE" w:rsidRPr="009E2778" w:rsidRDefault="00A37FBE" w:rsidP="00194BB2">
            <w:pPr>
              <w:autoSpaceDE w:val="0"/>
              <w:autoSpaceDN w:val="0"/>
              <w:adjustRightInd w:val="0"/>
              <w:spacing w:after="0"/>
              <w:rPr>
                <w:sz w:val="20"/>
                <w:szCs w:val="20"/>
              </w:rPr>
            </w:pPr>
            <w:r w:rsidRPr="009E2778">
              <w:rPr>
                <w:rFonts w:eastAsia="Times New Roman" w:cs="Times New Roman"/>
                <w:sz w:val="20"/>
                <w:szCs w:val="20"/>
              </w:rPr>
              <w:t>GS-13</w:t>
            </w:r>
            <w:r w:rsidR="00C15D9A">
              <w:rPr>
                <w:rFonts w:eastAsia="Times New Roman" w:cs="Times New Roman"/>
                <w:sz w:val="20"/>
                <w:szCs w:val="20"/>
              </w:rPr>
              <w:t>, Step 5</w:t>
            </w:r>
          </w:p>
        </w:tc>
        <w:tc>
          <w:tcPr>
            <w:tcW w:w="2160" w:type="dxa"/>
          </w:tcPr>
          <w:p w14:paraId="69124382" w14:textId="7BEE80B1" w:rsidR="00A37FBE" w:rsidRPr="009E2778" w:rsidRDefault="00D614F9" w:rsidP="00194BB2">
            <w:pPr>
              <w:autoSpaceDE w:val="0"/>
              <w:autoSpaceDN w:val="0"/>
              <w:adjustRightInd w:val="0"/>
              <w:spacing w:after="0"/>
              <w:rPr>
                <w:rFonts w:cs="Arial"/>
                <w:bCs/>
                <w:sz w:val="20"/>
                <w:szCs w:val="20"/>
              </w:rPr>
            </w:pPr>
            <w:r w:rsidRPr="009E2778">
              <w:rPr>
                <w:rFonts w:eastAsia="Times New Roman" w:cs="Times New Roman"/>
                <w:sz w:val="20"/>
                <w:szCs w:val="20"/>
              </w:rPr>
              <w:t>5</w:t>
            </w:r>
            <w:r w:rsidR="00A37FBE" w:rsidRPr="009E2778">
              <w:rPr>
                <w:rFonts w:eastAsia="Times New Roman" w:cs="Times New Roman"/>
                <w:sz w:val="20"/>
                <w:szCs w:val="20"/>
              </w:rPr>
              <w:t>%</w:t>
            </w:r>
          </w:p>
        </w:tc>
        <w:tc>
          <w:tcPr>
            <w:tcW w:w="2634" w:type="dxa"/>
          </w:tcPr>
          <w:p w14:paraId="6554B2A5" w14:textId="3D3AD6A0" w:rsidR="00A37FBE" w:rsidRPr="009E2778" w:rsidRDefault="00A37FBE" w:rsidP="00194BB2">
            <w:pPr>
              <w:autoSpaceDE w:val="0"/>
              <w:autoSpaceDN w:val="0"/>
              <w:adjustRightInd w:val="0"/>
              <w:spacing w:after="0"/>
              <w:rPr>
                <w:rFonts w:cs="Arial"/>
                <w:bCs/>
                <w:sz w:val="20"/>
                <w:szCs w:val="20"/>
              </w:rPr>
            </w:pPr>
            <w:r w:rsidRPr="009E2778">
              <w:rPr>
                <w:rFonts w:eastAsia="Times New Roman" w:cs="Times New Roman"/>
                <w:sz w:val="20"/>
                <w:szCs w:val="20"/>
              </w:rPr>
              <w:t>$</w:t>
            </w:r>
            <w:r w:rsidRPr="009E2778">
              <w:rPr>
                <w:sz w:val="20"/>
                <w:szCs w:val="20"/>
              </w:rPr>
              <w:t>10</w:t>
            </w:r>
            <w:r w:rsidR="00C15D9A">
              <w:rPr>
                <w:sz w:val="20"/>
                <w:szCs w:val="20"/>
              </w:rPr>
              <w:t>4</w:t>
            </w:r>
            <w:r w:rsidR="00D614F9" w:rsidRPr="009E2778">
              <w:rPr>
                <w:sz w:val="20"/>
                <w:szCs w:val="20"/>
              </w:rPr>
              <w:t>,000</w:t>
            </w:r>
          </w:p>
        </w:tc>
        <w:tc>
          <w:tcPr>
            <w:tcW w:w="1879" w:type="dxa"/>
          </w:tcPr>
          <w:p w14:paraId="65C36166" w14:textId="15489317" w:rsidR="00A37FBE" w:rsidRPr="009E2778" w:rsidRDefault="00A37FBE" w:rsidP="00194BB2">
            <w:pPr>
              <w:autoSpaceDE w:val="0"/>
              <w:autoSpaceDN w:val="0"/>
              <w:adjustRightInd w:val="0"/>
              <w:spacing w:after="0"/>
              <w:rPr>
                <w:rFonts w:cs="Arial"/>
                <w:bCs/>
                <w:sz w:val="20"/>
                <w:szCs w:val="20"/>
              </w:rPr>
            </w:pPr>
            <w:r w:rsidRPr="009E2778">
              <w:rPr>
                <w:rFonts w:eastAsia="Times New Roman" w:cs="Times New Roman"/>
                <w:sz w:val="20"/>
                <w:szCs w:val="20"/>
              </w:rPr>
              <w:t>$</w:t>
            </w:r>
            <w:r w:rsidR="00D614F9" w:rsidRPr="009E2778">
              <w:rPr>
                <w:rFonts w:eastAsia="Times New Roman" w:cs="Times New Roman"/>
                <w:sz w:val="20"/>
                <w:szCs w:val="20"/>
              </w:rPr>
              <w:t>5,2</w:t>
            </w:r>
            <w:r w:rsidR="00C15D9A">
              <w:rPr>
                <w:rFonts w:eastAsia="Times New Roman" w:cs="Times New Roman"/>
                <w:sz w:val="20"/>
                <w:szCs w:val="20"/>
              </w:rPr>
              <w:t>0</w:t>
            </w:r>
            <w:r w:rsidR="00D614F9" w:rsidRPr="009E2778">
              <w:rPr>
                <w:rFonts w:eastAsia="Times New Roman" w:cs="Times New Roman"/>
                <w:sz w:val="20"/>
                <w:szCs w:val="20"/>
              </w:rPr>
              <w:t>0</w:t>
            </w:r>
          </w:p>
        </w:tc>
      </w:tr>
      <w:tr w:rsidR="00A37FBE" w:rsidRPr="009E2778" w14:paraId="065903CB" w14:textId="77777777" w:rsidTr="00194BB2">
        <w:tc>
          <w:tcPr>
            <w:tcW w:w="7764" w:type="dxa"/>
            <w:gridSpan w:val="3"/>
          </w:tcPr>
          <w:p w14:paraId="0EE26F2E" w14:textId="661A3DEC" w:rsidR="00A37FBE" w:rsidRPr="009E2778" w:rsidRDefault="00A37FBE" w:rsidP="00194BB2">
            <w:pPr>
              <w:autoSpaceDE w:val="0"/>
              <w:autoSpaceDN w:val="0"/>
              <w:adjustRightInd w:val="0"/>
              <w:spacing w:after="0"/>
              <w:rPr>
                <w:rFonts w:eastAsia="Times New Roman" w:cs="Times New Roman"/>
                <w:b/>
                <w:sz w:val="20"/>
                <w:szCs w:val="20"/>
              </w:rPr>
            </w:pPr>
            <w:r w:rsidRPr="009E2778">
              <w:rPr>
                <w:rFonts w:eastAsia="Times New Roman" w:cs="Times New Roman"/>
                <w:b/>
                <w:sz w:val="20"/>
                <w:szCs w:val="20"/>
              </w:rPr>
              <w:t>Total Salary Costs</w:t>
            </w:r>
          </w:p>
        </w:tc>
        <w:tc>
          <w:tcPr>
            <w:tcW w:w="1879" w:type="dxa"/>
          </w:tcPr>
          <w:p w14:paraId="1FCFEA37" w14:textId="1C3FA077" w:rsidR="00A37FBE" w:rsidRPr="009E2778" w:rsidRDefault="00D614F9" w:rsidP="00194BB2">
            <w:pPr>
              <w:autoSpaceDE w:val="0"/>
              <w:autoSpaceDN w:val="0"/>
              <w:adjustRightInd w:val="0"/>
              <w:spacing w:after="0"/>
              <w:rPr>
                <w:rFonts w:eastAsia="Times New Roman" w:cs="Times New Roman"/>
                <w:sz w:val="20"/>
                <w:szCs w:val="20"/>
              </w:rPr>
            </w:pPr>
            <w:r w:rsidRPr="009E2778">
              <w:rPr>
                <w:rFonts w:eastAsia="Times New Roman" w:cs="Times New Roman"/>
                <w:sz w:val="20"/>
                <w:szCs w:val="20"/>
              </w:rPr>
              <w:t>$13,7</w:t>
            </w:r>
            <w:r w:rsidR="00C15D9A">
              <w:rPr>
                <w:rFonts w:eastAsia="Times New Roman" w:cs="Times New Roman"/>
                <w:sz w:val="20"/>
                <w:szCs w:val="20"/>
              </w:rPr>
              <w:t>0</w:t>
            </w:r>
            <w:r w:rsidRPr="009E2778">
              <w:rPr>
                <w:rFonts w:eastAsia="Times New Roman" w:cs="Times New Roman"/>
                <w:sz w:val="20"/>
                <w:szCs w:val="20"/>
              </w:rPr>
              <w:t>0</w:t>
            </w:r>
          </w:p>
        </w:tc>
      </w:tr>
      <w:tr w:rsidR="00A37FBE" w:rsidRPr="009E2778" w14:paraId="78690029" w14:textId="77777777" w:rsidTr="00194BB2">
        <w:trPr>
          <w:trHeight w:val="278"/>
        </w:trPr>
        <w:tc>
          <w:tcPr>
            <w:tcW w:w="7764" w:type="dxa"/>
            <w:gridSpan w:val="3"/>
          </w:tcPr>
          <w:p w14:paraId="072F48F0" w14:textId="6F38216C" w:rsidR="00A37FBE" w:rsidRPr="009E2778" w:rsidRDefault="00A37FBE" w:rsidP="00194BB2">
            <w:pPr>
              <w:autoSpaceDE w:val="0"/>
              <w:autoSpaceDN w:val="0"/>
              <w:adjustRightInd w:val="0"/>
              <w:spacing w:after="0"/>
              <w:rPr>
                <w:rFonts w:eastAsia="Times New Roman" w:cs="Times New Roman"/>
                <w:b/>
                <w:sz w:val="20"/>
                <w:szCs w:val="20"/>
              </w:rPr>
            </w:pPr>
            <w:r w:rsidRPr="009E2778">
              <w:rPr>
                <w:rFonts w:eastAsia="Times New Roman" w:cs="Times New Roman"/>
                <w:b/>
                <w:sz w:val="20"/>
                <w:szCs w:val="20"/>
              </w:rPr>
              <w:t>Contract Costs</w:t>
            </w:r>
          </w:p>
        </w:tc>
        <w:tc>
          <w:tcPr>
            <w:tcW w:w="1879" w:type="dxa"/>
          </w:tcPr>
          <w:p w14:paraId="3C0DCC72" w14:textId="742441FF" w:rsidR="00A37FBE" w:rsidRPr="009E2778" w:rsidRDefault="00D614F9" w:rsidP="00194BB2">
            <w:pPr>
              <w:autoSpaceDE w:val="0"/>
              <w:autoSpaceDN w:val="0"/>
              <w:adjustRightInd w:val="0"/>
              <w:spacing w:after="0"/>
              <w:rPr>
                <w:rFonts w:eastAsia="Times New Roman" w:cs="Times New Roman"/>
                <w:sz w:val="20"/>
                <w:szCs w:val="20"/>
              </w:rPr>
            </w:pPr>
            <w:r w:rsidRPr="009E2778">
              <w:rPr>
                <w:rFonts w:eastAsia="Times New Roman" w:cs="Times New Roman"/>
                <w:sz w:val="20"/>
                <w:szCs w:val="20"/>
              </w:rPr>
              <w:t>$30,000</w:t>
            </w:r>
          </w:p>
        </w:tc>
      </w:tr>
      <w:tr w:rsidR="00A37FBE" w:rsidRPr="009E2778" w14:paraId="548DD9AC" w14:textId="77777777" w:rsidTr="00194BB2">
        <w:tc>
          <w:tcPr>
            <w:tcW w:w="7764" w:type="dxa"/>
            <w:gridSpan w:val="3"/>
          </w:tcPr>
          <w:p w14:paraId="59D0D6CE" w14:textId="60E48D4C" w:rsidR="00A37FBE" w:rsidRPr="009E2778" w:rsidRDefault="00A37FBE" w:rsidP="00194BB2">
            <w:pPr>
              <w:autoSpaceDE w:val="0"/>
              <w:autoSpaceDN w:val="0"/>
              <w:adjustRightInd w:val="0"/>
              <w:spacing w:after="0"/>
              <w:rPr>
                <w:rFonts w:eastAsia="Times New Roman" w:cs="Times New Roman"/>
                <w:b/>
                <w:sz w:val="20"/>
                <w:szCs w:val="20"/>
              </w:rPr>
            </w:pPr>
            <w:r w:rsidRPr="009E2778">
              <w:rPr>
                <w:rFonts w:eastAsia="Times New Roman" w:cs="Times New Roman"/>
                <w:b/>
                <w:sz w:val="20"/>
                <w:szCs w:val="20"/>
              </w:rPr>
              <w:t>Total</w:t>
            </w:r>
          </w:p>
        </w:tc>
        <w:tc>
          <w:tcPr>
            <w:tcW w:w="1879" w:type="dxa"/>
          </w:tcPr>
          <w:p w14:paraId="3BCD7853" w14:textId="4FFBB72B" w:rsidR="00A37FBE" w:rsidRPr="009E2778" w:rsidRDefault="00D614F9" w:rsidP="00194BB2">
            <w:pPr>
              <w:autoSpaceDE w:val="0"/>
              <w:autoSpaceDN w:val="0"/>
              <w:adjustRightInd w:val="0"/>
              <w:spacing w:after="0"/>
              <w:rPr>
                <w:rFonts w:eastAsia="Times New Roman" w:cs="Times New Roman"/>
                <w:sz w:val="20"/>
                <w:szCs w:val="20"/>
              </w:rPr>
            </w:pPr>
            <w:r w:rsidRPr="009E2778">
              <w:rPr>
                <w:rFonts w:eastAsia="Times New Roman" w:cs="Times New Roman"/>
                <w:sz w:val="20"/>
                <w:szCs w:val="20"/>
              </w:rPr>
              <w:t>$</w:t>
            </w:r>
            <w:r w:rsidRPr="009E2778">
              <w:rPr>
                <w:rFonts w:eastAsia="Times New Roman" w:cs="Times New Roman"/>
                <w:b/>
                <w:sz w:val="20"/>
                <w:szCs w:val="20"/>
              </w:rPr>
              <w:t>43,7</w:t>
            </w:r>
            <w:r w:rsidR="00C15D9A">
              <w:rPr>
                <w:rFonts w:eastAsia="Times New Roman" w:cs="Times New Roman"/>
                <w:b/>
                <w:sz w:val="20"/>
                <w:szCs w:val="20"/>
              </w:rPr>
              <w:t>0</w:t>
            </w:r>
            <w:r w:rsidRPr="009E2778">
              <w:rPr>
                <w:rFonts w:eastAsia="Times New Roman" w:cs="Times New Roman"/>
                <w:b/>
                <w:sz w:val="20"/>
                <w:szCs w:val="20"/>
              </w:rPr>
              <w:t>0</w:t>
            </w:r>
          </w:p>
        </w:tc>
      </w:tr>
    </w:tbl>
    <w:p w14:paraId="2DE89C29" w14:textId="77777777" w:rsidR="003B063A" w:rsidRPr="009E2778" w:rsidRDefault="003B063A" w:rsidP="0085169D">
      <w:pPr>
        <w:spacing w:after="0"/>
        <w:rPr>
          <w:b/>
        </w:rPr>
      </w:pPr>
    </w:p>
    <w:p w14:paraId="220ED406" w14:textId="4FBB8A4A" w:rsidR="003B063A" w:rsidRPr="009E2778" w:rsidRDefault="00FF72FC" w:rsidP="00830A78">
      <w:pPr>
        <w:spacing w:after="240"/>
        <w:rPr>
          <w:b/>
        </w:rPr>
      </w:pPr>
      <w:r w:rsidRPr="009E2778">
        <w:rPr>
          <w:b/>
        </w:rPr>
        <w:t>A.15</w:t>
      </w:r>
      <w:r w:rsidRPr="009E2778">
        <w:rPr>
          <w:b/>
        </w:rPr>
        <w:tab/>
        <w:t>Explanation for Program Changes or Adjustments</w:t>
      </w:r>
    </w:p>
    <w:p w14:paraId="7234EE85" w14:textId="390EC71C" w:rsidR="00C15D9A" w:rsidRPr="009E2778" w:rsidRDefault="00C15D9A" w:rsidP="00C15D9A">
      <w:pPr>
        <w:spacing w:after="240"/>
      </w:pPr>
      <w:r w:rsidRPr="00EC6D6A">
        <w:rPr>
          <w:highlight w:val="yellow"/>
        </w:rPr>
        <w:t xml:space="preserve">This is a revised information collection request </w:t>
      </w:r>
      <w:r w:rsidR="002C37A8" w:rsidRPr="009E2778">
        <w:rPr>
          <w:lang w:val="x-none"/>
        </w:rPr>
        <w:t xml:space="preserve">to </w:t>
      </w:r>
      <w:r w:rsidR="002C37A8">
        <w:t xml:space="preserve">conduct an evaluation of the second phase of the </w:t>
      </w:r>
      <w:r w:rsidR="002C37A8" w:rsidRPr="009E2778">
        <w:rPr>
          <w:i/>
        </w:rPr>
        <w:t>Palliative Care: Conversations Matter®</w:t>
      </w:r>
      <w:r w:rsidR="002C37A8">
        <w:rPr>
          <w:i/>
        </w:rPr>
        <w:t xml:space="preserve"> </w:t>
      </w:r>
      <w:r w:rsidR="002C37A8">
        <w:t xml:space="preserve">campaign, which involves </w:t>
      </w:r>
      <w:r w:rsidR="002C37A8" w:rsidRPr="009E2778">
        <w:rPr>
          <w:lang w:val="x-none"/>
        </w:rPr>
        <w:t>collect</w:t>
      </w:r>
      <w:r w:rsidR="002C37A8">
        <w:t>ing</w:t>
      </w:r>
      <w:r w:rsidR="002C37A8" w:rsidRPr="009E2778">
        <w:rPr>
          <w:lang w:val="x-none"/>
        </w:rPr>
        <w:t xml:space="preserve"> feedback from </w:t>
      </w:r>
      <w:r w:rsidR="002C37A8" w:rsidRPr="009E2778">
        <w:t>parents and caregivers</w:t>
      </w:r>
      <w:r w:rsidR="002C37A8" w:rsidRPr="009E2778">
        <w:rPr>
          <w:lang w:val="x-none"/>
        </w:rPr>
        <w:t xml:space="preserve"> to ensure that the</w:t>
      </w:r>
      <w:r w:rsidR="002C37A8">
        <w:t xml:space="preserve"> second phase of the</w:t>
      </w:r>
      <w:r w:rsidR="002C37A8" w:rsidRPr="009E2778">
        <w:rPr>
          <w:lang w:val="x-none"/>
        </w:rPr>
        <w:t xml:space="preserve"> </w:t>
      </w:r>
      <w:r w:rsidR="002C37A8" w:rsidRPr="009E2778">
        <w:t xml:space="preserve">campaign </w:t>
      </w:r>
      <w:r w:rsidR="002C37A8" w:rsidRPr="009E2778">
        <w:rPr>
          <w:lang w:val="x-none"/>
        </w:rPr>
        <w:t xml:space="preserve">is effective, relevant, and useful </w:t>
      </w:r>
      <w:r w:rsidR="002C37A8" w:rsidRPr="009E2778">
        <w:t>for</w:t>
      </w:r>
      <w:r w:rsidR="002C37A8" w:rsidRPr="009E2778">
        <w:rPr>
          <w:lang w:val="x-none"/>
        </w:rPr>
        <w:t xml:space="preserve"> </w:t>
      </w:r>
      <w:r w:rsidR="002C37A8" w:rsidRPr="009E2778">
        <w:t xml:space="preserve">this </w:t>
      </w:r>
      <w:r w:rsidR="002C37A8">
        <w:t xml:space="preserve">specific </w:t>
      </w:r>
      <w:r w:rsidR="002C37A8" w:rsidRPr="009E2778">
        <w:t>audience</w:t>
      </w:r>
      <w:r w:rsidR="002C37A8" w:rsidRPr="009E2778">
        <w:rPr>
          <w:lang w:val="x-none"/>
        </w:rPr>
        <w:t xml:space="preserve">. </w:t>
      </w:r>
    </w:p>
    <w:p w14:paraId="44F362E8" w14:textId="77777777" w:rsidR="00FF72FC" w:rsidRPr="009E2778" w:rsidRDefault="00FF72FC" w:rsidP="00830A78">
      <w:pPr>
        <w:pStyle w:val="Heading2"/>
        <w:tabs>
          <w:tab w:val="clear" w:pos="1152"/>
          <w:tab w:val="left" w:pos="720"/>
        </w:tabs>
        <w:spacing w:after="240" w:line="276" w:lineRule="auto"/>
        <w:ind w:left="0" w:firstLine="0"/>
        <w:jc w:val="left"/>
        <w:rPr>
          <w:rFonts w:asciiTheme="minorHAnsi" w:hAnsiTheme="minorHAnsi"/>
          <w:szCs w:val="22"/>
        </w:rPr>
      </w:pPr>
      <w:bookmarkStart w:id="25" w:name="_Toc443881759"/>
      <w:bookmarkStart w:id="26" w:name="_Toc451592246"/>
      <w:bookmarkStart w:id="27" w:name="_Toc5610287"/>
      <w:bookmarkStart w:id="28" w:name="_Toc99178793"/>
      <w:r w:rsidRPr="009E2778">
        <w:rPr>
          <w:rFonts w:asciiTheme="minorHAnsi" w:hAnsiTheme="minorHAnsi"/>
          <w:szCs w:val="22"/>
        </w:rPr>
        <w:t>A.16</w:t>
      </w:r>
      <w:r w:rsidRPr="009E2778">
        <w:rPr>
          <w:rFonts w:asciiTheme="minorHAnsi" w:hAnsiTheme="minorHAnsi"/>
          <w:szCs w:val="22"/>
        </w:rPr>
        <w:tab/>
        <w:t>Plans for Tabulation and Publication and Project Time Schedule</w:t>
      </w:r>
      <w:bookmarkEnd w:id="25"/>
      <w:bookmarkEnd w:id="26"/>
      <w:bookmarkEnd w:id="27"/>
      <w:bookmarkEnd w:id="28"/>
    </w:p>
    <w:p w14:paraId="4826424F" w14:textId="77777777" w:rsidR="00FF72FC" w:rsidRPr="009E2778" w:rsidRDefault="003C2192" w:rsidP="00830A78">
      <w:pPr>
        <w:spacing w:after="240"/>
      </w:pPr>
      <w:r w:rsidRPr="009E2778">
        <w:t>The plan is to deploy the evaluation questionnaire in January 2017 or after OMB approval is received. The project schedule for completing data collection, processing, and data analysis is presented in Table A-16-1.</w:t>
      </w:r>
    </w:p>
    <w:tbl>
      <w:tblPr>
        <w:tblW w:w="5000" w:type="pct"/>
        <w:jc w:val="center"/>
        <w:tblCellMar>
          <w:left w:w="120" w:type="dxa"/>
          <w:right w:w="120" w:type="dxa"/>
        </w:tblCellMar>
        <w:tblLook w:val="0000" w:firstRow="0" w:lastRow="0" w:firstColumn="0" w:lastColumn="0" w:noHBand="0" w:noVBand="0"/>
      </w:tblPr>
      <w:tblGrid>
        <w:gridCol w:w="4131"/>
        <w:gridCol w:w="5507"/>
      </w:tblGrid>
      <w:tr w:rsidR="00FF72FC" w:rsidRPr="009E2778" w14:paraId="42CEC158" w14:textId="77777777" w:rsidTr="00767C53">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7ECABD57" w14:textId="77777777" w:rsidR="00FF72FC" w:rsidRPr="009E2778" w:rsidRDefault="003C2192" w:rsidP="00194BB2">
            <w:pPr>
              <w:spacing w:after="0"/>
              <w:rPr>
                <w:rFonts w:eastAsia="Times New Roman" w:cs="Times New Roman"/>
                <w:b/>
                <w:color w:val="000000" w:themeColor="text1"/>
                <w:sz w:val="20"/>
                <w:szCs w:val="20"/>
              </w:rPr>
            </w:pPr>
            <w:r w:rsidRPr="009E2778">
              <w:rPr>
                <w:rFonts w:eastAsia="Times New Roman" w:cs="Times New Roman"/>
                <w:b/>
                <w:color w:val="000000" w:themeColor="text1"/>
                <w:sz w:val="20"/>
                <w:szCs w:val="20"/>
              </w:rPr>
              <w:t>Table A-16-</w:t>
            </w:r>
            <w:r w:rsidR="00FF72FC" w:rsidRPr="009E2778">
              <w:rPr>
                <w:rFonts w:eastAsia="Times New Roman" w:cs="Times New Roman"/>
                <w:b/>
                <w:color w:val="000000" w:themeColor="text1"/>
                <w:sz w:val="20"/>
                <w:szCs w:val="20"/>
              </w:rPr>
              <w:t>1  Project Time Schedule</w:t>
            </w:r>
          </w:p>
        </w:tc>
      </w:tr>
      <w:tr w:rsidR="00FF72FC" w:rsidRPr="009E2778" w14:paraId="22A0A2DF" w14:textId="77777777" w:rsidTr="00767C53">
        <w:trPr>
          <w:cantSplit/>
          <w:trHeight w:val="403"/>
          <w:jc w:val="center"/>
        </w:trPr>
        <w:tc>
          <w:tcPr>
            <w:tcW w:w="2143" w:type="pct"/>
            <w:tcBorders>
              <w:top w:val="single" w:sz="6" w:space="0" w:color="auto"/>
              <w:left w:val="single" w:sz="4" w:space="0" w:color="auto"/>
            </w:tcBorders>
            <w:shd w:val="pct5" w:color="auto" w:fill="FFFFFF"/>
          </w:tcPr>
          <w:p w14:paraId="10DC27DC" w14:textId="77777777" w:rsidR="00FF72FC" w:rsidRPr="009E2778" w:rsidRDefault="00FF72FC" w:rsidP="00194BB2">
            <w:pPr>
              <w:spacing w:after="0"/>
              <w:rPr>
                <w:rFonts w:eastAsia="Times New Roman" w:cs="Times New Roman"/>
                <w:color w:val="000000" w:themeColor="text1"/>
                <w:sz w:val="20"/>
                <w:szCs w:val="20"/>
              </w:rPr>
            </w:pPr>
            <w:r w:rsidRPr="009E2778">
              <w:rPr>
                <w:rFonts w:eastAsia="Times New Roman" w:cs="Times New Roman"/>
                <w:color w:val="000000" w:themeColor="text1"/>
                <w:sz w:val="20"/>
                <w:szCs w:val="20"/>
              </w:rPr>
              <w:lastRenderedPageBreak/>
              <w:t>Activity</w:t>
            </w:r>
          </w:p>
        </w:tc>
        <w:tc>
          <w:tcPr>
            <w:tcW w:w="2857" w:type="pct"/>
            <w:tcBorders>
              <w:top w:val="single" w:sz="6" w:space="0" w:color="auto"/>
              <w:left w:val="single" w:sz="6" w:space="0" w:color="auto"/>
              <w:right w:val="single" w:sz="4" w:space="0" w:color="auto"/>
            </w:tcBorders>
            <w:shd w:val="pct5" w:color="auto" w:fill="FFFFFF"/>
          </w:tcPr>
          <w:p w14:paraId="68F1E30F" w14:textId="77777777" w:rsidR="00FF72FC" w:rsidRPr="009E2778" w:rsidRDefault="00FF72FC" w:rsidP="00194BB2">
            <w:pPr>
              <w:spacing w:after="0"/>
              <w:rPr>
                <w:rFonts w:eastAsia="Times New Roman" w:cs="Times New Roman"/>
                <w:color w:val="000000" w:themeColor="text1"/>
                <w:sz w:val="20"/>
                <w:szCs w:val="20"/>
              </w:rPr>
            </w:pPr>
            <w:r w:rsidRPr="009E2778">
              <w:rPr>
                <w:rFonts w:eastAsia="Times New Roman" w:cs="Times New Roman"/>
                <w:color w:val="000000" w:themeColor="text1"/>
                <w:sz w:val="20"/>
                <w:szCs w:val="20"/>
              </w:rPr>
              <w:t>Time Schedule</w:t>
            </w:r>
          </w:p>
        </w:tc>
      </w:tr>
      <w:tr w:rsidR="003C2192" w:rsidRPr="009E2778" w14:paraId="0AF58F56"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0795187C" w14:textId="77777777" w:rsidR="003C2192" w:rsidRPr="009E2778" w:rsidRDefault="003C2192" w:rsidP="00194BB2">
            <w:pPr>
              <w:spacing w:after="0"/>
              <w:rPr>
                <w:sz w:val="20"/>
                <w:szCs w:val="20"/>
              </w:rPr>
            </w:pPr>
            <w:r w:rsidRPr="009E2778">
              <w:rPr>
                <w:sz w:val="20"/>
                <w:szCs w:val="20"/>
              </w:rPr>
              <w:t>Begin data collection</w:t>
            </w:r>
          </w:p>
        </w:tc>
        <w:tc>
          <w:tcPr>
            <w:tcW w:w="2857" w:type="pct"/>
            <w:tcBorders>
              <w:top w:val="single" w:sz="6" w:space="0" w:color="auto"/>
              <w:left w:val="single" w:sz="6" w:space="0" w:color="auto"/>
              <w:right w:val="single" w:sz="4" w:space="0" w:color="auto"/>
            </w:tcBorders>
            <w:shd w:val="clear" w:color="auto" w:fill="FFFFFF"/>
          </w:tcPr>
          <w:p w14:paraId="7DD90DDB" w14:textId="77777777" w:rsidR="003C2192" w:rsidRPr="009E2778" w:rsidRDefault="003C2192" w:rsidP="00194BB2">
            <w:pPr>
              <w:spacing w:after="0"/>
              <w:rPr>
                <w:sz w:val="20"/>
                <w:szCs w:val="20"/>
              </w:rPr>
            </w:pPr>
            <w:r w:rsidRPr="009E2778">
              <w:rPr>
                <w:sz w:val="20"/>
                <w:szCs w:val="20"/>
              </w:rPr>
              <w:t>2 weeks after OMB approval</w:t>
            </w:r>
          </w:p>
        </w:tc>
      </w:tr>
      <w:tr w:rsidR="003C2192" w:rsidRPr="009E2778" w14:paraId="2D4965C7"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098884A0" w14:textId="77777777" w:rsidR="003C2192" w:rsidRPr="009E2778" w:rsidRDefault="003C2192" w:rsidP="00194BB2">
            <w:pPr>
              <w:spacing w:after="0"/>
              <w:rPr>
                <w:sz w:val="20"/>
                <w:szCs w:val="20"/>
              </w:rPr>
            </w:pPr>
            <w:r w:rsidRPr="009E2778">
              <w:rPr>
                <w:sz w:val="20"/>
                <w:szCs w:val="20"/>
              </w:rPr>
              <w:t>Finish data collection</w:t>
            </w:r>
          </w:p>
        </w:tc>
        <w:tc>
          <w:tcPr>
            <w:tcW w:w="2857" w:type="pct"/>
            <w:tcBorders>
              <w:top w:val="single" w:sz="6" w:space="0" w:color="auto"/>
              <w:left w:val="single" w:sz="6" w:space="0" w:color="auto"/>
              <w:right w:val="single" w:sz="4" w:space="0" w:color="auto"/>
            </w:tcBorders>
            <w:shd w:val="clear" w:color="auto" w:fill="FFFFFF"/>
          </w:tcPr>
          <w:p w14:paraId="5554B24F" w14:textId="77777777" w:rsidR="003C2192" w:rsidRPr="009E2778" w:rsidRDefault="003C2192" w:rsidP="00194BB2">
            <w:pPr>
              <w:spacing w:after="0"/>
              <w:rPr>
                <w:sz w:val="20"/>
                <w:szCs w:val="20"/>
              </w:rPr>
            </w:pPr>
            <w:r w:rsidRPr="009E2778">
              <w:rPr>
                <w:sz w:val="20"/>
                <w:szCs w:val="20"/>
              </w:rPr>
              <w:t>12-13 months after OMB approval</w:t>
            </w:r>
          </w:p>
        </w:tc>
      </w:tr>
      <w:tr w:rsidR="003C2192" w:rsidRPr="009E2778" w14:paraId="0DCCCECA" w14:textId="77777777" w:rsidTr="00767C53">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73D25E67" w14:textId="77777777" w:rsidR="003C2192" w:rsidRPr="009E2778" w:rsidRDefault="003C2192" w:rsidP="00194BB2">
            <w:pPr>
              <w:spacing w:after="0"/>
              <w:rPr>
                <w:sz w:val="20"/>
                <w:szCs w:val="20"/>
              </w:rPr>
            </w:pPr>
            <w:r w:rsidRPr="009E2778">
              <w:rPr>
                <w:sz w:val="20"/>
                <w:szCs w:val="20"/>
              </w:rPr>
              <w:t>Data analysis &amp; reporting</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687C90D3" w14:textId="77777777" w:rsidR="003C2192" w:rsidRPr="009E2778" w:rsidRDefault="003C2192" w:rsidP="00194BB2">
            <w:pPr>
              <w:spacing w:after="0"/>
              <w:rPr>
                <w:sz w:val="20"/>
                <w:szCs w:val="20"/>
              </w:rPr>
            </w:pPr>
            <w:r w:rsidRPr="009E2778">
              <w:rPr>
                <w:sz w:val="20"/>
                <w:szCs w:val="20"/>
              </w:rPr>
              <w:t>14 months after OMB approval</w:t>
            </w:r>
          </w:p>
        </w:tc>
      </w:tr>
    </w:tbl>
    <w:p w14:paraId="13394D68" w14:textId="77777777" w:rsidR="0085169D" w:rsidRDefault="0085169D" w:rsidP="0085169D">
      <w:pPr>
        <w:pStyle w:val="BodyText"/>
        <w:spacing w:before="0" w:after="0" w:line="276" w:lineRule="auto"/>
        <w:rPr>
          <w:rFonts w:asciiTheme="minorHAnsi" w:eastAsiaTheme="minorHAnsi" w:hAnsiTheme="minorHAnsi" w:cstheme="minorBidi"/>
          <w:sz w:val="22"/>
          <w:szCs w:val="22"/>
          <w:lang w:val="en-US" w:eastAsia="en-US"/>
        </w:rPr>
      </w:pPr>
    </w:p>
    <w:p w14:paraId="16BFBC9F" w14:textId="77777777" w:rsidR="003C2192" w:rsidRPr="009E2778" w:rsidRDefault="003C2192" w:rsidP="00194BB2">
      <w:pPr>
        <w:pStyle w:val="BodyText"/>
        <w:spacing w:before="0" w:after="240" w:line="276" w:lineRule="auto"/>
        <w:rPr>
          <w:rFonts w:asciiTheme="minorHAnsi" w:hAnsiTheme="minorHAnsi"/>
          <w:sz w:val="22"/>
          <w:szCs w:val="22"/>
        </w:rPr>
      </w:pPr>
      <w:r w:rsidRPr="009E2778">
        <w:rPr>
          <w:rFonts w:asciiTheme="minorHAnsi" w:hAnsiTheme="minorHAnsi" w:cs="Arial"/>
          <w:sz w:val="22"/>
          <w:szCs w:val="22"/>
        </w:rPr>
        <w:t>Th</w:t>
      </w:r>
      <w:r w:rsidRPr="009E2778">
        <w:rPr>
          <w:rFonts w:asciiTheme="minorHAnsi" w:hAnsiTheme="minorHAnsi" w:cs="Arial"/>
          <w:sz w:val="22"/>
          <w:szCs w:val="22"/>
          <w:lang w:val="en-US"/>
        </w:rPr>
        <w:t>e</w:t>
      </w:r>
      <w:r w:rsidRPr="009E2778">
        <w:rPr>
          <w:rFonts w:asciiTheme="minorHAnsi" w:hAnsiTheme="minorHAnsi" w:cs="Arial"/>
          <w:sz w:val="22"/>
          <w:szCs w:val="22"/>
        </w:rPr>
        <w:t xml:space="preserve"> survey will obtain data from parents and caregivers who have opted into an online survey panel. Sources of information will be combined to analyze</w:t>
      </w:r>
      <w:r w:rsidRPr="009E2778">
        <w:rPr>
          <w:rFonts w:asciiTheme="minorHAnsi" w:hAnsiTheme="minorHAnsi"/>
          <w:sz w:val="22"/>
          <w:szCs w:val="22"/>
        </w:rPr>
        <w:t xml:space="preserve"> data </w:t>
      </w:r>
      <w:r w:rsidRPr="009E2778">
        <w:rPr>
          <w:rFonts w:asciiTheme="minorHAnsi" w:hAnsiTheme="minorHAnsi"/>
          <w:sz w:val="22"/>
          <w:szCs w:val="22"/>
          <w:lang w:val="en-US"/>
        </w:rPr>
        <w:t>to measure</w:t>
      </w:r>
      <w:r w:rsidRPr="009E2778">
        <w:rPr>
          <w:rFonts w:asciiTheme="minorHAnsi" w:hAnsiTheme="minorHAnsi"/>
          <w:sz w:val="22"/>
          <w:szCs w:val="22"/>
        </w:rPr>
        <w:t xml:space="preserve"> the effectiveness of this communication</w:t>
      </w:r>
      <w:r w:rsidRPr="009E2778">
        <w:rPr>
          <w:rFonts w:asciiTheme="minorHAnsi" w:hAnsiTheme="minorHAnsi"/>
          <w:sz w:val="22"/>
          <w:szCs w:val="22"/>
          <w:lang w:val="en-US"/>
        </w:rPr>
        <w:t>s</w:t>
      </w:r>
      <w:r w:rsidRPr="009E2778">
        <w:rPr>
          <w:rFonts w:asciiTheme="minorHAnsi" w:hAnsiTheme="minorHAnsi"/>
          <w:sz w:val="22"/>
          <w:szCs w:val="22"/>
        </w:rPr>
        <w:t xml:space="preserve"> campaign. </w:t>
      </w:r>
    </w:p>
    <w:p w14:paraId="54B3E718" w14:textId="77777777" w:rsidR="003C2192" w:rsidRPr="009E2778" w:rsidRDefault="003C2192" w:rsidP="00830A78">
      <w:pPr>
        <w:spacing w:after="240"/>
        <w:rPr>
          <w:b/>
          <w:i/>
        </w:rPr>
      </w:pPr>
      <w:r w:rsidRPr="009E2778">
        <w:rPr>
          <w:b/>
          <w:i/>
        </w:rPr>
        <w:t>Analysis Plan</w:t>
      </w:r>
    </w:p>
    <w:p w14:paraId="14B55A90" w14:textId="3B45B01F" w:rsidR="003C2192" w:rsidRPr="009E2778" w:rsidRDefault="003C2192" w:rsidP="00830A78">
      <w:pPr>
        <w:spacing w:after="240"/>
      </w:pPr>
      <w:r w:rsidRPr="009E2778">
        <w:t xml:space="preserve">Quantitative and qualitative data analyses will be </w:t>
      </w:r>
      <w:r w:rsidR="00194BB2" w:rsidRPr="009E2778">
        <w:t>conducted for this evaluation survey</w:t>
      </w:r>
      <w:r w:rsidRPr="009E2778">
        <w:t>.  Quantitative data analysis will include descriptive statistics to describe the frequency and use of campaign materials and categorization of knowledge, attitudes, and self-efficacy of parents and caregivers related to pediatric palliative care discussions. While the majority of data collected via the online surveys will be quantitative, some open-ended questions will be included to collect qualitative data. These questions, such as defining pediatric palliative care, will be coded and categorized and treated as categorized values.</w:t>
      </w:r>
    </w:p>
    <w:p w14:paraId="0C600DCC" w14:textId="77777777" w:rsidR="003C2192" w:rsidRPr="009E2778" w:rsidRDefault="003C2192" w:rsidP="00830A78">
      <w:pPr>
        <w:spacing w:after="240"/>
      </w:pPr>
      <w:r w:rsidRPr="009E2778">
        <w:t xml:space="preserve">At the close of the survey, key findings will be summarized and NINR will draw strategic implications and recommendations. </w:t>
      </w:r>
    </w:p>
    <w:p w14:paraId="5BFE0986" w14:textId="77777777" w:rsidR="00FF72FC" w:rsidRPr="009E2778" w:rsidRDefault="00FF72FC" w:rsidP="00830A78">
      <w:pPr>
        <w:spacing w:after="240"/>
        <w:rPr>
          <w:b/>
        </w:rPr>
      </w:pPr>
      <w:r w:rsidRPr="009E2778">
        <w:rPr>
          <w:b/>
        </w:rPr>
        <w:t>A.17</w:t>
      </w:r>
      <w:r w:rsidRPr="009E2778">
        <w:rPr>
          <w:b/>
        </w:rPr>
        <w:tab/>
        <w:t>Reason(s) Display of OMB Expiration Date is Inappropriate</w:t>
      </w:r>
    </w:p>
    <w:p w14:paraId="3BC03F48" w14:textId="7B8268A7" w:rsidR="003C2192" w:rsidRPr="009E2778" w:rsidRDefault="003C2192" w:rsidP="00830A78">
      <w:pPr>
        <w:spacing w:after="240"/>
        <w:rPr>
          <w:lang w:val="x-none"/>
        </w:rPr>
      </w:pPr>
      <w:r w:rsidRPr="009E2778">
        <w:rPr>
          <w:lang w:val="x-none"/>
        </w:rPr>
        <w:t xml:space="preserve">NINR intends to display the OMB control number and expiration date in the upper right hand corner of the survey.  No waiver is being sought to display the expiration date for OMB approval.  </w:t>
      </w:r>
    </w:p>
    <w:p w14:paraId="594892AF" w14:textId="77777777" w:rsidR="0057480E" w:rsidRPr="009E2778" w:rsidRDefault="00FF72FC" w:rsidP="00830A78">
      <w:pPr>
        <w:spacing w:after="240"/>
        <w:rPr>
          <w:b/>
        </w:rPr>
      </w:pPr>
      <w:r w:rsidRPr="009E2778">
        <w:rPr>
          <w:b/>
        </w:rPr>
        <w:t>A.18</w:t>
      </w:r>
      <w:r w:rsidRPr="009E2778">
        <w:rPr>
          <w:b/>
        </w:rPr>
        <w:tab/>
        <w:t>Exceptions to Certification for Paperwork Reduction Act Submissions</w:t>
      </w:r>
    </w:p>
    <w:p w14:paraId="619A5508" w14:textId="6B00CE54" w:rsidR="00FF72FC" w:rsidRPr="009E2778" w:rsidRDefault="003C2192" w:rsidP="00830A78">
      <w:pPr>
        <w:spacing w:after="240"/>
        <w:rPr>
          <w:lang w:val="x-none"/>
        </w:rPr>
      </w:pPr>
      <w:r w:rsidRPr="009E2778">
        <w:rPr>
          <w:lang w:val="x-none"/>
        </w:rPr>
        <w:t xml:space="preserve">NINR intends to display the OMB control number and expiration date in the upper right hand corner of the survey.  No waiver is being sought to display the expiration date for OMB approval.  </w:t>
      </w:r>
    </w:p>
    <w:sectPr w:rsidR="00FF72FC" w:rsidRPr="009E2778" w:rsidSect="00FE6EA5">
      <w:footerReference w:type="even" r:id="rId10"/>
      <w:footerReference w:type="default" r:id="rId11"/>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D4ED2" w14:textId="77777777" w:rsidR="00D83BAC" w:rsidRDefault="00D83BAC">
      <w:pPr>
        <w:spacing w:after="0" w:line="240" w:lineRule="auto"/>
      </w:pPr>
      <w:r>
        <w:separator/>
      </w:r>
    </w:p>
  </w:endnote>
  <w:endnote w:type="continuationSeparator" w:id="0">
    <w:p w14:paraId="35237881" w14:textId="77777777" w:rsidR="00D83BAC" w:rsidRDefault="00D8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F291" w14:textId="77777777" w:rsidR="00250FC1" w:rsidRDefault="00250FC1" w:rsidP="00351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94B57" w14:textId="77777777" w:rsidR="00250FC1" w:rsidRDefault="00250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FD331" w14:textId="1E3A371A" w:rsidR="00250FC1" w:rsidRDefault="00250FC1" w:rsidP="00351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0AF9">
      <w:rPr>
        <w:rStyle w:val="PageNumber"/>
        <w:noProof/>
      </w:rPr>
      <w:t>1</w:t>
    </w:r>
    <w:r>
      <w:rPr>
        <w:rStyle w:val="PageNumber"/>
      </w:rPr>
      <w:fldChar w:fldCharType="end"/>
    </w:r>
  </w:p>
  <w:p w14:paraId="0635D9D8" w14:textId="77777777" w:rsidR="00250FC1" w:rsidRDefault="00250FC1" w:rsidP="003515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F5BE" w14:textId="77777777" w:rsidR="00D83BAC" w:rsidRDefault="00D83BAC">
      <w:pPr>
        <w:spacing w:after="0" w:line="240" w:lineRule="auto"/>
      </w:pPr>
      <w:r>
        <w:separator/>
      </w:r>
    </w:p>
  </w:footnote>
  <w:footnote w:type="continuationSeparator" w:id="0">
    <w:p w14:paraId="1ED583E5" w14:textId="77777777" w:rsidR="00D83BAC" w:rsidRDefault="00D83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274"/>
    <w:multiLevelType w:val="hybridMultilevel"/>
    <w:tmpl w:val="307A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D400A"/>
    <w:multiLevelType w:val="hybridMultilevel"/>
    <w:tmpl w:val="DDDA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502D3"/>
    <w:multiLevelType w:val="hybridMultilevel"/>
    <w:tmpl w:val="FC3C3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866F2"/>
    <w:multiLevelType w:val="hybridMultilevel"/>
    <w:tmpl w:val="9018528E"/>
    <w:lvl w:ilvl="0" w:tplc="9AE8520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16439"/>
    <w:multiLevelType w:val="hybridMultilevel"/>
    <w:tmpl w:val="B1CA0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6EF2304"/>
    <w:multiLevelType w:val="hybridMultilevel"/>
    <w:tmpl w:val="65806F1C"/>
    <w:lvl w:ilvl="0" w:tplc="2BB662F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2023E"/>
    <w:multiLevelType w:val="hybridMultilevel"/>
    <w:tmpl w:val="0DCEEF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E2F8D"/>
    <w:multiLevelType w:val="hybridMultilevel"/>
    <w:tmpl w:val="E6D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1"/>
  </w:num>
  <w:num w:numId="5">
    <w:abstractNumId w:val="5"/>
  </w:num>
  <w:num w:numId="6">
    <w:abstractNumId w:val="4"/>
  </w:num>
  <w:num w:numId="7">
    <w:abstractNumId w:val="6"/>
  </w:num>
  <w:num w:numId="8">
    <w:abstractNumId w:val="9"/>
  </w:num>
  <w:num w:numId="9">
    <w:abstractNumId w:val="7"/>
  </w:num>
  <w:num w:numId="10">
    <w:abstractNumId w:val="14"/>
  </w:num>
  <w:num w:numId="11">
    <w:abstractNumId w:val="2"/>
  </w:num>
  <w:num w:numId="12">
    <w:abstractNumId w:val="0"/>
  </w:num>
  <w:num w:numId="13">
    <w:abstractNumId w:val="13"/>
  </w:num>
  <w:num w:numId="14">
    <w:abstractNumId w:val="17"/>
  </w:num>
  <w:num w:numId="15">
    <w:abstractNumId w:val="11"/>
  </w:num>
  <w:num w:numId="16">
    <w:abstractNumId w:val="18"/>
  </w:num>
  <w:num w:numId="17">
    <w:abstractNumId w:val="8"/>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43"/>
    <w:rsid w:val="00020F92"/>
    <w:rsid w:val="00024899"/>
    <w:rsid w:val="000349E8"/>
    <w:rsid w:val="0005164E"/>
    <w:rsid w:val="0005297A"/>
    <w:rsid w:val="00060B49"/>
    <w:rsid w:val="0006752F"/>
    <w:rsid w:val="00077045"/>
    <w:rsid w:val="00082815"/>
    <w:rsid w:val="000C0A20"/>
    <w:rsid w:val="000F3043"/>
    <w:rsid w:val="000F50CA"/>
    <w:rsid w:val="000F5921"/>
    <w:rsid w:val="001043E6"/>
    <w:rsid w:val="001244E2"/>
    <w:rsid w:val="00130AF9"/>
    <w:rsid w:val="00131E40"/>
    <w:rsid w:val="00144788"/>
    <w:rsid w:val="00146ADB"/>
    <w:rsid w:val="00160B7F"/>
    <w:rsid w:val="00170EC9"/>
    <w:rsid w:val="00172668"/>
    <w:rsid w:val="0018104D"/>
    <w:rsid w:val="00190C83"/>
    <w:rsid w:val="00194BB2"/>
    <w:rsid w:val="00195414"/>
    <w:rsid w:val="001B4059"/>
    <w:rsid w:val="001B7ABA"/>
    <w:rsid w:val="001D0FF9"/>
    <w:rsid w:val="001D3DD0"/>
    <w:rsid w:val="001E3F3D"/>
    <w:rsid w:val="00202217"/>
    <w:rsid w:val="00216F10"/>
    <w:rsid w:val="00221032"/>
    <w:rsid w:val="00232AA0"/>
    <w:rsid w:val="00250FC1"/>
    <w:rsid w:val="00255F7C"/>
    <w:rsid w:val="0025686C"/>
    <w:rsid w:val="0026340B"/>
    <w:rsid w:val="002670CD"/>
    <w:rsid w:val="00291B8C"/>
    <w:rsid w:val="00292938"/>
    <w:rsid w:val="002968A5"/>
    <w:rsid w:val="002A6DD3"/>
    <w:rsid w:val="002B4FA1"/>
    <w:rsid w:val="002B5FCD"/>
    <w:rsid w:val="002C37A8"/>
    <w:rsid w:val="002C5D4F"/>
    <w:rsid w:val="002F173B"/>
    <w:rsid w:val="002F3B8D"/>
    <w:rsid w:val="002F4317"/>
    <w:rsid w:val="00312856"/>
    <w:rsid w:val="00325F7C"/>
    <w:rsid w:val="00333588"/>
    <w:rsid w:val="00333D4F"/>
    <w:rsid w:val="0035159D"/>
    <w:rsid w:val="00353530"/>
    <w:rsid w:val="0036208F"/>
    <w:rsid w:val="0036402A"/>
    <w:rsid w:val="0037291F"/>
    <w:rsid w:val="00391FFC"/>
    <w:rsid w:val="003B063A"/>
    <w:rsid w:val="003B6CBF"/>
    <w:rsid w:val="003C2192"/>
    <w:rsid w:val="003E23DB"/>
    <w:rsid w:val="004058A8"/>
    <w:rsid w:val="00412E18"/>
    <w:rsid w:val="004253F9"/>
    <w:rsid w:val="00442B5B"/>
    <w:rsid w:val="004535CD"/>
    <w:rsid w:val="004716CF"/>
    <w:rsid w:val="004751AF"/>
    <w:rsid w:val="00497B81"/>
    <w:rsid w:val="004A1E04"/>
    <w:rsid w:val="004A21B9"/>
    <w:rsid w:val="004A747A"/>
    <w:rsid w:val="004C36FD"/>
    <w:rsid w:val="004C4B9F"/>
    <w:rsid w:val="004C5A92"/>
    <w:rsid w:val="004E4368"/>
    <w:rsid w:val="004E6E91"/>
    <w:rsid w:val="00503E3B"/>
    <w:rsid w:val="005150E7"/>
    <w:rsid w:val="00517888"/>
    <w:rsid w:val="005210C5"/>
    <w:rsid w:val="00573B74"/>
    <w:rsid w:val="0057480E"/>
    <w:rsid w:val="005A30B9"/>
    <w:rsid w:val="005C17D2"/>
    <w:rsid w:val="005F4A54"/>
    <w:rsid w:val="006212B2"/>
    <w:rsid w:val="00631679"/>
    <w:rsid w:val="00636EB6"/>
    <w:rsid w:val="00642C0D"/>
    <w:rsid w:val="00656476"/>
    <w:rsid w:val="006649C8"/>
    <w:rsid w:val="006815B8"/>
    <w:rsid w:val="00683D98"/>
    <w:rsid w:val="00685B30"/>
    <w:rsid w:val="006968A0"/>
    <w:rsid w:val="006A45F9"/>
    <w:rsid w:val="006C27A5"/>
    <w:rsid w:val="006F5972"/>
    <w:rsid w:val="007063F8"/>
    <w:rsid w:val="00717158"/>
    <w:rsid w:val="00757721"/>
    <w:rsid w:val="00767C53"/>
    <w:rsid w:val="007A2885"/>
    <w:rsid w:val="007B76EB"/>
    <w:rsid w:val="007D01E5"/>
    <w:rsid w:val="007D11BF"/>
    <w:rsid w:val="007D402F"/>
    <w:rsid w:val="007E6CBD"/>
    <w:rsid w:val="007E7AE5"/>
    <w:rsid w:val="007F1DD8"/>
    <w:rsid w:val="007F7D2A"/>
    <w:rsid w:val="00830A78"/>
    <w:rsid w:val="008359FA"/>
    <w:rsid w:val="008409BF"/>
    <w:rsid w:val="00843A78"/>
    <w:rsid w:val="0085169D"/>
    <w:rsid w:val="00852B14"/>
    <w:rsid w:val="00856C5F"/>
    <w:rsid w:val="0086248B"/>
    <w:rsid w:val="0086389C"/>
    <w:rsid w:val="00894FF4"/>
    <w:rsid w:val="008B0EC6"/>
    <w:rsid w:val="008C26E9"/>
    <w:rsid w:val="008D5FFA"/>
    <w:rsid w:val="008F4AEB"/>
    <w:rsid w:val="00906714"/>
    <w:rsid w:val="0093030B"/>
    <w:rsid w:val="00941822"/>
    <w:rsid w:val="00976490"/>
    <w:rsid w:val="009770F9"/>
    <w:rsid w:val="00984C2C"/>
    <w:rsid w:val="00987F14"/>
    <w:rsid w:val="009914F5"/>
    <w:rsid w:val="009A1669"/>
    <w:rsid w:val="009B350F"/>
    <w:rsid w:val="009B4F08"/>
    <w:rsid w:val="009C3E9D"/>
    <w:rsid w:val="009E2778"/>
    <w:rsid w:val="009E7512"/>
    <w:rsid w:val="009F2B7D"/>
    <w:rsid w:val="00A00005"/>
    <w:rsid w:val="00A00CF8"/>
    <w:rsid w:val="00A117F1"/>
    <w:rsid w:val="00A34B2F"/>
    <w:rsid w:val="00A37FBE"/>
    <w:rsid w:val="00A868AA"/>
    <w:rsid w:val="00A87B7B"/>
    <w:rsid w:val="00A90F22"/>
    <w:rsid w:val="00AC0522"/>
    <w:rsid w:val="00AD71B0"/>
    <w:rsid w:val="00AF7489"/>
    <w:rsid w:val="00AF7750"/>
    <w:rsid w:val="00B00EB3"/>
    <w:rsid w:val="00B03736"/>
    <w:rsid w:val="00B103A3"/>
    <w:rsid w:val="00B20938"/>
    <w:rsid w:val="00B31022"/>
    <w:rsid w:val="00B42AD8"/>
    <w:rsid w:val="00B509AA"/>
    <w:rsid w:val="00B81B66"/>
    <w:rsid w:val="00B91387"/>
    <w:rsid w:val="00B93C77"/>
    <w:rsid w:val="00B96691"/>
    <w:rsid w:val="00BE5EFA"/>
    <w:rsid w:val="00BE683C"/>
    <w:rsid w:val="00BE76A7"/>
    <w:rsid w:val="00BF491C"/>
    <w:rsid w:val="00BF5633"/>
    <w:rsid w:val="00C15D9A"/>
    <w:rsid w:val="00C35D3F"/>
    <w:rsid w:val="00C4778B"/>
    <w:rsid w:val="00C56C5A"/>
    <w:rsid w:val="00C62BDC"/>
    <w:rsid w:val="00C6618A"/>
    <w:rsid w:val="00C76797"/>
    <w:rsid w:val="00CE3707"/>
    <w:rsid w:val="00CF36BD"/>
    <w:rsid w:val="00D10629"/>
    <w:rsid w:val="00D20F7E"/>
    <w:rsid w:val="00D34BE5"/>
    <w:rsid w:val="00D614F9"/>
    <w:rsid w:val="00D616D5"/>
    <w:rsid w:val="00D7280E"/>
    <w:rsid w:val="00D83BAC"/>
    <w:rsid w:val="00DA3E00"/>
    <w:rsid w:val="00DA48C5"/>
    <w:rsid w:val="00DB1217"/>
    <w:rsid w:val="00DC6C09"/>
    <w:rsid w:val="00DE5570"/>
    <w:rsid w:val="00E01D41"/>
    <w:rsid w:val="00E03967"/>
    <w:rsid w:val="00E10E41"/>
    <w:rsid w:val="00E1755A"/>
    <w:rsid w:val="00E25A5F"/>
    <w:rsid w:val="00E35DD1"/>
    <w:rsid w:val="00E56374"/>
    <w:rsid w:val="00E60B4B"/>
    <w:rsid w:val="00E67B10"/>
    <w:rsid w:val="00E72390"/>
    <w:rsid w:val="00E72F55"/>
    <w:rsid w:val="00E81306"/>
    <w:rsid w:val="00E85DCB"/>
    <w:rsid w:val="00EA37D2"/>
    <w:rsid w:val="00EB673D"/>
    <w:rsid w:val="00EB6AE2"/>
    <w:rsid w:val="00EE245F"/>
    <w:rsid w:val="00EE4852"/>
    <w:rsid w:val="00EE6B70"/>
    <w:rsid w:val="00EF253E"/>
    <w:rsid w:val="00F33485"/>
    <w:rsid w:val="00F35854"/>
    <w:rsid w:val="00F841F7"/>
    <w:rsid w:val="00F971B8"/>
    <w:rsid w:val="00FA5185"/>
    <w:rsid w:val="00FB346E"/>
    <w:rsid w:val="00FD6484"/>
    <w:rsid w:val="00FE50CA"/>
    <w:rsid w:val="00FE6EA5"/>
    <w:rsid w:val="00FF72FC"/>
    <w:rsid w:val="00FF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56BBDE9"/>
  <w15:docId w15:val="{19C3E6B5-71AE-4C15-AD0A-DEE05CD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6A7"/>
  </w:style>
  <w:style w:type="paragraph" w:styleId="Heading1">
    <w:name w:val="heading 1"/>
    <w:basedOn w:val="Normal"/>
    <w:next w:val="Normal"/>
    <w:link w:val="Heading1Char"/>
    <w:uiPriority w:val="9"/>
    <w:qFormat/>
    <w:rsid w:val="001B7A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01D41"/>
    <w:pPr>
      <w:spacing w:before="120" w:after="120" w:line="240" w:lineRule="auto"/>
    </w:pPr>
    <w:rPr>
      <w:rFonts w:ascii="Times New Roman" w:eastAsia="MS Mincho" w:hAnsi="Times New Roman" w:cs="Times New Roman"/>
      <w:sz w:val="24"/>
      <w:szCs w:val="24"/>
      <w:lang w:val="x-none" w:eastAsia="ja-JP"/>
    </w:rPr>
  </w:style>
  <w:style w:type="character" w:customStyle="1" w:styleId="BodyTextChar">
    <w:name w:val="Body Text Char"/>
    <w:basedOn w:val="DefaultParagraphFont"/>
    <w:link w:val="BodyText"/>
    <w:rsid w:val="00E01D41"/>
    <w:rPr>
      <w:rFonts w:ascii="Times New Roman" w:eastAsia="MS Mincho" w:hAnsi="Times New Roman" w:cs="Times New Roman"/>
      <w:sz w:val="24"/>
      <w:szCs w:val="24"/>
      <w:lang w:val="x-none" w:eastAsia="ja-JP"/>
    </w:rPr>
  </w:style>
  <w:style w:type="character" w:customStyle="1" w:styleId="ListParagraphChar">
    <w:name w:val="List Paragraph Char"/>
    <w:link w:val="ListParagraph"/>
    <w:uiPriority w:val="34"/>
    <w:locked/>
    <w:rsid w:val="007D01E5"/>
  </w:style>
  <w:style w:type="character" w:styleId="FollowedHyperlink">
    <w:name w:val="FollowedHyperlink"/>
    <w:basedOn w:val="DefaultParagraphFont"/>
    <w:uiPriority w:val="99"/>
    <w:semiHidden/>
    <w:unhideWhenUsed/>
    <w:rsid w:val="004A21B9"/>
    <w:rPr>
      <w:color w:val="800080" w:themeColor="followedHyperlink"/>
      <w:u w:val="single"/>
    </w:rPr>
  </w:style>
  <w:style w:type="character" w:styleId="CommentReference">
    <w:name w:val="annotation reference"/>
    <w:basedOn w:val="DefaultParagraphFont"/>
    <w:uiPriority w:val="99"/>
    <w:semiHidden/>
    <w:unhideWhenUsed/>
    <w:rsid w:val="00984C2C"/>
    <w:rPr>
      <w:sz w:val="16"/>
      <w:szCs w:val="16"/>
    </w:rPr>
  </w:style>
  <w:style w:type="paragraph" w:styleId="CommentText">
    <w:name w:val="annotation text"/>
    <w:basedOn w:val="Normal"/>
    <w:link w:val="CommentTextChar"/>
    <w:uiPriority w:val="99"/>
    <w:semiHidden/>
    <w:unhideWhenUsed/>
    <w:rsid w:val="00984C2C"/>
    <w:pPr>
      <w:spacing w:line="240" w:lineRule="auto"/>
    </w:pPr>
    <w:rPr>
      <w:sz w:val="20"/>
      <w:szCs w:val="20"/>
    </w:rPr>
  </w:style>
  <w:style w:type="character" w:customStyle="1" w:styleId="CommentTextChar">
    <w:name w:val="Comment Text Char"/>
    <w:basedOn w:val="DefaultParagraphFont"/>
    <w:link w:val="CommentText"/>
    <w:uiPriority w:val="99"/>
    <w:semiHidden/>
    <w:rsid w:val="00984C2C"/>
    <w:rPr>
      <w:sz w:val="20"/>
      <w:szCs w:val="20"/>
    </w:rPr>
  </w:style>
  <w:style w:type="paragraph" w:styleId="CommentSubject">
    <w:name w:val="annotation subject"/>
    <w:basedOn w:val="CommentText"/>
    <w:next w:val="CommentText"/>
    <w:link w:val="CommentSubjectChar"/>
    <w:uiPriority w:val="99"/>
    <w:semiHidden/>
    <w:unhideWhenUsed/>
    <w:rsid w:val="00984C2C"/>
    <w:rPr>
      <w:b/>
      <w:bCs/>
    </w:rPr>
  </w:style>
  <w:style w:type="character" w:customStyle="1" w:styleId="CommentSubjectChar">
    <w:name w:val="Comment Subject Char"/>
    <w:basedOn w:val="CommentTextChar"/>
    <w:link w:val="CommentSubject"/>
    <w:uiPriority w:val="99"/>
    <w:semiHidden/>
    <w:rsid w:val="00984C2C"/>
    <w:rPr>
      <w:b/>
      <w:bCs/>
      <w:sz w:val="20"/>
      <w:szCs w:val="20"/>
    </w:rPr>
  </w:style>
  <w:style w:type="character" w:customStyle="1" w:styleId="Heading1Char">
    <w:name w:val="Heading 1 Char"/>
    <w:basedOn w:val="DefaultParagraphFont"/>
    <w:link w:val="Heading1"/>
    <w:uiPriority w:val="9"/>
    <w:rsid w:val="001B7ABA"/>
    <w:rPr>
      <w:rFonts w:asciiTheme="majorHAnsi" w:eastAsiaTheme="majorEastAsia" w:hAnsiTheme="majorHAnsi" w:cstheme="majorBidi"/>
      <w:color w:val="365F91" w:themeColor="accent1" w:themeShade="BF"/>
      <w:sz w:val="32"/>
      <w:szCs w:val="32"/>
    </w:rPr>
  </w:style>
  <w:style w:type="character" w:customStyle="1" w:styleId="page">
    <w:name w:val="page"/>
    <w:basedOn w:val="DefaultParagraphFont"/>
    <w:rsid w:val="0033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71453">
      <w:bodyDiv w:val="1"/>
      <w:marLeft w:val="0"/>
      <w:marRight w:val="0"/>
      <w:marTop w:val="0"/>
      <w:marBottom w:val="0"/>
      <w:divBdr>
        <w:top w:val="none" w:sz="0" w:space="0" w:color="auto"/>
        <w:left w:val="none" w:sz="0" w:space="0" w:color="auto"/>
        <w:bottom w:val="none" w:sz="0" w:space="0" w:color="auto"/>
        <w:right w:val="none" w:sz="0" w:space="0" w:color="auto"/>
      </w:divBdr>
    </w:div>
    <w:div w:id="442916434">
      <w:bodyDiv w:val="1"/>
      <w:marLeft w:val="0"/>
      <w:marRight w:val="0"/>
      <w:marTop w:val="0"/>
      <w:marBottom w:val="0"/>
      <w:divBdr>
        <w:top w:val="none" w:sz="0" w:space="0" w:color="auto"/>
        <w:left w:val="none" w:sz="0" w:space="0" w:color="auto"/>
        <w:bottom w:val="none" w:sz="0" w:space="0" w:color="auto"/>
        <w:right w:val="none" w:sz="0" w:space="0" w:color="auto"/>
      </w:divBdr>
    </w:div>
    <w:div w:id="1060790920">
      <w:bodyDiv w:val="1"/>
      <w:marLeft w:val="0"/>
      <w:marRight w:val="0"/>
      <w:marTop w:val="0"/>
      <w:marBottom w:val="0"/>
      <w:divBdr>
        <w:top w:val="none" w:sz="0" w:space="0" w:color="auto"/>
        <w:left w:val="none" w:sz="0" w:space="0" w:color="auto"/>
        <w:bottom w:val="none" w:sz="0" w:space="0" w:color="auto"/>
        <w:right w:val="none" w:sz="0" w:space="0" w:color="auto"/>
      </w:divBdr>
    </w:div>
    <w:div w:id="1279338550">
      <w:bodyDiv w:val="1"/>
      <w:marLeft w:val="0"/>
      <w:marRight w:val="0"/>
      <w:marTop w:val="0"/>
      <w:marBottom w:val="0"/>
      <w:divBdr>
        <w:top w:val="none" w:sz="0" w:space="0" w:color="auto"/>
        <w:left w:val="none" w:sz="0" w:space="0" w:color="auto"/>
        <w:bottom w:val="none" w:sz="0" w:space="0" w:color="auto"/>
        <w:right w:val="none" w:sz="0" w:space="0" w:color="auto"/>
      </w:divBdr>
    </w:div>
    <w:div w:id="1470127319">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60989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enne.burroughs@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Finegold, Diana (NIH/NINR) [E]</cp:lastModifiedBy>
  <cp:revision>5</cp:revision>
  <cp:lastPrinted>2016-07-07T17:16:00Z</cp:lastPrinted>
  <dcterms:created xsi:type="dcterms:W3CDTF">2016-08-02T17:41:00Z</dcterms:created>
  <dcterms:modified xsi:type="dcterms:W3CDTF">2016-09-07T17:12:00Z</dcterms:modified>
</cp:coreProperties>
</file>