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Default="00EB302A">
      <w:r>
        <w:t xml:space="preserve"> </w:t>
      </w:r>
    </w:p>
    <w:p w:rsidR="00EB302A" w:rsidRPr="003863B8" w:rsidRDefault="00EB302A" w:rsidP="00EB3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right="288"/>
        <w:jc w:val="center"/>
        <w:rPr>
          <w:rFonts w:eastAsia="Times New Roman" w:cs="Times New Roman"/>
          <w:b/>
          <w:sz w:val="28"/>
          <w:szCs w:val="28"/>
        </w:rPr>
      </w:pPr>
      <w:r w:rsidRPr="00EB302A">
        <w:rPr>
          <w:rFonts w:eastAsia="Times New Roman" w:cs="Times New Roman"/>
          <w:b/>
          <w:sz w:val="28"/>
          <w:szCs w:val="28"/>
        </w:rPr>
        <w:t>Assessment to Estimate the Effect of Community-Wide Vector Control Initiatives on Zika Virus Transmission in Puerto Rico, 2016</w:t>
      </w:r>
    </w:p>
    <w:p w:rsidR="00EB302A" w:rsidRPr="003863B8" w:rsidRDefault="00EB302A" w:rsidP="00EB3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right="288"/>
        <w:jc w:val="center"/>
        <w:rPr>
          <w:rFonts w:eastAsia="Times New Roman" w:cs="Times New Roman"/>
          <w:b/>
          <w:sz w:val="28"/>
          <w:szCs w:val="28"/>
        </w:rPr>
      </w:pPr>
      <w:r w:rsidRPr="003863B8">
        <w:rPr>
          <w:rFonts w:eastAsia="Times New Roman" w:cs="Times New Roman"/>
          <w:b/>
          <w:sz w:val="28"/>
          <w:szCs w:val="28"/>
        </w:rPr>
        <w:t>0920-1137</w:t>
      </w:r>
    </w:p>
    <w:p w:rsidR="00EB302A" w:rsidRPr="003863B8" w:rsidRDefault="00EB302A" w:rsidP="00EB3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right="288"/>
        <w:jc w:val="center"/>
        <w:rPr>
          <w:rFonts w:eastAsia="Times New Roman" w:cs="Times New Roman"/>
          <w:b/>
          <w:sz w:val="28"/>
          <w:szCs w:val="28"/>
        </w:rPr>
      </w:pPr>
      <w:proofErr w:type="spellStart"/>
      <w:r w:rsidRPr="003863B8">
        <w:rPr>
          <w:rFonts w:eastAsia="Times New Roman" w:cs="Times New Roman"/>
          <w:b/>
          <w:sz w:val="28"/>
          <w:szCs w:val="28"/>
        </w:rPr>
        <w:t>Exp</w:t>
      </w:r>
      <w:proofErr w:type="spellEnd"/>
      <w:r w:rsidRPr="003863B8">
        <w:rPr>
          <w:rFonts w:eastAsia="Times New Roman" w:cs="Times New Roman"/>
          <w:b/>
          <w:sz w:val="28"/>
          <w:szCs w:val="28"/>
        </w:rPr>
        <w:t xml:space="preserve"> Date: 03/31/2017</w:t>
      </w:r>
    </w:p>
    <w:p w:rsidR="00EB302A" w:rsidRPr="003863B8" w:rsidRDefault="00EB302A" w:rsidP="00EB3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right="288"/>
        <w:jc w:val="center"/>
        <w:rPr>
          <w:rFonts w:eastAsia="Times New Roman" w:cs="Times New Roman"/>
          <w:b/>
          <w:sz w:val="32"/>
          <w:szCs w:val="32"/>
        </w:rPr>
      </w:pPr>
    </w:p>
    <w:p w:rsidR="00EB302A" w:rsidRPr="00EB302A" w:rsidRDefault="00EB302A" w:rsidP="00EB3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right="288"/>
        <w:rPr>
          <w:rFonts w:eastAsia="Times New Roman" w:cs="Times New Roman"/>
          <w:b/>
        </w:rPr>
      </w:pPr>
      <w:r w:rsidRPr="003863B8">
        <w:rPr>
          <w:rFonts w:eastAsia="Times New Roman" w:cs="Times New Roman"/>
          <w:b/>
        </w:rPr>
        <w:t>Circumstances of Change Request:</w:t>
      </w:r>
    </w:p>
    <w:p w:rsidR="00EB302A" w:rsidRPr="003863B8" w:rsidRDefault="003863B8" w:rsidP="00EB302A">
      <w:pPr>
        <w:spacing w:before="120" w:after="240"/>
        <w:rPr>
          <w:rFonts w:eastAsia="Times New Roman" w:cs="Times New Roman"/>
          <w:sz w:val="24"/>
          <w:szCs w:val="24"/>
        </w:rPr>
      </w:pPr>
      <w:r w:rsidRPr="003863B8">
        <w:t xml:space="preserve">In Puerto Rico, we know that </w:t>
      </w:r>
      <w:r w:rsidR="00EB302A" w:rsidRPr="003863B8">
        <w:t xml:space="preserve">household-based cluster investigations have limitations because only people that are home at the time of the contact attempt have the opportunity to participate in the study. </w:t>
      </w:r>
      <w:r w:rsidRPr="003863B8">
        <w:t>Additionally, many people offered</w:t>
      </w:r>
      <w:r w:rsidR="00EB302A" w:rsidRPr="003863B8">
        <w:t xml:space="preserve"> participation refuse to participate because they are required to provide a blood sample. Also, parents may be reluctant to allow children to participate because they have to give a blood sample. Given this issue, </w:t>
      </w:r>
      <w:r w:rsidRPr="003863B8">
        <w:t>it would be helpful</w:t>
      </w:r>
      <w:r w:rsidR="00EB302A" w:rsidRPr="003863B8">
        <w:t xml:space="preserve"> to collect demographics of refusing households in order to understand differences from participating households.</w:t>
      </w:r>
    </w:p>
    <w:p w:rsidR="00EB302A" w:rsidRPr="00EB302A" w:rsidRDefault="00EB302A" w:rsidP="00EB302A">
      <w:pPr>
        <w:spacing w:before="120" w:after="240"/>
        <w:rPr>
          <w:rFonts w:eastAsia="Times New Roman" w:cs="Times New Roman"/>
          <w:sz w:val="24"/>
          <w:szCs w:val="24"/>
        </w:rPr>
      </w:pPr>
      <w:r w:rsidRPr="00EB302A">
        <w:rPr>
          <w:rFonts w:eastAsia="Times New Roman" w:cs="Times New Roman"/>
          <w:sz w:val="24"/>
          <w:szCs w:val="24"/>
        </w:rPr>
        <w:t xml:space="preserve">For homes that are offered enrollment and refuse to participate we will gather categorical demographic information on sex and age of the household inhabitants. This will allow us to compare demographic makeup of the participants to those that refuse. Based on a refusal rate of 32% during the Chikungunya cluster investigation, we expect roughly 100 homes will refuse participation.   </w:t>
      </w:r>
    </w:p>
    <w:p w:rsidR="003863B8" w:rsidRPr="00614981" w:rsidRDefault="003863B8" w:rsidP="003863B8">
      <w:pPr>
        <w:spacing w:before="120" w:after="0"/>
        <w:rPr>
          <w:rFonts w:eastAsia="Times New Roman" w:cs="Times New Roman"/>
          <w:b/>
        </w:rPr>
      </w:pPr>
      <w:r w:rsidRPr="00614981">
        <w:rPr>
          <w:rFonts w:eastAsia="Times New Roman" w:cs="Times New Roman"/>
          <w:b/>
        </w:rPr>
        <w:t>New Form:</w:t>
      </w:r>
    </w:p>
    <w:p w:rsidR="003863B8" w:rsidRPr="003863B8" w:rsidRDefault="003863B8" w:rsidP="003863B8">
      <w:r w:rsidRPr="003863B8">
        <w:t>We are</w:t>
      </w:r>
      <w:r w:rsidRPr="003863B8">
        <w:t xml:space="preserve"> requesting to add </w:t>
      </w:r>
      <w:r w:rsidRPr="003863B8">
        <w:t>a short form to capture the basic demographic information for households that refuse, in order to try to understand if refusing households differ substantially from participating households.</w:t>
      </w:r>
      <w:r w:rsidRPr="003863B8">
        <w:t xml:space="preserve"> </w:t>
      </w:r>
      <w:proofErr w:type="gramStart"/>
      <w:r w:rsidRPr="003863B8">
        <w:t>how</w:t>
      </w:r>
      <w:proofErr w:type="gramEnd"/>
      <w:r w:rsidRPr="003863B8">
        <w:t xml:space="preserve"> many people live in their home in 3 different age categories for both males and females: minors &lt;21 years old, adults 21-64 years old, and seniors 65+. This information will help us understand if the demographics of the people that participate are similar or not to the demographics of people that refuse to participate. We will not be able to gather any information on homes that are unoccupied at the time of encounter.</w:t>
      </w:r>
    </w:p>
    <w:p w:rsidR="00EB302A" w:rsidRPr="00EB302A" w:rsidRDefault="00EB302A" w:rsidP="00EB302A">
      <w:pPr>
        <w:spacing w:before="120" w:after="240"/>
        <w:rPr>
          <w:rFonts w:eastAsia="Times New Roman" w:cs="Times New Roman"/>
          <w:sz w:val="24"/>
          <w:szCs w:val="24"/>
        </w:rPr>
      </w:pPr>
      <w:r w:rsidRPr="00614981">
        <w:rPr>
          <w:rFonts w:eastAsia="Times New Roman" w:cs="Times New Roman"/>
          <w:b/>
          <w:sz w:val="24"/>
          <w:szCs w:val="24"/>
        </w:rPr>
        <w:t>New burden</w:t>
      </w:r>
      <w:r w:rsidRPr="00614981">
        <w:rPr>
          <w:rFonts w:eastAsia="Times New Roman" w:cs="Times New Roman"/>
          <w:sz w:val="24"/>
          <w:szCs w:val="24"/>
        </w:rPr>
        <w:t xml:space="preserve"> </w:t>
      </w:r>
      <w:r w:rsidRPr="003863B8">
        <w:rPr>
          <w:rFonts w:eastAsia="Times New Roman" w:cs="Times New Roman"/>
          <w:sz w:val="24"/>
          <w:szCs w:val="24"/>
        </w:rPr>
        <w:t>is highlighted below</w:t>
      </w:r>
      <w:r w:rsidR="003863B8" w:rsidRPr="003863B8">
        <w:rPr>
          <w:rFonts w:eastAsia="Times New Roman" w:cs="Times New Roman"/>
          <w:sz w:val="24"/>
          <w:szCs w:val="24"/>
        </w:rPr>
        <w:t xml:space="preserve"> – an increase in 3 hours.</w:t>
      </w:r>
    </w:p>
    <w:tbl>
      <w:tblPr>
        <w:tblStyle w:val="TableGrid"/>
        <w:tblW w:w="9576" w:type="dxa"/>
        <w:tblLayout w:type="fixed"/>
        <w:tblLook w:val="04A0" w:firstRow="1" w:lastRow="0" w:firstColumn="1" w:lastColumn="0" w:noHBand="0" w:noVBand="1"/>
      </w:tblPr>
      <w:tblGrid>
        <w:gridCol w:w="1705"/>
        <w:gridCol w:w="1620"/>
        <w:gridCol w:w="1463"/>
        <w:gridCol w:w="1687"/>
        <w:gridCol w:w="1505"/>
        <w:gridCol w:w="1596"/>
      </w:tblGrid>
      <w:tr w:rsidR="00EB302A" w:rsidRPr="00EB302A" w:rsidTr="00D9428D">
        <w:tc>
          <w:tcPr>
            <w:tcW w:w="1705" w:type="dxa"/>
            <w:vAlign w:val="center"/>
          </w:tcPr>
          <w:p w:rsidR="00EB302A" w:rsidRPr="00EB302A" w:rsidRDefault="00EB302A" w:rsidP="00EB302A">
            <w:pPr>
              <w:spacing w:before="120"/>
              <w:rPr>
                <w:rFonts w:eastAsia="Times New Roman" w:cs="Times New Roman"/>
                <w:b/>
                <w:sz w:val="24"/>
                <w:szCs w:val="24"/>
              </w:rPr>
            </w:pPr>
            <w:r w:rsidRPr="00EB302A">
              <w:rPr>
                <w:rFonts w:eastAsia="Times New Roman" w:cs="Times New Roman"/>
                <w:sz w:val="24"/>
                <w:szCs w:val="24"/>
              </w:rPr>
              <w:t>Type of Respondent</w:t>
            </w:r>
          </w:p>
        </w:tc>
        <w:tc>
          <w:tcPr>
            <w:tcW w:w="1620" w:type="dxa"/>
            <w:shd w:val="clear" w:color="auto" w:fill="auto"/>
            <w:vAlign w:val="center"/>
          </w:tcPr>
          <w:p w:rsidR="00EB302A" w:rsidRPr="00EB302A" w:rsidRDefault="00EB302A" w:rsidP="00EB302A">
            <w:pPr>
              <w:spacing w:before="120"/>
              <w:rPr>
                <w:rFonts w:cs="Times New Roman"/>
                <w:sz w:val="24"/>
                <w:szCs w:val="24"/>
              </w:rPr>
            </w:pPr>
            <w:r w:rsidRPr="00EB302A">
              <w:rPr>
                <w:rFonts w:eastAsia="Times New Roman" w:cs="Times New Roman"/>
                <w:sz w:val="24"/>
                <w:szCs w:val="24"/>
              </w:rPr>
              <w:t>Form</w:t>
            </w:r>
          </w:p>
          <w:p w:rsidR="00EB302A" w:rsidRPr="00EB302A" w:rsidRDefault="00EB302A" w:rsidP="00EB302A">
            <w:pPr>
              <w:spacing w:before="120"/>
              <w:rPr>
                <w:rFonts w:eastAsia="Times New Roman" w:cs="Times New Roman"/>
                <w:b/>
                <w:sz w:val="24"/>
                <w:szCs w:val="24"/>
              </w:rPr>
            </w:pPr>
            <w:r w:rsidRPr="00EB302A">
              <w:rPr>
                <w:rFonts w:eastAsia="Times New Roman" w:cs="Times New Roman"/>
                <w:sz w:val="24"/>
                <w:szCs w:val="24"/>
              </w:rPr>
              <w:t>Name</w:t>
            </w:r>
          </w:p>
        </w:tc>
        <w:tc>
          <w:tcPr>
            <w:tcW w:w="1463" w:type="dxa"/>
            <w:shd w:val="clear" w:color="auto" w:fill="auto"/>
            <w:vAlign w:val="center"/>
          </w:tcPr>
          <w:p w:rsidR="00EB302A" w:rsidRPr="00EB302A" w:rsidRDefault="00EB302A" w:rsidP="00EB302A">
            <w:pPr>
              <w:spacing w:before="120"/>
              <w:rPr>
                <w:rFonts w:eastAsia="Times New Roman" w:cs="Times New Roman"/>
                <w:b/>
                <w:sz w:val="24"/>
                <w:szCs w:val="24"/>
              </w:rPr>
            </w:pPr>
            <w:r w:rsidRPr="00EB302A">
              <w:rPr>
                <w:rFonts w:eastAsia="Times New Roman" w:cs="Times New Roman"/>
                <w:sz w:val="24"/>
                <w:szCs w:val="24"/>
              </w:rPr>
              <w:t>No. of Respondents</w:t>
            </w:r>
          </w:p>
        </w:tc>
        <w:tc>
          <w:tcPr>
            <w:tcW w:w="1687" w:type="dxa"/>
            <w:shd w:val="clear" w:color="auto" w:fill="auto"/>
            <w:vAlign w:val="center"/>
          </w:tcPr>
          <w:p w:rsidR="00EB302A" w:rsidRPr="00EB302A" w:rsidRDefault="00EB302A" w:rsidP="00EB302A">
            <w:pPr>
              <w:spacing w:before="120"/>
              <w:rPr>
                <w:rFonts w:eastAsia="Times New Roman" w:cs="Times New Roman"/>
                <w:b/>
                <w:sz w:val="24"/>
                <w:szCs w:val="24"/>
              </w:rPr>
            </w:pPr>
            <w:r w:rsidRPr="00EB302A">
              <w:rPr>
                <w:rFonts w:eastAsia="Times New Roman" w:cs="Times New Roman"/>
                <w:sz w:val="24"/>
                <w:szCs w:val="24"/>
              </w:rPr>
              <w:t>No. of Responses per Respondent</w:t>
            </w:r>
          </w:p>
        </w:tc>
        <w:tc>
          <w:tcPr>
            <w:tcW w:w="1505" w:type="dxa"/>
            <w:shd w:val="clear" w:color="auto" w:fill="auto"/>
            <w:vAlign w:val="center"/>
          </w:tcPr>
          <w:p w:rsidR="00EB302A" w:rsidRPr="00EB302A" w:rsidRDefault="00EB302A" w:rsidP="00EB302A">
            <w:pPr>
              <w:spacing w:before="120"/>
              <w:rPr>
                <w:rFonts w:eastAsia="Times New Roman" w:cs="Times New Roman"/>
                <w:b/>
                <w:sz w:val="24"/>
                <w:szCs w:val="24"/>
              </w:rPr>
            </w:pPr>
            <w:r w:rsidRPr="00EB302A">
              <w:rPr>
                <w:rFonts w:eastAsia="Times New Roman" w:cs="Times New Roman"/>
                <w:sz w:val="24"/>
                <w:szCs w:val="24"/>
              </w:rPr>
              <w:t>Average Burden per Response (in hours)</w:t>
            </w:r>
          </w:p>
        </w:tc>
        <w:tc>
          <w:tcPr>
            <w:tcW w:w="1596" w:type="dxa"/>
            <w:shd w:val="clear" w:color="auto" w:fill="auto"/>
            <w:vAlign w:val="center"/>
          </w:tcPr>
          <w:p w:rsidR="00EB302A" w:rsidRPr="00EB302A" w:rsidRDefault="00EB302A" w:rsidP="00EB302A">
            <w:pPr>
              <w:spacing w:before="120"/>
              <w:rPr>
                <w:rFonts w:eastAsia="Times New Roman" w:cs="Times New Roman"/>
                <w:b/>
                <w:sz w:val="24"/>
                <w:szCs w:val="24"/>
              </w:rPr>
            </w:pPr>
            <w:r w:rsidRPr="00EB302A">
              <w:rPr>
                <w:rFonts w:eastAsia="Times New Roman" w:cs="Times New Roman"/>
                <w:sz w:val="24"/>
                <w:szCs w:val="24"/>
              </w:rPr>
              <w:t>Total Burden Hours</w:t>
            </w:r>
          </w:p>
        </w:tc>
      </w:tr>
      <w:tr w:rsidR="00EB302A" w:rsidRPr="00EB302A" w:rsidTr="00D9428D">
        <w:tc>
          <w:tcPr>
            <w:tcW w:w="1705" w:type="dxa"/>
            <w:vMerge w:val="restart"/>
            <w:vAlign w:val="center"/>
          </w:tcPr>
          <w:p w:rsidR="00EB302A" w:rsidRPr="00EB302A" w:rsidRDefault="00EB302A" w:rsidP="00EB302A">
            <w:pPr>
              <w:spacing w:before="120"/>
              <w:rPr>
                <w:rFonts w:eastAsia="Times New Roman" w:cs="Times New Roman"/>
                <w:sz w:val="24"/>
                <w:szCs w:val="24"/>
              </w:rPr>
            </w:pPr>
            <w:r w:rsidRPr="00EB302A">
              <w:rPr>
                <w:rFonts w:eastAsia="Times New Roman" w:cs="Times New Roman"/>
                <w:sz w:val="24"/>
                <w:szCs w:val="24"/>
              </w:rPr>
              <w:t>General public</w:t>
            </w:r>
          </w:p>
        </w:tc>
        <w:tc>
          <w:tcPr>
            <w:tcW w:w="1620" w:type="dxa"/>
            <w:shd w:val="clear" w:color="auto" w:fill="auto"/>
          </w:tcPr>
          <w:p w:rsidR="00EB302A" w:rsidRPr="00EB302A" w:rsidRDefault="00EB302A" w:rsidP="00EB302A">
            <w:pPr>
              <w:spacing w:before="120"/>
              <w:rPr>
                <w:rFonts w:eastAsia="Times New Roman" w:cs="Times New Roman"/>
                <w:color w:val="000000"/>
                <w:sz w:val="24"/>
                <w:szCs w:val="24"/>
              </w:rPr>
            </w:pPr>
            <w:r w:rsidRPr="00EB302A">
              <w:rPr>
                <w:rFonts w:eastAsia="Times New Roman" w:cs="Times New Roman"/>
                <w:color w:val="000000"/>
                <w:sz w:val="24"/>
                <w:szCs w:val="24"/>
              </w:rPr>
              <w:t>Household questionnaire</w:t>
            </w:r>
          </w:p>
        </w:tc>
        <w:tc>
          <w:tcPr>
            <w:tcW w:w="1463" w:type="dxa"/>
            <w:shd w:val="clear" w:color="auto" w:fill="auto"/>
            <w:vAlign w:val="center"/>
          </w:tcPr>
          <w:p w:rsidR="00EB302A" w:rsidRPr="00EB302A" w:rsidRDefault="00EB302A" w:rsidP="00EB302A">
            <w:pPr>
              <w:spacing w:before="120"/>
              <w:rPr>
                <w:rFonts w:eastAsia="Times New Roman" w:cs="Times New Roman"/>
                <w:sz w:val="24"/>
                <w:szCs w:val="24"/>
              </w:rPr>
            </w:pPr>
            <w:r w:rsidRPr="00EB302A">
              <w:rPr>
                <w:rFonts w:eastAsia="Times New Roman" w:cs="Times New Roman"/>
                <w:sz w:val="24"/>
                <w:szCs w:val="24"/>
              </w:rPr>
              <w:t>200</w:t>
            </w:r>
          </w:p>
        </w:tc>
        <w:tc>
          <w:tcPr>
            <w:tcW w:w="1687" w:type="dxa"/>
            <w:shd w:val="clear" w:color="auto" w:fill="auto"/>
            <w:vAlign w:val="center"/>
          </w:tcPr>
          <w:p w:rsidR="00EB302A" w:rsidRPr="00EB302A" w:rsidRDefault="00EB302A" w:rsidP="00EB302A">
            <w:pPr>
              <w:spacing w:before="120"/>
              <w:rPr>
                <w:rFonts w:eastAsia="Times New Roman" w:cs="Times New Roman"/>
                <w:sz w:val="24"/>
                <w:szCs w:val="24"/>
              </w:rPr>
            </w:pPr>
            <w:r w:rsidRPr="00EB302A">
              <w:rPr>
                <w:rFonts w:eastAsia="Times New Roman" w:cs="Times New Roman"/>
                <w:sz w:val="24"/>
                <w:szCs w:val="24"/>
              </w:rPr>
              <w:t>1</w:t>
            </w:r>
          </w:p>
        </w:tc>
        <w:tc>
          <w:tcPr>
            <w:tcW w:w="1505" w:type="dxa"/>
            <w:shd w:val="clear" w:color="auto" w:fill="auto"/>
            <w:vAlign w:val="center"/>
          </w:tcPr>
          <w:p w:rsidR="00EB302A" w:rsidRPr="00EB302A" w:rsidRDefault="00EB302A" w:rsidP="00EB302A">
            <w:pPr>
              <w:spacing w:before="120"/>
              <w:rPr>
                <w:rFonts w:eastAsia="Times New Roman" w:cs="Times New Roman"/>
                <w:sz w:val="24"/>
                <w:szCs w:val="24"/>
              </w:rPr>
            </w:pPr>
            <w:r w:rsidRPr="00EB302A">
              <w:rPr>
                <w:rFonts w:eastAsia="Times New Roman" w:cs="Times New Roman"/>
                <w:sz w:val="24"/>
                <w:szCs w:val="24"/>
              </w:rPr>
              <w:t>18/60</w:t>
            </w:r>
          </w:p>
        </w:tc>
        <w:tc>
          <w:tcPr>
            <w:tcW w:w="1596" w:type="dxa"/>
            <w:shd w:val="clear" w:color="auto" w:fill="auto"/>
            <w:vAlign w:val="center"/>
          </w:tcPr>
          <w:p w:rsidR="00EB302A" w:rsidRPr="00EB302A" w:rsidRDefault="00EB302A" w:rsidP="00EB302A">
            <w:pPr>
              <w:spacing w:before="120"/>
              <w:rPr>
                <w:rFonts w:eastAsia="Times New Roman" w:cs="Times New Roman"/>
                <w:sz w:val="24"/>
                <w:szCs w:val="24"/>
              </w:rPr>
            </w:pPr>
            <w:r w:rsidRPr="00EB302A">
              <w:rPr>
                <w:rFonts w:eastAsia="Times New Roman" w:cs="Times New Roman"/>
                <w:sz w:val="24"/>
                <w:szCs w:val="24"/>
              </w:rPr>
              <w:t>60</w:t>
            </w:r>
          </w:p>
        </w:tc>
      </w:tr>
      <w:tr w:rsidR="00EB302A" w:rsidRPr="00EB302A" w:rsidTr="00D9428D">
        <w:tc>
          <w:tcPr>
            <w:tcW w:w="1705" w:type="dxa"/>
            <w:vMerge/>
            <w:vAlign w:val="center"/>
          </w:tcPr>
          <w:p w:rsidR="00EB302A" w:rsidRPr="00EB302A" w:rsidRDefault="00EB302A" w:rsidP="00EB302A">
            <w:pPr>
              <w:spacing w:before="120"/>
              <w:rPr>
                <w:rFonts w:eastAsia="Times New Roman" w:cs="Times New Roman"/>
                <w:sz w:val="24"/>
                <w:szCs w:val="24"/>
              </w:rPr>
            </w:pPr>
          </w:p>
        </w:tc>
        <w:tc>
          <w:tcPr>
            <w:tcW w:w="1620" w:type="dxa"/>
            <w:shd w:val="clear" w:color="auto" w:fill="auto"/>
          </w:tcPr>
          <w:p w:rsidR="00EB302A" w:rsidRPr="00EB302A" w:rsidRDefault="00EB302A" w:rsidP="00EB302A">
            <w:pPr>
              <w:spacing w:before="120"/>
              <w:rPr>
                <w:rFonts w:eastAsia="Times New Roman" w:cs="Times New Roman"/>
                <w:color w:val="000000"/>
                <w:sz w:val="24"/>
                <w:szCs w:val="24"/>
              </w:rPr>
            </w:pPr>
            <w:r w:rsidRPr="00EB302A">
              <w:rPr>
                <w:rFonts w:eastAsia="Times New Roman" w:cs="Times New Roman"/>
                <w:color w:val="000000"/>
                <w:sz w:val="24"/>
                <w:szCs w:val="24"/>
              </w:rPr>
              <w:t>Individual questionnaire</w:t>
            </w:r>
          </w:p>
        </w:tc>
        <w:tc>
          <w:tcPr>
            <w:tcW w:w="1463" w:type="dxa"/>
            <w:shd w:val="clear" w:color="auto" w:fill="auto"/>
            <w:vAlign w:val="center"/>
          </w:tcPr>
          <w:p w:rsidR="00EB302A" w:rsidRPr="00EB302A" w:rsidRDefault="00EB302A" w:rsidP="00EB302A">
            <w:pPr>
              <w:spacing w:before="120"/>
              <w:rPr>
                <w:rFonts w:eastAsia="Times New Roman" w:cs="Times New Roman"/>
                <w:sz w:val="24"/>
                <w:szCs w:val="24"/>
              </w:rPr>
            </w:pPr>
            <w:r w:rsidRPr="00EB302A">
              <w:rPr>
                <w:rFonts w:eastAsia="Times New Roman" w:cs="Times New Roman"/>
                <w:sz w:val="24"/>
                <w:szCs w:val="24"/>
              </w:rPr>
              <w:t>500</w:t>
            </w:r>
          </w:p>
        </w:tc>
        <w:tc>
          <w:tcPr>
            <w:tcW w:w="1687" w:type="dxa"/>
            <w:shd w:val="clear" w:color="auto" w:fill="auto"/>
            <w:vAlign w:val="center"/>
          </w:tcPr>
          <w:p w:rsidR="00EB302A" w:rsidRPr="00EB302A" w:rsidRDefault="00EB302A" w:rsidP="00EB302A">
            <w:pPr>
              <w:spacing w:before="120"/>
              <w:rPr>
                <w:rFonts w:eastAsia="Times New Roman" w:cs="Times New Roman"/>
                <w:sz w:val="24"/>
                <w:szCs w:val="24"/>
              </w:rPr>
            </w:pPr>
            <w:r w:rsidRPr="00EB302A">
              <w:rPr>
                <w:rFonts w:eastAsia="Times New Roman" w:cs="Times New Roman"/>
                <w:sz w:val="24"/>
                <w:szCs w:val="24"/>
              </w:rPr>
              <w:t>2</w:t>
            </w:r>
          </w:p>
        </w:tc>
        <w:tc>
          <w:tcPr>
            <w:tcW w:w="1505" w:type="dxa"/>
            <w:shd w:val="clear" w:color="auto" w:fill="auto"/>
            <w:vAlign w:val="center"/>
          </w:tcPr>
          <w:p w:rsidR="00EB302A" w:rsidRPr="00EB302A" w:rsidRDefault="00EB302A" w:rsidP="00EB302A">
            <w:pPr>
              <w:spacing w:before="120"/>
              <w:rPr>
                <w:rFonts w:eastAsia="Times New Roman" w:cs="Times New Roman"/>
                <w:sz w:val="24"/>
                <w:szCs w:val="24"/>
              </w:rPr>
            </w:pPr>
            <w:r w:rsidRPr="00EB302A">
              <w:rPr>
                <w:rFonts w:eastAsia="Times New Roman" w:cs="Times New Roman"/>
                <w:sz w:val="24"/>
                <w:szCs w:val="24"/>
              </w:rPr>
              <w:t>30/60</w:t>
            </w:r>
          </w:p>
        </w:tc>
        <w:tc>
          <w:tcPr>
            <w:tcW w:w="1596" w:type="dxa"/>
            <w:shd w:val="clear" w:color="auto" w:fill="auto"/>
            <w:vAlign w:val="center"/>
          </w:tcPr>
          <w:p w:rsidR="00EB302A" w:rsidRPr="00EB302A" w:rsidRDefault="00EB302A" w:rsidP="00EB302A">
            <w:pPr>
              <w:spacing w:before="120"/>
              <w:rPr>
                <w:rFonts w:eastAsia="Times New Roman" w:cs="Times New Roman"/>
                <w:sz w:val="24"/>
                <w:szCs w:val="24"/>
              </w:rPr>
            </w:pPr>
            <w:r w:rsidRPr="00EB302A">
              <w:rPr>
                <w:rFonts w:eastAsia="Times New Roman" w:cs="Times New Roman"/>
                <w:sz w:val="24"/>
                <w:szCs w:val="24"/>
              </w:rPr>
              <w:t>500</w:t>
            </w:r>
          </w:p>
        </w:tc>
      </w:tr>
      <w:tr w:rsidR="00EB302A" w:rsidRPr="00EB302A" w:rsidTr="00D9428D">
        <w:tc>
          <w:tcPr>
            <w:tcW w:w="1705" w:type="dxa"/>
            <w:vMerge/>
            <w:vAlign w:val="center"/>
          </w:tcPr>
          <w:p w:rsidR="00EB302A" w:rsidRPr="00EB302A" w:rsidRDefault="00EB302A" w:rsidP="00EB302A">
            <w:pPr>
              <w:spacing w:before="120"/>
              <w:rPr>
                <w:rFonts w:eastAsia="Times New Roman" w:cs="Times New Roman"/>
                <w:sz w:val="24"/>
                <w:szCs w:val="24"/>
              </w:rPr>
            </w:pPr>
          </w:p>
        </w:tc>
        <w:tc>
          <w:tcPr>
            <w:tcW w:w="1620" w:type="dxa"/>
            <w:shd w:val="clear" w:color="auto" w:fill="auto"/>
          </w:tcPr>
          <w:p w:rsidR="00EB302A" w:rsidRPr="00EB302A" w:rsidRDefault="00EB302A" w:rsidP="00EB302A">
            <w:pPr>
              <w:spacing w:before="120"/>
              <w:rPr>
                <w:rFonts w:eastAsia="Times New Roman" w:cs="Times New Roman"/>
                <w:color w:val="000000"/>
                <w:sz w:val="24"/>
                <w:szCs w:val="24"/>
              </w:rPr>
            </w:pPr>
            <w:r w:rsidRPr="00EB302A">
              <w:rPr>
                <w:rFonts w:eastAsia="Times New Roman" w:cs="Times New Roman"/>
                <w:color w:val="000000"/>
                <w:sz w:val="24"/>
                <w:szCs w:val="24"/>
              </w:rPr>
              <w:t xml:space="preserve">Individual specimen collection of </w:t>
            </w:r>
            <w:r w:rsidRPr="00EB302A">
              <w:rPr>
                <w:rFonts w:eastAsia="Times New Roman" w:cs="Times New Roman"/>
                <w:color w:val="000000"/>
                <w:sz w:val="24"/>
                <w:szCs w:val="24"/>
              </w:rPr>
              <w:lastRenderedPageBreak/>
              <w:t>blood, urine, and saliva</w:t>
            </w:r>
          </w:p>
        </w:tc>
        <w:tc>
          <w:tcPr>
            <w:tcW w:w="1463" w:type="dxa"/>
            <w:shd w:val="clear" w:color="auto" w:fill="auto"/>
            <w:vAlign w:val="center"/>
          </w:tcPr>
          <w:p w:rsidR="00EB302A" w:rsidRPr="00EB302A" w:rsidRDefault="00EB302A" w:rsidP="00EB302A">
            <w:pPr>
              <w:spacing w:before="120"/>
              <w:rPr>
                <w:rFonts w:eastAsia="Times New Roman" w:cs="Times New Roman"/>
                <w:sz w:val="24"/>
                <w:szCs w:val="24"/>
              </w:rPr>
            </w:pPr>
            <w:r w:rsidRPr="00EB302A">
              <w:rPr>
                <w:rFonts w:eastAsia="Times New Roman" w:cs="Times New Roman"/>
                <w:sz w:val="24"/>
                <w:szCs w:val="24"/>
              </w:rPr>
              <w:lastRenderedPageBreak/>
              <w:t>500</w:t>
            </w:r>
          </w:p>
        </w:tc>
        <w:tc>
          <w:tcPr>
            <w:tcW w:w="1687" w:type="dxa"/>
            <w:shd w:val="clear" w:color="auto" w:fill="auto"/>
            <w:vAlign w:val="center"/>
          </w:tcPr>
          <w:p w:rsidR="00EB302A" w:rsidRPr="00EB302A" w:rsidRDefault="00EB302A" w:rsidP="00EB302A">
            <w:pPr>
              <w:spacing w:before="120"/>
              <w:rPr>
                <w:rFonts w:eastAsia="Times New Roman" w:cs="Times New Roman"/>
                <w:sz w:val="24"/>
                <w:szCs w:val="24"/>
              </w:rPr>
            </w:pPr>
            <w:r w:rsidRPr="00EB302A">
              <w:rPr>
                <w:rFonts w:eastAsia="Times New Roman" w:cs="Times New Roman"/>
                <w:sz w:val="24"/>
                <w:szCs w:val="24"/>
              </w:rPr>
              <w:t>1</w:t>
            </w:r>
          </w:p>
        </w:tc>
        <w:tc>
          <w:tcPr>
            <w:tcW w:w="1505" w:type="dxa"/>
            <w:shd w:val="clear" w:color="auto" w:fill="auto"/>
            <w:vAlign w:val="center"/>
          </w:tcPr>
          <w:p w:rsidR="00EB302A" w:rsidRPr="00EB302A" w:rsidRDefault="00EB302A" w:rsidP="00EB302A">
            <w:pPr>
              <w:spacing w:before="120"/>
              <w:rPr>
                <w:rFonts w:eastAsia="Times New Roman" w:cs="Times New Roman"/>
                <w:sz w:val="24"/>
                <w:szCs w:val="24"/>
              </w:rPr>
            </w:pPr>
            <w:r w:rsidRPr="00EB302A">
              <w:rPr>
                <w:rFonts w:eastAsia="Times New Roman" w:cs="Times New Roman"/>
                <w:sz w:val="24"/>
                <w:szCs w:val="24"/>
              </w:rPr>
              <w:t>10/60</w:t>
            </w:r>
          </w:p>
        </w:tc>
        <w:tc>
          <w:tcPr>
            <w:tcW w:w="1596" w:type="dxa"/>
            <w:shd w:val="clear" w:color="auto" w:fill="auto"/>
            <w:vAlign w:val="center"/>
          </w:tcPr>
          <w:p w:rsidR="00EB302A" w:rsidRPr="00EB302A" w:rsidRDefault="00EB302A" w:rsidP="00EB302A">
            <w:pPr>
              <w:spacing w:before="120"/>
              <w:rPr>
                <w:rFonts w:eastAsia="Times New Roman" w:cs="Times New Roman"/>
                <w:sz w:val="24"/>
                <w:szCs w:val="24"/>
              </w:rPr>
            </w:pPr>
            <w:r w:rsidRPr="00EB302A">
              <w:rPr>
                <w:rFonts w:eastAsia="Times New Roman" w:cs="Times New Roman"/>
                <w:sz w:val="24"/>
                <w:szCs w:val="24"/>
              </w:rPr>
              <w:t>83.3</w:t>
            </w:r>
          </w:p>
        </w:tc>
      </w:tr>
      <w:tr w:rsidR="00EB302A" w:rsidRPr="00EB302A" w:rsidTr="00D9428D">
        <w:tc>
          <w:tcPr>
            <w:tcW w:w="1705" w:type="dxa"/>
            <w:vMerge/>
            <w:vAlign w:val="center"/>
          </w:tcPr>
          <w:p w:rsidR="00EB302A" w:rsidRPr="00EB302A" w:rsidRDefault="00EB302A" w:rsidP="00EB302A">
            <w:pPr>
              <w:spacing w:before="120"/>
              <w:rPr>
                <w:rFonts w:eastAsia="Times New Roman" w:cs="Times New Roman"/>
                <w:sz w:val="24"/>
                <w:szCs w:val="24"/>
              </w:rPr>
            </w:pPr>
          </w:p>
        </w:tc>
        <w:tc>
          <w:tcPr>
            <w:tcW w:w="1620" w:type="dxa"/>
            <w:shd w:val="clear" w:color="auto" w:fill="auto"/>
          </w:tcPr>
          <w:p w:rsidR="00EB302A" w:rsidRPr="00EB302A" w:rsidRDefault="00EB302A" w:rsidP="00EB302A">
            <w:pPr>
              <w:spacing w:before="120"/>
              <w:rPr>
                <w:rFonts w:eastAsia="Times New Roman" w:cs="Times New Roman"/>
                <w:color w:val="000000"/>
                <w:sz w:val="24"/>
                <w:szCs w:val="24"/>
                <w:highlight w:val="yellow"/>
              </w:rPr>
            </w:pPr>
            <w:r w:rsidRPr="00EB302A">
              <w:rPr>
                <w:rFonts w:eastAsia="Times New Roman" w:cs="Times New Roman"/>
                <w:color w:val="000000"/>
                <w:sz w:val="24"/>
                <w:szCs w:val="24"/>
                <w:highlight w:val="yellow"/>
              </w:rPr>
              <w:t>Refusal demographic form</w:t>
            </w:r>
          </w:p>
        </w:tc>
        <w:tc>
          <w:tcPr>
            <w:tcW w:w="1463" w:type="dxa"/>
            <w:shd w:val="clear" w:color="auto" w:fill="auto"/>
            <w:vAlign w:val="center"/>
          </w:tcPr>
          <w:p w:rsidR="00EB302A" w:rsidRPr="00EB302A" w:rsidRDefault="00EB302A" w:rsidP="00EB302A">
            <w:pPr>
              <w:spacing w:before="120"/>
              <w:rPr>
                <w:rFonts w:eastAsia="Times New Roman" w:cs="Times New Roman"/>
                <w:sz w:val="24"/>
                <w:szCs w:val="24"/>
                <w:highlight w:val="yellow"/>
              </w:rPr>
            </w:pPr>
            <w:r w:rsidRPr="00EB302A">
              <w:rPr>
                <w:rFonts w:eastAsia="Times New Roman" w:cs="Times New Roman"/>
                <w:sz w:val="24"/>
                <w:szCs w:val="24"/>
                <w:highlight w:val="yellow"/>
              </w:rPr>
              <w:t>100</w:t>
            </w:r>
          </w:p>
        </w:tc>
        <w:tc>
          <w:tcPr>
            <w:tcW w:w="1687" w:type="dxa"/>
            <w:shd w:val="clear" w:color="auto" w:fill="auto"/>
            <w:vAlign w:val="center"/>
          </w:tcPr>
          <w:p w:rsidR="00EB302A" w:rsidRPr="00EB302A" w:rsidRDefault="00EB302A" w:rsidP="00EB302A">
            <w:pPr>
              <w:spacing w:before="120"/>
              <w:rPr>
                <w:rFonts w:eastAsia="Times New Roman" w:cs="Times New Roman"/>
                <w:sz w:val="24"/>
                <w:szCs w:val="24"/>
                <w:highlight w:val="yellow"/>
              </w:rPr>
            </w:pPr>
            <w:r w:rsidRPr="00EB302A">
              <w:rPr>
                <w:rFonts w:eastAsia="Times New Roman" w:cs="Times New Roman"/>
                <w:sz w:val="24"/>
                <w:szCs w:val="24"/>
                <w:highlight w:val="yellow"/>
              </w:rPr>
              <w:t>1</w:t>
            </w:r>
          </w:p>
        </w:tc>
        <w:tc>
          <w:tcPr>
            <w:tcW w:w="1505" w:type="dxa"/>
            <w:shd w:val="clear" w:color="auto" w:fill="auto"/>
            <w:vAlign w:val="center"/>
          </w:tcPr>
          <w:p w:rsidR="00EB302A" w:rsidRPr="00EB302A" w:rsidRDefault="00EB302A" w:rsidP="00EB302A">
            <w:pPr>
              <w:spacing w:before="120"/>
              <w:rPr>
                <w:rFonts w:eastAsia="Times New Roman" w:cs="Times New Roman"/>
                <w:sz w:val="24"/>
                <w:szCs w:val="24"/>
                <w:highlight w:val="yellow"/>
              </w:rPr>
            </w:pPr>
            <w:r w:rsidRPr="00EB302A">
              <w:rPr>
                <w:rFonts w:eastAsia="Times New Roman" w:cs="Times New Roman"/>
                <w:sz w:val="24"/>
                <w:szCs w:val="24"/>
                <w:highlight w:val="yellow"/>
              </w:rPr>
              <w:t>2/60</w:t>
            </w:r>
          </w:p>
        </w:tc>
        <w:tc>
          <w:tcPr>
            <w:tcW w:w="1596" w:type="dxa"/>
            <w:shd w:val="clear" w:color="auto" w:fill="auto"/>
            <w:vAlign w:val="center"/>
          </w:tcPr>
          <w:p w:rsidR="00EB302A" w:rsidRPr="00EB302A" w:rsidRDefault="00EB302A" w:rsidP="00EB302A">
            <w:pPr>
              <w:spacing w:before="120"/>
              <w:rPr>
                <w:rFonts w:eastAsia="Times New Roman" w:cs="Times New Roman"/>
                <w:sz w:val="24"/>
                <w:szCs w:val="24"/>
                <w:highlight w:val="yellow"/>
              </w:rPr>
            </w:pPr>
            <w:r w:rsidRPr="00EB302A">
              <w:rPr>
                <w:rFonts w:eastAsia="Times New Roman" w:cs="Times New Roman"/>
                <w:sz w:val="24"/>
                <w:szCs w:val="24"/>
                <w:highlight w:val="yellow"/>
              </w:rPr>
              <w:t>3.3</w:t>
            </w:r>
          </w:p>
        </w:tc>
      </w:tr>
      <w:tr w:rsidR="00EB302A" w:rsidRPr="00EB302A" w:rsidTr="00D9428D">
        <w:tc>
          <w:tcPr>
            <w:tcW w:w="7980" w:type="dxa"/>
            <w:gridSpan w:val="5"/>
            <w:shd w:val="clear" w:color="auto" w:fill="auto"/>
          </w:tcPr>
          <w:p w:rsidR="00EB302A" w:rsidRPr="00EB302A" w:rsidRDefault="00EB302A" w:rsidP="00EB302A">
            <w:pPr>
              <w:spacing w:before="120"/>
              <w:rPr>
                <w:rFonts w:eastAsia="Times New Roman" w:cs="Times New Roman"/>
                <w:sz w:val="24"/>
                <w:szCs w:val="24"/>
              </w:rPr>
            </w:pPr>
            <w:r w:rsidRPr="00EB302A">
              <w:rPr>
                <w:rFonts w:eastAsia="Times New Roman" w:cs="Times New Roman"/>
                <w:sz w:val="24"/>
                <w:szCs w:val="24"/>
              </w:rPr>
              <w:t>Total</w:t>
            </w:r>
          </w:p>
        </w:tc>
        <w:tc>
          <w:tcPr>
            <w:tcW w:w="1596" w:type="dxa"/>
            <w:shd w:val="clear" w:color="auto" w:fill="auto"/>
          </w:tcPr>
          <w:p w:rsidR="00EB302A" w:rsidRPr="00EB302A" w:rsidRDefault="00EB302A" w:rsidP="00EB302A">
            <w:pPr>
              <w:spacing w:before="120"/>
              <w:rPr>
                <w:rFonts w:eastAsia="Times New Roman" w:cs="Times New Roman"/>
                <w:sz w:val="24"/>
                <w:szCs w:val="24"/>
              </w:rPr>
            </w:pPr>
            <w:r w:rsidRPr="00EB302A">
              <w:rPr>
                <w:rFonts w:eastAsia="Times New Roman" w:cs="Times New Roman"/>
                <w:sz w:val="24"/>
                <w:szCs w:val="24"/>
              </w:rPr>
              <w:t>646.9</w:t>
            </w:r>
          </w:p>
        </w:tc>
      </w:tr>
    </w:tbl>
    <w:p w:rsidR="00EB302A" w:rsidRPr="00EB302A" w:rsidRDefault="00EB302A" w:rsidP="00EB302A">
      <w:pPr>
        <w:spacing w:before="120" w:after="240"/>
        <w:rPr>
          <w:rFonts w:eastAsia="Times New Roman" w:cs="Times New Roman"/>
          <w:sz w:val="24"/>
          <w:szCs w:val="24"/>
        </w:rPr>
      </w:pPr>
      <w:r w:rsidRPr="00EB302A">
        <w:rPr>
          <w:rFonts w:eastAsia="Times New Roman" w:cs="Times New Roman"/>
          <w:sz w:val="24"/>
          <w:szCs w:val="24"/>
        </w:rPr>
        <w:t xml:space="preserve">Annualized Burden Costs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2250"/>
        <w:gridCol w:w="1607"/>
        <w:gridCol w:w="1908"/>
        <w:gridCol w:w="1908"/>
      </w:tblGrid>
      <w:tr w:rsidR="00EB302A" w:rsidRPr="00EB302A" w:rsidTr="00D9428D">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rPr>
            </w:pPr>
            <w:r w:rsidRPr="00EB302A">
              <w:rPr>
                <w:rFonts w:eastAsia="Times New Roman" w:cs="Times New Roman"/>
                <w:sz w:val="24"/>
                <w:szCs w:val="24"/>
              </w:rPr>
              <w:t>Type of Respondent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rPr>
            </w:pPr>
            <w:r w:rsidRPr="00EB302A">
              <w:rPr>
                <w:rFonts w:eastAsia="Times New Roman" w:cs="Times New Roman"/>
                <w:sz w:val="24"/>
                <w:szCs w:val="24"/>
              </w:rPr>
              <w:t>Form Name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rPr>
            </w:pPr>
            <w:r w:rsidRPr="00EB302A">
              <w:rPr>
                <w:rFonts w:eastAsia="Times New Roman" w:cs="Times New Roman"/>
                <w:sz w:val="24"/>
                <w:szCs w:val="24"/>
              </w:rPr>
              <w:t>Total Burden Hours</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rPr>
            </w:pPr>
            <w:r w:rsidRPr="00EB302A">
              <w:rPr>
                <w:rFonts w:eastAsia="Times New Roman" w:cs="Times New Roman"/>
                <w:sz w:val="24"/>
                <w:szCs w:val="24"/>
              </w:rPr>
              <w:t>Hourly Wage Rate</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rPr>
            </w:pPr>
            <w:r w:rsidRPr="00EB302A">
              <w:rPr>
                <w:rFonts w:eastAsia="Times New Roman" w:cs="Times New Roman"/>
                <w:sz w:val="24"/>
                <w:szCs w:val="24"/>
              </w:rPr>
              <w:t>Total Respondent Costs</w:t>
            </w:r>
          </w:p>
        </w:tc>
      </w:tr>
      <w:tr w:rsidR="00EB302A" w:rsidRPr="00EB302A" w:rsidTr="00D9428D">
        <w:tc>
          <w:tcPr>
            <w:tcW w:w="1867" w:type="dxa"/>
            <w:vMerge w:val="restart"/>
            <w:tcBorders>
              <w:left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rPr>
            </w:pPr>
            <w:r w:rsidRPr="00EB302A">
              <w:rPr>
                <w:rFonts w:eastAsia="Times New Roman" w:cs="Times New Roman"/>
                <w:sz w:val="24"/>
                <w:szCs w:val="24"/>
              </w:rPr>
              <w:t>General public</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EB302A" w:rsidRPr="00EB302A" w:rsidRDefault="00EB302A" w:rsidP="00EB302A">
            <w:pPr>
              <w:spacing w:before="120" w:after="0"/>
              <w:rPr>
                <w:rFonts w:eastAsia="Times New Roman" w:cs="Times New Roman"/>
                <w:color w:val="000000"/>
                <w:sz w:val="24"/>
                <w:szCs w:val="24"/>
              </w:rPr>
            </w:pPr>
            <w:r w:rsidRPr="00EB302A">
              <w:rPr>
                <w:rFonts w:eastAsia="Times New Roman" w:cs="Times New Roman"/>
                <w:color w:val="000000"/>
                <w:sz w:val="24"/>
                <w:szCs w:val="24"/>
              </w:rPr>
              <w:t>Household questionnaire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rPr>
            </w:pPr>
            <w:r w:rsidRPr="00EB302A">
              <w:rPr>
                <w:rFonts w:eastAsia="Times New Roman" w:cs="Times New Roman"/>
                <w:sz w:val="24"/>
                <w:szCs w:val="24"/>
              </w:rPr>
              <w:t>60</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rPr>
            </w:pPr>
            <w:r w:rsidRPr="00EB302A">
              <w:rPr>
                <w:rFonts w:eastAsia="Times New Roman" w:cs="Times New Roman"/>
                <w:sz w:val="24"/>
                <w:szCs w:val="24"/>
              </w:rPr>
              <w:t>$22.71</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rPr>
            </w:pPr>
            <w:r w:rsidRPr="00EB302A">
              <w:rPr>
                <w:rFonts w:eastAsia="Times New Roman" w:cs="Times New Roman"/>
                <w:sz w:val="24"/>
                <w:szCs w:val="24"/>
              </w:rPr>
              <w:t>$1,362.60</w:t>
            </w:r>
          </w:p>
        </w:tc>
      </w:tr>
      <w:tr w:rsidR="00EB302A" w:rsidRPr="00EB302A" w:rsidTr="00D9428D">
        <w:tc>
          <w:tcPr>
            <w:tcW w:w="1867" w:type="dxa"/>
            <w:vMerge/>
            <w:tcBorders>
              <w:left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EB302A" w:rsidRPr="00EB302A" w:rsidRDefault="00EB302A" w:rsidP="00EB302A">
            <w:pPr>
              <w:spacing w:before="120" w:after="0"/>
              <w:rPr>
                <w:rFonts w:eastAsia="Times New Roman" w:cs="Times New Roman"/>
                <w:color w:val="000000"/>
                <w:sz w:val="24"/>
                <w:szCs w:val="24"/>
              </w:rPr>
            </w:pPr>
            <w:r w:rsidRPr="00EB302A">
              <w:rPr>
                <w:rFonts w:eastAsia="Times New Roman" w:cs="Times New Roman"/>
                <w:color w:val="000000"/>
                <w:sz w:val="24"/>
                <w:szCs w:val="24"/>
              </w:rPr>
              <w:t>Individual questionnaire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rPr>
            </w:pPr>
            <w:r w:rsidRPr="00EB302A">
              <w:rPr>
                <w:rFonts w:eastAsia="Times New Roman" w:cs="Times New Roman"/>
                <w:sz w:val="24"/>
                <w:szCs w:val="24"/>
              </w:rPr>
              <w:t>500</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rPr>
            </w:pPr>
            <w:r w:rsidRPr="00EB302A">
              <w:rPr>
                <w:rFonts w:eastAsia="Times New Roman" w:cs="Times New Roman"/>
                <w:sz w:val="24"/>
                <w:szCs w:val="24"/>
              </w:rPr>
              <w:t>$22.71</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rPr>
            </w:pPr>
            <w:r w:rsidRPr="00EB302A">
              <w:rPr>
                <w:rFonts w:eastAsia="Times New Roman" w:cs="Times New Roman"/>
                <w:sz w:val="24"/>
                <w:szCs w:val="24"/>
              </w:rPr>
              <w:t>$11,355.00</w:t>
            </w:r>
          </w:p>
        </w:tc>
      </w:tr>
      <w:tr w:rsidR="00EB302A" w:rsidRPr="00EB302A" w:rsidTr="00D9428D">
        <w:tc>
          <w:tcPr>
            <w:tcW w:w="1867" w:type="dxa"/>
            <w:vMerge/>
            <w:tcBorders>
              <w:left w:val="single" w:sz="4" w:space="0" w:color="auto"/>
              <w:bottom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EB302A" w:rsidRPr="00EB302A" w:rsidRDefault="00EB302A" w:rsidP="00EB302A">
            <w:pPr>
              <w:spacing w:before="120" w:after="0"/>
              <w:rPr>
                <w:rFonts w:eastAsia="Times New Roman" w:cs="Times New Roman"/>
                <w:color w:val="000000"/>
                <w:sz w:val="24"/>
                <w:szCs w:val="24"/>
                <w:highlight w:val="yellow"/>
              </w:rPr>
            </w:pPr>
            <w:r w:rsidRPr="00EB302A">
              <w:rPr>
                <w:rFonts w:eastAsia="Times New Roman" w:cs="Times New Roman"/>
                <w:color w:val="000000"/>
                <w:sz w:val="24"/>
                <w:szCs w:val="24"/>
                <w:highlight w:val="yellow"/>
              </w:rPr>
              <w:t>Refusal demographic form</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highlight w:val="yellow"/>
              </w:rPr>
            </w:pPr>
            <w:r w:rsidRPr="00EB302A">
              <w:rPr>
                <w:rFonts w:eastAsia="Times New Roman" w:cs="Times New Roman"/>
                <w:sz w:val="24"/>
                <w:szCs w:val="24"/>
                <w:highlight w:val="yellow"/>
              </w:rPr>
              <w:t>3.3</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highlight w:val="yellow"/>
              </w:rPr>
            </w:pPr>
            <w:r w:rsidRPr="00EB302A">
              <w:rPr>
                <w:rFonts w:eastAsia="Times New Roman" w:cs="Times New Roman"/>
                <w:sz w:val="24"/>
                <w:szCs w:val="24"/>
                <w:highlight w:val="yellow"/>
              </w:rPr>
              <w:t>$22.71</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EB302A" w:rsidRPr="00EB302A" w:rsidRDefault="00EB302A" w:rsidP="00EB302A">
            <w:pPr>
              <w:spacing w:before="120" w:after="0"/>
              <w:rPr>
                <w:rFonts w:eastAsia="Times New Roman" w:cs="Times New Roman"/>
                <w:sz w:val="24"/>
                <w:szCs w:val="24"/>
                <w:highlight w:val="yellow"/>
              </w:rPr>
            </w:pPr>
            <w:r w:rsidRPr="00EB302A">
              <w:rPr>
                <w:rFonts w:eastAsia="Times New Roman" w:cs="Times New Roman"/>
                <w:sz w:val="24"/>
                <w:szCs w:val="24"/>
                <w:highlight w:val="yellow"/>
              </w:rPr>
              <w:t>$74.94</w:t>
            </w:r>
          </w:p>
        </w:tc>
      </w:tr>
      <w:tr w:rsidR="00EB302A" w:rsidRPr="00EB302A" w:rsidTr="00D9428D">
        <w:tc>
          <w:tcPr>
            <w:tcW w:w="1867" w:type="dxa"/>
            <w:shd w:val="clear" w:color="auto" w:fill="auto"/>
          </w:tcPr>
          <w:p w:rsidR="00EB302A" w:rsidRPr="00EB302A" w:rsidRDefault="00EB302A" w:rsidP="00EB302A">
            <w:pPr>
              <w:spacing w:before="120" w:after="0"/>
              <w:rPr>
                <w:rFonts w:eastAsia="Times New Roman" w:cs="Times New Roman"/>
                <w:sz w:val="24"/>
                <w:szCs w:val="24"/>
              </w:rPr>
            </w:pPr>
            <w:r w:rsidRPr="00EB302A">
              <w:rPr>
                <w:rFonts w:eastAsia="Times New Roman" w:cs="Times New Roman"/>
                <w:sz w:val="24"/>
                <w:szCs w:val="24"/>
              </w:rPr>
              <w:t>Total</w:t>
            </w:r>
          </w:p>
        </w:tc>
        <w:tc>
          <w:tcPr>
            <w:tcW w:w="5765" w:type="dxa"/>
            <w:gridSpan w:val="3"/>
            <w:shd w:val="clear" w:color="auto" w:fill="auto"/>
            <w:vAlign w:val="center"/>
          </w:tcPr>
          <w:p w:rsidR="00EB302A" w:rsidRPr="00EB302A" w:rsidRDefault="00EB302A" w:rsidP="00EB302A">
            <w:pPr>
              <w:spacing w:before="120" w:after="0"/>
              <w:rPr>
                <w:rFonts w:eastAsia="Times New Roman" w:cs="Times New Roman"/>
                <w:sz w:val="24"/>
                <w:szCs w:val="24"/>
              </w:rPr>
            </w:pPr>
          </w:p>
        </w:tc>
        <w:tc>
          <w:tcPr>
            <w:tcW w:w="1908" w:type="dxa"/>
            <w:shd w:val="clear" w:color="auto" w:fill="auto"/>
            <w:vAlign w:val="center"/>
          </w:tcPr>
          <w:p w:rsidR="00EB302A" w:rsidRPr="00EB302A" w:rsidRDefault="00EB302A" w:rsidP="00EB302A">
            <w:pPr>
              <w:spacing w:before="120" w:after="0"/>
              <w:rPr>
                <w:rFonts w:eastAsia="Times New Roman" w:cs="Times New Roman"/>
                <w:sz w:val="24"/>
                <w:szCs w:val="24"/>
              </w:rPr>
            </w:pPr>
            <w:r w:rsidRPr="00EB302A">
              <w:rPr>
                <w:rFonts w:eastAsia="Times New Roman" w:cs="Times New Roman"/>
                <w:sz w:val="24"/>
                <w:szCs w:val="24"/>
              </w:rPr>
              <w:t>$12,792.54</w:t>
            </w:r>
          </w:p>
        </w:tc>
      </w:tr>
    </w:tbl>
    <w:p w:rsidR="00EB302A" w:rsidRPr="00EB302A" w:rsidRDefault="00EB302A" w:rsidP="00EB302A">
      <w:pPr>
        <w:spacing w:before="120" w:after="0"/>
        <w:rPr>
          <w:rFonts w:eastAsia="Times New Roman" w:cs="Times New Roman"/>
          <w:sz w:val="24"/>
          <w:szCs w:val="24"/>
        </w:rPr>
      </w:pPr>
    </w:p>
    <w:p w:rsidR="00614981" w:rsidRPr="00614981" w:rsidRDefault="00614981" w:rsidP="00614981">
      <w:r w:rsidRPr="00614981">
        <w:t>Additional revisions requested:</w:t>
      </w:r>
    </w:p>
    <w:p w:rsidR="003863B8" w:rsidRPr="003863B8" w:rsidRDefault="00614981" w:rsidP="00614981">
      <w:r>
        <w:t>CDC held a field training recently practicing the questionnaire.</w:t>
      </w:r>
      <w:r w:rsidR="003863B8" w:rsidRPr="003863B8">
        <w:t xml:space="preserve"> Based on feedback we made minor modifications to the questions</w:t>
      </w:r>
      <w:bookmarkStart w:id="0" w:name="_GoBack"/>
      <w:bookmarkEnd w:id="0"/>
      <w:r w:rsidR="003863B8" w:rsidRPr="003863B8">
        <w:t>.</w:t>
      </w:r>
      <w:r>
        <w:t xml:space="preserve"> We changed “gender” to “sex” and added in fields “refused to answer” or “do not know.”  There is no change of burden associated with </w:t>
      </w:r>
    </w:p>
    <w:p w:rsidR="00EB302A" w:rsidRPr="003863B8" w:rsidRDefault="00EB302A"/>
    <w:sectPr w:rsidR="00EB302A" w:rsidRPr="003863B8"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02A" w:rsidRDefault="00EB302A" w:rsidP="008B5D54">
      <w:pPr>
        <w:spacing w:after="0" w:line="240" w:lineRule="auto"/>
      </w:pPr>
      <w:r>
        <w:separator/>
      </w:r>
    </w:p>
  </w:endnote>
  <w:endnote w:type="continuationSeparator" w:id="0">
    <w:p w:rsidR="00EB302A" w:rsidRDefault="00EB302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02A" w:rsidRDefault="00EB302A" w:rsidP="008B5D54">
      <w:pPr>
        <w:spacing w:after="0" w:line="240" w:lineRule="auto"/>
      </w:pPr>
      <w:r>
        <w:separator/>
      </w:r>
    </w:p>
  </w:footnote>
  <w:footnote w:type="continuationSeparator" w:id="0">
    <w:p w:rsidR="00EB302A" w:rsidRDefault="00EB302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2A"/>
    <w:rsid w:val="00211549"/>
    <w:rsid w:val="003863B8"/>
    <w:rsid w:val="00614981"/>
    <w:rsid w:val="006C6578"/>
    <w:rsid w:val="008B5D54"/>
    <w:rsid w:val="00B55735"/>
    <w:rsid w:val="00B608AC"/>
    <w:rsid w:val="00DC57CC"/>
    <w:rsid w:val="00EB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D6554B-0BAC-4434-B563-AC6846E8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rsid w:val="00EB3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3B8"/>
    <w:pPr>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586707">
      <w:bodyDiv w:val="1"/>
      <w:marLeft w:val="0"/>
      <w:marRight w:val="0"/>
      <w:marTop w:val="0"/>
      <w:marBottom w:val="0"/>
      <w:divBdr>
        <w:top w:val="none" w:sz="0" w:space="0" w:color="auto"/>
        <w:left w:val="none" w:sz="0" w:space="0" w:color="auto"/>
        <w:bottom w:val="none" w:sz="0" w:space="0" w:color="auto"/>
        <w:right w:val="none" w:sz="0" w:space="0" w:color="auto"/>
      </w:divBdr>
    </w:div>
    <w:div w:id="175527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2EA23-3827-46CD-92FF-C9367D22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Amy (CDC/OID/NCEZID)</dc:creator>
  <cp:keywords/>
  <dc:description/>
  <cp:lastModifiedBy>McMillen, Amy (CDC/OID/NCEZID)</cp:lastModifiedBy>
  <cp:revision>1</cp:revision>
  <dcterms:created xsi:type="dcterms:W3CDTF">2016-09-26T15:37:00Z</dcterms:created>
  <dcterms:modified xsi:type="dcterms:W3CDTF">2016-09-26T16:03:00Z</dcterms:modified>
</cp:coreProperties>
</file>