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455A3" w14:textId="77777777" w:rsidR="002853AE" w:rsidRPr="00D16E82" w:rsidRDefault="002853AE" w:rsidP="00241E60">
      <w:pPr>
        <w:ind w:right="0"/>
      </w:pPr>
      <w:bookmarkStart w:id="0" w:name="_GoBack"/>
      <w:bookmarkEnd w:id="0"/>
    </w:p>
    <w:p w14:paraId="39F5FADF" w14:textId="77777777" w:rsidR="002853AE" w:rsidRPr="00D16E82" w:rsidRDefault="002853AE" w:rsidP="00241E60">
      <w:pPr>
        <w:ind w:right="0"/>
      </w:pPr>
    </w:p>
    <w:p w14:paraId="2CA620BE" w14:textId="77777777" w:rsidR="002853AE" w:rsidRPr="00D16E82" w:rsidRDefault="002853AE" w:rsidP="00241E60">
      <w:pPr>
        <w:ind w:right="0"/>
      </w:pPr>
    </w:p>
    <w:p w14:paraId="7C42E9CB" w14:textId="77777777" w:rsidR="002853AE" w:rsidRPr="00D16E82" w:rsidRDefault="002853AE" w:rsidP="00241E60">
      <w:pPr>
        <w:ind w:right="0"/>
      </w:pPr>
    </w:p>
    <w:p w14:paraId="2E10099B" w14:textId="77777777" w:rsidR="002853AE" w:rsidRPr="00D16E82" w:rsidRDefault="002853AE" w:rsidP="00241E60">
      <w:pPr>
        <w:ind w:right="0"/>
        <w:jc w:val="center"/>
      </w:pPr>
    </w:p>
    <w:p w14:paraId="384D58B3" w14:textId="77777777" w:rsidR="002853AE" w:rsidRPr="00D16E82" w:rsidRDefault="002853AE" w:rsidP="00241E60">
      <w:pPr>
        <w:ind w:right="0"/>
        <w:jc w:val="center"/>
      </w:pPr>
    </w:p>
    <w:p w14:paraId="0A509942" w14:textId="77777777" w:rsidR="002853AE" w:rsidRPr="00D16E82" w:rsidRDefault="002853AE" w:rsidP="00241E60">
      <w:pPr>
        <w:ind w:right="0"/>
        <w:jc w:val="center"/>
      </w:pPr>
    </w:p>
    <w:p w14:paraId="51141E5D" w14:textId="77777777" w:rsidR="002853AE" w:rsidRPr="00D16E82" w:rsidRDefault="002853AE" w:rsidP="00241E60">
      <w:pPr>
        <w:ind w:right="0"/>
        <w:jc w:val="center"/>
      </w:pPr>
    </w:p>
    <w:p w14:paraId="0BDDC821" w14:textId="2E86CF19" w:rsidR="002853AE" w:rsidRDefault="0070125E" w:rsidP="00241E60">
      <w:pPr>
        <w:pStyle w:val="Heading1"/>
        <w:ind w:right="0"/>
        <w:jc w:val="center"/>
        <w:rPr>
          <w:sz w:val="40"/>
          <w:szCs w:val="40"/>
        </w:rPr>
      </w:pPr>
      <w:r w:rsidRPr="0070125E">
        <w:rPr>
          <w:sz w:val="40"/>
          <w:szCs w:val="40"/>
        </w:rPr>
        <w:t xml:space="preserve">Survey of Surveillance Records of </w:t>
      </w:r>
      <w:r w:rsidRPr="00160313">
        <w:rPr>
          <w:i/>
          <w:sz w:val="40"/>
          <w:szCs w:val="40"/>
        </w:rPr>
        <w:t xml:space="preserve">Aedes </w:t>
      </w:r>
      <w:r w:rsidR="004B7DB7">
        <w:rPr>
          <w:i/>
          <w:sz w:val="40"/>
          <w:szCs w:val="40"/>
        </w:rPr>
        <w:t>a</w:t>
      </w:r>
      <w:r w:rsidR="004B7DB7" w:rsidRPr="00160313">
        <w:rPr>
          <w:i/>
          <w:sz w:val="40"/>
          <w:szCs w:val="40"/>
        </w:rPr>
        <w:t>egypti</w:t>
      </w:r>
      <w:r w:rsidR="004B7DB7">
        <w:rPr>
          <w:sz w:val="40"/>
          <w:szCs w:val="40"/>
        </w:rPr>
        <w:t xml:space="preserve"> </w:t>
      </w:r>
      <w:r>
        <w:rPr>
          <w:sz w:val="40"/>
          <w:szCs w:val="40"/>
        </w:rPr>
        <w:t xml:space="preserve">and </w:t>
      </w:r>
      <w:r w:rsidRPr="00160313">
        <w:rPr>
          <w:i/>
          <w:sz w:val="40"/>
          <w:szCs w:val="40"/>
        </w:rPr>
        <w:t xml:space="preserve">Aedes </w:t>
      </w:r>
      <w:r w:rsidR="004B7DB7">
        <w:rPr>
          <w:i/>
          <w:sz w:val="40"/>
          <w:szCs w:val="40"/>
        </w:rPr>
        <w:t>a</w:t>
      </w:r>
      <w:r w:rsidR="004B7DB7" w:rsidRPr="00160313">
        <w:rPr>
          <w:i/>
          <w:sz w:val="40"/>
          <w:szCs w:val="40"/>
        </w:rPr>
        <w:t>lbopictus</w:t>
      </w:r>
      <w:r w:rsidR="004B7DB7">
        <w:rPr>
          <w:sz w:val="40"/>
          <w:szCs w:val="40"/>
        </w:rPr>
        <w:t xml:space="preserve"> </w:t>
      </w:r>
      <w:r>
        <w:rPr>
          <w:sz w:val="40"/>
          <w:szCs w:val="40"/>
        </w:rPr>
        <w:t>fro</w:t>
      </w:r>
      <w:r w:rsidRPr="0070125E">
        <w:rPr>
          <w:sz w:val="40"/>
          <w:szCs w:val="40"/>
        </w:rPr>
        <w:t xml:space="preserve">m </w:t>
      </w:r>
      <w:r w:rsidR="00160313">
        <w:rPr>
          <w:sz w:val="40"/>
          <w:szCs w:val="40"/>
        </w:rPr>
        <w:t>1960</w:t>
      </w:r>
      <w:r w:rsidRPr="0070125E">
        <w:rPr>
          <w:sz w:val="40"/>
          <w:szCs w:val="40"/>
        </w:rPr>
        <w:t xml:space="preserve"> to Present</w:t>
      </w:r>
    </w:p>
    <w:p w14:paraId="2875040E" w14:textId="77777777" w:rsidR="0070125E" w:rsidRPr="0070125E" w:rsidRDefault="0070125E" w:rsidP="0070125E"/>
    <w:p w14:paraId="56535482" w14:textId="77777777" w:rsidR="00344AEC" w:rsidRPr="00D16E82" w:rsidRDefault="00344AEC" w:rsidP="00241E60">
      <w:pPr>
        <w:ind w:right="0"/>
        <w:jc w:val="center"/>
      </w:pPr>
      <w:r w:rsidRPr="00D16E82">
        <w:t xml:space="preserve">Request for OMB Approval of a New Emergency Information Collection </w:t>
      </w:r>
    </w:p>
    <w:p w14:paraId="55DDD3BF" w14:textId="77777777" w:rsidR="00552AC4" w:rsidRPr="0086521A" w:rsidRDefault="00552AC4" w:rsidP="00241E60">
      <w:pPr>
        <w:ind w:right="0"/>
        <w:jc w:val="center"/>
      </w:pPr>
    </w:p>
    <w:p w14:paraId="4C028995" w14:textId="10CC8D0C" w:rsidR="00E5320F" w:rsidRPr="00D16E82" w:rsidRDefault="0070125E" w:rsidP="00241E60">
      <w:pPr>
        <w:ind w:right="0"/>
        <w:jc w:val="center"/>
      </w:pPr>
      <w:r>
        <w:fldChar w:fldCharType="begin"/>
      </w:r>
      <w:r>
        <w:instrText xml:space="preserve"> DATE \@ "MMMM d, yyyy" </w:instrText>
      </w:r>
      <w:r>
        <w:fldChar w:fldCharType="separate"/>
      </w:r>
      <w:r w:rsidR="001922E1">
        <w:rPr>
          <w:noProof/>
        </w:rPr>
        <w:t>October 13, 2016</w:t>
      </w:r>
      <w:r>
        <w:fldChar w:fldCharType="end"/>
      </w:r>
    </w:p>
    <w:p w14:paraId="1FF0828A" w14:textId="77777777" w:rsidR="002853AE" w:rsidRPr="00D16E82" w:rsidRDefault="002853AE" w:rsidP="00241E60">
      <w:pPr>
        <w:ind w:right="0"/>
        <w:jc w:val="center"/>
      </w:pPr>
      <w:r w:rsidRPr="00D16E82">
        <w:t>Supporting Statement A</w:t>
      </w:r>
    </w:p>
    <w:p w14:paraId="0D57D764" w14:textId="77777777" w:rsidR="002853AE" w:rsidRPr="00D16E82" w:rsidRDefault="002853AE" w:rsidP="00241E60">
      <w:pPr>
        <w:ind w:right="0"/>
      </w:pPr>
    </w:p>
    <w:p w14:paraId="7DEEBFF0" w14:textId="77777777" w:rsidR="002853AE" w:rsidRPr="00D16E82" w:rsidRDefault="002853AE" w:rsidP="00241E60">
      <w:pPr>
        <w:ind w:right="0"/>
      </w:pPr>
    </w:p>
    <w:p w14:paraId="4B464542" w14:textId="77777777" w:rsidR="002853AE" w:rsidRPr="00D16E82" w:rsidRDefault="002853AE" w:rsidP="00241E60">
      <w:pPr>
        <w:ind w:right="0"/>
      </w:pPr>
    </w:p>
    <w:p w14:paraId="61DBE48B" w14:textId="77777777" w:rsidR="002853AE" w:rsidRPr="00D16E82" w:rsidRDefault="002853AE" w:rsidP="00241E60">
      <w:pPr>
        <w:ind w:right="0"/>
      </w:pPr>
    </w:p>
    <w:p w14:paraId="4BDB9418" w14:textId="77777777" w:rsidR="002853AE" w:rsidRPr="00D16E82" w:rsidRDefault="002853AE" w:rsidP="00241E60">
      <w:pPr>
        <w:ind w:right="0"/>
      </w:pPr>
    </w:p>
    <w:p w14:paraId="41CD3044" w14:textId="77777777" w:rsidR="002853AE" w:rsidRPr="00D16E82" w:rsidRDefault="002853AE" w:rsidP="00241E60">
      <w:pPr>
        <w:ind w:right="0"/>
      </w:pPr>
    </w:p>
    <w:p w14:paraId="77C1687B" w14:textId="77777777" w:rsidR="002853AE" w:rsidRPr="00D16E82" w:rsidRDefault="002853AE" w:rsidP="00241E60">
      <w:pPr>
        <w:ind w:right="0"/>
      </w:pPr>
    </w:p>
    <w:p w14:paraId="51D23756" w14:textId="77777777" w:rsidR="00841829" w:rsidRPr="00D16E82" w:rsidRDefault="00841829" w:rsidP="00241E60">
      <w:pPr>
        <w:ind w:right="0"/>
      </w:pPr>
    </w:p>
    <w:p w14:paraId="08A1B370" w14:textId="77777777" w:rsidR="0017456A" w:rsidRPr="00D16E82" w:rsidRDefault="0017456A" w:rsidP="00241E60">
      <w:pPr>
        <w:spacing w:before="0"/>
        <w:ind w:right="0"/>
      </w:pPr>
    </w:p>
    <w:p w14:paraId="3E6D9752" w14:textId="77777777" w:rsidR="0017456A" w:rsidRPr="00D16E82" w:rsidRDefault="0017456A" w:rsidP="00241E60">
      <w:pPr>
        <w:spacing w:before="0"/>
        <w:ind w:right="0"/>
      </w:pPr>
    </w:p>
    <w:p w14:paraId="0D52F125" w14:textId="77777777" w:rsidR="0017456A" w:rsidRPr="00D16E82" w:rsidRDefault="0017456A" w:rsidP="00241E60">
      <w:pPr>
        <w:spacing w:before="0"/>
        <w:ind w:right="0"/>
      </w:pPr>
    </w:p>
    <w:p w14:paraId="41F9CF70" w14:textId="77777777" w:rsidR="0017456A" w:rsidRPr="00D16E82" w:rsidRDefault="0017456A" w:rsidP="00241E60">
      <w:pPr>
        <w:spacing w:before="0"/>
        <w:ind w:right="0"/>
      </w:pPr>
    </w:p>
    <w:p w14:paraId="2797E1F7" w14:textId="77777777" w:rsidR="002853AE" w:rsidRPr="00D16E82" w:rsidRDefault="002853AE" w:rsidP="00241E60">
      <w:pPr>
        <w:spacing w:before="0"/>
        <w:ind w:right="0"/>
        <w:rPr>
          <w:b/>
        </w:rPr>
      </w:pPr>
      <w:r w:rsidRPr="00D16E82">
        <w:rPr>
          <w:b/>
        </w:rPr>
        <w:t>Contact:</w:t>
      </w:r>
    </w:p>
    <w:p w14:paraId="08C49840" w14:textId="77777777" w:rsidR="00C72B17" w:rsidRPr="00D16E82" w:rsidRDefault="00DF21F5" w:rsidP="00241E60">
      <w:pPr>
        <w:spacing w:before="0"/>
        <w:ind w:right="0"/>
      </w:pPr>
      <w:r w:rsidRPr="00D16E82">
        <w:t>Lee Samuel</w:t>
      </w:r>
    </w:p>
    <w:p w14:paraId="791188B8" w14:textId="77777777" w:rsidR="00C72B17" w:rsidRPr="00D16E82" w:rsidRDefault="00C72B17" w:rsidP="00241E60">
      <w:pPr>
        <w:spacing w:before="0"/>
        <w:ind w:right="0"/>
      </w:pPr>
      <w:r w:rsidRPr="00D16E82">
        <w:t>Centers for Disease Control and Prevention</w:t>
      </w:r>
    </w:p>
    <w:p w14:paraId="30B6E0E6" w14:textId="77777777" w:rsidR="00C72B17" w:rsidRPr="00D16E82" w:rsidRDefault="00C72B17" w:rsidP="00241E60">
      <w:pPr>
        <w:spacing w:before="0"/>
        <w:ind w:right="0"/>
      </w:pPr>
      <w:r w:rsidRPr="00D16E82">
        <w:t>National Center for Emerging and Zoonotic Infectious Diseases (NCEZID)</w:t>
      </w:r>
    </w:p>
    <w:p w14:paraId="72DE9A50" w14:textId="77777777" w:rsidR="00C72B17" w:rsidRPr="00D16E82" w:rsidRDefault="00C72B17" w:rsidP="00241E60">
      <w:pPr>
        <w:spacing w:before="0"/>
        <w:ind w:right="0"/>
      </w:pPr>
      <w:r w:rsidRPr="00D16E82">
        <w:t>1600 Clifton Road, NE, Mailstop C12</w:t>
      </w:r>
    </w:p>
    <w:p w14:paraId="60D2E932" w14:textId="77777777" w:rsidR="00C72B17" w:rsidRPr="00D16E82" w:rsidRDefault="0017456A" w:rsidP="00241E60">
      <w:pPr>
        <w:spacing w:before="0"/>
        <w:ind w:right="0"/>
      </w:pPr>
      <w:r w:rsidRPr="00D16E82">
        <w:t xml:space="preserve">Atlanta, GA </w:t>
      </w:r>
      <w:r w:rsidR="00C72B17" w:rsidRPr="00D16E82">
        <w:t>30333</w:t>
      </w:r>
    </w:p>
    <w:p w14:paraId="16490001" w14:textId="77777777" w:rsidR="00C72B17" w:rsidRPr="00D16E82" w:rsidRDefault="00DF21F5" w:rsidP="00241E60">
      <w:pPr>
        <w:spacing w:before="0"/>
        <w:ind w:right="0"/>
      </w:pPr>
      <w:r w:rsidRPr="00D16E82">
        <w:t>Llj3@cdc.go</w:t>
      </w:r>
      <w:r w:rsidR="00C72B17" w:rsidRPr="00D16E82">
        <w:t>v</w:t>
      </w:r>
    </w:p>
    <w:p w14:paraId="0991DBDE" w14:textId="77777777"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3BAC7B49" w14:textId="77777777" w:rsidR="008E5A3A" w:rsidRPr="00D16E82" w:rsidRDefault="00841829" w:rsidP="00241E60">
          <w:pPr>
            <w:pStyle w:val="TOCHeading"/>
            <w:jc w:val="center"/>
            <w:rPr>
              <w:rFonts w:ascii="Times New Roman" w:hAnsi="Times New Roman" w:cs="Times New Roman"/>
              <w:noProof/>
            </w:rPr>
          </w:pPr>
          <w:r w:rsidRPr="00D16E82">
            <w:rPr>
              <w:rFonts w:ascii="Times New Roman" w:hAnsi="Times New Roman" w:cs="Times New Roman"/>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63027CBA" w14:textId="77777777" w:rsidR="008E5A3A" w:rsidRPr="00D16E82" w:rsidRDefault="001922E1">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CA3DB3">
              <w:rPr>
                <w:noProof/>
                <w:webHidden/>
              </w:rPr>
              <w:t>3</w:t>
            </w:r>
            <w:r w:rsidR="008E5A3A" w:rsidRPr="00D16E82">
              <w:rPr>
                <w:noProof/>
                <w:webHidden/>
              </w:rPr>
              <w:fldChar w:fldCharType="end"/>
            </w:r>
          </w:hyperlink>
        </w:p>
        <w:p w14:paraId="7177EA45" w14:textId="77777777" w:rsidR="008E5A3A" w:rsidRPr="00D16E82" w:rsidRDefault="001922E1">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CA3DB3">
              <w:rPr>
                <w:noProof/>
                <w:webHidden/>
              </w:rPr>
              <w:t>4</w:t>
            </w:r>
            <w:r w:rsidR="008E5A3A" w:rsidRPr="00D16E82">
              <w:rPr>
                <w:noProof/>
                <w:webHidden/>
              </w:rPr>
              <w:fldChar w:fldCharType="end"/>
            </w:r>
          </w:hyperlink>
        </w:p>
        <w:p w14:paraId="20635F31" w14:textId="77777777" w:rsidR="008E5A3A" w:rsidRPr="00D16E82" w:rsidRDefault="001922E1">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CA3DB3">
              <w:rPr>
                <w:noProof/>
                <w:webHidden/>
              </w:rPr>
              <w:t>4</w:t>
            </w:r>
            <w:r w:rsidR="008E5A3A" w:rsidRPr="00D16E82">
              <w:rPr>
                <w:noProof/>
                <w:webHidden/>
              </w:rPr>
              <w:fldChar w:fldCharType="end"/>
            </w:r>
          </w:hyperlink>
        </w:p>
        <w:p w14:paraId="1F4793AC" w14:textId="4C23556A" w:rsidR="008E5A3A" w:rsidRPr="00D16E82" w:rsidRDefault="001922E1">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CA3DB3">
              <w:rPr>
                <w:noProof/>
                <w:webHidden/>
              </w:rPr>
              <w:t>5</w:t>
            </w:r>
            <w:r w:rsidR="008E5A3A" w:rsidRPr="00D16E82">
              <w:rPr>
                <w:noProof/>
                <w:webHidden/>
              </w:rPr>
              <w:fldChar w:fldCharType="end"/>
            </w:r>
          </w:hyperlink>
        </w:p>
        <w:p w14:paraId="17F90228" w14:textId="01AEE879" w:rsidR="008E5A3A" w:rsidRPr="00D16E82" w:rsidRDefault="001922E1">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CA3DB3">
              <w:rPr>
                <w:noProof/>
                <w:webHidden/>
              </w:rPr>
              <w:t>5</w:t>
            </w:r>
            <w:r w:rsidR="008E5A3A" w:rsidRPr="00D16E82">
              <w:rPr>
                <w:noProof/>
                <w:webHidden/>
              </w:rPr>
              <w:fldChar w:fldCharType="end"/>
            </w:r>
          </w:hyperlink>
        </w:p>
        <w:p w14:paraId="46D475BF" w14:textId="13F59AB9" w:rsidR="008E5A3A" w:rsidRPr="00D16E82" w:rsidRDefault="001922E1">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CA3DB3">
              <w:rPr>
                <w:noProof/>
                <w:webHidden/>
              </w:rPr>
              <w:t>5</w:t>
            </w:r>
            <w:r w:rsidR="008E5A3A" w:rsidRPr="00D16E82">
              <w:rPr>
                <w:noProof/>
                <w:webHidden/>
              </w:rPr>
              <w:fldChar w:fldCharType="end"/>
            </w:r>
          </w:hyperlink>
        </w:p>
        <w:p w14:paraId="5FB60996" w14:textId="5E324810" w:rsidR="008E5A3A" w:rsidRPr="00D16E82" w:rsidRDefault="001922E1">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CA3DB3">
              <w:rPr>
                <w:noProof/>
                <w:webHidden/>
              </w:rPr>
              <w:t>6</w:t>
            </w:r>
            <w:r w:rsidR="008E5A3A" w:rsidRPr="00D16E82">
              <w:rPr>
                <w:noProof/>
                <w:webHidden/>
              </w:rPr>
              <w:fldChar w:fldCharType="end"/>
            </w:r>
          </w:hyperlink>
        </w:p>
        <w:p w14:paraId="659A9A3A" w14:textId="01C00B6B" w:rsidR="008E5A3A" w:rsidRPr="00D16E82" w:rsidRDefault="001922E1">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CA3DB3">
              <w:rPr>
                <w:noProof/>
                <w:webHidden/>
              </w:rPr>
              <w:t>6</w:t>
            </w:r>
            <w:r w:rsidR="008E5A3A" w:rsidRPr="00D16E82">
              <w:rPr>
                <w:noProof/>
                <w:webHidden/>
              </w:rPr>
              <w:fldChar w:fldCharType="end"/>
            </w:r>
          </w:hyperlink>
        </w:p>
        <w:p w14:paraId="771BA1FF" w14:textId="3F82BFC5" w:rsidR="008E5A3A" w:rsidRPr="00D16E82" w:rsidRDefault="001922E1">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CA3DB3">
              <w:rPr>
                <w:noProof/>
                <w:webHidden/>
              </w:rPr>
              <w:t>6</w:t>
            </w:r>
            <w:r w:rsidR="008E5A3A" w:rsidRPr="00D16E82">
              <w:rPr>
                <w:noProof/>
                <w:webHidden/>
              </w:rPr>
              <w:fldChar w:fldCharType="end"/>
            </w:r>
          </w:hyperlink>
        </w:p>
        <w:p w14:paraId="7A22A84C" w14:textId="1603AF61" w:rsidR="008E5A3A" w:rsidRPr="00D16E82" w:rsidRDefault="001922E1">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CA3DB3">
              <w:rPr>
                <w:noProof/>
                <w:webHidden/>
              </w:rPr>
              <w:t>6</w:t>
            </w:r>
            <w:r w:rsidR="008E5A3A" w:rsidRPr="00D16E82">
              <w:rPr>
                <w:noProof/>
                <w:webHidden/>
              </w:rPr>
              <w:fldChar w:fldCharType="end"/>
            </w:r>
          </w:hyperlink>
        </w:p>
        <w:p w14:paraId="1E9F64C5" w14:textId="127C609A" w:rsidR="008E5A3A" w:rsidRPr="00D16E82" w:rsidRDefault="001922E1">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CA3DB3">
              <w:rPr>
                <w:noProof/>
                <w:webHidden/>
              </w:rPr>
              <w:t>6</w:t>
            </w:r>
            <w:r w:rsidR="008E5A3A" w:rsidRPr="00D16E82">
              <w:rPr>
                <w:noProof/>
                <w:webHidden/>
              </w:rPr>
              <w:fldChar w:fldCharType="end"/>
            </w:r>
          </w:hyperlink>
        </w:p>
        <w:p w14:paraId="63E9A877" w14:textId="3E8C5C21" w:rsidR="008E5A3A" w:rsidRPr="00D16E82" w:rsidRDefault="001922E1">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CA3DB3">
              <w:rPr>
                <w:noProof/>
                <w:webHidden/>
              </w:rPr>
              <w:t>7</w:t>
            </w:r>
            <w:r w:rsidR="008E5A3A" w:rsidRPr="00D16E82">
              <w:rPr>
                <w:noProof/>
                <w:webHidden/>
              </w:rPr>
              <w:fldChar w:fldCharType="end"/>
            </w:r>
          </w:hyperlink>
        </w:p>
        <w:p w14:paraId="15F0C156" w14:textId="74391972" w:rsidR="008E5A3A" w:rsidRPr="00D16E82" w:rsidRDefault="001922E1">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CA3DB3">
              <w:rPr>
                <w:noProof/>
                <w:webHidden/>
              </w:rPr>
              <w:t>8</w:t>
            </w:r>
            <w:r w:rsidR="008E5A3A" w:rsidRPr="00D16E82">
              <w:rPr>
                <w:noProof/>
                <w:webHidden/>
              </w:rPr>
              <w:fldChar w:fldCharType="end"/>
            </w:r>
          </w:hyperlink>
        </w:p>
        <w:p w14:paraId="5035CD7E" w14:textId="783826A6" w:rsidR="008E5A3A" w:rsidRPr="00D16E82" w:rsidRDefault="001922E1">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CA3DB3">
              <w:rPr>
                <w:noProof/>
                <w:webHidden/>
              </w:rPr>
              <w:t>8</w:t>
            </w:r>
            <w:r w:rsidR="008E5A3A" w:rsidRPr="00D16E82">
              <w:rPr>
                <w:noProof/>
                <w:webHidden/>
              </w:rPr>
              <w:fldChar w:fldCharType="end"/>
            </w:r>
          </w:hyperlink>
        </w:p>
        <w:p w14:paraId="3B193F07" w14:textId="45610FC6" w:rsidR="008E5A3A" w:rsidRPr="00D16E82" w:rsidRDefault="001922E1">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CA3DB3">
              <w:rPr>
                <w:noProof/>
                <w:webHidden/>
              </w:rPr>
              <w:t>8</w:t>
            </w:r>
            <w:r w:rsidR="008E5A3A" w:rsidRPr="00D16E82">
              <w:rPr>
                <w:noProof/>
                <w:webHidden/>
              </w:rPr>
              <w:fldChar w:fldCharType="end"/>
            </w:r>
          </w:hyperlink>
        </w:p>
        <w:p w14:paraId="5293CABB" w14:textId="1D267DC8" w:rsidR="008E5A3A" w:rsidRPr="00D16E82" w:rsidRDefault="001922E1">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CA3DB3">
              <w:rPr>
                <w:noProof/>
                <w:webHidden/>
              </w:rPr>
              <w:t>8</w:t>
            </w:r>
            <w:r w:rsidR="008E5A3A" w:rsidRPr="00D16E82">
              <w:rPr>
                <w:noProof/>
                <w:webHidden/>
              </w:rPr>
              <w:fldChar w:fldCharType="end"/>
            </w:r>
          </w:hyperlink>
        </w:p>
        <w:p w14:paraId="0AD543F3" w14:textId="62674AD2" w:rsidR="008E5A3A" w:rsidRPr="00D16E82" w:rsidRDefault="001922E1">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CA3DB3">
              <w:rPr>
                <w:noProof/>
                <w:webHidden/>
              </w:rPr>
              <w:t>9</w:t>
            </w:r>
            <w:r w:rsidR="008E5A3A" w:rsidRPr="00D16E82">
              <w:rPr>
                <w:noProof/>
                <w:webHidden/>
              </w:rPr>
              <w:fldChar w:fldCharType="end"/>
            </w:r>
          </w:hyperlink>
        </w:p>
        <w:p w14:paraId="329C76DA" w14:textId="4A7437C1" w:rsidR="008E5A3A" w:rsidRPr="00D16E82" w:rsidRDefault="001922E1">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CA3DB3">
              <w:rPr>
                <w:noProof/>
                <w:webHidden/>
              </w:rPr>
              <w:t>9</w:t>
            </w:r>
            <w:r w:rsidR="008E5A3A" w:rsidRPr="00D16E82">
              <w:rPr>
                <w:noProof/>
                <w:webHidden/>
              </w:rPr>
              <w:fldChar w:fldCharType="end"/>
            </w:r>
          </w:hyperlink>
        </w:p>
        <w:p w14:paraId="37885E2A" w14:textId="762B912F" w:rsidR="008E5A3A" w:rsidRPr="00D16E82" w:rsidRDefault="001922E1">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CA3DB3">
              <w:rPr>
                <w:noProof/>
                <w:webHidden/>
              </w:rPr>
              <w:t>9</w:t>
            </w:r>
            <w:r w:rsidR="008E5A3A" w:rsidRPr="00D16E82">
              <w:rPr>
                <w:noProof/>
                <w:webHidden/>
              </w:rPr>
              <w:fldChar w:fldCharType="end"/>
            </w:r>
          </w:hyperlink>
        </w:p>
        <w:p w14:paraId="68F44493" w14:textId="5C82180F" w:rsidR="003763BE" w:rsidRPr="00391372" w:rsidRDefault="00841829" w:rsidP="003763BE">
          <w:pPr>
            <w:numPr>
              <w:ilvl w:val="0"/>
              <w:numId w:val="23"/>
            </w:numPr>
            <w:spacing w:line="276" w:lineRule="auto"/>
            <w:ind w:right="0"/>
            <w:contextualSpacing/>
            <w:rPr>
              <w:rFonts w:eastAsia="Cambria"/>
            </w:rPr>
          </w:pPr>
          <w:r w:rsidRPr="00D16E82">
            <w:rPr>
              <w:b/>
              <w:bCs/>
              <w:noProof/>
            </w:rPr>
            <w:fldChar w:fldCharType="end"/>
          </w:r>
          <w:r w:rsidR="003763BE" w:rsidRPr="003763BE">
            <w:rPr>
              <w:rFonts w:eastAsia="Cambria"/>
            </w:rPr>
            <w:t xml:space="preserve"> </w:t>
          </w:r>
          <w:r w:rsidR="003763BE" w:rsidRPr="00391372">
            <w:rPr>
              <w:rFonts w:eastAsia="Cambria"/>
            </w:rPr>
            <w:t>Public Health Service Act (42 USC 241)</w:t>
          </w:r>
        </w:p>
        <w:p w14:paraId="7DF7ADD0" w14:textId="77777777" w:rsidR="003763BE" w:rsidRDefault="003763BE" w:rsidP="003763BE">
          <w:pPr>
            <w:numPr>
              <w:ilvl w:val="0"/>
              <w:numId w:val="23"/>
            </w:numPr>
            <w:spacing w:line="276" w:lineRule="auto"/>
            <w:ind w:right="0"/>
            <w:contextualSpacing/>
            <w:rPr>
              <w:rFonts w:eastAsia="Cambria"/>
            </w:rPr>
          </w:pPr>
          <w:r w:rsidRPr="00391372">
            <w:rPr>
              <w:rFonts w:eastAsia="Cambria"/>
            </w:rPr>
            <w:t>60-day FRN</w:t>
          </w:r>
        </w:p>
        <w:p w14:paraId="6AE6D673" w14:textId="30DFFE2D" w:rsidR="00D06260" w:rsidRPr="00391372" w:rsidRDefault="00D06260" w:rsidP="00D06260">
          <w:pPr>
            <w:numPr>
              <w:ilvl w:val="1"/>
              <w:numId w:val="23"/>
            </w:numPr>
            <w:spacing w:line="276" w:lineRule="auto"/>
            <w:ind w:right="0"/>
            <w:contextualSpacing/>
            <w:rPr>
              <w:rFonts w:eastAsia="Cambria"/>
            </w:rPr>
          </w:pPr>
          <w:r>
            <w:rPr>
              <w:rFonts w:eastAsia="Cambria"/>
            </w:rPr>
            <w:t>Public comment</w:t>
          </w:r>
        </w:p>
        <w:p w14:paraId="21D412C7" w14:textId="77777777" w:rsidR="003763BE" w:rsidRPr="00391372" w:rsidRDefault="003763BE" w:rsidP="003763BE">
          <w:pPr>
            <w:numPr>
              <w:ilvl w:val="0"/>
              <w:numId w:val="23"/>
            </w:numPr>
            <w:spacing w:line="276" w:lineRule="auto"/>
            <w:ind w:right="0"/>
            <w:contextualSpacing/>
            <w:rPr>
              <w:rFonts w:eastAsia="Cambria"/>
              <w:color w:val="000000"/>
            </w:rPr>
          </w:pPr>
          <w:r w:rsidRPr="00391372">
            <w:rPr>
              <w:rFonts w:eastAsia="Cambria"/>
              <w:color w:val="000000"/>
            </w:rPr>
            <w:t xml:space="preserve">Survey of county-level surveillance records of </w:t>
          </w:r>
          <w:r w:rsidRPr="00391372">
            <w:rPr>
              <w:rFonts w:eastAsia="Cambria"/>
              <w:i/>
              <w:color w:val="000000"/>
            </w:rPr>
            <w:t>Aedes aegypti</w:t>
          </w:r>
          <w:r w:rsidRPr="00391372">
            <w:rPr>
              <w:rFonts w:eastAsia="Cambria"/>
              <w:color w:val="000000"/>
            </w:rPr>
            <w:t xml:space="preserve"> and </w:t>
          </w:r>
          <w:r w:rsidRPr="00391372">
            <w:rPr>
              <w:rFonts w:eastAsia="Cambria"/>
              <w:i/>
              <w:color w:val="000000"/>
            </w:rPr>
            <w:t xml:space="preserve">Aedes albopictus </w:t>
          </w:r>
          <w:r w:rsidRPr="00391372">
            <w:rPr>
              <w:rFonts w:eastAsia="Cambria"/>
              <w:color w:val="000000"/>
            </w:rPr>
            <w:t>from 2000 to present</w:t>
          </w:r>
        </w:p>
        <w:p w14:paraId="05914A5A" w14:textId="1F7BC10B" w:rsidR="00841829" w:rsidRPr="00D16E82" w:rsidRDefault="003763BE" w:rsidP="00695E85">
          <w:pPr>
            <w:numPr>
              <w:ilvl w:val="0"/>
              <w:numId w:val="23"/>
            </w:numPr>
            <w:spacing w:line="276" w:lineRule="auto"/>
            <w:ind w:right="0"/>
            <w:contextualSpacing/>
          </w:pPr>
          <w:r w:rsidRPr="003763BE">
            <w:rPr>
              <w:rFonts w:eastAsia="Cambria"/>
              <w:color w:val="000000"/>
            </w:rPr>
            <w:t>IRB Non-research Determination</w:t>
          </w:r>
        </w:p>
      </w:sdtContent>
    </w:sdt>
    <w:p w14:paraId="31DE110C" w14:textId="77777777" w:rsidR="002853AE" w:rsidRPr="00D16E82" w:rsidRDefault="002853AE" w:rsidP="00241E60">
      <w:pPr>
        <w:ind w:right="0"/>
      </w:pPr>
    </w:p>
    <w:p w14:paraId="2F40D599" w14:textId="77777777" w:rsidR="0013092B" w:rsidRPr="00D16E82" w:rsidRDefault="0013092B" w:rsidP="00241E60">
      <w:pPr>
        <w:ind w:right="0"/>
      </w:pPr>
    </w:p>
    <w:p w14:paraId="654F190F" w14:textId="77777777" w:rsidR="0013092B" w:rsidRPr="00D16E82" w:rsidRDefault="0013092B" w:rsidP="00241E60">
      <w:pPr>
        <w:ind w:right="0"/>
      </w:pPr>
    </w:p>
    <w:p w14:paraId="2681436B" w14:textId="77777777" w:rsidR="0013092B" w:rsidRPr="00D16E82" w:rsidRDefault="0013092B" w:rsidP="00241E60">
      <w:pPr>
        <w:ind w:right="0"/>
      </w:pPr>
    </w:p>
    <w:p w14:paraId="48043A16" w14:textId="77777777" w:rsidR="0013092B" w:rsidRPr="00D16E82" w:rsidRDefault="0013092B" w:rsidP="00241E60">
      <w:pPr>
        <w:ind w:right="0"/>
      </w:pPr>
    </w:p>
    <w:p w14:paraId="65352C24" w14:textId="77777777" w:rsidR="0013092B" w:rsidRPr="00D16E82" w:rsidRDefault="0013092B" w:rsidP="00241E60">
      <w:pPr>
        <w:ind w:right="0"/>
      </w:pPr>
    </w:p>
    <w:p w14:paraId="43EB4C3A" w14:textId="77777777" w:rsidR="00847B3F" w:rsidRPr="00D16E82" w:rsidRDefault="00847B3F" w:rsidP="00241E60">
      <w:pPr>
        <w:pStyle w:val="Heading1"/>
        <w:ind w:right="0"/>
      </w:pPr>
      <w:bookmarkStart w:id="1" w:name="_Toc442348365"/>
    </w:p>
    <w:p w14:paraId="34D81D2B" w14:textId="77777777" w:rsidR="00847B3F" w:rsidRPr="00D16E82" w:rsidRDefault="00847B3F" w:rsidP="00241E60">
      <w:pPr>
        <w:pStyle w:val="Heading1"/>
        <w:ind w:right="0"/>
      </w:pPr>
    </w:p>
    <w:p w14:paraId="61E3DB21" w14:textId="77777777" w:rsidR="00847B3F" w:rsidRPr="00D16E82" w:rsidRDefault="00847B3F" w:rsidP="00241E60">
      <w:pPr>
        <w:pStyle w:val="Heading1"/>
        <w:ind w:right="0"/>
      </w:pPr>
    </w:p>
    <w:p w14:paraId="7D5A5907" w14:textId="53387548" w:rsidR="002853AE" w:rsidRPr="00D16E82" w:rsidRDefault="0013092B" w:rsidP="0013092B">
      <w:pPr>
        <w:pStyle w:val="Heading1"/>
        <w:ind w:right="0"/>
      </w:pPr>
      <w:r w:rsidRPr="00D16E82">
        <w:rPr>
          <w:noProof/>
        </w:rPr>
        <mc:AlternateContent>
          <mc:Choice Requires="wps">
            <w:drawing>
              <wp:anchor distT="0" distB="0" distL="114300" distR="114300" simplePos="0" relativeHeight="251659264" behindDoc="0" locked="0" layoutInCell="1" allowOverlap="1" wp14:anchorId="2BBFAE3B" wp14:editId="20AE6521">
                <wp:simplePos x="0" y="0"/>
                <wp:positionH relativeFrom="margin">
                  <wp:align>left</wp:align>
                </wp:positionH>
                <wp:positionV relativeFrom="paragraph">
                  <wp:posOffset>0</wp:posOffset>
                </wp:positionV>
                <wp:extent cx="5867400" cy="3619500"/>
                <wp:effectExtent l="0" t="0" r="1905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619500"/>
                        </a:xfrm>
                        <a:prstGeom prst="rect">
                          <a:avLst/>
                        </a:prstGeom>
                        <a:solidFill>
                          <a:srgbClr val="FFFFFF"/>
                        </a:solidFill>
                        <a:ln w="9525" cap="sq">
                          <a:solidFill>
                            <a:schemeClr val="tx2"/>
                          </a:solidFill>
                          <a:miter lim="800000"/>
                          <a:headEnd/>
                          <a:tailEnd/>
                        </a:ln>
                      </wps:spPr>
                      <wps:txbx>
                        <w:txbxContent>
                          <w:p w14:paraId="5428700D" w14:textId="406C8991" w:rsidR="00E60697" w:rsidRDefault="00E60697" w:rsidP="001B5A19">
                            <w:pPr>
                              <w:spacing w:line="276" w:lineRule="auto"/>
                            </w:pPr>
                            <w:r>
                              <w:rPr>
                                <w:b/>
                              </w:rPr>
                              <w:t xml:space="preserve">Goal: </w:t>
                            </w:r>
                            <w:r>
                              <w:t>The goal of this survey is to collect county-level surveillance r</w:t>
                            </w:r>
                            <w:r w:rsidRPr="0070125E">
                              <w:t xml:space="preserve">ecords of </w:t>
                            </w:r>
                            <w:r w:rsidRPr="005D2585">
                              <w:rPr>
                                <w:i/>
                              </w:rPr>
                              <w:t>Aedes aegypti</w:t>
                            </w:r>
                            <w:r w:rsidRPr="0070125E">
                              <w:t xml:space="preserve"> and </w:t>
                            </w:r>
                            <w:r w:rsidRPr="005D2585">
                              <w:rPr>
                                <w:i/>
                              </w:rPr>
                              <w:t>Aedes albopictus</w:t>
                            </w:r>
                            <w:r>
                              <w:t xml:space="preserve">, the vectors that transmit Zika Virus. </w:t>
                            </w:r>
                          </w:p>
                          <w:p w14:paraId="2E5F75AB" w14:textId="6C5270A0" w:rsidR="00E60697" w:rsidRDefault="00E60697" w:rsidP="001B5A19">
                            <w:pPr>
                              <w:spacing w:line="276" w:lineRule="auto"/>
                            </w:pPr>
                            <w:r w:rsidRPr="0070125E">
                              <w:rPr>
                                <w:b/>
                              </w:rPr>
                              <w:t>Intended use of the resulting data</w:t>
                            </w:r>
                            <w:r>
                              <w:t>: I</w:t>
                            </w:r>
                            <w:r w:rsidRPr="0070125E">
                              <w:t>nformation will aid in 1) targeting vector control efforts to prevent mosquito-borne Zika virus transmission in the continental U.S. and 2) targeting future vector surveillance efforts.</w:t>
                            </w:r>
                          </w:p>
                          <w:p w14:paraId="1F31FDE2" w14:textId="1C6CA740" w:rsidR="00E60697" w:rsidRDefault="00E60697" w:rsidP="001B5A19">
                            <w:pPr>
                              <w:spacing w:line="276" w:lineRule="auto"/>
                            </w:pPr>
                            <w:r w:rsidRPr="0070125E">
                              <w:rPr>
                                <w:b/>
                              </w:rPr>
                              <w:t>Methods</w:t>
                            </w:r>
                            <w:r>
                              <w:t xml:space="preserve">: Surveys will be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w:t>
                            </w:r>
                          </w:p>
                          <w:p w14:paraId="5BE59BFE" w14:textId="0D37530A" w:rsidR="00E60697" w:rsidRDefault="00E60697" w:rsidP="001B5A19">
                            <w:pPr>
                              <w:spacing w:line="276" w:lineRule="auto"/>
                            </w:pPr>
                            <w:r w:rsidRPr="0070125E">
                              <w:rPr>
                                <w:b/>
                              </w:rPr>
                              <w:t>Subpopulation to be studied</w:t>
                            </w:r>
                            <w:r>
                              <w:t>: Vector control professionals, entomologists, and public health biologists</w:t>
                            </w:r>
                          </w:p>
                          <w:p w14:paraId="205BFAED" w14:textId="7E4A61EF" w:rsidR="00E60697" w:rsidRDefault="00E60697" w:rsidP="001B5A19">
                            <w:pPr>
                              <w:spacing w:line="276" w:lineRule="auto"/>
                            </w:pPr>
                            <w:r w:rsidRPr="00E60697">
                              <w:rPr>
                                <w:b/>
                              </w:rPr>
                              <w:t>How data will be analyzed</w:t>
                            </w:r>
                            <w:r w:rsidRPr="00E60697">
                              <w:t>:</w:t>
                            </w:r>
                            <w:r>
                              <w:t xml:space="preserve"> Distributions of each mosquito will be developed using data collected from the previous survey and from the published literature.  The data collected from this survey will be used 1) to evaluate performance of the species distribution models, and 2) to provide updated information on where Zika vectors were collected in recent years.</w:t>
                            </w:r>
                          </w:p>
                          <w:p w14:paraId="03E2800F" w14:textId="77777777" w:rsidR="00E60697" w:rsidRPr="00335C6D" w:rsidRDefault="00E60697" w:rsidP="001B5A19">
                            <w:pPr>
                              <w:spacing w:line="276" w:lineRule="auto"/>
                            </w:pPr>
                          </w:p>
                          <w:p w14:paraId="03B6241A" w14:textId="77777777" w:rsidR="00E60697" w:rsidRPr="00593ACD" w:rsidRDefault="00E60697"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FAE3B" id="_x0000_t202" coordsize="21600,21600" o:spt="202" path="m,l,21600r21600,l21600,xe">
                <v:stroke joinstyle="miter"/>
                <v:path gradientshapeok="t" o:connecttype="rect"/>
              </v:shapetype>
              <v:shape id="Text Box 2" o:spid="_x0000_s1026" type="#_x0000_t202" style="position:absolute;margin-left:0;margin-top:0;width:462pt;height:2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" strokecolor="#1f497d [3215]">
                <v:stroke endcap="square"/>
                <v:textbox>
                  <w:txbxContent>
                    <w:p w14:paraId="5428700D" w14:textId="406C8991" w:rsidR="00E60697" w:rsidRDefault="00E60697" w:rsidP="001B5A19">
                      <w:pPr>
                        <w:spacing w:line="276" w:lineRule="auto"/>
                      </w:pPr>
                      <w:r>
                        <w:rPr>
                          <w:b/>
                        </w:rPr>
                        <w:t xml:space="preserve">Goal: </w:t>
                      </w:r>
                      <w:r>
                        <w:t>The goal of this survey is to collect county-level surveillance r</w:t>
                      </w:r>
                      <w:r w:rsidRPr="0070125E">
                        <w:t xml:space="preserve">ecords of </w:t>
                      </w:r>
                      <w:r w:rsidRPr="005D2585">
                        <w:rPr>
                          <w:i/>
                        </w:rPr>
                        <w:t>Aedes aegypti</w:t>
                      </w:r>
                      <w:r w:rsidRPr="0070125E">
                        <w:t xml:space="preserve"> and </w:t>
                      </w:r>
                      <w:r w:rsidRPr="005D2585">
                        <w:rPr>
                          <w:i/>
                        </w:rPr>
                        <w:t>Aedes albopictus</w:t>
                      </w:r>
                      <w:r>
                        <w:t xml:space="preserve">, the vectors that transmit Zika Virus. </w:t>
                      </w:r>
                    </w:p>
                    <w:p w14:paraId="2E5F75AB" w14:textId="6C5270A0" w:rsidR="00E60697" w:rsidRDefault="00E60697" w:rsidP="001B5A19">
                      <w:pPr>
                        <w:spacing w:line="276" w:lineRule="auto"/>
                      </w:pPr>
                      <w:r w:rsidRPr="0070125E">
                        <w:rPr>
                          <w:b/>
                        </w:rPr>
                        <w:t>Intended use of the resulting data</w:t>
                      </w:r>
                      <w:r>
                        <w:t>: I</w:t>
                      </w:r>
                      <w:r w:rsidRPr="0070125E">
                        <w:t>nformation will aid in 1) targeting vector control efforts to prevent mosquito-borne Zika virus transmission in the continental U.S. and 2) targeting future vector surveillance efforts.</w:t>
                      </w:r>
                    </w:p>
                    <w:p w14:paraId="1F31FDE2" w14:textId="1C6CA740" w:rsidR="00E60697" w:rsidRDefault="00E60697" w:rsidP="001B5A19">
                      <w:pPr>
                        <w:spacing w:line="276" w:lineRule="auto"/>
                      </w:pPr>
                      <w:r w:rsidRPr="0070125E">
                        <w:rPr>
                          <w:b/>
                        </w:rPr>
                        <w:t>Methods</w:t>
                      </w:r>
                      <w:r>
                        <w:t xml:space="preserve">: Surveys will be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w:t>
                      </w:r>
                    </w:p>
                    <w:p w14:paraId="5BE59BFE" w14:textId="0D37530A" w:rsidR="00E60697" w:rsidRDefault="00E60697" w:rsidP="001B5A19">
                      <w:pPr>
                        <w:spacing w:line="276" w:lineRule="auto"/>
                      </w:pPr>
                      <w:r w:rsidRPr="0070125E">
                        <w:rPr>
                          <w:b/>
                        </w:rPr>
                        <w:t>Subpopulation to be studied</w:t>
                      </w:r>
                      <w:r>
                        <w:t>: Vector control professionals, entomologists, and public health biologists</w:t>
                      </w:r>
                    </w:p>
                    <w:p w14:paraId="205BFAED" w14:textId="7E4A61EF" w:rsidR="00E60697" w:rsidRDefault="00E60697" w:rsidP="001B5A19">
                      <w:pPr>
                        <w:spacing w:line="276" w:lineRule="auto"/>
                      </w:pPr>
                      <w:r w:rsidRPr="00E60697">
                        <w:rPr>
                          <w:b/>
                        </w:rPr>
                        <w:t>How data will be analyzed</w:t>
                      </w:r>
                      <w:r w:rsidRPr="00E60697">
                        <w:t>:</w:t>
                      </w:r>
                      <w:r>
                        <w:t xml:space="preserve"> Distributions of each mosquito will be developed using data collected from the previous survey and from the published literature.  The data collected from this survey will be used 1) to evaluate performance of the species distribution models, and 2) to provide updated information on where Zika vectors were collected in recent years.</w:t>
                      </w:r>
                    </w:p>
                    <w:p w14:paraId="03E2800F" w14:textId="77777777" w:rsidR="00E60697" w:rsidRPr="00335C6D" w:rsidRDefault="00E60697" w:rsidP="001B5A19">
                      <w:pPr>
                        <w:spacing w:line="276" w:lineRule="auto"/>
                      </w:pPr>
                    </w:p>
                    <w:p w14:paraId="03B6241A" w14:textId="77777777" w:rsidR="00E60697" w:rsidRPr="00593ACD" w:rsidRDefault="00E60697" w:rsidP="0021628E"/>
                  </w:txbxContent>
                </v:textbox>
                <w10:wrap type="square" anchorx="margin"/>
              </v:shape>
            </w:pict>
          </mc:Fallback>
        </mc:AlternateContent>
      </w:r>
      <w:r w:rsidR="002853AE" w:rsidRPr="00D16E82">
        <w:t>1.  Circumstances making the Collection of Information Necessary</w:t>
      </w:r>
      <w:bookmarkEnd w:id="1"/>
    </w:p>
    <w:p w14:paraId="7FF19AE4" w14:textId="201A2C25" w:rsidR="00FC295B" w:rsidRDefault="00FC295B" w:rsidP="00FC295B">
      <w:pPr>
        <w:spacing w:line="276" w:lineRule="auto"/>
        <w:ind w:right="0"/>
      </w:pPr>
      <w:r w:rsidRPr="00FC295B">
        <w:t xml:space="preserve">In May 2015, the World Health Organization reported the first local transmission of Zika virus in the Western Hemisphere, with autochthonous cases identified in Brazil. As of March 16, 2016, local transmission has been identified in at least 32 countries or territories in the Americas. Further spread to other countries in the region is likely. Local vector-borne transmission of Zika virus has </w:t>
      </w:r>
      <w:r w:rsidR="000B4AF0">
        <w:t>now</w:t>
      </w:r>
      <w:r w:rsidR="000B4AF0" w:rsidRPr="00FC295B">
        <w:t xml:space="preserve"> </w:t>
      </w:r>
      <w:r w:rsidRPr="00FC295B">
        <w:t xml:space="preserve">been documented in </w:t>
      </w:r>
      <w:r w:rsidR="00E65AB8">
        <w:t>Florida and</w:t>
      </w:r>
      <w:r w:rsidRPr="00FC295B">
        <w:t xml:space="preserve"> Zika virus infections have been reported in travelers returning from areas with active Zika virus transmission. Zika virus infection also has occurred through sexual transmission, which may pose an additional risk to non-travelling pregnant women whose partners may have traveled to areas at high risk for Zika virus acquisition. With the ongoing outbreak in the Americas, the number of Zika virus disease cases among travelers returning to the United States likely will increase, and sexual transmission from male travelers to their sex partners in the United States will likely continue to occur. In addition, mosquito-borne local transmission may occur in states where </w:t>
      </w:r>
      <w:r w:rsidRPr="00E60697">
        <w:rPr>
          <w:i/>
        </w:rPr>
        <w:t>Aedes</w:t>
      </w:r>
      <w:r w:rsidR="00933A24">
        <w:rPr>
          <w:i/>
        </w:rPr>
        <w:t xml:space="preserve"> aegypti </w:t>
      </w:r>
      <w:r w:rsidR="00933A24">
        <w:t xml:space="preserve">or </w:t>
      </w:r>
      <w:r w:rsidR="00933A24">
        <w:rPr>
          <w:i/>
        </w:rPr>
        <w:t>Ae. albopictus</w:t>
      </w:r>
      <w:r w:rsidRPr="00FC295B">
        <w:t xml:space="preserve"> mosquitoes are present.</w:t>
      </w:r>
    </w:p>
    <w:p w14:paraId="5AE36D7D" w14:textId="73D20FBC" w:rsidR="00A74FBC" w:rsidRDefault="007E543F" w:rsidP="00A74FBC">
      <w:pPr>
        <w:spacing w:line="276" w:lineRule="auto"/>
        <w:ind w:right="0"/>
        <w:rPr>
          <w:lang w:val="en"/>
        </w:rPr>
      </w:pPr>
      <w:r w:rsidRPr="00D16E82">
        <w:lastRenderedPageBreak/>
        <w:t xml:space="preserve">In </w:t>
      </w:r>
      <w:r w:rsidR="00E65AB8">
        <w:t>February 2016</w:t>
      </w:r>
      <w:r w:rsidR="0082159A">
        <w:t>,</w:t>
      </w:r>
      <w:r w:rsidR="00E65AB8">
        <w:t xml:space="preserve"> </w:t>
      </w:r>
      <w:r w:rsidR="00A74FBC">
        <w:rPr>
          <w:lang w:val="en"/>
        </w:rPr>
        <w:t xml:space="preserve">OMB issued emergency clearance for a county-level survey of vector surveillance records (OMB Control No. 0920-1101, expiration date 8/31/2016) and </w:t>
      </w:r>
      <w:r w:rsidRPr="00D16E82">
        <w:t xml:space="preserve">CDC </w:t>
      </w:r>
      <w:r w:rsidR="00933A24">
        <w:t>initiated</w:t>
      </w:r>
      <w:r w:rsidRPr="00D16E82">
        <w:t xml:space="preserve"> </w:t>
      </w:r>
      <w:r w:rsidR="00933A24">
        <w:t>a</w:t>
      </w:r>
      <w:r w:rsidR="00E95E70" w:rsidRPr="00E812C9">
        <w:t xml:space="preserve"> survey distributed to </w:t>
      </w:r>
      <w:r w:rsidR="00D16E82" w:rsidRPr="00E812C9">
        <w:t xml:space="preserve">vector control professionals, entomologists, and public health </w:t>
      </w:r>
      <w:r w:rsidR="00160313">
        <w:t>professionals</w:t>
      </w:r>
      <w:r w:rsidR="00D16E82" w:rsidRPr="00E812C9">
        <w:t xml:space="preserve"> </w:t>
      </w:r>
      <w:r w:rsidR="00E95E70" w:rsidRPr="00E812C9">
        <w:t xml:space="preserve">in order to </w:t>
      </w:r>
      <w:r w:rsidR="00E95E70" w:rsidRPr="008E05B8">
        <w:t>develop county-</w:t>
      </w:r>
      <w:r w:rsidR="00160313">
        <w:t xml:space="preserve"> and sub-county-</w:t>
      </w:r>
      <w:r w:rsidR="00E95E70" w:rsidRPr="008E05B8">
        <w:t xml:space="preserve">level species distribution maps and models for the prevalence of </w:t>
      </w:r>
      <w:r w:rsidR="00E95E70" w:rsidRPr="008E05B8">
        <w:rPr>
          <w:i/>
        </w:rPr>
        <w:t>Aedes aegypti</w:t>
      </w:r>
      <w:r w:rsidR="00E95E70" w:rsidRPr="008E05B8">
        <w:t xml:space="preserve"> </w:t>
      </w:r>
      <w:r w:rsidR="0009764F" w:rsidRPr="008E05B8">
        <w:t xml:space="preserve">and </w:t>
      </w:r>
      <w:r w:rsidR="0009764F" w:rsidRPr="008E05B8">
        <w:rPr>
          <w:i/>
        </w:rPr>
        <w:t>Ae. albopictu</w:t>
      </w:r>
      <w:r w:rsidR="0009764F" w:rsidRPr="008E05B8">
        <w:t>s</w:t>
      </w:r>
      <w:r w:rsidR="0009764F" w:rsidRPr="00E812C9">
        <w:t xml:space="preserve"> </w:t>
      </w:r>
      <w:r w:rsidR="00E95E70" w:rsidRPr="00E812C9">
        <w:t xml:space="preserve">(the </w:t>
      </w:r>
      <w:r w:rsidR="0009764F" w:rsidRPr="00E812C9">
        <w:t xml:space="preserve">vectors of </w:t>
      </w:r>
      <w:r w:rsidR="00B74BC9">
        <w:t>Zika</w:t>
      </w:r>
      <w:r w:rsidR="00E95E70" w:rsidRPr="00E812C9">
        <w:t xml:space="preserve"> virus) in the United States.  </w:t>
      </w:r>
      <w:r w:rsidR="00E65AB8">
        <w:t>The results of the initial survey were published online in June of 2016 (Hahn</w:t>
      </w:r>
      <w:r w:rsidR="00A74FBC">
        <w:t>, M.B.,</w:t>
      </w:r>
      <w:r w:rsidR="00E65AB8">
        <w:t xml:space="preserve"> et al. </w:t>
      </w:r>
      <w:r w:rsidR="00A74FBC">
        <w:t xml:space="preserve">(2016) </w:t>
      </w:r>
      <w:r w:rsidR="00E65AB8">
        <w:t xml:space="preserve">J. Med. Entomol. </w:t>
      </w:r>
      <w:r w:rsidR="00A74FBC">
        <w:t xml:space="preserve">53: 1176-1191).  </w:t>
      </w:r>
      <w:r w:rsidR="00A74FBC" w:rsidRPr="00017FFE">
        <w:rPr>
          <w:lang w:val="en"/>
        </w:rPr>
        <w:t xml:space="preserve">The survey revealed that we are lacking records from recent years of both species from areas where we expect to find Zika vectors based on historical records and environmental suitability.  It is likely that the reason for this is </w:t>
      </w:r>
      <w:r w:rsidR="00A74FBC">
        <w:rPr>
          <w:lang w:val="en"/>
        </w:rPr>
        <w:t xml:space="preserve">because </w:t>
      </w:r>
      <w:r w:rsidR="00A74FBC" w:rsidRPr="00017FFE">
        <w:rPr>
          <w:lang w:val="en"/>
        </w:rPr>
        <w:t>from 2004-2015 most vector surveillance focused on vectors of West Nile virus (</w:t>
      </w:r>
      <w:r w:rsidR="00A74FBC" w:rsidRPr="00017FFE">
        <w:rPr>
          <w:i/>
          <w:lang w:val="en"/>
        </w:rPr>
        <w:t>Culex spp.</w:t>
      </w:r>
      <w:r w:rsidR="00A74FBC" w:rsidRPr="00017FFE">
        <w:rPr>
          <w:lang w:val="en"/>
        </w:rPr>
        <w:t xml:space="preserve">), rather than Zika vectors.  </w:t>
      </w:r>
      <w:r w:rsidR="00A74FBC">
        <w:rPr>
          <w:lang w:val="en"/>
        </w:rPr>
        <w:t xml:space="preserve">The collection of the former relies on collection techniques that are not optimized to capture the latter. </w:t>
      </w:r>
    </w:p>
    <w:p w14:paraId="36C5D6A9" w14:textId="56CBB538" w:rsidR="00FC0D37" w:rsidRDefault="00A74FBC" w:rsidP="00FC295B">
      <w:pPr>
        <w:spacing w:line="276" w:lineRule="auto"/>
        <w:ind w:right="0"/>
        <w:rPr>
          <w:lang w:val="en"/>
        </w:rPr>
      </w:pPr>
      <w:r>
        <w:rPr>
          <w:lang w:val="en"/>
        </w:rPr>
        <w:t xml:space="preserve">To better approximate where these Zika vectors are likely to be encountered in the continental U.S., </w:t>
      </w:r>
      <w:r w:rsidR="0082159A">
        <w:rPr>
          <w:lang w:val="en"/>
        </w:rPr>
        <w:t xml:space="preserve">using the data from the previous survey, </w:t>
      </w:r>
      <w:r>
        <w:rPr>
          <w:lang w:val="en"/>
        </w:rPr>
        <w:t xml:space="preserve">CDC intends to develop a statistically-driven model of each species’ distribution.  A follow up survey of entomologists, vector control professionals and public health biologists will be conducted </w:t>
      </w:r>
      <w:r w:rsidR="003E445C">
        <w:rPr>
          <w:lang w:val="en"/>
        </w:rPr>
        <w:t xml:space="preserve">to evaluate the performance of the model and to provide a more accurate representation of counties from which the Zika vectors have been reported.  The follow up survey is expected to yield new information beyond what was collected in the spring of 2016 because 1) respondents have had more time to mine their historical records and the current survey dates back further in time to capture this information, and 2) with the emergence of Zika virus, many mosquito surveillance efforts have been expanded to include trapping methods sufficient to captures Zika </w:t>
      </w:r>
      <w:r w:rsidR="0082159A">
        <w:rPr>
          <w:lang w:val="en"/>
        </w:rPr>
        <w:t xml:space="preserve">vector </w:t>
      </w:r>
      <w:r w:rsidR="003E445C">
        <w:rPr>
          <w:lang w:val="en"/>
        </w:rPr>
        <w:t>mosquitoes. I</w:t>
      </w:r>
      <w:r w:rsidR="00FC0D37" w:rsidRPr="00D16E82">
        <w:rPr>
          <w:lang w:val="en"/>
        </w:rPr>
        <w:t xml:space="preserve">nformation </w:t>
      </w:r>
      <w:r w:rsidR="003E445C">
        <w:rPr>
          <w:lang w:val="en"/>
        </w:rPr>
        <w:t xml:space="preserve">collected as part of this survey </w:t>
      </w:r>
      <w:r w:rsidR="00FC0D37" w:rsidRPr="00D16E82">
        <w:rPr>
          <w:lang w:val="en"/>
        </w:rPr>
        <w:t xml:space="preserve">will be used to update species distribution maps for the United States </w:t>
      </w:r>
      <w:r w:rsidR="003E445C">
        <w:rPr>
          <w:lang w:val="en"/>
        </w:rPr>
        <w:t xml:space="preserve">(e.g., showing where the mosquitoes </w:t>
      </w:r>
      <w:r w:rsidR="003E445C" w:rsidRPr="004A715F">
        <w:rPr>
          <w:i/>
          <w:lang w:val="en"/>
        </w:rPr>
        <w:t>have been</w:t>
      </w:r>
      <w:r w:rsidR="003E445C">
        <w:rPr>
          <w:lang w:val="en"/>
        </w:rPr>
        <w:t xml:space="preserve"> reported) </w:t>
      </w:r>
      <w:r w:rsidR="00FC0D37" w:rsidRPr="00D16E82">
        <w:rPr>
          <w:lang w:val="en"/>
        </w:rPr>
        <w:t xml:space="preserve">and to </w:t>
      </w:r>
      <w:r w:rsidR="00E60697">
        <w:rPr>
          <w:lang w:val="en"/>
        </w:rPr>
        <w:t xml:space="preserve">assess </w:t>
      </w:r>
      <w:r w:rsidR="00933A24">
        <w:rPr>
          <w:lang w:val="en"/>
        </w:rPr>
        <w:t>the accuracy of</w:t>
      </w:r>
      <w:r w:rsidR="00933A24" w:rsidRPr="00D16E82">
        <w:rPr>
          <w:lang w:val="en"/>
        </w:rPr>
        <w:t xml:space="preserve"> </w:t>
      </w:r>
      <w:r w:rsidR="00FC0D37" w:rsidRPr="00D16E82">
        <w:rPr>
          <w:lang w:val="en"/>
        </w:rPr>
        <w:t>a model aimed at identifying where these vectors can survive and reproduce</w:t>
      </w:r>
      <w:r w:rsidR="003E445C">
        <w:rPr>
          <w:lang w:val="en"/>
        </w:rPr>
        <w:t xml:space="preserve"> (e.g., showing where the mosquitoes are </w:t>
      </w:r>
      <w:r w:rsidR="003E445C" w:rsidRPr="004A715F">
        <w:rPr>
          <w:i/>
          <w:lang w:val="en"/>
        </w:rPr>
        <w:t>expected to be</w:t>
      </w:r>
      <w:r w:rsidR="003E445C">
        <w:rPr>
          <w:lang w:val="en"/>
        </w:rPr>
        <w:t xml:space="preserve"> reported)</w:t>
      </w:r>
      <w:r w:rsidR="00FC0D37" w:rsidRPr="00D16E82">
        <w:rPr>
          <w:lang w:val="en"/>
        </w:rPr>
        <w:t>.</w:t>
      </w:r>
    </w:p>
    <w:p w14:paraId="4644C730" w14:textId="54FCA976" w:rsidR="00017FFE" w:rsidRPr="00D16E82" w:rsidRDefault="0082159A" w:rsidP="00017FFE">
      <w:pPr>
        <w:spacing w:line="276" w:lineRule="auto"/>
        <w:ind w:right="0"/>
        <w:rPr>
          <w:lang w:val="en"/>
        </w:rPr>
      </w:pPr>
      <w:r>
        <w:rPr>
          <w:lang w:val="en"/>
        </w:rPr>
        <w:t>The resulting maps</w:t>
      </w:r>
      <w:r w:rsidR="00017FFE" w:rsidRPr="00017FFE">
        <w:rPr>
          <w:lang w:val="en"/>
        </w:rPr>
        <w:t xml:space="preserve"> will aid in 1) </w:t>
      </w:r>
      <w:r w:rsidR="003E445C">
        <w:rPr>
          <w:lang w:val="en"/>
        </w:rPr>
        <w:t>allocating resources for</w:t>
      </w:r>
      <w:r w:rsidR="003E445C" w:rsidRPr="00017FFE">
        <w:rPr>
          <w:lang w:val="en"/>
        </w:rPr>
        <w:t xml:space="preserve"> </w:t>
      </w:r>
      <w:r w:rsidR="00017FFE" w:rsidRPr="00017FFE">
        <w:rPr>
          <w:lang w:val="en"/>
        </w:rPr>
        <w:t>vector control efforts to prevent mosquito-borne Zika virus transmission in the continental U.S. and 2) targeting future vector surveillance efforts.</w:t>
      </w:r>
      <w:r w:rsidR="003E445C">
        <w:rPr>
          <w:lang w:val="en"/>
        </w:rPr>
        <w:t xml:space="preserve">  In addition, this information will improve the quality of information on vector distributions that CDC is distributing to the public.</w:t>
      </w:r>
    </w:p>
    <w:p w14:paraId="004350D4" w14:textId="048D5A57" w:rsidR="002853AE" w:rsidRPr="00D16E82" w:rsidRDefault="00BA0DFE" w:rsidP="00017FFE">
      <w:pPr>
        <w:spacing w:line="276" w:lineRule="auto"/>
        <w:ind w:right="0"/>
      </w:pPr>
      <w:r w:rsidRPr="00D16E82">
        <w:t>This information collection request</w:t>
      </w:r>
      <w:r w:rsidR="004E790E" w:rsidRPr="00D16E82">
        <w:t xml:space="preserve"> </w:t>
      </w:r>
      <w:r w:rsidRPr="00D16E82">
        <w:t>is</w:t>
      </w:r>
      <w:r w:rsidR="002853AE" w:rsidRPr="00D16E82">
        <w:t xml:space="preserve"> authorized by Section 301 of the Public Health Service Act (42 U.S.C. 241) (</w:t>
      </w:r>
      <w:r w:rsidR="002853AE" w:rsidRPr="00042A66">
        <w:rPr>
          <w:b/>
        </w:rPr>
        <w:t>A</w:t>
      </w:r>
      <w:r w:rsidR="00FE74D8" w:rsidRPr="00042A66">
        <w:rPr>
          <w:b/>
        </w:rPr>
        <w:t>ttachment</w:t>
      </w:r>
      <w:r w:rsidR="002853AE" w:rsidRPr="00042A66">
        <w:rPr>
          <w:b/>
        </w:rPr>
        <w:t xml:space="preserve"> </w:t>
      </w:r>
      <w:r w:rsidR="00AD7A16" w:rsidRPr="00042A66">
        <w:rPr>
          <w:b/>
        </w:rPr>
        <w:t>A</w:t>
      </w:r>
      <w:r w:rsidR="00E1463E" w:rsidRPr="00042A66">
        <w:t>).</w:t>
      </w:r>
      <w:r w:rsidR="001E4572" w:rsidRPr="00D16E82">
        <w:t xml:space="preserve"> </w:t>
      </w:r>
    </w:p>
    <w:p w14:paraId="08665E97" w14:textId="2D99F9DD" w:rsidR="00017FFE" w:rsidRDefault="00017FFE" w:rsidP="00FC295B">
      <w:pPr>
        <w:spacing w:line="276" w:lineRule="auto"/>
        <w:ind w:right="0"/>
      </w:pPr>
    </w:p>
    <w:p w14:paraId="29F5C77A" w14:textId="77777777" w:rsidR="002853AE" w:rsidRPr="00D16E82" w:rsidRDefault="002853AE" w:rsidP="00FC295B">
      <w:pPr>
        <w:pStyle w:val="Heading1"/>
        <w:spacing w:line="276" w:lineRule="auto"/>
        <w:ind w:right="0"/>
      </w:pPr>
      <w:bookmarkStart w:id="2" w:name="_Toc442348366"/>
      <w:r w:rsidRPr="00D16E82">
        <w:t>2.  Purpose and Use of Information Collection</w:t>
      </w:r>
      <w:bookmarkEnd w:id="2"/>
    </w:p>
    <w:p w14:paraId="0022A249" w14:textId="7BFDEC6E" w:rsidR="00E812C9" w:rsidRPr="00D16E82" w:rsidRDefault="00E812C9" w:rsidP="00FC295B">
      <w:pPr>
        <w:spacing w:line="276" w:lineRule="auto"/>
        <w:ind w:right="0"/>
      </w:pPr>
      <w:bookmarkStart w:id="3" w:name="_Toc442348367"/>
      <w:r w:rsidRPr="00D16E82">
        <w:t xml:space="preserve">The purpose of the mosquito surveillance survey </w:t>
      </w:r>
      <w:r w:rsidR="002B1652">
        <w:rPr>
          <w:b/>
        </w:rPr>
        <w:t xml:space="preserve">(Attachment </w:t>
      </w:r>
      <w:r w:rsidR="0070125E">
        <w:rPr>
          <w:b/>
        </w:rPr>
        <w:t>C</w:t>
      </w:r>
      <w:r w:rsidRPr="00D16E82">
        <w:rPr>
          <w:b/>
        </w:rPr>
        <w:t xml:space="preserve">) </w:t>
      </w:r>
      <w:r w:rsidRPr="00D16E82">
        <w:t>is to collect county</w:t>
      </w:r>
      <w:r w:rsidR="00160313">
        <w:t>- and sub-county-level</w:t>
      </w:r>
      <w:r w:rsidRPr="00D16E82">
        <w:t xml:space="preserve"> records for </w:t>
      </w:r>
      <w:r w:rsidRPr="00D16E82">
        <w:rPr>
          <w:i/>
        </w:rPr>
        <w:t>Aedes aegypti</w:t>
      </w:r>
      <w:r w:rsidRPr="00D16E82">
        <w:t xml:space="preserve"> and </w:t>
      </w:r>
      <w:r w:rsidRPr="00D16E82">
        <w:rPr>
          <w:i/>
        </w:rPr>
        <w:t>Ae. albopictu</w:t>
      </w:r>
      <w:r w:rsidRPr="00D16E82">
        <w:t xml:space="preserve">s, the vectors of </w:t>
      </w:r>
      <w:r w:rsidR="00B74BC9">
        <w:t>Zika</w:t>
      </w:r>
      <w:r w:rsidRPr="00D16E82">
        <w:t xml:space="preserve"> virus.  This information will be used to update species distribution maps for the United States</w:t>
      </w:r>
      <w:r w:rsidR="0061345F">
        <w:t xml:space="preserve">.  Such information improves the accuracy of information CDC communicates to the public regarding where vectors have been found historically and in recent years. </w:t>
      </w:r>
      <w:r w:rsidRPr="00D16E82">
        <w:t xml:space="preserve"> </w:t>
      </w:r>
      <w:r w:rsidR="0061345F">
        <w:t xml:space="preserve">Data obtained from the previous survey and from literature review will be used to </w:t>
      </w:r>
      <w:r w:rsidRPr="00D16E82">
        <w:t xml:space="preserve">develop a </w:t>
      </w:r>
      <w:r w:rsidR="0061345F">
        <w:t xml:space="preserve">statistical </w:t>
      </w:r>
      <w:r w:rsidRPr="00D16E82">
        <w:t xml:space="preserve">model aimed at identifying where these vectors can survive and reproduce. </w:t>
      </w:r>
      <w:r w:rsidR="0061345F">
        <w:t>The data obtained from the proposed survey will be used to evaluate the statistical model of where mosquitoes should be f</w:t>
      </w:r>
      <w:r w:rsidR="00855208">
        <w:t>ound and will be used to update</w:t>
      </w:r>
      <w:r w:rsidR="0061345F">
        <w:t xml:space="preserve"> reported distribution maps.  We believe that because of very recent changes in vector surveillance aimed at capturing </w:t>
      </w:r>
      <w:r w:rsidR="0061345F" w:rsidRPr="004A715F">
        <w:rPr>
          <w:i/>
        </w:rPr>
        <w:t>Ae. aegypti</w:t>
      </w:r>
      <w:r w:rsidR="0061345F">
        <w:t xml:space="preserve"> and </w:t>
      </w:r>
      <w:r w:rsidR="0061345F" w:rsidRPr="004A715F">
        <w:rPr>
          <w:i/>
        </w:rPr>
        <w:t>Ae. albopictus</w:t>
      </w:r>
      <w:r w:rsidR="0061345F">
        <w:t xml:space="preserve"> and with additional time to review historical records, additional records will be reported using this revised survey. </w:t>
      </w:r>
      <w:r w:rsidRPr="00D16E82">
        <w:t>The resulting maps and models will: inform the public and policy makers of the known distribution of these vectors, identify gaps in vector surveillance, and target allocation of surveillance and prevention resources</w:t>
      </w:r>
      <w:r w:rsidR="009858E1">
        <w:t xml:space="preserve"> </w:t>
      </w:r>
      <w:r w:rsidR="00855208">
        <w:t>(</w:t>
      </w:r>
      <w:r w:rsidR="009858E1">
        <w:t xml:space="preserve">including </w:t>
      </w:r>
      <w:r w:rsidR="00855208">
        <w:t xml:space="preserve">funds allocated through the </w:t>
      </w:r>
      <w:r w:rsidR="009858E1">
        <w:t>Epidemiology and Laboratory Capacity Cooperative Agreement with States</w:t>
      </w:r>
      <w:r w:rsidR="00855208">
        <w:t>)</w:t>
      </w:r>
      <w:r w:rsidRPr="00D16E82">
        <w:t>.</w:t>
      </w:r>
    </w:p>
    <w:p w14:paraId="51CDF310" w14:textId="34BE2307" w:rsidR="00E812C9" w:rsidRDefault="00E812C9" w:rsidP="00FC295B">
      <w:pPr>
        <w:pStyle w:val="Heading1"/>
        <w:spacing w:before="0" w:line="276" w:lineRule="auto"/>
        <w:ind w:right="0"/>
      </w:pPr>
    </w:p>
    <w:p w14:paraId="64F29B54" w14:textId="77777777" w:rsidR="00BE19B8" w:rsidRPr="00D16E82" w:rsidRDefault="002853AE" w:rsidP="00FC295B">
      <w:pPr>
        <w:pStyle w:val="Heading1"/>
        <w:spacing w:line="276" w:lineRule="auto"/>
        <w:ind w:right="0"/>
      </w:pPr>
      <w:r w:rsidRPr="00D16E82">
        <w:t>3. Use of Improved Information Technology and Burden Reduction</w:t>
      </w:r>
      <w:bookmarkEnd w:id="3"/>
    </w:p>
    <w:p w14:paraId="4A3DE2A5" w14:textId="77777777" w:rsidR="00C42FC3" w:rsidRPr="00D16E82" w:rsidRDefault="007A5502" w:rsidP="00FC295B">
      <w:pPr>
        <w:spacing w:line="276" w:lineRule="auto"/>
        <w:ind w:right="0"/>
      </w:pPr>
      <w:r w:rsidRPr="00D16E82">
        <w:t xml:space="preserve">One-hundred percent of burden hours will be incurred by respondents using improved information technology. </w:t>
      </w:r>
    </w:p>
    <w:p w14:paraId="14499FE2" w14:textId="35F34270" w:rsidR="00AB5FA1" w:rsidRPr="00D16E82" w:rsidRDefault="00AB5FA1" w:rsidP="00FC295B">
      <w:pPr>
        <w:spacing w:line="276" w:lineRule="auto"/>
        <w:ind w:right="0"/>
      </w:pPr>
      <w:r w:rsidRPr="00D16E82">
        <w:t xml:space="preserve">The survey will be distributed via email and carried out using an online survey tool. </w:t>
      </w:r>
    </w:p>
    <w:p w14:paraId="678763C9" w14:textId="77777777" w:rsidR="0021628E" w:rsidRPr="00D16E82" w:rsidRDefault="0021628E" w:rsidP="00FC295B">
      <w:pPr>
        <w:pStyle w:val="Heading1"/>
        <w:spacing w:line="276" w:lineRule="auto"/>
        <w:ind w:right="0"/>
      </w:pPr>
    </w:p>
    <w:p w14:paraId="500C092F" w14:textId="77777777" w:rsidR="002853AE" w:rsidRPr="00D16E82" w:rsidRDefault="002853AE" w:rsidP="00FC295B">
      <w:pPr>
        <w:pStyle w:val="Heading1"/>
        <w:spacing w:line="276" w:lineRule="auto"/>
        <w:ind w:right="0"/>
      </w:pPr>
      <w:bookmarkStart w:id="4" w:name="_Toc442348368"/>
      <w:r w:rsidRPr="00D16E82">
        <w:t>4. Efforts to Identify Duplication and Use of Similar Information</w:t>
      </w:r>
      <w:bookmarkEnd w:id="4"/>
    </w:p>
    <w:p w14:paraId="16E2AF83" w14:textId="152478DA" w:rsidR="004373B6" w:rsidRDefault="0070125E" w:rsidP="00FC295B">
      <w:pPr>
        <w:pStyle w:val="CommentText"/>
        <w:spacing w:line="276" w:lineRule="auto"/>
        <w:rPr>
          <w:sz w:val="24"/>
          <w:szCs w:val="24"/>
        </w:rPr>
      </w:pPr>
      <w:r>
        <w:rPr>
          <w:sz w:val="24"/>
          <w:szCs w:val="24"/>
        </w:rPr>
        <w:t>Data</w:t>
      </w:r>
      <w:r w:rsidR="00BC3384" w:rsidRPr="00BC3384">
        <w:rPr>
          <w:sz w:val="24"/>
          <w:szCs w:val="24"/>
        </w:rPr>
        <w:t xml:space="preserve"> </w:t>
      </w:r>
      <w:r w:rsidR="00855208" w:rsidRPr="00BC3384">
        <w:rPr>
          <w:sz w:val="24"/>
          <w:szCs w:val="24"/>
        </w:rPr>
        <w:t>w</w:t>
      </w:r>
      <w:r w:rsidR="00855208">
        <w:rPr>
          <w:sz w:val="24"/>
          <w:szCs w:val="24"/>
        </w:rPr>
        <w:t>ere</w:t>
      </w:r>
      <w:r w:rsidR="00855208" w:rsidRPr="00BC3384">
        <w:rPr>
          <w:sz w:val="24"/>
          <w:szCs w:val="24"/>
        </w:rPr>
        <w:t xml:space="preserve"> </w:t>
      </w:r>
      <w:r w:rsidR="00BC3384" w:rsidRPr="00BC3384">
        <w:rPr>
          <w:sz w:val="24"/>
          <w:szCs w:val="24"/>
        </w:rPr>
        <w:t>pulled from ArboNet</w:t>
      </w:r>
      <w:r w:rsidR="00FC295B">
        <w:rPr>
          <w:sz w:val="24"/>
          <w:szCs w:val="24"/>
        </w:rPr>
        <w:t>.</w:t>
      </w:r>
      <w:r w:rsidR="00BC3384" w:rsidRPr="00BC3384">
        <w:rPr>
          <w:sz w:val="24"/>
          <w:szCs w:val="24"/>
        </w:rPr>
        <w:t xml:space="preserve"> </w:t>
      </w:r>
      <w:r w:rsidR="00855208" w:rsidRPr="00BC3384">
        <w:rPr>
          <w:sz w:val="24"/>
          <w:szCs w:val="24"/>
        </w:rPr>
        <w:t>Th</w:t>
      </w:r>
      <w:r w:rsidR="00855208">
        <w:rPr>
          <w:sz w:val="24"/>
          <w:szCs w:val="24"/>
        </w:rPr>
        <w:t xml:space="preserve">ese </w:t>
      </w:r>
      <w:r w:rsidR="00BC3384" w:rsidRPr="00BC3384">
        <w:rPr>
          <w:sz w:val="24"/>
          <w:szCs w:val="24"/>
        </w:rPr>
        <w:t xml:space="preserve">data </w:t>
      </w:r>
      <w:r w:rsidR="00855208" w:rsidRPr="00BC3384">
        <w:rPr>
          <w:sz w:val="24"/>
          <w:szCs w:val="24"/>
        </w:rPr>
        <w:t>w</w:t>
      </w:r>
      <w:r w:rsidR="00855208">
        <w:rPr>
          <w:sz w:val="24"/>
          <w:szCs w:val="24"/>
        </w:rPr>
        <w:t>ere</w:t>
      </w:r>
      <w:r w:rsidR="00855208" w:rsidRPr="00BC3384">
        <w:rPr>
          <w:sz w:val="24"/>
          <w:szCs w:val="24"/>
        </w:rPr>
        <w:t xml:space="preserve"> </w:t>
      </w:r>
      <w:r w:rsidR="00BC3384" w:rsidRPr="00BC3384">
        <w:rPr>
          <w:sz w:val="24"/>
          <w:szCs w:val="24"/>
        </w:rPr>
        <w:t xml:space="preserve">found to be lacking for the species of interest. </w:t>
      </w:r>
    </w:p>
    <w:p w14:paraId="4D894629" w14:textId="789E06FB" w:rsidR="009F56D7" w:rsidRDefault="009F56D7" w:rsidP="009F56D7">
      <w:pPr>
        <w:spacing w:line="276" w:lineRule="auto"/>
        <w:ind w:right="0"/>
        <w:rPr>
          <w:lang w:val="en"/>
        </w:rPr>
      </w:pPr>
      <w:r>
        <w:t xml:space="preserve">As mentioned in section A.1, a previous county-level survey of vector surveillance records was undertaken in February, 2016.  </w:t>
      </w:r>
      <w:r>
        <w:rPr>
          <w:lang w:val="en"/>
        </w:rPr>
        <w:t xml:space="preserve">The </w:t>
      </w:r>
      <w:r w:rsidRPr="00017FFE">
        <w:rPr>
          <w:lang w:val="en"/>
        </w:rPr>
        <w:t xml:space="preserve">previous survey aimed to describe the current reported distribution of the Zika virus vectors </w:t>
      </w:r>
      <w:r w:rsidRPr="00017FFE">
        <w:rPr>
          <w:i/>
          <w:lang w:val="en"/>
        </w:rPr>
        <w:t>Aedes aegypti</w:t>
      </w:r>
      <w:r w:rsidRPr="00017FFE">
        <w:rPr>
          <w:lang w:val="en"/>
        </w:rPr>
        <w:t xml:space="preserve"> and </w:t>
      </w:r>
      <w:r w:rsidRPr="00017FFE">
        <w:rPr>
          <w:i/>
          <w:lang w:val="en"/>
        </w:rPr>
        <w:t>Ae. albopictus</w:t>
      </w:r>
      <w:r w:rsidRPr="00017FFE">
        <w:rPr>
          <w:lang w:val="en"/>
        </w:rPr>
        <w:t xml:space="preserve">.  The survey revealed that we are lacking records from recent years of both species from areas where we expect to find Zika vectors based on historical records and environmental suitability.  It is likely that the reason for this is </w:t>
      </w:r>
      <w:r>
        <w:rPr>
          <w:lang w:val="en"/>
        </w:rPr>
        <w:t xml:space="preserve">because </w:t>
      </w:r>
      <w:r w:rsidRPr="00017FFE">
        <w:rPr>
          <w:lang w:val="en"/>
        </w:rPr>
        <w:t>from 2004-2015 most vector surveillance focused on vectors of West Nile virus (</w:t>
      </w:r>
      <w:r w:rsidRPr="00017FFE">
        <w:rPr>
          <w:i/>
          <w:lang w:val="en"/>
        </w:rPr>
        <w:t>Culex spp.</w:t>
      </w:r>
      <w:r w:rsidRPr="00017FFE">
        <w:rPr>
          <w:lang w:val="en"/>
        </w:rPr>
        <w:t xml:space="preserve">), rather than Zika vectors.  </w:t>
      </w:r>
    </w:p>
    <w:p w14:paraId="265569AA" w14:textId="43F67398" w:rsidR="009F56D7" w:rsidRDefault="009F56D7" w:rsidP="009F56D7">
      <w:pPr>
        <w:spacing w:line="276" w:lineRule="auto"/>
        <w:ind w:right="0"/>
        <w:rPr>
          <w:lang w:val="en"/>
        </w:rPr>
      </w:pPr>
      <w:r w:rsidRPr="00017FFE">
        <w:rPr>
          <w:lang w:val="en"/>
        </w:rPr>
        <w:t xml:space="preserve">As part of the Zika response, efforts to identify </w:t>
      </w:r>
      <w:r w:rsidRPr="00017FFE">
        <w:rPr>
          <w:i/>
          <w:lang w:val="en"/>
        </w:rPr>
        <w:t>Ae. aegypti</w:t>
      </w:r>
      <w:r w:rsidRPr="00017FFE">
        <w:rPr>
          <w:lang w:val="en"/>
        </w:rPr>
        <w:t xml:space="preserve"> and </w:t>
      </w:r>
      <w:r w:rsidRPr="00017FFE">
        <w:rPr>
          <w:i/>
          <w:lang w:val="en"/>
        </w:rPr>
        <w:t>Ae. albopictus</w:t>
      </w:r>
      <w:r w:rsidRPr="00017FFE">
        <w:rPr>
          <w:lang w:val="en"/>
        </w:rPr>
        <w:t xml:space="preserve"> in the continental US were substantially enhanced during 2016 and funding </w:t>
      </w:r>
      <w:r w:rsidR="00855208">
        <w:rPr>
          <w:lang w:val="en"/>
        </w:rPr>
        <w:t>has been</w:t>
      </w:r>
      <w:r w:rsidRPr="00017FFE">
        <w:rPr>
          <w:lang w:val="en"/>
        </w:rPr>
        <w:t xml:space="preserve"> provided to states to continue to enhance surveillance for these vectors.  By repeating the survey, we will have a more complete assessment of where these vectors are currently being reported.  Such information will aid in 1) </w:t>
      </w:r>
      <w:r w:rsidR="00B75460">
        <w:rPr>
          <w:lang w:val="en"/>
        </w:rPr>
        <w:t>allocating resources for</w:t>
      </w:r>
      <w:r w:rsidR="00B75460" w:rsidRPr="00017FFE">
        <w:rPr>
          <w:lang w:val="en"/>
        </w:rPr>
        <w:t xml:space="preserve"> </w:t>
      </w:r>
      <w:r w:rsidRPr="00017FFE">
        <w:rPr>
          <w:lang w:val="en"/>
        </w:rPr>
        <w:t>vector control efforts to prevent mosquito-borne Zika virus transmission in the continental U.S. and 2) targeting future vector surveillance efforts.</w:t>
      </w:r>
    </w:p>
    <w:p w14:paraId="19F9AB4C" w14:textId="1690CCB2" w:rsidR="00B75460" w:rsidRPr="00D16E82" w:rsidRDefault="00B75460" w:rsidP="009F56D7">
      <w:pPr>
        <w:spacing w:line="276" w:lineRule="auto"/>
        <w:ind w:right="0"/>
        <w:rPr>
          <w:lang w:val="en"/>
        </w:rPr>
      </w:pPr>
      <w:r>
        <w:rPr>
          <w:lang w:val="en"/>
        </w:rPr>
        <w:t>Although we will contact the same group of respondents from the previous survey, we have included a question at the beginning of the survey asking if the respondent had submitted data to CDC previously and if so they can select the mechanism through which they submitted the information (see Q11-12 in Attachment C).  Previously submitted information will not be captured in this survey.  Notably, the current survey includes additional years that were not included previously (1960-present, vs. 2000-early 2016).  We have modified the coverletter for the survey to emphasize that we are seeking new information, why we are repeating the survey and providing an alternative data collection tool to minimize the effort for respondents.</w:t>
      </w:r>
    </w:p>
    <w:p w14:paraId="256153F2" w14:textId="5BCC73F4" w:rsidR="008766F3" w:rsidRPr="00D16E82" w:rsidRDefault="008766F3" w:rsidP="00FC295B">
      <w:pPr>
        <w:spacing w:line="276" w:lineRule="auto"/>
        <w:ind w:right="0"/>
      </w:pPr>
    </w:p>
    <w:p w14:paraId="21DE3924" w14:textId="77777777" w:rsidR="002853AE" w:rsidRPr="00D16E82" w:rsidRDefault="002853AE" w:rsidP="00FC295B">
      <w:pPr>
        <w:pStyle w:val="Heading1"/>
        <w:spacing w:line="276" w:lineRule="auto"/>
        <w:ind w:right="0"/>
      </w:pPr>
      <w:bookmarkStart w:id="5" w:name="_Toc442348369"/>
      <w:r w:rsidRPr="00D16E82">
        <w:t>5. Impact on Small Businesses or Other Small Entities</w:t>
      </w:r>
      <w:bookmarkEnd w:id="5"/>
    </w:p>
    <w:p w14:paraId="1F9D6D18" w14:textId="3E2EFBDA" w:rsidR="00E60697" w:rsidRPr="00D16E82" w:rsidRDefault="00E630FC" w:rsidP="00E60697">
      <w:pPr>
        <w:spacing w:line="276" w:lineRule="auto"/>
        <w:ind w:right="0"/>
      </w:pPr>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reduced to the minimum necessary for CDC to meet its regulatory and public health responsibilities.</w:t>
      </w:r>
      <w:r w:rsidR="00E60697" w:rsidDel="00E60697">
        <w:t xml:space="preserve"> </w:t>
      </w:r>
    </w:p>
    <w:p w14:paraId="59992C9D" w14:textId="1774FB2A" w:rsidR="008C0ACF" w:rsidRPr="00D16E82" w:rsidRDefault="008C0ACF" w:rsidP="00FC295B">
      <w:pPr>
        <w:spacing w:line="276" w:lineRule="auto"/>
        <w:ind w:right="0"/>
      </w:pPr>
    </w:p>
    <w:p w14:paraId="5D19CBF0" w14:textId="77777777" w:rsidR="002853AE" w:rsidRPr="00D16E82" w:rsidRDefault="002853AE" w:rsidP="00FC295B">
      <w:pPr>
        <w:pStyle w:val="Heading1"/>
        <w:spacing w:line="276" w:lineRule="auto"/>
        <w:ind w:right="0"/>
      </w:pPr>
      <w:bookmarkStart w:id="6" w:name="_Toc442348370"/>
      <w:r w:rsidRPr="00D16E82">
        <w:t>6. Consequences of Collecting the Information Less Frequently</w:t>
      </w:r>
      <w:bookmarkEnd w:id="6"/>
    </w:p>
    <w:p w14:paraId="41B1B112" w14:textId="25DAD055" w:rsidR="00B93A34" w:rsidRPr="00D16E82" w:rsidRDefault="00AC1A3A" w:rsidP="00FC295B">
      <w:pPr>
        <w:spacing w:line="276" w:lineRule="auto"/>
        <w:ind w:right="0"/>
        <w:rPr>
          <w:lang w:val="en"/>
        </w:rPr>
      </w:pPr>
      <w:r>
        <w:rPr>
          <w:lang w:val="en"/>
        </w:rPr>
        <w:t xml:space="preserve">This is a one-time information collection.  </w:t>
      </w:r>
      <w:r w:rsidR="00A5791C" w:rsidRPr="00D16E82">
        <w:rPr>
          <w:lang w:val="en"/>
        </w:rPr>
        <w:t xml:space="preserve">CDC activities regarding the domestic </w:t>
      </w:r>
      <w:r w:rsidR="00B74BC9">
        <w:rPr>
          <w:lang w:val="en"/>
        </w:rPr>
        <w:t>Zika</w:t>
      </w:r>
      <w:r w:rsidR="00882A79" w:rsidRPr="00D16E82">
        <w:rPr>
          <w:lang w:val="en"/>
        </w:rPr>
        <w:t xml:space="preserve"> virus</w:t>
      </w:r>
      <w:r w:rsidR="00A5791C" w:rsidRPr="00D16E82">
        <w:rPr>
          <w:lang w:val="en"/>
        </w:rPr>
        <w:t xml:space="preserve"> response would be significantly hindered if it were not able to collect the information </w:t>
      </w:r>
      <w:r w:rsidR="00EA6D20" w:rsidRPr="00D16E82">
        <w:rPr>
          <w:lang w:val="en"/>
        </w:rPr>
        <w:t xml:space="preserve">at the frequency </w:t>
      </w:r>
      <w:r w:rsidR="00A5791C" w:rsidRPr="00D16E82">
        <w:rPr>
          <w:lang w:val="en"/>
        </w:rPr>
        <w:t>necessary to prohibit the spread of this disease.</w:t>
      </w:r>
      <w:r w:rsidR="00A5791C" w:rsidRPr="00D16E82">
        <w:rPr>
          <w:i/>
        </w:rPr>
        <w:t xml:space="preserve"> </w:t>
      </w:r>
    </w:p>
    <w:p w14:paraId="58E2D52E" w14:textId="2051A365" w:rsidR="00BA0DFE" w:rsidRPr="00D16E82" w:rsidRDefault="009953D5" w:rsidP="00FC295B">
      <w:pPr>
        <w:spacing w:line="276" w:lineRule="auto"/>
        <w:ind w:right="0"/>
      </w:pPr>
      <w:r w:rsidRPr="00D16E82">
        <w:t>C</w:t>
      </w:r>
      <w:r w:rsidR="003046D3" w:rsidRPr="00D16E82">
        <w:t>ollecting information less frequently</w:t>
      </w:r>
      <w:r w:rsidR="00B93A34" w:rsidRPr="00D16E82">
        <w:t xml:space="preserve"> than the CDC recommendations</w:t>
      </w:r>
      <w:r w:rsidR="003046D3" w:rsidRPr="00D16E82">
        <w:t xml:space="preserve"> </w:t>
      </w:r>
      <w:r w:rsidR="00E33553">
        <w:t xml:space="preserve">indicate </w:t>
      </w:r>
      <w:r w:rsidR="003046D3" w:rsidRPr="00D16E82">
        <w:t xml:space="preserve">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w:t>
      </w:r>
      <w:r w:rsidR="00B74BC9">
        <w:t>Zika</w:t>
      </w:r>
      <w:r w:rsidR="000F432D" w:rsidRPr="00D16E82">
        <w:t xml:space="preserve">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A60DF1">
        <w:t xml:space="preserve"> Given the limited information available on </w:t>
      </w:r>
      <w:r w:rsidR="00B74BC9">
        <w:t>Zika</w:t>
      </w:r>
      <w:r w:rsidR="00A60DF1">
        <w:t xml:space="preserve"> virus disease during pregnancy, information is needed to inform CDC recommendations. </w:t>
      </w:r>
    </w:p>
    <w:p w14:paraId="11193728" w14:textId="77777777" w:rsidR="00E6339B" w:rsidRPr="00D16E82" w:rsidRDefault="00E6339B" w:rsidP="00FC295B">
      <w:pPr>
        <w:spacing w:line="276" w:lineRule="auto"/>
        <w:ind w:right="0"/>
      </w:pPr>
    </w:p>
    <w:p w14:paraId="0F65AD29" w14:textId="77777777" w:rsidR="002853AE" w:rsidRPr="00D16E82" w:rsidRDefault="002853AE" w:rsidP="00FC295B">
      <w:pPr>
        <w:pStyle w:val="Heading1"/>
        <w:spacing w:line="276" w:lineRule="auto"/>
        <w:ind w:right="0"/>
      </w:pPr>
      <w:bookmarkStart w:id="7" w:name="_Toc442348371"/>
      <w:r w:rsidRPr="00D16E82">
        <w:t>7. Special Circumstances Relating to the Guidelines of 5 CFR 1320.5</w:t>
      </w:r>
      <w:bookmarkEnd w:id="7"/>
    </w:p>
    <w:p w14:paraId="4AB0B724" w14:textId="77777777" w:rsidR="002853AE" w:rsidRPr="00D16E82" w:rsidRDefault="002853AE" w:rsidP="00FC295B">
      <w:pPr>
        <w:spacing w:line="276" w:lineRule="auto"/>
        <w:ind w:right="0"/>
      </w:pPr>
      <w:r w:rsidRPr="00D16E82">
        <w:t>This request fu</w:t>
      </w:r>
      <w:r w:rsidR="00CD32DF" w:rsidRPr="00D16E82">
        <w:t>lly complies with the guidelines in</w:t>
      </w:r>
      <w:r w:rsidRPr="00D16E82">
        <w:t xml:space="preserve"> 5 CFR 1320.5.</w:t>
      </w:r>
    </w:p>
    <w:p w14:paraId="786EB139" w14:textId="77777777" w:rsidR="00FF4792" w:rsidRPr="00D16E82" w:rsidRDefault="00FF4792" w:rsidP="00FC295B">
      <w:pPr>
        <w:spacing w:line="276" w:lineRule="auto"/>
        <w:ind w:right="0"/>
      </w:pPr>
    </w:p>
    <w:p w14:paraId="4991CD0B" w14:textId="77777777" w:rsidR="002853AE" w:rsidRPr="00D16E82" w:rsidRDefault="002853AE" w:rsidP="00FC295B">
      <w:pPr>
        <w:pStyle w:val="Heading1"/>
        <w:spacing w:line="276" w:lineRule="auto"/>
        <w:ind w:right="0"/>
      </w:pPr>
      <w:bookmarkStart w:id="8" w:name="_Toc442348372"/>
      <w:r w:rsidRPr="00D16E82">
        <w:t>8. Comments in Response to the Federal Register Notice and Efforts to Consult Outside the Agency</w:t>
      </w:r>
      <w:bookmarkEnd w:id="8"/>
    </w:p>
    <w:p w14:paraId="79740A37" w14:textId="04356FB5" w:rsidR="002853AE" w:rsidRPr="00D16E82" w:rsidRDefault="002853AE" w:rsidP="00FC295B">
      <w:pPr>
        <w:spacing w:line="276" w:lineRule="auto"/>
        <w:ind w:right="0"/>
        <w:rPr>
          <w:b/>
        </w:rPr>
      </w:pPr>
      <w:r w:rsidRPr="00D16E82">
        <w:t xml:space="preserve">A. </w:t>
      </w:r>
      <w:r w:rsidR="00501412">
        <w:t xml:space="preserve">A 60-day Federal Register Notice was published in the Federal Register on </w:t>
      </w:r>
      <w:r w:rsidR="006D7929">
        <w:t xml:space="preserve">August 10, </w:t>
      </w:r>
      <w:r w:rsidR="00501412">
        <w:t xml:space="preserve">2016, Volume </w:t>
      </w:r>
      <w:r w:rsidR="006D7929">
        <w:t>81</w:t>
      </w:r>
      <w:r w:rsidR="00501412">
        <w:t xml:space="preserve">, No. </w:t>
      </w:r>
      <w:r w:rsidR="006D7929">
        <w:t>154</w:t>
      </w:r>
      <w:r w:rsidR="00501412">
        <w:t xml:space="preserve">, p. </w:t>
      </w:r>
      <w:r w:rsidR="006D7929">
        <w:t>52876</w:t>
      </w:r>
      <w:r w:rsidR="00501412">
        <w:t xml:space="preserve"> (Attachment B). </w:t>
      </w:r>
      <w:r w:rsidR="00AA38E5">
        <w:t>One non-substantive public comment was received.  A standard reply was sent.</w:t>
      </w:r>
      <w:r w:rsidR="00501412">
        <w:t xml:space="preserve"> </w:t>
      </w:r>
    </w:p>
    <w:p w14:paraId="73B8DD68" w14:textId="77777777" w:rsidR="009610F8" w:rsidRPr="00D16E82" w:rsidRDefault="00E917FF" w:rsidP="00FC295B">
      <w:pPr>
        <w:spacing w:line="276" w:lineRule="auto"/>
        <w:ind w:right="0"/>
        <w:rPr>
          <w:i/>
        </w:rPr>
      </w:pPr>
      <w:r w:rsidRPr="00D16E82">
        <w:t xml:space="preserve">B. </w:t>
      </w:r>
      <w:r w:rsidR="009610F8" w:rsidRPr="00D16E82">
        <w:rPr>
          <w:rFonts w:eastAsia="Calibri"/>
        </w:rPr>
        <w:t xml:space="preserve">There was no consultation outside of the Agency. </w:t>
      </w:r>
    </w:p>
    <w:p w14:paraId="1612E1AF" w14:textId="77777777" w:rsidR="002853AE" w:rsidRPr="00D16E82" w:rsidRDefault="002853AE" w:rsidP="00FC295B">
      <w:pPr>
        <w:spacing w:line="276" w:lineRule="auto"/>
        <w:ind w:right="0"/>
      </w:pPr>
    </w:p>
    <w:p w14:paraId="6D68B6A3" w14:textId="77777777" w:rsidR="002853AE" w:rsidRPr="00D16E82" w:rsidRDefault="002853AE" w:rsidP="00FC295B">
      <w:pPr>
        <w:pStyle w:val="Heading1"/>
        <w:spacing w:line="276" w:lineRule="auto"/>
        <w:ind w:right="0"/>
      </w:pPr>
      <w:bookmarkStart w:id="9" w:name="_Toc442348373"/>
      <w:r w:rsidRPr="00D16E82">
        <w:t>9. Explanation of Any Payment or Gift to Respondents</w:t>
      </w:r>
      <w:bookmarkEnd w:id="9"/>
    </w:p>
    <w:p w14:paraId="653370AA" w14:textId="77777777" w:rsidR="002853AE" w:rsidRPr="00D16E82" w:rsidRDefault="002853AE" w:rsidP="00FC295B">
      <w:pPr>
        <w:spacing w:line="276" w:lineRule="auto"/>
        <w:ind w:right="0"/>
      </w:pPr>
      <w:r w:rsidRPr="00D16E82">
        <w:t>There is no payment or gift to respondents.</w:t>
      </w:r>
    </w:p>
    <w:p w14:paraId="017627DE" w14:textId="77777777" w:rsidR="002853AE" w:rsidRPr="00D16E82" w:rsidRDefault="002853AE" w:rsidP="00FC295B">
      <w:pPr>
        <w:spacing w:line="276" w:lineRule="auto"/>
        <w:ind w:right="0"/>
      </w:pPr>
    </w:p>
    <w:p w14:paraId="2CE417A9" w14:textId="77777777" w:rsidR="002853AE" w:rsidRPr="00D16E82" w:rsidRDefault="002853AE" w:rsidP="00FC295B">
      <w:pPr>
        <w:pStyle w:val="Heading1"/>
        <w:spacing w:line="276" w:lineRule="auto"/>
        <w:ind w:right="0"/>
      </w:pPr>
      <w:bookmarkStart w:id="10" w:name="_Toc442348374"/>
      <w:r w:rsidRPr="00D16E82">
        <w:t xml:space="preserve">10. </w:t>
      </w:r>
      <w:r w:rsidR="00241E60" w:rsidRPr="00D16E82">
        <w:t>Protection of the Privacy and Confidentiality of Information Provided by Respondents</w:t>
      </w:r>
      <w:bookmarkEnd w:id="10"/>
    </w:p>
    <w:p w14:paraId="7DAA9F77" w14:textId="7C456FEB" w:rsidR="00FF4792" w:rsidRPr="000A78F8" w:rsidRDefault="00CE74C5" w:rsidP="00FC295B">
      <w:pPr>
        <w:spacing w:line="276" w:lineRule="auto"/>
        <w:ind w:right="0"/>
      </w:pPr>
      <w:r w:rsidRPr="00CE74C5">
        <w:t>The Privacy Act is applicable. Records are covered under CDC Privacy Act System of Records Notice (SORN) No. 0920-0136 “Epidemiologic Studies and Surveillance of Disease Problems” and SORN No. 09-20-0113, “Epidemic Investigation Case Records Systems Notice.”</w:t>
      </w:r>
    </w:p>
    <w:p w14:paraId="41D63EC1" w14:textId="0A532E88" w:rsidR="002C32DC" w:rsidRPr="00E60697" w:rsidRDefault="000A78F8" w:rsidP="002C32DC">
      <w:pPr>
        <w:rPr>
          <w:sz w:val="22"/>
          <w:szCs w:val="22"/>
        </w:rPr>
      </w:pPr>
      <w:r w:rsidRPr="00E60697">
        <w:t>The survey will be conducted using Google Forms.  All captured information will be downloaded regularly</w:t>
      </w:r>
      <w:r>
        <w:t xml:space="preserve"> (and removed from the Google Drive) </w:t>
      </w:r>
      <w:r w:rsidRPr="00E60697">
        <w:t xml:space="preserve">and transferred to </w:t>
      </w:r>
      <w:r w:rsidR="002C32DC" w:rsidRPr="00E60697">
        <w:t>an encrypted format on a MS SQL server within CDC’s network. Access to this information will only be obtainable by personnel with the correct user rights. MS SQL server’s security model wi</w:t>
      </w:r>
      <w:r>
        <w:t>ll</w:t>
      </w:r>
      <w:r w:rsidR="002C32DC" w:rsidRPr="00E60697">
        <w:t xml:space="preserve"> be used to authenticate users. The system will be compliant with all of CDC’s network security policies.</w:t>
      </w:r>
    </w:p>
    <w:p w14:paraId="187FE806" w14:textId="77777777" w:rsidR="00E57651" w:rsidRPr="000A78F8" w:rsidRDefault="00E57651" w:rsidP="00FC295B">
      <w:pPr>
        <w:spacing w:line="276" w:lineRule="auto"/>
        <w:ind w:right="0"/>
      </w:pPr>
    </w:p>
    <w:p w14:paraId="15B49E21" w14:textId="77777777" w:rsidR="002853AE" w:rsidRPr="00D16E82" w:rsidRDefault="002853AE" w:rsidP="00FC295B">
      <w:pPr>
        <w:pStyle w:val="Heading1"/>
        <w:spacing w:line="276" w:lineRule="auto"/>
        <w:ind w:right="0"/>
      </w:pPr>
      <w:bookmarkStart w:id="11" w:name="_Toc442348375"/>
      <w:r w:rsidRPr="00D16E82">
        <w:t xml:space="preserve">11. </w:t>
      </w:r>
      <w:r w:rsidR="00DC3E19" w:rsidRPr="00D16E82">
        <w:t>Institutional Review Board (IRB) and Justification for Sensitive Questions</w:t>
      </w:r>
      <w:bookmarkEnd w:id="11"/>
    </w:p>
    <w:p w14:paraId="4D23223E" w14:textId="77777777" w:rsidR="00AC7D26" w:rsidRPr="00D16E82" w:rsidRDefault="00AC7D26" w:rsidP="00FC295B">
      <w:pPr>
        <w:spacing w:line="276" w:lineRule="auto"/>
        <w:ind w:right="0"/>
        <w:rPr>
          <w:u w:val="single"/>
        </w:rPr>
      </w:pPr>
      <w:r w:rsidRPr="00D16E82">
        <w:rPr>
          <w:u w:val="single"/>
        </w:rPr>
        <w:t>IRB Approval</w:t>
      </w:r>
    </w:p>
    <w:p w14:paraId="57E57E96" w14:textId="61B3C4FB" w:rsidR="00AC7D26" w:rsidRPr="00D16E82" w:rsidRDefault="00AC7D26" w:rsidP="00FC295B">
      <w:pPr>
        <w:spacing w:line="276" w:lineRule="auto"/>
        <w:ind w:right="0"/>
      </w:pPr>
      <w:r w:rsidRPr="00D16E82">
        <w:t>The protocols and tools used to conduct this information collection request have been reviewed and approved by NCEZID’s Human Subjects Advisor, who determined that this data collection does not meet the definition of research under 45 CFR 46.102(d).  IRB review is not required</w:t>
      </w:r>
      <w:r w:rsidR="00941A21">
        <w:t xml:space="preserve"> </w:t>
      </w:r>
      <w:r w:rsidRPr="00D16E82">
        <w:t xml:space="preserve">(Attachment </w:t>
      </w:r>
      <w:r w:rsidR="00077FB8">
        <w:t>D</w:t>
      </w:r>
      <w:r w:rsidRPr="00D16E82">
        <w:t xml:space="preserve">).    </w:t>
      </w:r>
    </w:p>
    <w:p w14:paraId="1A362712" w14:textId="77777777" w:rsidR="00284770" w:rsidRPr="00D16E82" w:rsidRDefault="00284770" w:rsidP="00FC295B">
      <w:pPr>
        <w:spacing w:line="276" w:lineRule="auto"/>
        <w:ind w:right="0"/>
      </w:pPr>
      <w:r w:rsidRPr="00D16E82">
        <w:t>If the forms are subsequently used for research activities, applicable IRB approvals and PRA clearances must be obtained for these new information collections.</w:t>
      </w:r>
    </w:p>
    <w:p w14:paraId="2A85AA91" w14:textId="77777777" w:rsidR="00AC7D26" w:rsidRDefault="00AC7D26" w:rsidP="00FC295B">
      <w:pPr>
        <w:spacing w:line="276" w:lineRule="auto"/>
        <w:ind w:right="0"/>
        <w:rPr>
          <w:u w:val="single"/>
        </w:rPr>
      </w:pPr>
      <w:r w:rsidRPr="00D16E82">
        <w:rPr>
          <w:u w:val="single"/>
        </w:rPr>
        <w:t>Justification for Sensitive Questions</w:t>
      </w:r>
    </w:p>
    <w:p w14:paraId="56278DC3" w14:textId="15A10725" w:rsidR="00E57651" w:rsidRPr="00D16E82" w:rsidRDefault="00E57651" w:rsidP="00FC295B">
      <w:pPr>
        <w:spacing w:line="276" w:lineRule="auto"/>
        <w:ind w:right="0"/>
        <w:rPr>
          <w:u w:val="single"/>
        </w:rPr>
      </w:pPr>
      <w:r>
        <w:t>No sensitive questions will be asked in the survey.</w:t>
      </w:r>
    </w:p>
    <w:p w14:paraId="567424AC" w14:textId="77777777" w:rsidR="00835C76" w:rsidRPr="0039138C" w:rsidRDefault="00835C76" w:rsidP="00FC295B">
      <w:pPr>
        <w:spacing w:line="276" w:lineRule="auto"/>
        <w:ind w:right="0"/>
      </w:pPr>
    </w:p>
    <w:p w14:paraId="40AFD032" w14:textId="77777777" w:rsidR="002853AE" w:rsidRPr="0039138C" w:rsidRDefault="002853AE" w:rsidP="00FC295B">
      <w:pPr>
        <w:pStyle w:val="Heading1"/>
        <w:spacing w:line="276" w:lineRule="auto"/>
        <w:ind w:right="0"/>
      </w:pPr>
      <w:bookmarkStart w:id="12" w:name="_Toc442348376"/>
      <w:r w:rsidRPr="0039138C">
        <w:t xml:space="preserve">12. Estimates of </w:t>
      </w:r>
      <w:r w:rsidR="00EB0EBF" w:rsidRPr="0039138C">
        <w:t xml:space="preserve">Annualized </w:t>
      </w:r>
      <w:r w:rsidRPr="0039138C">
        <w:t>Burden Hours and Costs</w:t>
      </w:r>
      <w:bookmarkEnd w:id="12"/>
    </w:p>
    <w:p w14:paraId="33D2F5B7" w14:textId="77777777" w:rsidR="002853AE" w:rsidRPr="00D16E82" w:rsidRDefault="002853AE" w:rsidP="00FC295B">
      <w:pPr>
        <w:spacing w:after="240" w:line="276" w:lineRule="auto"/>
        <w:ind w:right="0"/>
      </w:pPr>
      <w:r w:rsidRPr="0039138C">
        <w:t xml:space="preserve">A.  </w:t>
      </w:r>
      <w:r w:rsidR="00EB0EBF" w:rsidRPr="0039138C">
        <w:t>Estimated Annualized</w:t>
      </w:r>
      <w:r w:rsidRPr="0039138C">
        <w:t xml:space="preserve"> Burden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2B30CA0F" w14:textId="77777777" w:rsidTr="005E3FA5">
        <w:tc>
          <w:tcPr>
            <w:tcW w:w="1705" w:type="dxa"/>
            <w:vAlign w:val="center"/>
          </w:tcPr>
          <w:p w14:paraId="3F29485E" w14:textId="77777777" w:rsidR="004D2922" w:rsidRPr="00D16E82" w:rsidRDefault="004D2922" w:rsidP="00FC295B">
            <w:pPr>
              <w:spacing w:line="276" w:lineRule="auto"/>
              <w:ind w:right="0"/>
              <w:rPr>
                <w:b/>
              </w:rPr>
            </w:pPr>
            <w:r w:rsidRPr="00D16E82">
              <w:t>Type of Respondent</w:t>
            </w:r>
          </w:p>
        </w:tc>
        <w:tc>
          <w:tcPr>
            <w:tcW w:w="1620" w:type="dxa"/>
            <w:vAlign w:val="center"/>
          </w:tcPr>
          <w:p w14:paraId="2DCA24A7" w14:textId="77777777" w:rsidR="004D2922" w:rsidRPr="00D16E82" w:rsidRDefault="004D2922" w:rsidP="00FC295B">
            <w:pPr>
              <w:spacing w:line="276" w:lineRule="auto"/>
              <w:ind w:right="0"/>
              <w:rPr>
                <w:rFonts w:eastAsiaTheme="minorHAnsi"/>
              </w:rPr>
            </w:pPr>
            <w:r w:rsidRPr="00D16E82">
              <w:t>Form</w:t>
            </w:r>
          </w:p>
          <w:p w14:paraId="3EECE0BA" w14:textId="77777777" w:rsidR="004D2922" w:rsidRPr="00D16E82" w:rsidRDefault="004D2922" w:rsidP="00FC295B">
            <w:pPr>
              <w:spacing w:line="276" w:lineRule="auto"/>
              <w:ind w:right="0"/>
              <w:rPr>
                <w:b/>
              </w:rPr>
            </w:pPr>
            <w:r w:rsidRPr="00D16E82">
              <w:t>Name</w:t>
            </w:r>
          </w:p>
        </w:tc>
        <w:tc>
          <w:tcPr>
            <w:tcW w:w="1463" w:type="dxa"/>
            <w:vAlign w:val="center"/>
          </w:tcPr>
          <w:p w14:paraId="2076130B" w14:textId="77777777" w:rsidR="004D2922" w:rsidRPr="00D16E82" w:rsidRDefault="004D2922" w:rsidP="00FC295B">
            <w:pPr>
              <w:spacing w:line="276" w:lineRule="auto"/>
              <w:ind w:right="0"/>
              <w:rPr>
                <w:b/>
              </w:rPr>
            </w:pPr>
            <w:r w:rsidRPr="00D16E82">
              <w:t>No. of Respondents</w:t>
            </w:r>
          </w:p>
        </w:tc>
        <w:tc>
          <w:tcPr>
            <w:tcW w:w="1687" w:type="dxa"/>
            <w:vAlign w:val="center"/>
          </w:tcPr>
          <w:p w14:paraId="6CC54DCF" w14:textId="77777777" w:rsidR="004D2922" w:rsidRPr="00D16E82" w:rsidRDefault="004D2922" w:rsidP="00FC295B">
            <w:pPr>
              <w:spacing w:line="276" w:lineRule="auto"/>
              <w:ind w:right="0"/>
              <w:rPr>
                <w:b/>
              </w:rPr>
            </w:pPr>
            <w:r w:rsidRPr="00D16E82">
              <w:t>No. of Responses per Respondent</w:t>
            </w:r>
          </w:p>
        </w:tc>
        <w:tc>
          <w:tcPr>
            <w:tcW w:w="1505" w:type="dxa"/>
            <w:vAlign w:val="center"/>
          </w:tcPr>
          <w:p w14:paraId="6846DC9B" w14:textId="77777777" w:rsidR="004D2922" w:rsidRPr="00D16E82" w:rsidRDefault="004D2922" w:rsidP="00FC295B">
            <w:pPr>
              <w:spacing w:line="276" w:lineRule="auto"/>
              <w:ind w:right="0"/>
              <w:rPr>
                <w:b/>
              </w:rPr>
            </w:pPr>
            <w:r w:rsidRPr="00D16E82">
              <w:t>Average Burden per Response (in hours)</w:t>
            </w:r>
          </w:p>
        </w:tc>
        <w:tc>
          <w:tcPr>
            <w:tcW w:w="1596" w:type="dxa"/>
            <w:vAlign w:val="center"/>
          </w:tcPr>
          <w:p w14:paraId="018A216B" w14:textId="77777777" w:rsidR="004D2922" w:rsidRPr="00D16E82" w:rsidRDefault="004D2922" w:rsidP="00FC295B">
            <w:pPr>
              <w:spacing w:line="276" w:lineRule="auto"/>
              <w:ind w:right="0"/>
              <w:rPr>
                <w:b/>
              </w:rPr>
            </w:pPr>
            <w:r w:rsidRPr="00D16E82">
              <w:t>Total Burden Hours</w:t>
            </w:r>
          </w:p>
        </w:tc>
      </w:tr>
      <w:tr w:rsidR="003165C8" w:rsidRPr="00D16E82" w14:paraId="1E053DBB" w14:textId="77777777" w:rsidTr="005E3FA5">
        <w:tc>
          <w:tcPr>
            <w:tcW w:w="1705" w:type="dxa"/>
            <w:vAlign w:val="center"/>
          </w:tcPr>
          <w:p w14:paraId="7B86710E" w14:textId="0E6653B9" w:rsidR="003165C8" w:rsidRPr="00D16E82" w:rsidRDefault="003165C8" w:rsidP="00160313">
            <w:pPr>
              <w:spacing w:line="276" w:lineRule="auto"/>
              <w:ind w:right="0"/>
            </w:pPr>
            <w:r>
              <w:t xml:space="preserve">Vector control professionals, </w:t>
            </w:r>
            <w:r w:rsidR="005C20D5">
              <w:t>e</w:t>
            </w:r>
            <w:r>
              <w:t xml:space="preserve">ntomologists, and Public health </w:t>
            </w:r>
            <w:r w:rsidR="00160313">
              <w:t>professionals</w:t>
            </w:r>
          </w:p>
        </w:tc>
        <w:tc>
          <w:tcPr>
            <w:tcW w:w="1620" w:type="dxa"/>
          </w:tcPr>
          <w:p w14:paraId="6FAC30C7" w14:textId="77777777" w:rsidR="003165C8" w:rsidRPr="00D16E82" w:rsidRDefault="003165C8" w:rsidP="00FC295B">
            <w:pPr>
              <w:spacing w:line="276" w:lineRule="auto"/>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463" w:type="dxa"/>
            <w:vAlign w:val="center"/>
          </w:tcPr>
          <w:p w14:paraId="3BD82486" w14:textId="77777777" w:rsidR="003165C8" w:rsidRPr="00D16E82" w:rsidRDefault="003165C8" w:rsidP="00FC295B">
            <w:pPr>
              <w:spacing w:line="276" w:lineRule="auto"/>
              <w:ind w:right="0"/>
            </w:pPr>
            <w:r>
              <w:t>500</w:t>
            </w:r>
          </w:p>
        </w:tc>
        <w:tc>
          <w:tcPr>
            <w:tcW w:w="1687" w:type="dxa"/>
            <w:vAlign w:val="center"/>
          </w:tcPr>
          <w:p w14:paraId="6DFE079D" w14:textId="77777777" w:rsidR="003165C8" w:rsidRPr="00D16E82" w:rsidRDefault="003165C8" w:rsidP="00FC295B">
            <w:pPr>
              <w:spacing w:line="276" w:lineRule="auto"/>
              <w:ind w:right="0"/>
            </w:pPr>
            <w:r>
              <w:t>1</w:t>
            </w:r>
          </w:p>
        </w:tc>
        <w:tc>
          <w:tcPr>
            <w:tcW w:w="1505" w:type="dxa"/>
            <w:vAlign w:val="center"/>
          </w:tcPr>
          <w:p w14:paraId="4576F132" w14:textId="44AEDC40" w:rsidR="003165C8" w:rsidRPr="00D16E82" w:rsidRDefault="00DE3FF4" w:rsidP="00FC295B">
            <w:pPr>
              <w:spacing w:line="276" w:lineRule="auto"/>
              <w:ind w:right="0"/>
            </w:pPr>
            <w:r>
              <w:t>15</w:t>
            </w:r>
            <w:r w:rsidR="003165C8">
              <w:t>/60</w:t>
            </w:r>
          </w:p>
        </w:tc>
        <w:tc>
          <w:tcPr>
            <w:tcW w:w="1596" w:type="dxa"/>
            <w:vAlign w:val="center"/>
          </w:tcPr>
          <w:p w14:paraId="7F0FD903" w14:textId="03444A70" w:rsidR="003165C8" w:rsidRPr="00D16E82" w:rsidRDefault="00DE3FF4" w:rsidP="00FC295B">
            <w:pPr>
              <w:spacing w:line="276" w:lineRule="auto"/>
              <w:ind w:right="0"/>
            </w:pPr>
            <w:r>
              <w:t>1</w:t>
            </w:r>
            <w:r w:rsidR="003165C8">
              <w:t>25</w:t>
            </w:r>
          </w:p>
        </w:tc>
      </w:tr>
      <w:tr w:rsidR="003165C8" w:rsidRPr="00D16E82" w14:paraId="3217E442" w14:textId="77777777" w:rsidTr="003165C8">
        <w:tc>
          <w:tcPr>
            <w:tcW w:w="7980" w:type="dxa"/>
            <w:gridSpan w:val="5"/>
          </w:tcPr>
          <w:p w14:paraId="4A1DE94D" w14:textId="77777777" w:rsidR="003165C8" w:rsidRPr="00D16E82" w:rsidRDefault="003165C8" w:rsidP="00FC295B">
            <w:pPr>
              <w:spacing w:line="276" w:lineRule="auto"/>
              <w:ind w:right="0"/>
            </w:pPr>
            <w:r w:rsidRPr="00D16E82">
              <w:t>Total</w:t>
            </w:r>
          </w:p>
        </w:tc>
        <w:tc>
          <w:tcPr>
            <w:tcW w:w="1596" w:type="dxa"/>
          </w:tcPr>
          <w:p w14:paraId="788C1BEA" w14:textId="67F819A3" w:rsidR="003165C8" w:rsidRPr="00D16E82" w:rsidRDefault="00DE3FF4" w:rsidP="00FC295B">
            <w:pPr>
              <w:spacing w:line="276" w:lineRule="auto"/>
              <w:ind w:right="0"/>
            </w:pPr>
            <w:r>
              <w:t>1</w:t>
            </w:r>
            <w:r w:rsidR="0070125E">
              <w:t>25</w:t>
            </w:r>
          </w:p>
        </w:tc>
      </w:tr>
    </w:tbl>
    <w:p w14:paraId="599C8261" w14:textId="77777777" w:rsidR="00EA038E" w:rsidRPr="00D16E82" w:rsidRDefault="00EA038E" w:rsidP="00FC295B">
      <w:pPr>
        <w:spacing w:line="276" w:lineRule="auto"/>
        <w:ind w:right="0"/>
      </w:pPr>
      <w:r w:rsidRPr="00D16E82">
        <w:t xml:space="preserve">There will be no anticipated costs to respondents other than time. </w:t>
      </w:r>
    </w:p>
    <w:p w14:paraId="6442AB3D" w14:textId="4845E2C2" w:rsidR="00BB778F" w:rsidRPr="00D16E82" w:rsidRDefault="00D772F7" w:rsidP="00FC295B">
      <w:pPr>
        <w:spacing w:line="276" w:lineRule="auto"/>
        <w:ind w:right="0"/>
      </w:pPr>
      <w:r>
        <w:t xml:space="preserve">The mean hourly wage rate for biological scientists ($38.08) was used for the category of vector control professionals, entomologists, and public health biologists. </w:t>
      </w:r>
      <w:r w:rsidRPr="00D16E82">
        <w:t xml:space="preserve"> </w:t>
      </w:r>
      <w:r>
        <w:t>I</w:t>
      </w:r>
      <w:r w:rsidR="0083072D" w:rsidRPr="00D16E82">
        <w:t>nformation</w:t>
      </w:r>
      <w:r>
        <w:t xml:space="preserve"> on mean wage rates</w:t>
      </w:r>
      <w:r w:rsidR="0083072D" w:rsidRPr="00D16E82">
        <w:t xml:space="preserve"> is available at </w:t>
      </w:r>
      <w:hyperlink r:id="rId12" w:history="1">
        <w:r w:rsidR="0083072D" w:rsidRPr="00D16E82">
          <w:rPr>
            <w:rStyle w:val="Hyperlink"/>
          </w:rPr>
          <w:t>http://www.bls.gov/oes/current/oes_nat.htm</w:t>
        </w:r>
      </w:hyperlink>
      <w:r w:rsidR="0083072D" w:rsidRPr="00D16E82">
        <w:t>.</w:t>
      </w:r>
    </w:p>
    <w:p w14:paraId="6CB0217E" w14:textId="77777777" w:rsidR="002853AE" w:rsidRPr="00D16E82" w:rsidRDefault="002853AE" w:rsidP="00FC295B">
      <w:pPr>
        <w:spacing w:after="240" w:line="276" w:lineRule="auto"/>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7B49540"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3C01D2EA" w14:textId="77777777" w:rsidR="00AB6FED" w:rsidRPr="00D16E82" w:rsidRDefault="00AB6FED" w:rsidP="00FC295B">
            <w:pPr>
              <w:spacing w:line="276" w:lineRule="auto"/>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052377" w14:textId="77777777" w:rsidR="00AB6FED" w:rsidRPr="00D16E82" w:rsidRDefault="00AB6FED" w:rsidP="00FC295B">
            <w:pPr>
              <w:spacing w:line="276" w:lineRule="auto"/>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92E5882" w14:textId="77777777" w:rsidR="00AB6FED" w:rsidRPr="00D16E82" w:rsidRDefault="00AB6FED" w:rsidP="00FC295B">
            <w:pPr>
              <w:spacing w:line="276" w:lineRule="auto"/>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06499E" w14:textId="77777777" w:rsidR="00AB6FED" w:rsidRPr="00D16E82" w:rsidRDefault="00AB6FED" w:rsidP="00FC295B">
            <w:pPr>
              <w:spacing w:line="276" w:lineRule="auto"/>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6431CCD" w14:textId="77777777" w:rsidR="00AB6FED" w:rsidRPr="00D16E82" w:rsidRDefault="00AB6FED" w:rsidP="00FC295B">
            <w:pPr>
              <w:spacing w:line="276" w:lineRule="auto"/>
              <w:ind w:right="0"/>
            </w:pPr>
            <w:r w:rsidRPr="00D16E82">
              <w:t>Total Respondent Costs</w:t>
            </w:r>
          </w:p>
        </w:tc>
      </w:tr>
      <w:tr w:rsidR="00B70769" w:rsidRPr="00D16E82" w14:paraId="7E0FF436" w14:textId="77777777" w:rsidTr="00CF1DFF">
        <w:tc>
          <w:tcPr>
            <w:tcW w:w="1867" w:type="dxa"/>
            <w:tcBorders>
              <w:left w:val="single" w:sz="4" w:space="0" w:color="auto"/>
              <w:bottom w:val="single" w:sz="4" w:space="0" w:color="auto"/>
              <w:right w:val="single" w:sz="4" w:space="0" w:color="auto"/>
            </w:tcBorders>
            <w:shd w:val="clear" w:color="auto" w:fill="auto"/>
            <w:vAlign w:val="center"/>
          </w:tcPr>
          <w:p w14:paraId="0A2A21CC" w14:textId="77777777" w:rsidR="00B70769" w:rsidRPr="00D16E82" w:rsidRDefault="005E3FA5" w:rsidP="00FC295B">
            <w:pPr>
              <w:spacing w:line="276" w:lineRule="auto"/>
              <w:ind w:right="0"/>
            </w:pPr>
            <w:r>
              <w:t>Vector control professionals, Entomologists, and Public health biologists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5F3567" w14:textId="77777777" w:rsidR="00B70769" w:rsidRPr="00D16E82" w:rsidRDefault="00B70769" w:rsidP="00FC295B">
            <w:pPr>
              <w:spacing w:line="276" w:lineRule="auto"/>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05CEE" w14:textId="7AB7677B" w:rsidR="00B70769" w:rsidRPr="00D16E82" w:rsidRDefault="00DE3FF4" w:rsidP="00FC295B">
            <w:pPr>
              <w:spacing w:line="276" w:lineRule="auto"/>
              <w:ind w:right="0"/>
            </w:pPr>
            <w:r>
              <w:t>1</w:t>
            </w:r>
            <w:r w:rsidR="001B0F66">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49C5E3" w14:textId="77777777" w:rsidR="00B70769" w:rsidRPr="00D16E82" w:rsidRDefault="00D772F7" w:rsidP="00FC295B">
            <w:pPr>
              <w:spacing w:line="276" w:lineRule="auto"/>
              <w:ind w:right="0"/>
            </w:pPr>
            <w:r>
              <w:t>$38.08</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3994D8" w14:textId="0CE3A944" w:rsidR="00B70769" w:rsidRPr="00D16E82" w:rsidRDefault="00D772F7" w:rsidP="00DE3FF4">
            <w:pPr>
              <w:spacing w:line="276" w:lineRule="auto"/>
              <w:ind w:right="0"/>
            </w:pPr>
            <w:r>
              <w:t>$</w:t>
            </w:r>
            <w:r w:rsidR="00DE3FF4">
              <w:t>4,760</w:t>
            </w:r>
            <w:r>
              <w:t>.00</w:t>
            </w:r>
          </w:p>
        </w:tc>
      </w:tr>
      <w:tr w:rsidR="00B70769" w:rsidRPr="00D16E82" w14:paraId="23F70C20" w14:textId="77777777" w:rsidTr="00CF1DFF">
        <w:tc>
          <w:tcPr>
            <w:tcW w:w="1867" w:type="dxa"/>
            <w:shd w:val="clear" w:color="auto" w:fill="auto"/>
          </w:tcPr>
          <w:p w14:paraId="4518C257" w14:textId="77777777" w:rsidR="00B70769" w:rsidRPr="00D16E82" w:rsidRDefault="00B70769" w:rsidP="00FC295B">
            <w:pPr>
              <w:spacing w:line="276" w:lineRule="auto"/>
              <w:ind w:right="0"/>
            </w:pPr>
            <w:r w:rsidRPr="00D16E82">
              <w:t>Total</w:t>
            </w:r>
          </w:p>
        </w:tc>
        <w:tc>
          <w:tcPr>
            <w:tcW w:w="5765" w:type="dxa"/>
            <w:gridSpan w:val="3"/>
            <w:shd w:val="clear" w:color="auto" w:fill="auto"/>
            <w:vAlign w:val="center"/>
          </w:tcPr>
          <w:p w14:paraId="61E44DDC" w14:textId="77777777" w:rsidR="00B70769" w:rsidRPr="00D16E82" w:rsidRDefault="00B70769" w:rsidP="00FC295B">
            <w:pPr>
              <w:spacing w:line="276" w:lineRule="auto"/>
              <w:ind w:right="0"/>
            </w:pPr>
          </w:p>
        </w:tc>
        <w:tc>
          <w:tcPr>
            <w:tcW w:w="1908" w:type="dxa"/>
            <w:shd w:val="clear" w:color="auto" w:fill="auto"/>
            <w:vAlign w:val="center"/>
          </w:tcPr>
          <w:p w14:paraId="0E8BCAFD" w14:textId="390228F5" w:rsidR="00B70769" w:rsidRPr="00D16E82" w:rsidRDefault="005E6E70" w:rsidP="00DE3FF4">
            <w:pPr>
              <w:spacing w:line="276" w:lineRule="auto"/>
              <w:ind w:right="0"/>
            </w:pPr>
            <w:r>
              <w:t>$</w:t>
            </w:r>
            <w:r w:rsidR="00DE3FF4">
              <w:t>4,760</w:t>
            </w:r>
            <w:r w:rsidR="0070125E">
              <w:t>.00</w:t>
            </w:r>
          </w:p>
        </w:tc>
      </w:tr>
    </w:tbl>
    <w:p w14:paraId="5798F4A6" w14:textId="77777777" w:rsidR="002853AE" w:rsidRPr="00D16E82" w:rsidRDefault="002853AE" w:rsidP="00FC295B">
      <w:pPr>
        <w:spacing w:line="276" w:lineRule="auto"/>
        <w:ind w:right="0"/>
      </w:pPr>
    </w:p>
    <w:p w14:paraId="21EE7A05" w14:textId="77777777" w:rsidR="002853AE" w:rsidRPr="00D16E82" w:rsidRDefault="002853AE" w:rsidP="00FC295B">
      <w:pPr>
        <w:pStyle w:val="Heading1"/>
        <w:spacing w:line="276" w:lineRule="auto"/>
        <w:ind w:right="0"/>
      </w:pPr>
      <w:bookmarkStart w:id="13" w:name="_Toc442348377"/>
      <w:r w:rsidRPr="00D16E82">
        <w:t>13. Estimates of Other Total Cost Burden to Respondents or Record Keepers</w:t>
      </w:r>
      <w:bookmarkEnd w:id="13"/>
    </w:p>
    <w:p w14:paraId="54CBD301" w14:textId="77777777" w:rsidR="002853AE" w:rsidRPr="00D16E82" w:rsidRDefault="002853AE" w:rsidP="00FC295B">
      <w:pPr>
        <w:spacing w:line="276" w:lineRule="auto"/>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2A6AA841" w14:textId="77777777" w:rsidR="002853AE" w:rsidRPr="00D16E82" w:rsidRDefault="002853AE" w:rsidP="00FC295B">
      <w:pPr>
        <w:spacing w:line="276" w:lineRule="auto"/>
        <w:ind w:right="0"/>
      </w:pPr>
    </w:p>
    <w:p w14:paraId="58C585C0" w14:textId="77777777" w:rsidR="002853AE" w:rsidRPr="00D16E82" w:rsidRDefault="002853AE" w:rsidP="00FC295B">
      <w:pPr>
        <w:pStyle w:val="Heading1"/>
        <w:spacing w:line="276" w:lineRule="auto"/>
        <w:ind w:right="0"/>
      </w:pPr>
      <w:bookmarkStart w:id="14" w:name="_Toc442348378"/>
      <w:r w:rsidRPr="00D16E82">
        <w:t>14. Cost to the Government</w:t>
      </w:r>
      <w:bookmarkEnd w:id="14"/>
    </w:p>
    <w:p w14:paraId="2CA9032C" w14:textId="021FB664" w:rsidR="008777BE" w:rsidRPr="000F760B" w:rsidRDefault="008777BE" w:rsidP="00FC295B">
      <w:pPr>
        <w:spacing w:line="276" w:lineRule="auto"/>
        <w:ind w:right="0"/>
        <w:rPr>
          <w:color w:val="000000"/>
        </w:rPr>
      </w:pPr>
      <w:r w:rsidRPr="00D16E82">
        <w:t xml:space="preserve">The cost to the federal government is estimated at </w:t>
      </w:r>
      <w:r w:rsidR="000F760B">
        <w:rPr>
          <w:color w:val="000000"/>
        </w:rPr>
        <w:t>$12</w:t>
      </w:r>
      <w:r w:rsidR="0070125E">
        <w:rPr>
          <w:color w:val="000000"/>
        </w:rPr>
        <w:t>,732.80</w:t>
      </w:r>
      <w:r w:rsidRPr="00D16E82">
        <w:t xml:space="preserve">. This estimate represents the amount of time for the CDC staff to </w:t>
      </w:r>
      <w:r w:rsidR="00E776C5">
        <w:t xml:space="preserve">administer the survey, enter data, and conduct analysis. </w:t>
      </w:r>
      <w:r w:rsidR="00C20EED">
        <w:t xml:space="preserve">Hourly wage rates were used for step-1 FTEs for the Atlanta locality. These numbers are available at </w:t>
      </w:r>
      <w:hyperlink r:id="rId13" w:history="1">
        <w:r w:rsidR="00C547C0" w:rsidRPr="00B97287">
          <w:rPr>
            <w:rStyle w:val="Hyperlink"/>
          </w:rPr>
          <w:t>https://www.opm.gov/policy-data-oversight/pay-leave/salaries-wages/salary-tables/pdf/2015/ATL.pdf</w:t>
        </w:r>
      </w:hyperlink>
      <w:r w:rsidR="00C547C0">
        <w:t>.</w:t>
      </w:r>
    </w:p>
    <w:p w14:paraId="6AEB8274" w14:textId="77777777" w:rsidR="00C51354" w:rsidRDefault="00C51354" w:rsidP="00FC295B">
      <w:pPr>
        <w:spacing w:line="276" w:lineRule="auto"/>
        <w:ind w:right="0"/>
        <w:rPr>
          <w:color w:val="000000"/>
        </w:rPr>
      </w:pPr>
    </w:p>
    <w:tbl>
      <w:tblPr>
        <w:tblStyle w:val="TableGrid"/>
        <w:tblW w:w="0" w:type="auto"/>
        <w:tblLook w:val="04A0" w:firstRow="1" w:lastRow="0" w:firstColumn="1" w:lastColumn="0" w:noHBand="0" w:noVBand="1"/>
      </w:tblPr>
      <w:tblGrid>
        <w:gridCol w:w="1558"/>
        <w:gridCol w:w="1558"/>
        <w:gridCol w:w="1621"/>
        <w:gridCol w:w="1496"/>
      </w:tblGrid>
      <w:tr w:rsidR="0069326C" w14:paraId="5E5AEA8E" w14:textId="77777777" w:rsidTr="00D5784E">
        <w:tc>
          <w:tcPr>
            <w:tcW w:w="1558" w:type="dxa"/>
          </w:tcPr>
          <w:p w14:paraId="43D298E9" w14:textId="0AF88E26" w:rsidR="0069326C" w:rsidRPr="00D5784E" w:rsidRDefault="0069326C" w:rsidP="00FC295B">
            <w:pPr>
              <w:spacing w:line="276" w:lineRule="auto"/>
              <w:ind w:right="0"/>
              <w:rPr>
                <w:b/>
                <w:color w:val="000000"/>
              </w:rPr>
            </w:pPr>
            <w:r w:rsidRPr="00D5784E">
              <w:rPr>
                <w:b/>
                <w:color w:val="000000"/>
              </w:rPr>
              <w:t>Grade</w:t>
            </w:r>
          </w:p>
        </w:tc>
        <w:tc>
          <w:tcPr>
            <w:tcW w:w="1558" w:type="dxa"/>
          </w:tcPr>
          <w:p w14:paraId="0140FE5C" w14:textId="77777777" w:rsidR="0069326C" w:rsidRPr="00D5784E" w:rsidRDefault="0069326C" w:rsidP="00FC295B">
            <w:pPr>
              <w:spacing w:line="276" w:lineRule="auto"/>
              <w:ind w:right="0"/>
              <w:rPr>
                <w:b/>
                <w:color w:val="000000"/>
              </w:rPr>
            </w:pPr>
            <w:r w:rsidRPr="00D5784E">
              <w:rPr>
                <w:b/>
                <w:color w:val="000000"/>
              </w:rPr>
              <w:t>Hours</w:t>
            </w:r>
          </w:p>
        </w:tc>
        <w:tc>
          <w:tcPr>
            <w:tcW w:w="1621" w:type="dxa"/>
          </w:tcPr>
          <w:p w14:paraId="356ACF7D" w14:textId="77777777" w:rsidR="0069326C" w:rsidRPr="00D5784E" w:rsidRDefault="0069326C" w:rsidP="00FC295B">
            <w:pPr>
              <w:spacing w:line="276" w:lineRule="auto"/>
              <w:ind w:right="0"/>
              <w:rPr>
                <w:b/>
                <w:color w:val="000000"/>
              </w:rPr>
            </w:pPr>
            <w:r w:rsidRPr="00D5784E">
              <w:rPr>
                <w:b/>
                <w:color w:val="000000"/>
              </w:rPr>
              <w:t>Hourly Wage</w:t>
            </w:r>
          </w:p>
        </w:tc>
        <w:tc>
          <w:tcPr>
            <w:tcW w:w="1496" w:type="dxa"/>
          </w:tcPr>
          <w:p w14:paraId="5DA6AD80" w14:textId="77777777" w:rsidR="0069326C" w:rsidRPr="00D5784E" w:rsidRDefault="0069326C" w:rsidP="00FC295B">
            <w:pPr>
              <w:spacing w:line="276" w:lineRule="auto"/>
              <w:ind w:right="0"/>
              <w:rPr>
                <w:b/>
                <w:color w:val="000000"/>
              </w:rPr>
            </w:pPr>
            <w:r w:rsidRPr="00D5784E">
              <w:rPr>
                <w:b/>
                <w:color w:val="000000"/>
              </w:rPr>
              <w:t>Total</w:t>
            </w:r>
          </w:p>
        </w:tc>
      </w:tr>
      <w:tr w:rsidR="0069326C" w14:paraId="3EA0942D" w14:textId="77777777" w:rsidTr="00D5784E">
        <w:tc>
          <w:tcPr>
            <w:tcW w:w="1558" w:type="dxa"/>
          </w:tcPr>
          <w:p w14:paraId="1BEABA5D" w14:textId="77777777" w:rsidR="0069326C" w:rsidRDefault="0069326C" w:rsidP="00FC295B">
            <w:pPr>
              <w:spacing w:line="276" w:lineRule="auto"/>
              <w:ind w:right="0"/>
              <w:rPr>
                <w:color w:val="000000"/>
              </w:rPr>
            </w:pPr>
            <w:r>
              <w:rPr>
                <w:color w:val="000000"/>
              </w:rPr>
              <w:t>GS-14</w:t>
            </w:r>
          </w:p>
        </w:tc>
        <w:tc>
          <w:tcPr>
            <w:tcW w:w="1558" w:type="dxa"/>
          </w:tcPr>
          <w:p w14:paraId="16FC31AB" w14:textId="77777777" w:rsidR="0069326C" w:rsidRDefault="0069326C" w:rsidP="00FC295B">
            <w:pPr>
              <w:spacing w:line="276" w:lineRule="auto"/>
              <w:ind w:right="0"/>
              <w:rPr>
                <w:color w:val="000000"/>
              </w:rPr>
            </w:pPr>
            <w:r>
              <w:rPr>
                <w:color w:val="000000"/>
              </w:rPr>
              <w:t>80</w:t>
            </w:r>
          </w:p>
        </w:tc>
        <w:tc>
          <w:tcPr>
            <w:tcW w:w="1621" w:type="dxa"/>
          </w:tcPr>
          <w:p w14:paraId="640A2338" w14:textId="77777777" w:rsidR="0069326C" w:rsidRDefault="0069326C" w:rsidP="00FC295B">
            <w:pPr>
              <w:spacing w:line="276" w:lineRule="auto"/>
              <w:ind w:right="0"/>
              <w:rPr>
                <w:color w:val="000000"/>
              </w:rPr>
            </w:pPr>
            <w:r>
              <w:rPr>
                <w:color w:val="000000"/>
              </w:rPr>
              <w:t>$50.00</w:t>
            </w:r>
          </w:p>
        </w:tc>
        <w:tc>
          <w:tcPr>
            <w:tcW w:w="1496" w:type="dxa"/>
          </w:tcPr>
          <w:p w14:paraId="73F5FABA" w14:textId="77777777" w:rsidR="0069326C" w:rsidRDefault="0069326C" w:rsidP="00FC295B">
            <w:pPr>
              <w:spacing w:line="276" w:lineRule="auto"/>
              <w:ind w:right="0"/>
              <w:rPr>
                <w:color w:val="000000"/>
              </w:rPr>
            </w:pPr>
            <w:r>
              <w:rPr>
                <w:color w:val="000000"/>
              </w:rPr>
              <w:t>$4,000.00</w:t>
            </w:r>
          </w:p>
        </w:tc>
      </w:tr>
      <w:tr w:rsidR="0069326C" w14:paraId="03153177" w14:textId="77777777" w:rsidTr="00D5784E">
        <w:tc>
          <w:tcPr>
            <w:tcW w:w="1558" w:type="dxa"/>
          </w:tcPr>
          <w:p w14:paraId="7F53EC85" w14:textId="77777777" w:rsidR="0069326C" w:rsidRDefault="0069326C" w:rsidP="00FC295B">
            <w:pPr>
              <w:spacing w:line="276" w:lineRule="auto"/>
              <w:ind w:right="0"/>
              <w:rPr>
                <w:color w:val="000000"/>
              </w:rPr>
            </w:pPr>
            <w:r>
              <w:rPr>
                <w:color w:val="000000"/>
              </w:rPr>
              <w:t>GS-13</w:t>
            </w:r>
          </w:p>
        </w:tc>
        <w:tc>
          <w:tcPr>
            <w:tcW w:w="1558" w:type="dxa"/>
          </w:tcPr>
          <w:p w14:paraId="51A5A460" w14:textId="77777777" w:rsidR="0069326C" w:rsidRDefault="0069326C" w:rsidP="00FC295B">
            <w:pPr>
              <w:spacing w:line="276" w:lineRule="auto"/>
              <w:ind w:right="0"/>
              <w:rPr>
                <w:color w:val="000000"/>
              </w:rPr>
            </w:pPr>
            <w:r>
              <w:rPr>
                <w:color w:val="000000"/>
              </w:rPr>
              <w:t>160</w:t>
            </w:r>
          </w:p>
        </w:tc>
        <w:tc>
          <w:tcPr>
            <w:tcW w:w="1621" w:type="dxa"/>
          </w:tcPr>
          <w:p w14:paraId="5A9FCCAB" w14:textId="77777777" w:rsidR="0069326C" w:rsidRDefault="0069326C" w:rsidP="00FC295B">
            <w:pPr>
              <w:spacing w:line="276" w:lineRule="auto"/>
              <w:ind w:right="0"/>
              <w:rPr>
                <w:color w:val="000000"/>
              </w:rPr>
            </w:pPr>
            <w:r>
              <w:rPr>
                <w:color w:val="000000"/>
              </w:rPr>
              <w:t>$42.31</w:t>
            </w:r>
          </w:p>
        </w:tc>
        <w:tc>
          <w:tcPr>
            <w:tcW w:w="1496" w:type="dxa"/>
          </w:tcPr>
          <w:p w14:paraId="3F7B9523" w14:textId="77777777" w:rsidR="0069326C" w:rsidRDefault="0069326C" w:rsidP="00FC295B">
            <w:pPr>
              <w:spacing w:line="276" w:lineRule="auto"/>
              <w:ind w:right="0"/>
              <w:rPr>
                <w:color w:val="000000"/>
              </w:rPr>
            </w:pPr>
            <w:r>
              <w:rPr>
                <w:color w:val="000000"/>
              </w:rPr>
              <w:t>$6,769.60</w:t>
            </w:r>
          </w:p>
        </w:tc>
      </w:tr>
      <w:tr w:rsidR="0069326C" w14:paraId="4E3224AE" w14:textId="77777777" w:rsidTr="00D5784E">
        <w:tc>
          <w:tcPr>
            <w:tcW w:w="1558" w:type="dxa"/>
          </w:tcPr>
          <w:p w14:paraId="1E39E72E" w14:textId="77777777" w:rsidR="0069326C" w:rsidRDefault="0069326C" w:rsidP="00FC295B">
            <w:pPr>
              <w:spacing w:line="276" w:lineRule="auto"/>
              <w:ind w:right="0"/>
              <w:rPr>
                <w:color w:val="000000"/>
              </w:rPr>
            </w:pPr>
            <w:r>
              <w:rPr>
                <w:color w:val="000000"/>
              </w:rPr>
              <w:t>GS-9</w:t>
            </w:r>
          </w:p>
        </w:tc>
        <w:tc>
          <w:tcPr>
            <w:tcW w:w="1558" w:type="dxa"/>
          </w:tcPr>
          <w:p w14:paraId="2E668C7B" w14:textId="77777777" w:rsidR="0069326C" w:rsidRDefault="0069326C" w:rsidP="00FC295B">
            <w:pPr>
              <w:spacing w:line="276" w:lineRule="auto"/>
              <w:ind w:right="0"/>
              <w:rPr>
                <w:color w:val="000000"/>
              </w:rPr>
            </w:pPr>
            <w:r>
              <w:rPr>
                <w:color w:val="000000"/>
              </w:rPr>
              <w:t>80</w:t>
            </w:r>
          </w:p>
        </w:tc>
        <w:tc>
          <w:tcPr>
            <w:tcW w:w="1621" w:type="dxa"/>
          </w:tcPr>
          <w:p w14:paraId="2F280A13" w14:textId="77777777" w:rsidR="0069326C" w:rsidRDefault="0069326C" w:rsidP="00FC295B">
            <w:pPr>
              <w:spacing w:line="276" w:lineRule="auto"/>
              <w:ind w:right="0"/>
              <w:rPr>
                <w:color w:val="000000"/>
              </w:rPr>
            </w:pPr>
            <w:r>
              <w:rPr>
                <w:color w:val="000000"/>
              </w:rPr>
              <w:t>$24.54</w:t>
            </w:r>
          </w:p>
        </w:tc>
        <w:tc>
          <w:tcPr>
            <w:tcW w:w="1496" w:type="dxa"/>
          </w:tcPr>
          <w:p w14:paraId="2E174801" w14:textId="3543F41B" w:rsidR="0069326C" w:rsidRDefault="0069326C" w:rsidP="00FC295B">
            <w:pPr>
              <w:spacing w:line="276" w:lineRule="auto"/>
              <w:ind w:right="0"/>
              <w:rPr>
                <w:color w:val="000000"/>
              </w:rPr>
            </w:pPr>
            <w:r>
              <w:rPr>
                <w:color w:val="000000"/>
              </w:rPr>
              <w:t>$1,963.20</w:t>
            </w:r>
          </w:p>
        </w:tc>
      </w:tr>
      <w:tr w:rsidR="0069326C" w14:paraId="3DE55EA0" w14:textId="77777777" w:rsidTr="00367818">
        <w:tc>
          <w:tcPr>
            <w:tcW w:w="4737" w:type="dxa"/>
            <w:gridSpan w:val="3"/>
          </w:tcPr>
          <w:p w14:paraId="78A59C43" w14:textId="7D37CF77" w:rsidR="0069326C" w:rsidRPr="0069326C" w:rsidRDefault="0069326C" w:rsidP="00FC295B">
            <w:pPr>
              <w:spacing w:line="276" w:lineRule="auto"/>
              <w:ind w:right="0"/>
              <w:rPr>
                <w:b/>
                <w:color w:val="000000"/>
              </w:rPr>
            </w:pPr>
            <w:r w:rsidRPr="0069326C">
              <w:rPr>
                <w:b/>
                <w:color w:val="000000"/>
              </w:rPr>
              <w:t>Total</w:t>
            </w:r>
          </w:p>
        </w:tc>
        <w:tc>
          <w:tcPr>
            <w:tcW w:w="1496" w:type="dxa"/>
          </w:tcPr>
          <w:p w14:paraId="0468A743" w14:textId="611F007D" w:rsidR="0069326C" w:rsidRDefault="0069326C" w:rsidP="00FC295B">
            <w:pPr>
              <w:spacing w:line="276" w:lineRule="auto"/>
              <w:ind w:right="0"/>
              <w:rPr>
                <w:color w:val="000000"/>
              </w:rPr>
            </w:pPr>
            <w:r>
              <w:rPr>
                <w:color w:val="000000"/>
              </w:rPr>
              <w:t>$12,732.80</w:t>
            </w:r>
          </w:p>
        </w:tc>
      </w:tr>
    </w:tbl>
    <w:p w14:paraId="6E72428C" w14:textId="77777777" w:rsidR="00C547C0" w:rsidRDefault="00C547C0" w:rsidP="00FC295B">
      <w:pPr>
        <w:pStyle w:val="Heading1"/>
        <w:spacing w:line="276" w:lineRule="auto"/>
        <w:ind w:right="0"/>
      </w:pPr>
      <w:bookmarkStart w:id="15" w:name="_Toc442348379"/>
    </w:p>
    <w:p w14:paraId="306FE853" w14:textId="77777777" w:rsidR="002853AE" w:rsidRPr="00D16E82" w:rsidRDefault="002853AE" w:rsidP="00FC295B">
      <w:pPr>
        <w:pStyle w:val="Heading1"/>
        <w:spacing w:line="276" w:lineRule="auto"/>
        <w:ind w:right="0"/>
      </w:pPr>
      <w:r w:rsidRPr="00D16E82">
        <w:t>15. Explanation for Program Changes or Adjustments</w:t>
      </w:r>
      <w:bookmarkEnd w:id="15"/>
    </w:p>
    <w:p w14:paraId="50308E8B" w14:textId="77777777" w:rsidR="002853AE" w:rsidRPr="00D16E82" w:rsidRDefault="001242F4" w:rsidP="00FC295B">
      <w:pPr>
        <w:spacing w:line="276" w:lineRule="auto"/>
        <w:ind w:right="0"/>
      </w:pPr>
      <w:r w:rsidRPr="00D16E82">
        <w:t>This is a new information collection.</w:t>
      </w:r>
    </w:p>
    <w:p w14:paraId="71D954E4" w14:textId="77777777" w:rsidR="001242F4" w:rsidRPr="00D16E82" w:rsidRDefault="001242F4" w:rsidP="00FC295B">
      <w:pPr>
        <w:spacing w:line="276" w:lineRule="auto"/>
        <w:ind w:right="0"/>
      </w:pPr>
    </w:p>
    <w:p w14:paraId="399AAC55" w14:textId="77777777" w:rsidR="002853AE" w:rsidRPr="00D16E82" w:rsidRDefault="002853AE" w:rsidP="00FC295B">
      <w:pPr>
        <w:pStyle w:val="Heading1"/>
        <w:spacing w:line="276" w:lineRule="auto"/>
        <w:ind w:right="0"/>
      </w:pPr>
      <w:bookmarkStart w:id="16" w:name="_Toc442348380"/>
      <w:r w:rsidRPr="00D16E82">
        <w:t>16. Plans for Tabulation and Publication and Project Time Schedule</w:t>
      </w:r>
      <w:bookmarkEnd w:id="16"/>
    </w:p>
    <w:p w14:paraId="6A14097F" w14:textId="0259D466" w:rsidR="002853AE" w:rsidRPr="005C5797" w:rsidRDefault="00C052A9" w:rsidP="00FC295B">
      <w:pPr>
        <w:spacing w:line="276" w:lineRule="auto"/>
        <w:ind w:right="0"/>
      </w:pPr>
      <w:r w:rsidRPr="005C5797">
        <w:t>The survey is expected to launch the last week of September and run through December 2016, although we expect the majority of submissions to arrive in October.  Submissions will be tabulated weekly or bi-weekly and distribution maps will be updated for internal CDC distribution as information changes significantly.  Data from this survey are expected to be integrated into a publication describing a model of vector distributions which we aim to have submitted by March</w:t>
      </w:r>
      <w:r w:rsidR="005C5797">
        <w:t xml:space="preserve">, </w:t>
      </w:r>
      <w:r w:rsidR="002D39C5" w:rsidRPr="005C5797">
        <w:t>2017.</w:t>
      </w:r>
    </w:p>
    <w:p w14:paraId="7D1E35A5" w14:textId="77777777" w:rsidR="002D39C5" w:rsidRDefault="002D39C5" w:rsidP="00FC295B">
      <w:pPr>
        <w:spacing w:line="276" w:lineRule="auto"/>
        <w:ind w:right="0"/>
        <w:rPr>
          <w:highlight w:val="yellow"/>
        </w:rPr>
      </w:pPr>
    </w:p>
    <w:p w14:paraId="7DDD26AE" w14:textId="77777777" w:rsidR="00E776C5" w:rsidRPr="00D16E82" w:rsidRDefault="00E776C5" w:rsidP="00FC295B">
      <w:pPr>
        <w:spacing w:line="276" w:lineRule="auto"/>
        <w:ind w:right="0"/>
      </w:pPr>
    </w:p>
    <w:p w14:paraId="1DBD32E5" w14:textId="77777777" w:rsidR="002853AE" w:rsidRPr="00D16E82" w:rsidRDefault="002853AE" w:rsidP="00FC295B">
      <w:pPr>
        <w:pStyle w:val="Heading1"/>
        <w:spacing w:line="276" w:lineRule="auto"/>
        <w:ind w:right="0"/>
      </w:pPr>
      <w:bookmarkStart w:id="17" w:name="_Toc442348381"/>
      <w:r w:rsidRPr="00D16E82">
        <w:t>17. Reason(s) Display of OMB Expiration Date is Inappropriate</w:t>
      </w:r>
      <w:bookmarkEnd w:id="17"/>
    </w:p>
    <w:p w14:paraId="7E562D64" w14:textId="77777777" w:rsidR="002853AE" w:rsidRPr="00D16E82" w:rsidRDefault="002853AE" w:rsidP="00FC295B">
      <w:pPr>
        <w:spacing w:line="276" w:lineRule="auto"/>
        <w:ind w:right="0"/>
      </w:pPr>
      <w:r w:rsidRPr="00D16E82">
        <w:t xml:space="preserve">The display of the OMB expiration date is appropriate. </w:t>
      </w:r>
    </w:p>
    <w:p w14:paraId="4B1849FE" w14:textId="77777777" w:rsidR="002853AE" w:rsidRPr="00D16E82" w:rsidRDefault="002853AE" w:rsidP="00FC295B">
      <w:pPr>
        <w:spacing w:line="276" w:lineRule="auto"/>
        <w:ind w:right="0"/>
      </w:pPr>
    </w:p>
    <w:p w14:paraId="7DDB6811" w14:textId="77777777" w:rsidR="002853AE" w:rsidRPr="00D16E82" w:rsidRDefault="002853AE" w:rsidP="00FC295B">
      <w:pPr>
        <w:pStyle w:val="Heading1"/>
        <w:spacing w:line="276" w:lineRule="auto"/>
        <w:ind w:right="0"/>
      </w:pPr>
      <w:bookmarkStart w:id="18" w:name="_Toc442348382"/>
      <w:r w:rsidRPr="00D16E82">
        <w:t>18. Exceptions to Certification for Paperwork Reduction Act Submissions</w:t>
      </w:r>
      <w:bookmarkEnd w:id="18"/>
    </w:p>
    <w:p w14:paraId="6534495D" w14:textId="77777777" w:rsidR="002853AE" w:rsidRPr="00D16E82" w:rsidRDefault="002853AE" w:rsidP="00FC295B">
      <w:pPr>
        <w:spacing w:line="276" w:lineRule="auto"/>
        <w:ind w:right="0"/>
      </w:pPr>
      <w:r w:rsidRPr="00D16E82">
        <w:t>There are no exceptions to the certification.</w:t>
      </w:r>
    </w:p>
    <w:p w14:paraId="21EF51EC" w14:textId="77777777" w:rsidR="00754F8D" w:rsidRPr="00D16E82" w:rsidRDefault="00754F8D" w:rsidP="00FC295B">
      <w:pPr>
        <w:spacing w:line="276" w:lineRule="auto"/>
        <w:ind w:right="0"/>
      </w:pPr>
    </w:p>
    <w:p w14:paraId="000BAE93" w14:textId="77777777" w:rsidR="00391372" w:rsidRPr="00391372" w:rsidRDefault="00391372" w:rsidP="00FC295B">
      <w:pPr>
        <w:spacing w:line="276" w:lineRule="auto"/>
        <w:ind w:right="0"/>
        <w:outlineLvl w:val="0"/>
        <w:rPr>
          <w:b/>
        </w:rPr>
      </w:pPr>
      <w:bookmarkStart w:id="19" w:name="_Toc442348383"/>
      <w:r w:rsidRPr="00391372">
        <w:rPr>
          <w:b/>
        </w:rPr>
        <w:t>Attachments</w:t>
      </w:r>
      <w:bookmarkEnd w:id="19"/>
    </w:p>
    <w:p w14:paraId="5B34ECFB" w14:textId="77777777" w:rsidR="00391372" w:rsidRPr="00391372" w:rsidRDefault="00391372" w:rsidP="003763BE">
      <w:pPr>
        <w:numPr>
          <w:ilvl w:val="0"/>
          <w:numId w:val="28"/>
        </w:numPr>
        <w:spacing w:line="276" w:lineRule="auto"/>
        <w:ind w:right="0"/>
        <w:contextualSpacing/>
        <w:rPr>
          <w:rFonts w:eastAsia="Cambria"/>
        </w:rPr>
      </w:pPr>
      <w:r w:rsidRPr="00391372">
        <w:rPr>
          <w:rFonts w:eastAsia="Cambria"/>
        </w:rPr>
        <w:t>Public Health Service Act (42 USC 241)</w:t>
      </w:r>
    </w:p>
    <w:p w14:paraId="18744024" w14:textId="4D52BA5A" w:rsidR="00391372" w:rsidRDefault="00391372" w:rsidP="003763BE">
      <w:pPr>
        <w:numPr>
          <w:ilvl w:val="0"/>
          <w:numId w:val="28"/>
        </w:numPr>
        <w:spacing w:line="276" w:lineRule="auto"/>
        <w:ind w:right="0"/>
        <w:contextualSpacing/>
        <w:rPr>
          <w:rFonts w:eastAsia="Cambria"/>
        </w:rPr>
      </w:pPr>
      <w:r w:rsidRPr="00391372">
        <w:rPr>
          <w:rFonts w:eastAsia="Cambria"/>
        </w:rPr>
        <w:t>60-day FRN</w:t>
      </w:r>
    </w:p>
    <w:p w14:paraId="712B8860" w14:textId="708FDF0F" w:rsidR="00D9255F" w:rsidRPr="00391372" w:rsidRDefault="00D9255F" w:rsidP="00D9255F">
      <w:pPr>
        <w:numPr>
          <w:ilvl w:val="1"/>
          <w:numId w:val="28"/>
        </w:numPr>
        <w:spacing w:line="276" w:lineRule="auto"/>
        <w:ind w:right="0"/>
        <w:contextualSpacing/>
        <w:rPr>
          <w:rFonts w:eastAsia="Cambria"/>
        </w:rPr>
      </w:pPr>
      <w:r>
        <w:rPr>
          <w:rFonts w:eastAsia="Cambria"/>
        </w:rPr>
        <w:t>Public Comment</w:t>
      </w:r>
    </w:p>
    <w:p w14:paraId="55E7F1D2" w14:textId="77777777" w:rsidR="00391372" w:rsidRPr="00391372" w:rsidRDefault="00391372" w:rsidP="003763BE">
      <w:pPr>
        <w:numPr>
          <w:ilvl w:val="0"/>
          <w:numId w:val="28"/>
        </w:numPr>
        <w:spacing w:line="276" w:lineRule="auto"/>
        <w:ind w:right="0"/>
        <w:contextualSpacing/>
        <w:rPr>
          <w:rFonts w:eastAsia="Cambria"/>
          <w:color w:val="000000"/>
        </w:rPr>
      </w:pPr>
      <w:r w:rsidRPr="00391372">
        <w:rPr>
          <w:rFonts w:eastAsia="Cambria"/>
          <w:color w:val="000000"/>
        </w:rPr>
        <w:t xml:space="preserve">Survey of county-level surveillance records of </w:t>
      </w:r>
      <w:r w:rsidRPr="00391372">
        <w:rPr>
          <w:rFonts w:eastAsia="Cambria"/>
          <w:i/>
          <w:color w:val="000000"/>
        </w:rPr>
        <w:t>Aedes aegypti</w:t>
      </w:r>
      <w:r w:rsidRPr="00391372">
        <w:rPr>
          <w:rFonts w:eastAsia="Cambria"/>
          <w:color w:val="000000"/>
        </w:rPr>
        <w:t xml:space="preserve"> and </w:t>
      </w:r>
      <w:r w:rsidRPr="00391372">
        <w:rPr>
          <w:rFonts w:eastAsia="Cambria"/>
          <w:i/>
          <w:color w:val="000000"/>
        </w:rPr>
        <w:t xml:space="preserve">Aedes albopictus </w:t>
      </w:r>
      <w:r w:rsidRPr="00391372">
        <w:rPr>
          <w:rFonts w:eastAsia="Cambria"/>
          <w:color w:val="000000"/>
        </w:rPr>
        <w:t>from 2000 to present</w:t>
      </w:r>
    </w:p>
    <w:p w14:paraId="20A36FEF" w14:textId="08CC7D00" w:rsidR="00BC277D" w:rsidRDefault="00391372" w:rsidP="00BC277D">
      <w:pPr>
        <w:numPr>
          <w:ilvl w:val="0"/>
          <w:numId w:val="28"/>
        </w:numPr>
        <w:spacing w:line="276" w:lineRule="auto"/>
        <w:ind w:right="0"/>
        <w:contextualSpacing/>
        <w:rPr>
          <w:rFonts w:eastAsia="Cambria"/>
          <w:color w:val="000000"/>
        </w:rPr>
      </w:pPr>
      <w:r w:rsidRPr="00391372">
        <w:rPr>
          <w:rFonts w:eastAsia="Cambria"/>
          <w:color w:val="000000"/>
        </w:rPr>
        <w:t xml:space="preserve">IRB </w:t>
      </w:r>
      <w:r w:rsidR="00E776C5">
        <w:rPr>
          <w:rFonts w:eastAsia="Cambria"/>
          <w:color w:val="000000"/>
        </w:rPr>
        <w:t>Non-research Determination</w:t>
      </w:r>
    </w:p>
    <w:p w14:paraId="27E42DF0" w14:textId="77C307DB" w:rsidR="00BC277D" w:rsidRPr="00BC277D" w:rsidRDefault="00BC277D" w:rsidP="00BC277D">
      <w:pPr>
        <w:numPr>
          <w:ilvl w:val="0"/>
          <w:numId w:val="28"/>
        </w:numPr>
        <w:spacing w:line="276" w:lineRule="auto"/>
        <w:ind w:right="0"/>
        <w:contextualSpacing/>
        <w:rPr>
          <w:rFonts w:eastAsia="Cambria"/>
          <w:color w:val="000000"/>
        </w:rPr>
      </w:pPr>
      <w:r>
        <w:rPr>
          <w:rFonts w:eastAsia="Cambria"/>
          <w:color w:val="000000"/>
        </w:rPr>
        <w:t>Journal of Medical Entomology Paper</w:t>
      </w:r>
    </w:p>
    <w:sectPr w:rsidR="00BC277D" w:rsidRPr="00BC277D" w:rsidSect="00D02771">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86C38" w14:textId="77777777" w:rsidR="00E60697" w:rsidRDefault="00E60697" w:rsidP="0021628E">
      <w:r>
        <w:separator/>
      </w:r>
    </w:p>
    <w:p w14:paraId="187C94B6" w14:textId="77777777" w:rsidR="00E60697" w:rsidRDefault="00E60697" w:rsidP="0021628E"/>
  </w:endnote>
  <w:endnote w:type="continuationSeparator" w:id="0">
    <w:p w14:paraId="07349C13" w14:textId="77777777" w:rsidR="00E60697" w:rsidRDefault="00E60697" w:rsidP="0021628E">
      <w:r>
        <w:continuationSeparator/>
      </w:r>
    </w:p>
    <w:p w14:paraId="08543E60" w14:textId="77777777" w:rsidR="00E60697" w:rsidRDefault="00E60697" w:rsidP="0021628E"/>
  </w:endnote>
  <w:endnote w:type="continuationNotice" w:id="1">
    <w:p w14:paraId="78F48549" w14:textId="77777777" w:rsidR="00E60697" w:rsidRDefault="00E606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B469" w14:textId="77777777" w:rsidR="00E60697" w:rsidRDefault="00E60697"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2614F6" w14:textId="77777777" w:rsidR="00E60697" w:rsidRDefault="00E60697" w:rsidP="0021628E">
    <w:pPr>
      <w:pStyle w:val="Footer"/>
    </w:pPr>
  </w:p>
  <w:p w14:paraId="34FEDBBD" w14:textId="77777777" w:rsidR="00E60697" w:rsidRDefault="00E60697" w:rsidP="0021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33069" w14:textId="77777777" w:rsidR="00E60697" w:rsidRDefault="00E60697"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922E1">
      <w:rPr>
        <w:rStyle w:val="PageNumber"/>
        <w:noProof/>
      </w:rPr>
      <w:t>8</w:t>
    </w:r>
    <w:r>
      <w:rPr>
        <w:rStyle w:val="PageNumber"/>
      </w:rPr>
      <w:fldChar w:fldCharType="end"/>
    </w:r>
  </w:p>
  <w:p w14:paraId="32E4F679" w14:textId="77777777" w:rsidR="00E60697" w:rsidRDefault="00E60697" w:rsidP="0021628E">
    <w:pPr>
      <w:pStyle w:val="Footer"/>
    </w:pPr>
  </w:p>
  <w:p w14:paraId="14D060FE" w14:textId="77777777" w:rsidR="00E60697" w:rsidRDefault="00E60697" w:rsidP="00216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55FC4" w14:textId="77777777" w:rsidR="00E60697" w:rsidRDefault="00E60697" w:rsidP="0021628E">
      <w:r>
        <w:separator/>
      </w:r>
    </w:p>
    <w:p w14:paraId="7C57CDB9" w14:textId="77777777" w:rsidR="00E60697" w:rsidRDefault="00E60697" w:rsidP="0021628E"/>
  </w:footnote>
  <w:footnote w:type="continuationSeparator" w:id="0">
    <w:p w14:paraId="68ACCEA7" w14:textId="77777777" w:rsidR="00E60697" w:rsidRDefault="00E60697" w:rsidP="0021628E">
      <w:r>
        <w:continuationSeparator/>
      </w:r>
    </w:p>
    <w:p w14:paraId="4880B96E" w14:textId="77777777" w:rsidR="00E60697" w:rsidRDefault="00E60697" w:rsidP="0021628E"/>
  </w:footnote>
  <w:footnote w:type="continuationNotice" w:id="1">
    <w:p w14:paraId="4B59F4AE" w14:textId="77777777" w:rsidR="00E60697" w:rsidRDefault="00E6069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02962"/>
    <w:multiLevelType w:val="hybridMultilevel"/>
    <w:tmpl w:val="95460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070E"/>
    <w:multiLevelType w:val="hybridMultilevel"/>
    <w:tmpl w:val="D0CCCF54"/>
    <w:lvl w:ilvl="0" w:tplc="04090015">
      <w:start w:val="1"/>
      <w:numFmt w:val="upperLetter"/>
      <w:lvlText w:val="%1."/>
      <w:lvlJc w:val="left"/>
      <w:pPr>
        <w:ind w:left="720" w:hanging="360"/>
      </w:pPr>
    </w:lvl>
    <w:lvl w:ilvl="1" w:tplc="041C24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EF60B9"/>
    <w:multiLevelType w:val="hybridMultilevel"/>
    <w:tmpl w:val="A06E3888"/>
    <w:lvl w:ilvl="0" w:tplc="04090015">
      <w:start w:val="1"/>
      <w:numFmt w:val="upperLetter"/>
      <w:lvlText w:val="%1."/>
      <w:lvlJc w:val="left"/>
      <w:pPr>
        <w:ind w:left="720" w:hanging="360"/>
      </w:pPr>
    </w:lvl>
    <w:lvl w:ilvl="1" w:tplc="041C24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0"/>
  </w:num>
  <w:num w:numId="3">
    <w:abstractNumId w:val="23"/>
  </w:num>
  <w:num w:numId="4">
    <w:abstractNumId w:val="11"/>
  </w:num>
  <w:num w:numId="5">
    <w:abstractNumId w:val="21"/>
  </w:num>
  <w:num w:numId="6">
    <w:abstractNumId w:val="25"/>
  </w:num>
  <w:num w:numId="7">
    <w:abstractNumId w:val="2"/>
  </w:num>
  <w:num w:numId="8">
    <w:abstractNumId w:val="15"/>
  </w:num>
  <w:num w:numId="9">
    <w:abstractNumId w:val="7"/>
  </w:num>
  <w:num w:numId="10">
    <w:abstractNumId w:val="16"/>
  </w:num>
  <w:num w:numId="11">
    <w:abstractNumId w:val="8"/>
  </w:num>
  <w:num w:numId="12">
    <w:abstractNumId w:val="1"/>
  </w:num>
  <w:num w:numId="13">
    <w:abstractNumId w:val="6"/>
  </w:num>
  <w:num w:numId="14">
    <w:abstractNumId w:val="5"/>
  </w:num>
  <w:num w:numId="15">
    <w:abstractNumId w:val="18"/>
  </w:num>
  <w:num w:numId="16">
    <w:abstractNumId w:val="24"/>
  </w:num>
  <w:num w:numId="17">
    <w:abstractNumId w:val="12"/>
  </w:num>
  <w:num w:numId="18">
    <w:abstractNumId w:val="14"/>
  </w:num>
  <w:num w:numId="19">
    <w:abstractNumId w:val="9"/>
  </w:num>
  <w:num w:numId="20">
    <w:abstractNumId w:val="3"/>
  </w:num>
  <w:num w:numId="21">
    <w:abstractNumId w:val="13"/>
  </w:num>
  <w:num w:numId="22">
    <w:abstractNumId w:val="0"/>
  </w:num>
  <w:num w:numId="23">
    <w:abstractNumId w:val="10"/>
  </w:num>
  <w:num w:numId="24">
    <w:abstractNumId w:val="17"/>
  </w:num>
  <w:num w:numId="25">
    <w:abstractNumId w:val="26"/>
  </w:num>
  <w:num w:numId="26">
    <w:abstractNumId w:val="19"/>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479D"/>
    <w:rsid w:val="000060EB"/>
    <w:rsid w:val="000063A8"/>
    <w:rsid w:val="00006E67"/>
    <w:rsid w:val="000070CD"/>
    <w:rsid w:val="000077A9"/>
    <w:rsid w:val="00011D60"/>
    <w:rsid w:val="00011E2C"/>
    <w:rsid w:val="0001340F"/>
    <w:rsid w:val="00015143"/>
    <w:rsid w:val="00016172"/>
    <w:rsid w:val="00017512"/>
    <w:rsid w:val="00017FFE"/>
    <w:rsid w:val="00022B06"/>
    <w:rsid w:val="00022C20"/>
    <w:rsid w:val="00023932"/>
    <w:rsid w:val="000239C3"/>
    <w:rsid w:val="00024819"/>
    <w:rsid w:val="00024F43"/>
    <w:rsid w:val="00025B7F"/>
    <w:rsid w:val="00031EF7"/>
    <w:rsid w:val="00037C4F"/>
    <w:rsid w:val="0004199B"/>
    <w:rsid w:val="00041A9E"/>
    <w:rsid w:val="00042A66"/>
    <w:rsid w:val="00045049"/>
    <w:rsid w:val="00047D44"/>
    <w:rsid w:val="00052FF7"/>
    <w:rsid w:val="00053B63"/>
    <w:rsid w:val="0005467F"/>
    <w:rsid w:val="00055572"/>
    <w:rsid w:val="00060B2E"/>
    <w:rsid w:val="00063DD7"/>
    <w:rsid w:val="000642F0"/>
    <w:rsid w:val="00064667"/>
    <w:rsid w:val="0006604C"/>
    <w:rsid w:val="00071300"/>
    <w:rsid w:val="00073285"/>
    <w:rsid w:val="00073C5B"/>
    <w:rsid w:val="00073E46"/>
    <w:rsid w:val="00074411"/>
    <w:rsid w:val="00074479"/>
    <w:rsid w:val="000744E1"/>
    <w:rsid w:val="00075727"/>
    <w:rsid w:val="0007652A"/>
    <w:rsid w:val="00077FB8"/>
    <w:rsid w:val="000802F1"/>
    <w:rsid w:val="00080AD4"/>
    <w:rsid w:val="000816BF"/>
    <w:rsid w:val="00084944"/>
    <w:rsid w:val="000854C0"/>
    <w:rsid w:val="00085D59"/>
    <w:rsid w:val="00086763"/>
    <w:rsid w:val="0008783E"/>
    <w:rsid w:val="00087C88"/>
    <w:rsid w:val="00087DCA"/>
    <w:rsid w:val="00090906"/>
    <w:rsid w:val="00090B37"/>
    <w:rsid w:val="00090C2C"/>
    <w:rsid w:val="00091830"/>
    <w:rsid w:val="00092C52"/>
    <w:rsid w:val="000945F1"/>
    <w:rsid w:val="0009466D"/>
    <w:rsid w:val="0009478C"/>
    <w:rsid w:val="000968F2"/>
    <w:rsid w:val="0009764F"/>
    <w:rsid w:val="000A024F"/>
    <w:rsid w:val="000A0B10"/>
    <w:rsid w:val="000A1143"/>
    <w:rsid w:val="000A1F3B"/>
    <w:rsid w:val="000A38C1"/>
    <w:rsid w:val="000A7193"/>
    <w:rsid w:val="000A76F8"/>
    <w:rsid w:val="000A78F8"/>
    <w:rsid w:val="000A7A4E"/>
    <w:rsid w:val="000B146C"/>
    <w:rsid w:val="000B1B54"/>
    <w:rsid w:val="000B30A0"/>
    <w:rsid w:val="000B3B8F"/>
    <w:rsid w:val="000B406B"/>
    <w:rsid w:val="000B476B"/>
    <w:rsid w:val="000B4AF0"/>
    <w:rsid w:val="000B4E77"/>
    <w:rsid w:val="000B4FA5"/>
    <w:rsid w:val="000B524A"/>
    <w:rsid w:val="000B6CAB"/>
    <w:rsid w:val="000B77C8"/>
    <w:rsid w:val="000B7D0F"/>
    <w:rsid w:val="000C17AA"/>
    <w:rsid w:val="000C2355"/>
    <w:rsid w:val="000C240F"/>
    <w:rsid w:val="000C2E82"/>
    <w:rsid w:val="000C439D"/>
    <w:rsid w:val="000C51BD"/>
    <w:rsid w:val="000C78E0"/>
    <w:rsid w:val="000D015B"/>
    <w:rsid w:val="000D4BDC"/>
    <w:rsid w:val="000D51C6"/>
    <w:rsid w:val="000E1843"/>
    <w:rsid w:val="000E30A2"/>
    <w:rsid w:val="000E3FAB"/>
    <w:rsid w:val="000E4342"/>
    <w:rsid w:val="000E4A81"/>
    <w:rsid w:val="000E7685"/>
    <w:rsid w:val="000F1704"/>
    <w:rsid w:val="000F2D9B"/>
    <w:rsid w:val="000F30A8"/>
    <w:rsid w:val="000F432D"/>
    <w:rsid w:val="000F51E9"/>
    <w:rsid w:val="000F64EB"/>
    <w:rsid w:val="000F760B"/>
    <w:rsid w:val="001022B5"/>
    <w:rsid w:val="00103C99"/>
    <w:rsid w:val="001067CF"/>
    <w:rsid w:val="00106A68"/>
    <w:rsid w:val="00112552"/>
    <w:rsid w:val="001125FF"/>
    <w:rsid w:val="00115C19"/>
    <w:rsid w:val="001162EC"/>
    <w:rsid w:val="001163BF"/>
    <w:rsid w:val="0012217D"/>
    <w:rsid w:val="00122415"/>
    <w:rsid w:val="00122C4A"/>
    <w:rsid w:val="00122CA3"/>
    <w:rsid w:val="00122D12"/>
    <w:rsid w:val="001242F4"/>
    <w:rsid w:val="00125100"/>
    <w:rsid w:val="00125FC6"/>
    <w:rsid w:val="00127345"/>
    <w:rsid w:val="001277F8"/>
    <w:rsid w:val="001277FF"/>
    <w:rsid w:val="001305D9"/>
    <w:rsid w:val="0013092B"/>
    <w:rsid w:val="001316A2"/>
    <w:rsid w:val="00131E2C"/>
    <w:rsid w:val="00133C85"/>
    <w:rsid w:val="0013503B"/>
    <w:rsid w:val="00136334"/>
    <w:rsid w:val="00136E83"/>
    <w:rsid w:val="00140E13"/>
    <w:rsid w:val="00141B6B"/>
    <w:rsid w:val="001425DC"/>
    <w:rsid w:val="00144492"/>
    <w:rsid w:val="00144F1E"/>
    <w:rsid w:val="001453AA"/>
    <w:rsid w:val="00147941"/>
    <w:rsid w:val="00147D65"/>
    <w:rsid w:val="001516B3"/>
    <w:rsid w:val="00151BD8"/>
    <w:rsid w:val="00152299"/>
    <w:rsid w:val="001532B6"/>
    <w:rsid w:val="00154884"/>
    <w:rsid w:val="00156C1C"/>
    <w:rsid w:val="00160313"/>
    <w:rsid w:val="001644E0"/>
    <w:rsid w:val="00165026"/>
    <w:rsid w:val="001658A4"/>
    <w:rsid w:val="00167847"/>
    <w:rsid w:val="00171620"/>
    <w:rsid w:val="001722E4"/>
    <w:rsid w:val="001727B1"/>
    <w:rsid w:val="0017456A"/>
    <w:rsid w:val="00175FEC"/>
    <w:rsid w:val="0017652C"/>
    <w:rsid w:val="00176BBF"/>
    <w:rsid w:val="00176EC3"/>
    <w:rsid w:val="00180F13"/>
    <w:rsid w:val="00181B40"/>
    <w:rsid w:val="0018318A"/>
    <w:rsid w:val="00184260"/>
    <w:rsid w:val="001848DC"/>
    <w:rsid w:val="00185570"/>
    <w:rsid w:val="0018674F"/>
    <w:rsid w:val="00186896"/>
    <w:rsid w:val="00191AB4"/>
    <w:rsid w:val="001922E1"/>
    <w:rsid w:val="00192AD1"/>
    <w:rsid w:val="00192E88"/>
    <w:rsid w:val="00193397"/>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5A19"/>
    <w:rsid w:val="001B7B38"/>
    <w:rsid w:val="001C0BD3"/>
    <w:rsid w:val="001C131C"/>
    <w:rsid w:val="001C1953"/>
    <w:rsid w:val="001C4510"/>
    <w:rsid w:val="001C5BF5"/>
    <w:rsid w:val="001C649F"/>
    <w:rsid w:val="001C65A4"/>
    <w:rsid w:val="001D0ADA"/>
    <w:rsid w:val="001D11CD"/>
    <w:rsid w:val="001D1C1B"/>
    <w:rsid w:val="001D2BC6"/>
    <w:rsid w:val="001D2F24"/>
    <w:rsid w:val="001D47E4"/>
    <w:rsid w:val="001D497C"/>
    <w:rsid w:val="001E13C6"/>
    <w:rsid w:val="001E1F14"/>
    <w:rsid w:val="001E4572"/>
    <w:rsid w:val="001E4DFB"/>
    <w:rsid w:val="001E68D9"/>
    <w:rsid w:val="001E773C"/>
    <w:rsid w:val="001F0342"/>
    <w:rsid w:val="001F1861"/>
    <w:rsid w:val="001F32A0"/>
    <w:rsid w:val="001F33A3"/>
    <w:rsid w:val="001F3662"/>
    <w:rsid w:val="001F3C02"/>
    <w:rsid w:val="001F3FAD"/>
    <w:rsid w:val="001F4085"/>
    <w:rsid w:val="001F41E2"/>
    <w:rsid w:val="001F492A"/>
    <w:rsid w:val="001F4AEB"/>
    <w:rsid w:val="001F5E66"/>
    <w:rsid w:val="001F5EEC"/>
    <w:rsid w:val="001F7180"/>
    <w:rsid w:val="0020160C"/>
    <w:rsid w:val="00202C18"/>
    <w:rsid w:val="00204E58"/>
    <w:rsid w:val="002053A9"/>
    <w:rsid w:val="00206396"/>
    <w:rsid w:val="00206497"/>
    <w:rsid w:val="00206728"/>
    <w:rsid w:val="00206D18"/>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126F"/>
    <w:rsid w:val="0023351F"/>
    <w:rsid w:val="002335BD"/>
    <w:rsid w:val="00233EF3"/>
    <w:rsid w:val="002352DD"/>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0765"/>
    <w:rsid w:val="00262433"/>
    <w:rsid w:val="002628EE"/>
    <w:rsid w:val="002634AF"/>
    <w:rsid w:val="00263701"/>
    <w:rsid w:val="002656EC"/>
    <w:rsid w:val="00266BBF"/>
    <w:rsid w:val="0026749A"/>
    <w:rsid w:val="00271BE0"/>
    <w:rsid w:val="002721C4"/>
    <w:rsid w:val="0027312F"/>
    <w:rsid w:val="0027757E"/>
    <w:rsid w:val="002806A8"/>
    <w:rsid w:val="0028170F"/>
    <w:rsid w:val="00282E39"/>
    <w:rsid w:val="00283546"/>
    <w:rsid w:val="00284770"/>
    <w:rsid w:val="002853AE"/>
    <w:rsid w:val="0028639E"/>
    <w:rsid w:val="0028669B"/>
    <w:rsid w:val="00290071"/>
    <w:rsid w:val="0029007E"/>
    <w:rsid w:val="0029072E"/>
    <w:rsid w:val="00292452"/>
    <w:rsid w:val="002924ED"/>
    <w:rsid w:val="002939F0"/>
    <w:rsid w:val="0029652E"/>
    <w:rsid w:val="002978BB"/>
    <w:rsid w:val="002978C8"/>
    <w:rsid w:val="002A0F69"/>
    <w:rsid w:val="002A3FF5"/>
    <w:rsid w:val="002A5496"/>
    <w:rsid w:val="002A6E50"/>
    <w:rsid w:val="002A7CE5"/>
    <w:rsid w:val="002B0DA3"/>
    <w:rsid w:val="002B10DB"/>
    <w:rsid w:val="002B1652"/>
    <w:rsid w:val="002B19F2"/>
    <w:rsid w:val="002B1AB5"/>
    <w:rsid w:val="002B4E78"/>
    <w:rsid w:val="002C24C1"/>
    <w:rsid w:val="002C30FA"/>
    <w:rsid w:val="002C32DC"/>
    <w:rsid w:val="002C4461"/>
    <w:rsid w:val="002C6427"/>
    <w:rsid w:val="002C7416"/>
    <w:rsid w:val="002D151C"/>
    <w:rsid w:val="002D1AE4"/>
    <w:rsid w:val="002D1B90"/>
    <w:rsid w:val="002D24DF"/>
    <w:rsid w:val="002D31B4"/>
    <w:rsid w:val="002D39C5"/>
    <w:rsid w:val="002D4F29"/>
    <w:rsid w:val="002D52A7"/>
    <w:rsid w:val="002D5A94"/>
    <w:rsid w:val="002D5CCE"/>
    <w:rsid w:val="002D7C8C"/>
    <w:rsid w:val="002E107B"/>
    <w:rsid w:val="002E2A6A"/>
    <w:rsid w:val="002E3CD3"/>
    <w:rsid w:val="002E5E71"/>
    <w:rsid w:val="002E797F"/>
    <w:rsid w:val="002F1545"/>
    <w:rsid w:val="002F2BF1"/>
    <w:rsid w:val="002F72C0"/>
    <w:rsid w:val="002F7C33"/>
    <w:rsid w:val="0030053F"/>
    <w:rsid w:val="0030104C"/>
    <w:rsid w:val="0030169B"/>
    <w:rsid w:val="0030394A"/>
    <w:rsid w:val="00303DA5"/>
    <w:rsid w:val="00303ECF"/>
    <w:rsid w:val="003045A8"/>
    <w:rsid w:val="003046D3"/>
    <w:rsid w:val="003061B4"/>
    <w:rsid w:val="00307B82"/>
    <w:rsid w:val="00310279"/>
    <w:rsid w:val="00311140"/>
    <w:rsid w:val="003113A2"/>
    <w:rsid w:val="00315123"/>
    <w:rsid w:val="003155CA"/>
    <w:rsid w:val="003165C8"/>
    <w:rsid w:val="00317436"/>
    <w:rsid w:val="003203BD"/>
    <w:rsid w:val="003205EF"/>
    <w:rsid w:val="003230BE"/>
    <w:rsid w:val="00324EF3"/>
    <w:rsid w:val="0032516E"/>
    <w:rsid w:val="003253BE"/>
    <w:rsid w:val="003259C6"/>
    <w:rsid w:val="00326483"/>
    <w:rsid w:val="00330F1B"/>
    <w:rsid w:val="003323C6"/>
    <w:rsid w:val="00332539"/>
    <w:rsid w:val="00334065"/>
    <w:rsid w:val="003344BF"/>
    <w:rsid w:val="003358EE"/>
    <w:rsid w:val="00335C6D"/>
    <w:rsid w:val="00335E49"/>
    <w:rsid w:val="00337769"/>
    <w:rsid w:val="00342F5F"/>
    <w:rsid w:val="00343AE0"/>
    <w:rsid w:val="00343CBB"/>
    <w:rsid w:val="00344AEC"/>
    <w:rsid w:val="00345515"/>
    <w:rsid w:val="00346024"/>
    <w:rsid w:val="0034661B"/>
    <w:rsid w:val="003470CA"/>
    <w:rsid w:val="00350AA2"/>
    <w:rsid w:val="00353013"/>
    <w:rsid w:val="003556AA"/>
    <w:rsid w:val="0035622B"/>
    <w:rsid w:val="00356351"/>
    <w:rsid w:val="0035681A"/>
    <w:rsid w:val="00363DBD"/>
    <w:rsid w:val="00367818"/>
    <w:rsid w:val="00373259"/>
    <w:rsid w:val="003739B1"/>
    <w:rsid w:val="00373AFB"/>
    <w:rsid w:val="003757E8"/>
    <w:rsid w:val="00376194"/>
    <w:rsid w:val="003763BE"/>
    <w:rsid w:val="00377ED5"/>
    <w:rsid w:val="00381C6C"/>
    <w:rsid w:val="003829CB"/>
    <w:rsid w:val="003855F6"/>
    <w:rsid w:val="00385E74"/>
    <w:rsid w:val="0038785F"/>
    <w:rsid w:val="00387D9E"/>
    <w:rsid w:val="00391372"/>
    <w:rsid w:val="0039138C"/>
    <w:rsid w:val="00391427"/>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3089"/>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0C34"/>
    <w:rsid w:val="003E1DBC"/>
    <w:rsid w:val="003E3962"/>
    <w:rsid w:val="003E445C"/>
    <w:rsid w:val="003E5D05"/>
    <w:rsid w:val="003E72B7"/>
    <w:rsid w:val="003F0BA3"/>
    <w:rsid w:val="003F1C58"/>
    <w:rsid w:val="003F47BC"/>
    <w:rsid w:val="003F65B5"/>
    <w:rsid w:val="003F7208"/>
    <w:rsid w:val="003F7B32"/>
    <w:rsid w:val="00400100"/>
    <w:rsid w:val="00400456"/>
    <w:rsid w:val="004012E0"/>
    <w:rsid w:val="00402078"/>
    <w:rsid w:val="0040299E"/>
    <w:rsid w:val="00402CCF"/>
    <w:rsid w:val="004047B5"/>
    <w:rsid w:val="004054CD"/>
    <w:rsid w:val="004068D3"/>
    <w:rsid w:val="00407CBA"/>
    <w:rsid w:val="00407D84"/>
    <w:rsid w:val="004104B0"/>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D9C"/>
    <w:rsid w:val="00472E96"/>
    <w:rsid w:val="00474BF9"/>
    <w:rsid w:val="00475943"/>
    <w:rsid w:val="004762AD"/>
    <w:rsid w:val="00476DA2"/>
    <w:rsid w:val="00477F87"/>
    <w:rsid w:val="00481569"/>
    <w:rsid w:val="00482B02"/>
    <w:rsid w:val="00486033"/>
    <w:rsid w:val="004872E5"/>
    <w:rsid w:val="004902FF"/>
    <w:rsid w:val="0049061C"/>
    <w:rsid w:val="004914B3"/>
    <w:rsid w:val="00492A9D"/>
    <w:rsid w:val="00493D90"/>
    <w:rsid w:val="004942D0"/>
    <w:rsid w:val="00494AC2"/>
    <w:rsid w:val="00495050"/>
    <w:rsid w:val="00495588"/>
    <w:rsid w:val="004957C5"/>
    <w:rsid w:val="00495F35"/>
    <w:rsid w:val="0049683E"/>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15F"/>
    <w:rsid w:val="004A7F91"/>
    <w:rsid w:val="004B1784"/>
    <w:rsid w:val="004B27FA"/>
    <w:rsid w:val="004B4697"/>
    <w:rsid w:val="004B5134"/>
    <w:rsid w:val="004B745A"/>
    <w:rsid w:val="004B7DB7"/>
    <w:rsid w:val="004B7F2B"/>
    <w:rsid w:val="004C0407"/>
    <w:rsid w:val="004C1902"/>
    <w:rsid w:val="004C2315"/>
    <w:rsid w:val="004C37BB"/>
    <w:rsid w:val="004C50CC"/>
    <w:rsid w:val="004C53A3"/>
    <w:rsid w:val="004C55D1"/>
    <w:rsid w:val="004C5E76"/>
    <w:rsid w:val="004C6397"/>
    <w:rsid w:val="004C7F59"/>
    <w:rsid w:val="004D1BA7"/>
    <w:rsid w:val="004D2922"/>
    <w:rsid w:val="004D35DE"/>
    <w:rsid w:val="004D35F7"/>
    <w:rsid w:val="004D3B29"/>
    <w:rsid w:val="004D3E11"/>
    <w:rsid w:val="004D4D64"/>
    <w:rsid w:val="004D6C49"/>
    <w:rsid w:val="004E2727"/>
    <w:rsid w:val="004E2816"/>
    <w:rsid w:val="004E2E33"/>
    <w:rsid w:val="004E43D4"/>
    <w:rsid w:val="004E4801"/>
    <w:rsid w:val="004E4AB6"/>
    <w:rsid w:val="004E64E6"/>
    <w:rsid w:val="004E790E"/>
    <w:rsid w:val="004F081D"/>
    <w:rsid w:val="004F135D"/>
    <w:rsid w:val="004F1892"/>
    <w:rsid w:val="004F1D45"/>
    <w:rsid w:val="004F2A9B"/>
    <w:rsid w:val="004F3EBD"/>
    <w:rsid w:val="004F69B8"/>
    <w:rsid w:val="004F7146"/>
    <w:rsid w:val="00501412"/>
    <w:rsid w:val="005016F1"/>
    <w:rsid w:val="00502935"/>
    <w:rsid w:val="00502F47"/>
    <w:rsid w:val="005042B2"/>
    <w:rsid w:val="0050461E"/>
    <w:rsid w:val="005067B0"/>
    <w:rsid w:val="005071FF"/>
    <w:rsid w:val="00507C42"/>
    <w:rsid w:val="005105FD"/>
    <w:rsid w:val="005115EC"/>
    <w:rsid w:val="00511AE8"/>
    <w:rsid w:val="00511FB4"/>
    <w:rsid w:val="00512570"/>
    <w:rsid w:val="00514EC8"/>
    <w:rsid w:val="00521081"/>
    <w:rsid w:val="00522768"/>
    <w:rsid w:val="00522B22"/>
    <w:rsid w:val="00523B2D"/>
    <w:rsid w:val="00524DC1"/>
    <w:rsid w:val="00524E2F"/>
    <w:rsid w:val="005259B4"/>
    <w:rsid w:val="005275CD"/>
    <w:rsid w:val="00530182"/>
    <w:rsid w:val="005307C7"/>
    <w:rsid w:val="00530E77"/>
    <w:rsid w:val="0053269C"/>
    <w:rsid w:val="00534A36"/>
    <w:rsid w:val="0053557A"/>
    <w:rsid w:val="00535D93"/>
    <w:rsid w:val="00537B11"/>
    <w:rsid w:val="005407ED"/>
    <w:rsid w:val="00541091"/>
    <w:rsid w:val="00544175"/>
    <w:rsid w:val="00545DAD"/>
    <w:rsid w:val="005465B7"/>
    <w:rsid w:val="00547BA5"/>
    <w:rsid w:val="005524B5"/>
    <w:rsid w:val="00552AC4"/>
    <w:rsid w:val="00553FDA"/>
    <w:rsid w:val="005546D1"/>
    <w:rsid w:val="005549E2"/>
    <w:rsid w:val="00555394"/>
    <w:rsid w:val="005553E6"/>
    <w:rsid w:val="00557C23"/>
    <w:rsid w:val="00561726"/>
    <w:rsid w:val="00562962"/>
    <w:rsid w:val="00562A62"/>
    <w:rsid w:val="005645C4"/>
    <w:rsid w:val="00564A22"/>
    <w:rsid w:val="0056534A"/>
    <w:rsid w:val="00565923"/>
    <w:rsid w:val="00567270"/>
    <w:rsid w:val="005721D3"/>
    <w:rsid w:val="0057291A"/>
    <w:rsid w:val="00575AA7"/>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F6F"/>
    <w:rsid w:val="005B6AAA"/>
    <w:rsid w:val="005C1629"/>
    <w:rsid w:val="005C20D5"/>
    <w:rsid w:val="005C3CB1"/>
    <w:rsid w:val="005C4E97"/>
    <w:rsid w:val="005C539A"/>
    <w:rsid w:val="005C5797"/>
    <w:rsid w:val="005C7665"/>
    <w:rsid w:val="005C7801"/>
    <w:rsid w:val="005D2585"/>
    <w:rsid w:val="005D2A13"/>
    <w:rsid w:val="005D5CE2"/>
    <w:rsid w:val="005D5D9B"/>
    <w:rsid w:val="005D6B6F"/>
    <w:rsid w:val="005D74C7"/>
    <w:rsid w:val="005D7BB0"/>
    <w:rsid w:val="005E0AF4"/>
    <w:rsid w:val="005E1712"/>
    <w:rsid w:val="005E1D77"/>
    <w:rsid w:val="005E36F0"/>
    <w:rsid w:val="005E3FA5"/>
    <w:rsid w:val="005E4A92"/>
    <w:rsid w:val="005E520B"/>
    <w:rsid w:val="005E5A53"/>
    <w:rsid w:val="005E6E70"/>
    <w:rsid w:val="005E738E"/>
    <w:rsid w:val="005E73FB"/>
    <w:rsid w:val="005F0BD4"/>
    <w:rsid w:val="005F2202"/>
    <w:rsid w:val="005F237F"/>
    <w:rsid w:val="005F2F8A"/>
    <w:rsid w:val="005F516B"/>
    <w:rsid w:val="005F60E1"/>
    <w:rsid w:val="005F61B4"/>
    <w:rsid w:val="005F6362"/>
    <w:rsid w:val="005F64E9"/>
    <w:rsid w:val="005F7A09"/>
    <w:rsid w:val="00602554"/>
    <w:rsid w:val="00602826"/>
    <w:rsid w:val="00602DB0"/>
    <w:rsid w:val="006030F9"/>
    <w:rsid w:val="00603A85"/>
    <w:rsid w:val="00603BF9"/>
    <w:rsid w:val="006040E1"/>
    <w:rsid w:val="00606C7E"/>
    <w:rsid w:val="006073B5"/>
    <w:rsid w:val="006079D9"/>
    <w:rsid w:val="00610BB3"/>
    <w:rsid w:val="0061345F"/>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379B9"/>
    <w:rsid w:val="00642630"/>
    <w:rsid w:val="00643065"/>
    <w:rsid w:val="00644C97"/>
    <w:rsid w:val="00645695"/>
    <w:rsid w:val="00646E01"/>
    <w:rsid w:val="00646F9E"/>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857"/>
    <w:rsid w:val="00665A9C"/>
    <w:rsid w:val="00666084"/>
    <w:rsid w:val="00667E59"/>
    <w:rsid w:val="006705EC"/>
    <w:rsid w:val="00671342"/>
    <w:rsid w:val="00671B59"/>
    <w:rsid w:val="00671F60"/>
    <w:rsid w:val="00672785"/>
    <w:rsid w:val="00672B57"/>
    <w:rsid w:val="00672FCD"/>
    <w:rsid w:val="0067384D"/>
    <w:rsid w:val="00676157"/>
    <w:rsid w:val="00676378"/>
    <w:rsid w:val="006807C1"/>
    <w:rsid w:val="00682528"/>
    <w:rsid w:val="006826BE"/>
    <w:rsid w:val="0068279B"/>
    <w:rsid w:val="006832C5"/>
    <w:rsid w:val="0068361A"/>
    <w:rsid w:val="00683D48"/>
    <w:rsid w:val="00685457"/>
    <w:rsid w:val="006861B1"/>
    <w:rsid w:val="00687020"/>
    <w:rsid w:val="0068749A"/>
    <w:rsid w:val="006874E7"/>
    <w:rsid w:val="00687827"/>
    <w:rsid w:val="0068797E"/>
    <w:rsid w:val="00687AF3"/>
    <w:rsid w:val="0069030C"/>
    <w:rsid w:val="0069055D"/>
    <w:rsid w:val="0069074A"/>
    <w:rsid w:val="00691228"/>
    <w:rsid w:val="006912FD"/>
    <w:rsid w:val="0069326C"/>
    <w:rsid w:val="00695A63"/>
    <w:rsid w:val="00695ECE"/>
    <w:rsid w:val="00697288"/>
    <w:rsid w:val="006A01A0"/>
    <w:rsid w:val="006A0587"/>
    <w:rsid w:val="006A1042"/>
    <w:rsid w:val="006A1FF8"/>
    <w:rsid w:val="006A36AD"/>
    <w:rsid w:val="006A42B1"/>
    <w:rsid w:val="006A4A3D"/>
    <w:rsid w:val="006A58F3"/>
    <w:rsid w:val="006B2839"/>
    <w:rsid w:val="006B4D2E"/>
    <w:rsid w:val="006B6B6F"/>
    <w:rsid w:val="006C0B13"/>
    <w:rsid w:val="006C18CC"/>
    <w:rsid w:val="006C1FA4"/>
    <w:rsid w:val="006C21FF"/>
    <w:rsid w:val="006C66BB"/>
    <w:rsid w:val="006C67DD"/>
    <w:rsid w:val="006C745E"/>
    <w:rsid w:val="006D1F8A"/>
    <w:rsid w:val="006D2A41"/>
    <w:rsid w:val="006D3186"/>
    <w:rsid w:val="006D478D"/>
    <w:rsid w:val="006D5224"/>
    <w:rsid w:val="006D542C"/>
    <w:rsid w:val="006D5AC3"/>
    <w:rsid w:val="006D5DE0"/>
    <w:rsid w:val="006D7929"/>
    <w:rsid w:val="006E025F"/>
    <w:rsid w:val="006E1E2B"/>
    <w:rsid w:val="006E23F0"/>
    <w:rsid w:val="006E2D6B"/>
    <w:rsid w:val="006E7B77"/>
    <w:rsid w:val="006F0065"/>
    <w:rsid w:val="006F1C73"/>
    <w:rsid w:val="006F221F"/>
    <w:rsid w:val="006F4C28"/>
    <w:rsid w:val="006F4C40"/>
    <w:rsid w:val="006F665C"/>
    <w:rsid w:val="0070038A"/>
    <w:rsid w:val="0070125E"/>
    <w:rsid w:val="00703562"/>
    <w:rsid w:val="00703657"/>
    <w:rsid w:val="0070403F"/>
    <w:rsid w:val="00707464"/>
    <w:rsid w:val="007121F1"/>
    <w:rsid w:val="00712E56"/>
    <w:rsid w:val="00714B88"/>
    <w:rsid w:val="00714EEA"/>
    <w:rsid w:val="007169F2"/>
    <w:rsid w:val="00721E9E"/>
    <w:rsid w:val="00722BB1"/>
    <w:rsid w:val="00724C04"/>
    <w:rsid w:val="0072681B"/>
    <w:rsid w:val="0072683E"/>
    <w:rsid w:val="0072798F"/>
    <w:rsid w:val="007333C5"/>
    <w:rsid w:val="007343A8"/>
    <w:rsid w:val="00734B21"/>
    <w:rsid w:val="00735042"/>
    <w:rsid w:val="0073589F"/>
    <w:rsid w:val="00740BDF"/>
    <w:rsid w:val="007415CA"/>
    <w:rsid w:val="00741975"/>
    <w:rsid w:val="0074208C"/>
    <w:rsid w:val="00743706"/>
    <w:rsid w:val="007440B9"/>
    <w:rsid w:val="00744900"/>
    <w:rsid w:val="007449AD"/>
    <w:rsid w:val="00744ACF"/>
    <w:rsid w:val="007455B5"/>
    <w:rsid w:val="0074777F"/>
    <w:rsid w:val="007479C0"/>
    <w:rsid w:val="00751257"/>
    <w:rsid w:val="00751761"/>
    <w:rsid w:val="007527EA"/>
    <w:rsid w:val="00752988"/>
    <w:rsid w:val="00752E4B"/>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4A34"/>
    <w:rsid w:val="00777678"/>
    <w:rsid w:val="007806AC"/>
    <w:rsid w:val="00781E39"/>
    <w:rsid w:val="00781E7E"/>
    <w:rsid w:val="00785494"/>
    <w:rsid w:val="00785E4D"/>
    <w:rsid w:val="0078782A"/>
    <w:rsid w:val="00790268"/>
    <w:rsid w:val="00792830"/>
    <w:rsid w:val="00792C77"/>
    <w:rsid w:val="00792DB6"/>
    <w:rsid w:val="00793387"/>
    <w:rsid w:val="007934B4"/>
    <w:rsid w:val="00795C38"/>
    <w:rsid w:val="0079708E"/>
    <w:rsid w:val="00797C40"/>
    <w:rsid w:val="00797E12"/>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6023"/>
    <w:rsid w:val="007B71D7"/>
    <w:rsid w:val="007B7ECF"/>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14F5"/>
    <w:rsid w:val="007E2B01"/>
    <w:rsid w:val="007E3044"/>
    <w:rsid w:val="007E3EEB"/>
    <w:rsid w:val="007E4FF8"/>
    <w:rsid w:val="007E543F"/>
    <w:rsid w:val="007E698C"/>
    <w:rsid w:val="007E6EB7"/>
    <w:rsid w:val="007F050F"/>
    <w:rsid w:val="007F0A29"/>
    <w:rsid w:val="007F0F5E"/>
    <w:rsid w:val="007F12CC"/>
    <w:rsid w:val="007F298B"/>
    <w:rsid w:val="008007E3"/>
    <w:rsid w:val="00801448"/>
    <w:rsid w:val="00803D6C"/>
    <w:rsid w:val="00804957"/>
    <w:rsid w:val="00805313"/>
    <w:rsid w:val="00805A1F"/>
    <w:rsid w:val="00813688"/>
    <w:rsid w:val="00813E7F"/>
    <w:rsid w:val="008146DF"/>
    <w:rsid w:val="00814DDF"/>
    <w:rsid w:val="00815B83"/>
    <w:rsid w:val="0081772F"/>
    <w:rsid w:val="0082159A"/>
    <w:rsid w:val="008226D5"/>
    <w:rsid w:val="00822D05"/>
    <w:rsid w:val="00822D79"/>
    <w:rsid w:val="00823F51"/>
    <w:rsid w:val="00824EE0"/>
    <w:rsid w:val="00826381"/>
    <w:rsid w:val="00827703"/>
    <w:rsid w:val="0083072D"/>
    <w:rsid w:val="00830977"/>
    <w:rsid w:val="008311A2"/>
    <w:rsid w:val="00833A44"/>
    <w:rsid w:val="008347F2"/>
    <w:rsid w:val="00835C76"/>
    <w:rsid w:val="00836596"/>
    <w:rsid w:val="00836A60"/>
    <w:rsid w:val="00836BF7"/>
    <w:rsid w:val="00837304"/>
    <w:rsid w:val="00841829"/>
    <w:rsid w:val="0084199D"/>
    <w:rsid w:val="00842056"/>
    <w:rsid w:val="00842985"/>
    <w:rsid w:val="008434A4"/>
    <w:rsid w:val="0084361B"/>
    <w:rsid w:val="00843EAB"/>
    <w:rsid w:val="0084401B"/>
    <w:rsid w:val="00844FFC"/>
    <w:rsid w:val="008457D1"/>
    <w:rsid w:val="00846429"/>
    <w:rsid w:val="008467DF"/>
    <w:rsid w:val="00847B3F"/>
    <w:rsid w:val="00847F7A"/>
    <w:rsid w:val="00850B35"/>
    <w:rsid w:val="00850F4F"/>
    <w:rsid w:val="00851511"/>
    <w:rsid w:val="00851558"/>
    <w:rsid w:val="008522E7"/>
    <w:rsid w:val="008528EA"/>
    <w:rsid w:val="008534CE"/>
    <w:rsid w:val="00854610"/>
    <w:rsid w:val="008551B4"/>
    <w:rsid w:val="00855202"/>
    <w:rsid w:val="00855208"/>
    <w:rsid w:val="008555B3"/>
    <w:rsid w:val="008555FC"/>
    <w:rsid w:val="0085563C"/>
    <w:rsid w:val="008559EB"/>
    <w:rsid w:val="008566F8"/>
    <w:rsid w:val="00857053"/>
    <w:rsid w:val="00857058"/>
    <w:rsid w:val="00857332"/>
    <w:rsid w:val="00857FE3"/>
    <w:rsid w:val="00862B16"/>
    <w:rsid w:val="00863412"/>
    <w:rsid w:val="008636B6"/>
    <w:rsid w:val="00864141"/>
    <w:rsid w:val="0086521A"/>
    <w:rsid w:val="0086528E"/>
    <w:rsid w:val="0086611B"/>
    <w:rsid w:val="0086653C"/>
    <w:rsid w:val="00866741"/>
    <w:rsid w:val="0086693A"/>
    <w:rsid w:val="00866B48"/>
    <w:rsid w:val="008718FC"/>
    <w:rsid w:val="00871F59"/>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0D7"/>
    <w:rsid w:val="00886A57"/>
    <w:rsid w:val="00887014"/>
    <w:rsid w:val="008871ED"/>
    <w:rsid w:val="008872FE"/>
    <w:rsid w:val="0089005C"/>
    <w:rsid w:val="0089115D"/>
    <w:rsid w:val="008923D1"/>
    <w:rsid w:val="008939B9"/>
    <w:rsid w:val="00896988"/>
    <w:rsid w:val="00897DD5"/>
    <w:rsid w:val="008A3B17"/>
    <w:rsid w:val="008A4D54"/>
    <w:rsid w:val="008A50BF"/>
    <w:rsid w:val="008A54DD"/>
    <w:rsid w:val="008A64E3"/>
    <w:rsid w:val="008B11AA"/>
    <w:rsid w:val="008B3925"/>
    <w:rsid w:val="008B5014"/>
    <w:rsid w:val="008B6452"/>
    <w:rsid w:val="008C00DC"/>
    <w:rsid w:val="008C0ACF"/>
    <w:rsid w:val="008C24CC"/>
    <w:rsid w:val="008C24ED"/>
    <w:rsid w:val="008C365D"/>
    <w:rsid w:val="008C3B7B"/>
    <w:rsid w:val="008C4050"/>
    <w:rsid w:val="008C4E00"/>
    <w:rsid w:val="008D2CE2"/>
    <w:rsid w:val="008D3622"/>
    <w:rsid w:val="008D5351"/>
    <w:rsid w:val="008D536D"/>
    <w:rsid w:val="008D5AF4"/>
    <w:rsid w:val="008D5B18"/>
    <w:rsid w:val="008E05B8"/>
    <w:rsid w:val="008E09A1"/>
    <w:rsid w:val="008E15C6"/>
    <w:rsid w:val="008E1DFF"/>
    <w:rsid w:val="008E3716"/>
    <w:rsid w:val="008E5A3A"/>
    <w:rsid w:val="008E7190"/>
    <w:rsid w:val="008E7300"/>
    <w:rsid w:val="008F0147"/>
    <w:rsid w:val="008F1152"/>
    <w:rsid w:val="008F1836"/>
    <w:rsid w:val="008F2210"/>
    <w:rsid w:val="008F3AA8"/>
    <w:rsid w:val="008F404D"/>
    <w:rsid w:val="008F4240"/>
    <w:rsid w:val="008F4374"/>
    <w:rsid w:val="008F5029"/>
    <w:rsid w:val="008F561E"/>
    <w:rsid w:val="008F6A3F"/>
    <w:rsid w:val="008F6CD9"/>
    <w:rsid w:val="008F70A0"/>
    <w:rsid w:val="008F735F"/>
    <w:rsid w:val="008F754B"/>
    <w:rsid w:val="009010D6"/>
    <w:rsid w:val="00903120"/>
    <w:rsid w:val="00903404"/>
    <w:rsid w:val="00903A14"/>
    <w:rsid w:val="00904E57"/>
    <w:rsid w:val="0090525D"/>
    <w:rsid w:val="00906A2C"/>
    <w:rsid w:val="0090758C"/>
    <w:rsid w:val="00907744"/>
    <w:rsid w:val="00907BFD"/>
    <w:rsid w:val="009127D4"/>
    <w:rsid w:val="00914AB0"/>
    <w:rsid w:val="00914DD7"/>
    <w:rsid w:val="00915B44"/>
    <w:rsid w:val="00915DCD"/>
    <w:rsid w:val="00915FDF"/>
    <w:rsid w:val="00916036"/>
    <w:rsid w:val="00916638"/>
    <w:rsid w:val="0091737A"/>
    <w:rsid w:val="0091756C"/>
    <w:rsid w:val="009228B1"/>
    <w:rsid w:val="009239E8"/>
    <w:rsid w:val="00925D10"/>
    <w:rsid w:val="00926AF4"/>
    <w:rsid w:val="009279A4"/>
    <w:rsid w:val="009310B2"/>
    <w:rsid w:val="009310EC"/>
    <w:rsid w:val="00932B5F"/>
    <w:rsid w:val="00933194"/>
    <w:rsid w:val="00933A24"/>
    <w:rsid w:val="00934A43"/>
    <w:rsid w:val="009360FF"/>
    <w:rsid w:val="00937DEC"/>
    <w:rsid w:val="0094048A"/>
    <w:rsid w:val="00941000"/>
    <w:rsid w:val="00941A21"/>
    <w:rsid w:val="00941DF8"/>
    <w:rsid w:val="00943641"/>
    <w:rsid w:val="009449FF"/>
    <w:rsid w:val="0094649E"/>
    <w:rsid w:val="00946C53"/>
    <w:rsid w:val="00947429"/>
    <w:rsid w:val="0095020C"/>
    <w:rsid w:val="00953489"/>
    <w:rsid w:val="0095485C"/>
    <w:rsid w:val="00956363"/>
    <w:rsid w:val="00956916"/>
    <w:rsid w:val="009570B5"/>
    <w:rsid w:val="009610F8"/>
    <w:rsid w:val="009620EC"/>
    <w:rsid w:val="009623B3"/>
    <w:rsid w:val="00964002"/>
    <w:rsid w:val="009659C2"/>
    <w:rsid w:val="009660C7"/>
    <w:rsid w:val="00967682"/>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A59"/>
    <w:rsid w:val="00977DA1"/>
    <w:rsid w:val="009803C4"/>
    <w:rsid w:val="00980E96"/>
    <w:rsid w:val="00981810"/>
    <w:rsid w:val="00983287"/>
    <w:rsid w:val="00983503"/>
    <w:rsid w:val="00983648"/>
    <w:rsid w:val="00984ED6"/>
    <w:rsid w:val="009855DC"/>
    <w:rsid w:val="009858E1"/>
    <w:rsid w:val="00985A5E"/>
    <w:rsid w:val="0098690E"/>
    <w:rsid w:val="00986F18"/>
    <w:rsid w:val="00986F99"/>
    <w:rsid w:val="00987DBB"/>
    <w:rsid w:val="00991EFE"/>
    <w:rsid w:val="00992F68"/>
    <w:rsid w:val="00993CB6"/>
    <w:rsid w:val="009953D5"/>
    <w:rsid w:val="00997B2F"/>
    <w:rsid w:val="009A0FE1"/>
    <w:rsid w:val="009A1A92"/>
    <w:rsid w:val="009A1C35"/>
    <w:rsid w:val="009A251D"/>
    <w:rsid w:val="009A3992"/>
    <w:rsid w:val="009A54CF"/>
    <w:rsid w:val="009A5669"/>
    <w:rsid w:val="009A65AD"/>
    <w:rsid w:val="009A66DB"/>
    <w:rsid w:val="009B06E1"/>
    <w:rsid w:val="009B3F79"/>
    <w:rsid w:val="009B65CC"/>
    <w:rsid w:val="009B662B"/>
    <w:rsid w:val="009C1D7C"/>
    <w:rsid w:val="009C2E57"/>
    <w:rsid w:val="009C54BE"/>
    <w:rsid w:val="009C5722"/>
    <w:rsid w:val="009C5D91"/>
    <w:rsid w:val="009C6843"/>
    <w:rsid w:val="009C70F0"/>
    <w:rsid w:val="009C7717"/>
    <w:rsid w:val="009D0684"/>
    <w:rsid w:val="009D0A84"/>
    <w:rsid w:val="009D0FB6"/>
    <w:rsid w:val="009D1639"/>
    <w:rsid w:val="009D16C8"/>
    <w:rsid w:val="009D2855"/>
    <w:rsid w:val="009D32DF"/>
    <w:rsid w:val="009D335A"/>
    <w:rsid w:val="009D36DC"/>
    <w:rsid w:val="009D57B6"/>
    <w:rsid w:val="009E181A"/>
    <w:rsid w:val="009E2582"/>
    <w:rsid w:val="009E31A5"/>
    <w:rsid w:val="009E4615"/>
    <w:rsid w:val="009E4C17"/>
    <w:rsid w:val="009E4FD2"/>
    <w:rsid w:val="009E55EC"/>
    <w:rsid w:val="009E711F"/>
    <w:rsid w:val="009F01B5"/>
    <w:rsid w:val="009F09BD"/>
    <w:rsid w:val="009F1E66"/>
    <w:rsid w:val="009F21E0"/>
    <w:rsid w:val="009F56D7"/>
    <w:rsid w:val="009F5FAC"/>
    <w:rsid w:val="009F706C"/>
    <w:rsid w:val="009F7449"/>
    <w:rsid w:val="009F7835"/>
    <w:rsid w:val="009F797D"/>
    <w:rsid w:val="009F79C4"/>
    <w:rsid w:val="00A01A63"/>
    <w:rsid w:val="00A034F3"/>
    <w:rsid w:val="00A03B45"/>
    <w:rsid w:val="00A04066"/>
    <w:rsid w:val="00A05BBC"/>
    <w:rsid w:val="00A069AD"/>
    <w:rsid w:val="00A075A2"/>
    <w:rsid w:val="00A108C3"/>
    <w:rsid w:val="00A10AEB"/>
    <w:rsid w:val="00A1222B"/>
    <w:rsid w:val="00A12293"/>
    <w:rsid w:val="00A1249A"/>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6076"/>
    <w:rsid w:val="00A2610C"/>
    <w:rsid w:val="00A27B71"/>
    <w:rsid w:val="00A3720F"/>
    <w:rsid w:val="00A37D8E"/>
    <w:rsid w:val="00A40592"/>
    <w:rsid w:val="00A41CF2"/>
    <w:rsid w:val="00A4386D"/>
    <w:rsid w:val="00A454DE"/>
    <w:rsid w:val="00A47312"/>
    <w:rsid w:val="00A47DBE"/>
    <w:rsid w:val="00A51D64"/>
    <w:rsid w:val="00A5232C"/>
    <w:rsid w:val="00A531F9"/>
    <w:rsid w:val="00A53740"/>
    <w:rsid w:val="00A53970"/>
    <w:rsid w:val="00A53C88"/>
    <w:rsid w:val="00A54ABC"/>
    <w:rsid w:val="00A5643E"/>
    <w:rsid w:val="00A5739B"/>
    <w:rsid w:val="00A5791C"/>
    <w:rsid w:val="00A60898"/>
    <w:rsid w:val="00A60DF1"/>
    <w:rsid w:val="00A612F0"/>
    <w:rsid w:val="00A61DFA"/>
    <w:rsid w:val="00A6367F"/>
    <w:rsid w:val="00A64021"/>
    <w:rsid w:val="00A642FA"/>
    <w:rsid w:val="00A645D4"/>
    <w:rsid w:val="00A64AAA"/>
    <w:rsid w:val="00A655D2"/>
    <w:rsid w:val="00A6572F"/>
    <w:rsid w:val="00A66ADF"/>
    <w:rsid w:val="00A67392"/>
    <w:rsid w:val="00A70900"/>
    <w:rsid w:val="00A70F64"/>
    <w:rsid w:val="00A71639"/>
    <w:rsid w:val="00A74FBC"/>
    <w:rsid w:val="00A76297"/>
    <w:rsid w:val="00A7759F"/>
    <w:rsid w:val="00A77B80"/>
    <w:rsid w:val="00A81C81"/>
    <w:rsid w:val="00A837B9"/>
    <w:rsid w:val="00A842AE"/>
    <w:rsid w:val="00A84EC0"/>
    <w:rsid w:val="00A84FAD"/>
    <w:rsid w:val="00A850FE"/>
    <w:rsid w:val="00A85395"/>
    <w:rsid w:val="00A85CF0"/>
    <w:rsid w:val="00A86D06"/>
    <w:rsid w:val="00A87F98"/>
    <w:rsid w:val="00A90560"/>
    <w:rsid w:val="00A92AC5"/>
    <w:rsid w:val="00A9313D"/>
    <w:rsid w:val="00A975CE"/>
    <w:rsid w:val="00AA38E5"/>
    <w:rsid w:val="00AA5986"/>
    <w:rsid w:val="00AA5BCB"/>
    <w:rsid w:val="00AA6EA1"/>
    <w:rsid w:val="00AA6F54"/>
    <w:rsid w:val="00AA76B7"/>
    <w:rsid w:val="00AA7B02"/>
    <w:rsid w:val="00AB005E"/>
    <w:rsid w:val="00AB0D9A"/>
    <w:rsid w:val="00AB1879"/>
    <w:rsid w:val="00AB5FA1"/>
    <w:rsid w:val="00AB63D3"/>
    <w:rsid w:val="00AB6D2B"/>
    <w:rsid w:val="00AB6E40"/>
    <w:rsid w:val="00AB6FED"/>
    <w:rsid w:val="00AB72E0"/>
    <w:rsid w:val="00AC1A3A"/>
    <w:rsid w:val="00AC1A74"/>
    <w:rsid w:val="00AC4115"/>
    <w:rsid w:val="00AC525B"/>
    <w:rsid w:val="00AC6052"/>
    <w:rsid w:val="00AC6D38"/>
    <w:rsid w:val="00AC7D26"/>
    <w:rsid w:val="00AD3AA4"/>
    <w:rsid w:val="00AD4B94"/>
    <w:rsid w:val="00AD4D18"/>
    <w:rsid w:val="00AD7A16"/>
    <w:rsid w:val="00AE1818"/>
    <w:rsid w:val="00AE1823"/>
    <w:rsid w:val="00AE1C8F"/>
    <w:rsid w:val="00AE3C9F"/>
    <w:rsid w:val="00AE46F0"/>
    <w:rsid w:val="00AE4ABC"/>
    <w:rsid w:val="00AE5044"/>
    <w:rsid w:val="00AE7624"/>
    <w:rsid w:val="00AF0FF5"/>
    <w:rsid w:val="00AF335B"/>
    <w:rsid w:val="00AF50E8"/>
    <w:rsid w:val="00AF60D2"/>
    <w:rsid w:val="00AF65C4"/>
    <w:rsid w:val="00AF7DF9"/>
    <w:rsid w:val="00B00CB8"/>
    <w:rsid w:val="00B01C18"/>
    <w:rsid w:val="00B01C9F"/>
    <w:rsid w:val="00B02890"/>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585C"/>
    <w:rsid w:val="00B4137C"/>
    <w:rsid w:val="00B4228F"/>
    <w:rsid w:val="00B45ED6"/>
    <w:rsid w:val="00B50817"/>
    <w:rsid w:val="00B50DF1"/>
    <w:rsid w:val="00B5136C"/>
    <w:rsid w:val="00B5329E"/>
    <w:rsid w:val="00B53CD9"/>
    <w:rsid w:val="00B54123"/>
    <w:rsid w:val="00B543FD"/>
    <w:rsid w:val="00B5561C"/>
    <w:rsid w:val="00B55735"/>
    <w:rsid w:val="00B558FD"/>
    <w:rsid w:val="00B56659"/>
    <w:rsid w:val="00B60132"/>
    <w:rsid w:val="00B61193"/>
    <w:rsid w:val="00B61E13"/>
    <w:rsid w:val="00B620B0"/>
    <w:rsid w:val="00B649D3"/>
    <w:rsid w:val="00B65CB5"/>
    <w:rsid w:val="00B6789A"/>
    <w:rsid w:val="00B67B58"/>
    <w:rsid w:val="00B70769"/>
    <w:rsid w:val="00B70C5B"/>
    <w:rsid w:val="00B711A5"/>
    <w:rsid w:val="00B72916"/>
    <w:rsid w:val="00B72D97"/>
    <w:rsid w:val="00B73800"/>
    <w:rsid w:val="00B74BC9"/>
    <w:rsid w:val="00B75054"/>
    <w:rsid w:val="00B75460"/>
    <w:rsid w:val="00B759A0"/>
    <w:rsid w:val="00B76143"/>
    <w:rsid w:val="00B76361"/>
    <w:rsid w:val="00B776D8"/>
    <w:rsid w:val="00B77BF1"/>
    <w:rsid w:val="00B8193B"/>
    <w:rsid w:val="00B82B2A"/>
    <w:rsid w:val="00B82BC7"/>
    <w:rsid w:val="00B832DC"/>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232"/>
    <w:rsid w:val="00BA7AE0"/>
    <w:rsid w:val="00BA7D06"/>
    <w:rsid w:val="00BA7F0C"/>
    <w:rsid w:val="00BB0E9B"/>
    <w:rsid w:val="00BB1764"/>
    <w:rsid w:val="00BB1D01"/>
    <w:rsid w:val="00BB2FDD"/>
    <w:rsid w:val="00BB3205"/>
    <w:rsid w:val="00BB344B"/>
    <w:rsid w:val="00BB5BB5"/>
    <w:rsid w:val="00BB778F"/>
    <w:rsid w:val="00BC202C"/>
    <w:rsid w:val="00BC277D"/>
    <w:rsid w:val="00BC2F1F"/>
    <w:rsid w:val="00BC3384"/>
    <w:rsid w:val="00BC399F"/>
    <w:rsid w:val="00BC4393"/>
    <w:rsid w:val="00BC57B5"/>
    <w:rsid w:val="00BC604E"/>
    <w:rsid w:val="00BC6700"/>
    <w:rsid w:val="00BC6C96"/>
    <w:rsid w:val="00BD3DC6"/>
    <w:rsid w:val="00BD3E0F"/>
    <w:rsid w:val="00BE0D62"/>
    <w:rsid w:val="00BE0E0A"/>
    <w:rsid w:val="00BE1322"/>
    <w:rsid w:val="00BE19B8"/>
    <w:rsid w:val="00BE438F"/>
    <w:rsid w:val="00BE4D4F"/>
    <w:rsid w:val="00BE61DB"/>
    <w:rsid w:val="00BE6668"/>
    <w:rsid w:val="00BE68E9"/>
    <w:rsid w:val="00BF1DC6"/>
    <w:rsid w:val="00BF2B4E"/>
    <w:rsid w:val="00BF42F2"/>
    <w:rsid w:val="00BF50FA"/>
    <w:rsid w:val="00BF670A"/>
    <w:rsid w:val="00BF69A3"/>
    <w:rsid w:val="00BF6A45"/>
    <w:rsid w:val="00C01212"/>
    <w:rsid w:val="00C01810"/>
    <w:rsid w:val="00C03005"/>
    <w:rsid w:val="00C03359"/>
    <w:rsid w:val="00C03DD1"/>
    <w:rsid w:val="00C040E8"/>
    <w:rsid w:val="00C052A9"/>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85E"/>
    <w:rsid w:val="00C252F4"/>
    <w:rsid w:val="00C27B8C"/>
    <w:rsid w:val="00C30874"/>
    <w:rsid w:val="00C31502"/>
    <w:rsid w:val="00C3279D"/>
    <w:rsid w:val="00C338FD"/>
    <w:rsid w:val="00C33CF0"/>
    <w:rsid w:val="00C33F37"/>
    <w:rsid w:val="00C34ACA"/>
    <w:rsid w:val="00C34F92"/>
    <w:rsid w:val="00C350EC"/>
    <w:rsid w:val="00C35918"/>
    <w:rsid w:val="00C35A00"/>
    <w:rsid w:val="00C36302"/>
    <w:rsid w:val="00C36795"/>
    <w:rsid w:val="00C402AD"/>
    <w:rsid w:val="00C40498"/>
    <w:rsid w:val="00C40A5A"/>
    <w:rsid w:val="00C41B9A"/>
    <w:rsid w:val="00C41CBF"/>
    <w:rsid w:val="00C41F7C"/>
    <w:rsid w:val="00C42FC3"/>
    <w:rsid w:val="00C438C1"/>
    <w:rsid w:val="00C43BCE"/>
    <w:rsid w:val="00C45F87"/>
    <w:rsid w:val="00C51354"/>
    <w:rsid w:val="00C51C59"/>
    <w:rsid w:val="00C534D3"/>
    <w:rsid w:val="00C547C0"/>
    <w:rsid w:val="00C54A1D"/>
    <w:rsid w:val="00C575D4"/>
    <w:rsid w:val="00C60729"/>
    <w:rsid w:val="00C60D52"/>
    <w:rsid w:val="00C60EF9"/>
    <w:rsid w:val="00C62039"/>
    <w:rsid w:val="00C65028"/>
    <w:rsid w:val="00C6601D"/>
    <w:rsid w:val="00C67711"/>
    <w:rsid w:val="00C7141A"/>
    <w:rsid w:val="00C71BC5"/>
    <w:rsid w:val="00C71FA8"/>
    <w:rsid w:val="00C72B17"/>
    <w:rsid w:val="00C739D6"/>
    <w:rsid w:val="00C73B9B"/>
    <w:rsid w:val="00C75697"/>
    <w:rsid w:val="00C7584D"/>
    <w:rsid w:val="00C77A59"/>
    <w:rsid w:val="00C8152C"/>
    <w:rsid w:val="00C829D9"/>
    <w:rsid w:val="00C83201"/>
    <w:rsid w:val="00C86B1E"/>
    <w:rsid w:val="00C86ECA"/>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3DB3"/>
    <w:rsid w:val="00CA6EEF"/>
    <w:rsid w:val="00CA77AC"/>
    <w:rsid w:val="00CB057B"/>
    <w:rsid w:val="00CB1C19"/>
    <w:rsid w:val="00CB41D1"/>
    <w:rsid w:val="00CB53A3"/>
    <w:rsid w:val="00CB56D0"/>
    <w:rsid w:val="00CB6CC8"/>
    <w:rsid w:val="00CB73F2"/>
    <w:rsid w:val="00CC1605"/>
    <w:rsid w:val="00CC2AA5"/>
    <w:rsid w:val="00CC3A03"/>
    <w:rsid w:val="00CC4928"/>
    <w:rsid w:val="00CC57A4"/>
    <w:rsid w:val="00CC5A9F"/>
    <w:rsid w:val="00CC5EDF"/>
    <w:rsid w:val="00CD32DF"/>
    <w:rsid w:val="00CD3E12"/>
    <w:rsid w:val="00CD4EB6"/>
    <w:rsid w:val="00CD577B"/>
    <w:rsid w:val="00CD5C6D"/>
    <w:rsid w:val="00CD6ABE"/>
    <w:rsid w:val="00CD6DFF"/>
    <w:rsid w:val="00CE0D48"/>
    <w:rsid w:val="00CE2624"/>
    <w:rsid w:val="00CE4C11"/>
    <w:rsid w:val="00CE6E73"/>
    <w:rsid w:val="00CE74C5"/>
    <w:rsid w:val="00CF00D1"/>
    <w:rsid w:val="00CF0C51"/>
    <w:rsid w:val="00CF1DFF"/>
    <w:rsid w:val="00CF2996"/>
    <w:rsid w:val="00CF4F41"/>
    <w:rsid w:val="00CF6D42"/>
    <w:rsid w:val="00D007B5"/>
    <w:rsid w:val="00D010D1"/>
    <w:rsid w:val="00D011C7"/>
    <w:rsid w:val="00D02771"/>
    <w:rsid w:val="00D03160"/>
    <w:rsid w:val="00D03409"/>
    <w:rsid w:val="00D034F5"/>
    <w:rsid w:val="00D06260"/>
    <w:rsid w:val="00D06BB0"/>
    <w:rsid w:val="00D11A4D"/>
    <w:rsid w:val="00D11F06"/>
    <w:rsid w:val="00D1299B"/>
    <w:rsid w:val="00D143C9"/>
    <w:rsid w:val="00D149B4"/>
    <w:rsid w:val="00D16E82"/>
    <w:rsid w:val="00D20F77"/>
    <w:rsid w:val="00D21A35"/>
    <w:rsid w:val="00D21AFC"/>
    <w:rsid w:val="00D2386C"/>
    <w:rsid w:val="00D2391F"/>
    <w:rsid w:val="00D2439A"/>
    <w:rsid w:val="00D25973"/>
    <w:rsid w:val="00D26B3F"/>
    <w:rsid w:val="00D3200D"/>
    <w:rsid w:val="00D32698"/>
    <w:rsid w:val="00D32E86"/>
    <w:rsid w:val="00D35404"/>
    <w:rsid w:val="00D35C00"/>
    <w:rsid w:val="00D35E98"/>
    <w:rsid w:val="00D36143"/>
    <w:rsid w:val="00D366A7"/>
    <w:rsid w:val="00D366E8"/>
    <w:rsid w:val="00D37668"/>
    <w:rsid w:val="00D401FA"/>
    <w:rsid w:val="00D40391"/>
    <w:rsid w:val="00D40644"/>
    <w:rsid w:val="00D40D32"/>
    <w:rsid w:val="00D411AA"/>
    <w:rsid w:val="00D4156A"/>
    <w:rsid w:val="00D430FC"/>
    <w:rsid w:val="00D434F2"/>
    <w:rsid w:val="00D447A0"/>
    <w:rsid w:val="00D46A23"/>
    <w:rsid w:val="00D47098"/>
    <w:rsid w:val="00D50869"/>
    <w:rsid w:val="00D50E0D"/>
    <w:rsid w:val="00D51015"/>
    <w:rsid w:val="00D512CB"/>
    <w:rsid w:val="00D51439"/>
    <w:rsid w:val="00D51CC7"/>
    <w:rsid w:val="00D52AB8"/>
    <w:rsid w:val="00D52C8E"/>
    <w:rsid w:val="00D552C3"/>
    <w:rsid w:val="00D56607"/>
    <w:rsid w:val="00D56EF8"/>
    <w:rsid w:val="00D5784E"/>
    <w:rsid w:val="00D60688"/>
    <w:rsid w:val="00D60D8B"/>
    <w:rsid w:val="00D6109C"/>
    <w:rsid w:val="00D61479"/>
    <w:rsid w:val="00D62855"/>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5F"/>
    <w:rsid w:val="00D925A6"/>
    <w:rsid w:val="00D93556"/>
    <w:rsid w:val="00D93C33"/>
    <w:rsid w:val="00D941E8"/>
    <w:rsid w:val="00D954AB"/>
    <w:rsid w:val="00D97201"/>
    <w:rsid w:val="00D977A4"/>
    <w:rsid w:val="00DA2412"/>
    <w:rsid w:val="00DA72ED"/>
    <w:rsid w:val="00DB016F"/>
    <w:rsid w:val="00DB033D"/>
    <w:rsid w:val="00DB17A8"/>
    <w:rsid w:val="00DB26AB"/>
    <w:rsid w:val="00DB3250"/>
    <w:rsid w:val="00DB3409"/>
    <w:rsid w:val="00DB4075"/>
    <w:rsid w:val="00DB495B"/>
    <w:rsid w:val="00DC0D0A"/>
    <w:rsid w:val="00DC2CFE"/>
    <w:rsid w:val="00DC2E65"/>
    <w:rsid w:val="00DC3E19"/>
    <w:rsid w:val="00DC4902"/>
    <w:rsid w:val="00DC57CC"/>
    <w:rsid w:val="00DD057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3FF4"/>
    <w:rsid w:val="00DE4317"/>
    <w:rsid w:val="00DE5F0A"/>
    <w:rsid w:val="00DF057C"/>
    <w:rsid w:val="00DF1D46"/>
    <w:rsid w:val="00DF21F5"/>
    <w:rsid w:val="00DF2C61"/>
    <w:rsid w:val="00DF58AF"/>
    <w:rsid w:val="00DF5B3B"/>
    <w:rsid w:val="00DF6129"/>
    <w:rsid w:val="00DF62BB"/>
    <w:rsid w:val="00DF66C2"/>
    <w:rsid w:val="00DF74E2"/>
    <w:rsid w:val="00E0258D"/>
    <w:rsid w:val="00E03595"/>
    <w:rsid w:val="00E03DDE"/>
    <w:rsid w:val="00E04081"/>
    <w:rsid w:val="00E0563D"/>
    <w:rsid w:val="00E05E27"/>
    <w:rsid w:val="00E06312"/>
    <w:rsid w:val="00E0715E"/>
    <w:rsid w:val="00E072B8"/>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6CF5"/>
    <w:rsid w:val="00E271F4"/>
    <w:rsid w:val="00E27439"/>
    <w:rsid w:val="00E309BA"/>
    <w:rsid w:val="00E3204D"/>
    <w:rsid w:val="00E33553"/>
    <w:rsid w:val="00E33C86"/>
    <w:rsid w:val="00E359FE"/>
    <w:rsid w:val="00E36651"/>
    <w:rsid w:val="00E4016F"/>
    <w:rsid w:val="00E40C4F"/>
    <w:rsid w:val="00E40D28"/>
    <w:rsid w:val="00E41711"/>
    <w:rsid w:val="00E42030"/>
    <w:rsid w:val="00E43D98"/>
    <w:rsid w:val="00E4496B"/>
    <w:rsid w:val="00E466A4"/>
    <w:rsid w:val="00E46750"/>
    <w:rsid w:val="00E50AE4"/>
    <w:rsid w:val="00E5320F"/>
    <w:rsid w:val="00E532BB"/>
    <w:rsid w:val="00E53796"/>
    <w:rsid w:val="00E53B9B"/>
    <w:rsid w:val="00E53C8D"/>
    <w:rsid w:val="00E57651"/>
    <w:rsid w:val="00E60697"/>
    <w:rsid w:val="00E6105E"/>
    <w:rsid w:val="00E61F99"/>
    <w:rsid w:val="00E630FC"/>
    <w:rsid w:val="00E6339B"/>
    <w:rsid w:val="00E639CD"/>
    <w:rsid w:val="00E64C0C"/>
    <w:rsid w:val="00E64C74"/>
    <w:rsid w:val="00E65266"/>
    <w:rsid w:val="00E65AB8"/>
    <w:rsid w:val="00E703A3"/>
    <w:rsid w:val="00E71D08"/>
    <w:rsid w:val="00E71D9E"/>
    <w:rsid w:val="00E72D1A"/>
    <w:rsid w:val="00E735BC"/>
    <w:rsid w:val="00E74511"/>
    <w:rsid w:val="00E74918"/>
    <w:rsid w:val="00E765F8"/>
    <w:rsid w:val="00E77366"/>
    <w:rsid w:val="00E776C5"/>
    <w:rsid w:val="00E812C9"/>
    <w:rsid w:val="00E84CFB"/>
    <w:rsid w:val="00E8648B"/>
    <w:rsid w:val="00E869C0"/>
    <w:rsid w:val="00E870EF"/>
    <w:rsid w:val="00E87CF9"/>
    <w:rsid w:val="00E87FA1"/>
    <w:rsid w:val="00E90228"/>
    <w:rsid w:val="00E917FF"/>
    <w:rsid w:val="00E92B8B"/>
    <w:rsid w:val="00E94372"/>
    <w:rsid w:val="00E95E70"/>
    <w:rsid w:val="00E97194"/>
    <w:rsid w:val="00EA038E"/>
    <w:rsid w:val="00EA091A"/>
    <w:rsid w:val="00EA2570"/>
    <w:rsid w:val="00EA35EB"/>
    <w:rsid w:val="00EA366E"/>
    <w:rsid w:val="00EA4B50"/>
    <w:rsid w:val="00EA4D58"/>
    <w:rsid w:val="00EA5B58"/>
    <w:rsid w:val="00EA6D20"/>
    <w:rsid w:val="00EB0560"/>
    <w:rsid w:val="00EB0EBF"/>
    <w:rsid w:val="00EB1F36"/>
    <w:rsid w:val="00EB21BB"/>
    <w:rsid w:val="00EB37A0"/>
    <w:rsid w:val="00EB3BBF"/>
    <w:rsid w:val="00EB3CC5"/>
    <w:rsid w:val="00EB46C9"/>
    <w:rsid w:val="00EB6118"/>
    <w:rsid w:val="00EB6949"/>
    <w:rsid w:val="00EB7F46"/>
    <w:rsid w:val="00EC05AA"/>
    <w:rsid w:val="00EC0FBF"/>
    <w:rsid w:val="00EC3646"/>
    <w:rsid w:val="00EC374D"/>
    <w:rsid w:val="00EC74F7"/>
    <w:rsid w:val="00EC7F66"/>
    <w:rsid w:val="00ED156D"/>
    <w:rsid w:val="00ED33FD"/>
    <w:rsid w:val="00ED4432"/>
    <w:rsid w:val="00ED483C"/>
    <w:rsid w:val="00ED4C4D"/>
    <w:rsid w:val="00ED56D7"/>
    <w:rsid w:val="00ED6503"/>
    <w:rsid w:val="00ED6618"/>
    <w:rsid w:val="00ED74A2"/>
    <w:rsid w:val="00ED7B6D"/>
    <w:rsid w:val="00EE0FDB"/>
    <w:rsid w:val="00EE1B60"/>
    <w:rsid w:val="00EE329E"/>
    <w:rsid w:val="00EE3AF8"/>
    <w:rsid w:val="00EE43E8"/>
    <w:rsid w:val="00EE4521"/>
    <w:rsid w:val="00EE4FB5"/>
    <w:rsid w:val="00EE538E"/>
    <w:rsid w:val="00EE59CB"/>
    <w:rsid w:val="00EF2578"/>
    <w:rsid w:val="00EF3203"/>
    <w:rsid w:val="00EF40CA"/>
    <w:rsid w:val="00EF5472"/>
    <w:rsid w:val="00EF5B19"/>
    <w:rsid w:val="00EF60D2"/>
    <w:rsid w:val="00F0231C"/>
    <w:rsid w:val="00F03025"/>
    <w:rsid w:val="00F04044"/>
    <w:rsid w:val="00F07716"/>
    <w:rsid w:val="00F07C76"/>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57F1D"/>
    <w:rsid w:val="00F6060C"/>
    <w:rsid w:val="00F61072"/>
    <w:rsid w:val="00F616E7"/>
    <w:rsid w:val="00F62BD5"/>
    <w:rsid w:val="00F62E5E"/>
    <w:rsid w:val="00F630E1"/>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6AE"/>
    <w:rsid w:val="00F838AA"/>
    <w:rsid w:val="00F83A07"/>
    <w:rsid w:val="00F84C99"/>
    <w:rsid w:val="00F86213"/>
    <w:rsid w:val="00F87327"/>
    <w:rsid w:val="00F87A46"/>
    <w:rsid w:val="00F901FD"/>
    <w:rsid w:val="00F90E77"/>
    <w:rsid w:val="00F916CD"/>
    <w:rsid w:val="00F923AC"/>
    <w:rsid w:val="00F93745"/>
    <w:rsid w:val="00F940CB"/>
    <w:rsid w:val="00F97DB0"/>
    <w:rsid w:val="00FA0135"/>
    <w:rsid w:val="00FA1E03"/>
    <w:rsid w:val="00FA24C3"/>
    <w:rsid w:val="00FA268D"/>
    <w:rsid w:val="00FA3872"/>
    <w:rsid w:val="00FA5C89"/>
    <w:rsid w:val="00FA5D16"/>
    <w:rsid w:val="00FA6F1E"/>
    <w:rsid w:val="00FA72C3"/>
    <w:rsid w:val="00FA748A"/>
    <w:rsid w:val="00FA778C"/>
    <w:rsid w:val="00FA7D57"/>
    <w:rsid w:val="00FB0777"/>
    <w:rsid w:val="00FB1BFE"/>
    <w:rsid w:val="00FB2409"/>
    <w:rsid w:val="00FB2E9A"/>
    <w:rsid w:val="00FB7426"/>
    <w:rsid w:val="00FB797E"/>
    <w:rsid w:val="00FC0609"/>
    <w:rsid w:val="00FC0D37"/>
    <w:rsid w:val="00FC24AF"/>
    <w:rsid w:val="00FC295B"/>
    <w:rsid w:val="00FC29C1"/>
    <w:rsid w:val="00FC2BEC"/>
    <w:rsid w:val="00FC3450"/>
    <w:rsid w:val="00FC447E"/>
    <w:rsid w:val="00FC7017"/>
    <w:rsid w:val="00FD05A7"/>
    <w:rsid w:val="00FD0FC7"/>
    <w:rsid w:val="00FD190D"/>
    <w:rsid w:val="00FD1AAD"/>
    <w:rsid w:val="00FD34DA"/>
    <w:rsid w:val="00FD42B0"/>
    <w:rsid w:val="00FD5C07"/>
    <w:rsid w:val="00FD6FEC"/>
    <w:rsid w:val="00FD73EE"/>
    <w:rsid w:val="00FE4D10"/>
    <w:rsid w:val="00FE5E14"/>
    <w:rsid w:val="00FE627A"/>
    <w:rsid w:val="00FE74D8"/>
    <w:rsid w:val="00FE79E5"/>
    <w:rsid w:val="00FF0D15"/>
    <w:rsid w:val="00FF1674"/>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2A799D"/>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30571776">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26713106">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73378862">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5/ATL.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PFY6PPX2AYTS-2589-1316</_dlc_DocId>
    <_dlc_DocIdUrl xmlns="81daf041-c113-401c-bf82-107f5d396711">
      <Url>https://esp.cdc.gov/sites/ncezid/OD/policy/PRA/_layouts/15/DocIdRedir.aspx?ID=PFY6PPX2AYTS-2589-1316</Url>
      <Description>PFY6PPX2AYTS-2589-1316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2.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9A0CB-4F74-45E2-ACA9-4DE23E7C578B}">
  <ds:schemaRefs>
    <ds:schemaRef ds:uri="http://purl.org/dc/terms/"/>
    <ds:schemaRef ds:uri="81daf041-c113-401c-bf82-107f5d396711"/>
    <ds:schemaRef ds:uri="http://schemas.microsoft.com/office/2006/metadata/properties"/>
    <ds:schemaRef ds:uri="http://schemas.microsoft.com/office/2006/documentManagement/types"/>
    <ds:schemaRef ds:uri="http://purl.org/dc/dcmitype/"/>
    <ds:schemaRef ds:uri="d335559b-c20a-4874-978e-77d2be77e01f"/>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5.xml><?xml version="1.0" encoding="utf-8"?>
<ds:datastoreItem xmlns:ds="http://schemas.openxmlformats.org/officeDocument/2006/customXml" ds:itemID="{176A02F7-9DF6-420C-9D70-7BC5E350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Zirger, Jeffrey (CDC/OD/OADS)</cp:lastModifiedBy>
  <cp:revision>4</cp:revision>
  <cp:lastPrinted>2016-03-04T17:44:00Z</cp:lastPrinted>
  <dcterms:created xsi:type="dcterms:W3CDTF">2016-09-30T14:17:00Z</dcterms:created>
  <dcterms:modified xsi:type="dcterms:W3CDTF">2016-10-13T13:14:00Z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019d55b3-a612-436f-bc5f-ef02061c0d20</vt:lpwstr>
  </property>
</Properties>
</file>