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F566C" w14:textId="0CBC5112" w:rsidR="004B72A8" w:rsidRPr="006B005B" w:rsidRDefault="00FE2065" w:rsidP="004D2D04">
      <w:pPr>
        <w:jc w:val="center"/>
        <w:rPr>
          <w:rFonts w:asciiTheme="majorHAnsi" w:eastAsia="Times New Roman" w:hAnsiTheme="majorHAnsi" w:cs="Times New Roman"/>
          <w:b/>
          <w:bCs/>
          <w:color w:val="3F3F3F"/>
          <w:sz w:val="32"/>
          <w:szCs w:val="32"/>
        </w:rPr>
      </w:pPr>
      <w:r w:rsidRPr="006B005B">
        <w:rPr>
          <w:rFonts w:asciiTheme="majorHAnsi" w:eastAsia="Times New Roman" w:hAnsiTheme="majorHAnsi" w:cs="Times New Roman"/>
          <w:b/>
          <w:bCs/>
          <w:color w:val="3F3F3F"/>
          <w:sz w:val="32"/>
          <w:szCs w:val="32"/>
        </w:rPr>
        <w:t xml:space="preserve">Attachment </w:t>
      </w:r>
      <w:r w:rsidR="00AF7FC2">
        <w:rPr>
          <w:rFonts w:asciiTheme="majorHAnsi" w:eastAsia="Times New Roman" w:hAnsiTheme="majorHAnsi" w:cs="Times New Roman"/>
          <w:b/>
          <w:bCs/>
          <w:color w:val="3F3F3F"/>
          <w:sz w:val="32"/>
          <w:szCs w:val="32"/>
        </w:rPr>
        <w:t>5</w:t>
      </w:r>
      <w:r w:rsidR="00B6723F" w:rsidRPr="006B005B">
        <w:rPr>
          <w:rFonts w:asciiTheme="majorHAnsi" w:eastAsia="Times New Roman" w:hAnsiTheme="majorHAnsi" w:cs="Times New Roman"/>
          <w:b/>
          <w:bCs/>
          <w:color w:val="3F3F3F"/>
          <w:sz w:val="32"/>
          <w:szCs w:val="32"/>
        </w:rPr>
        <w:t xml:space="preserve"> - </w:t>
      </w:r>
      <w:r w:rsidR="004B72A8" w:rsidRPr="006B005B">
        <w:rPr>
          <w:rFonts w:asciiTheme="majorHAnsi" w:eastAsia="Times New Roman" w:hAnsiTheme="majorHAnsi" w:cs="Times New Roman"/>
          <w:b/>
          <w:bCs/>
          <w:color w:val="3F3F3F"/>
          <w:sz w:val="32"/>
          <w:szCs w:val="32"/>
        </w:rPr>
        <w:t xml:space="preserve">Step-by-Step How to Use the Generic Clearance for </w:t>
      </w:r>
      <w:r w:rsidR="004B72A8" w:rsidRPr="006B005B">
        <w:rPr>
          <w:rFonts w:asciiTheme="majorHAnsi" w:eastAsia="Times New Roman" w:hAnsiTheme="majorHAnsi" w:cs="Times New Roman"/>
          <w:b/>
          <w:bCs/>
          <w:color w:val="3F3F3F"/>
          <w:sz w:val="32"/>
          <w:szCs w:val="32"/>
        </w:rPr>
        <w:br/>
      </w:r>
      <w:r w:rsidR="004C2A70" w:rsidRPr="006B005B">
        <w:rPr>
          <w:rFonts w:asciiTheme="majorHAnsi" w:eastAsia="Times New Roman" w:hAnsiTheme="majorHAnsi" w:cs="Times New Roman"/>
          <w:b/>
          <w:bCs/>
          <w:color w:val="3F3F3F"/>
          <w:sz w:val="32"/>
          <w:szCs w:val="32"/>
        </w:rPr>
        <w:t>P</w:t>
      </w:r>
      <w:r w:rsidR="00CE12D0" w:rsidRPr="006B005B">
        <w:rPr>
          <w:rFonts w:asciiTheme="majorHAnsi" w:eastAsia="Times New Roman" w:hAnsiTheme="majorHAnsi" w:cs="Times New Roman"/>
          <w:b/>
          <w:bCs/>
          <w:color w:val="3F3F3F"/>
          <w:sz w:val="32"/>
          <w:szCs w:val="32"/>
        </w:rPr>
        <w:t xml:space="preserve">oison </w:t>
      </w:r>
      <w:r w:rsidR="004C2A70" w:rsidRPr="006B005B">
        <w:rPr>
          <w:rFonts w:asciiTheme="majorHAnsi" w:eastAsia="Times New Roman" w:hAnsiTheme="majorHAnsi" w:cs="Times New Roman"/>
          <w:b/>
          <w:bCs/>
          <w:color w:val="3F3F3F"/>
          <w:sz w:val="32"/>
          <w:szCs w:val="32"/>
        </w:rPr>
        <w:t>C</w:t>
      </w:r>
      <w:r w:rsidR="00CE12D0" w:rsidRPr="006B005B">
        <w:rPr>
          <w:rFonts w:asciiTheme="majorHAnsi" w:eastAsia="Times New Roman" w:hAnsiTheme="majorHAnsi" w:cs="Times New Roman"/>
          <w:b/>
          <w:bCs/>
          <w:color w:val="3F3F3F"/>
          <w:sz w:val="32"/>
          <w:szCs w:val="32"/>
        </w:rPr>
        <w:t xml:space="preserve">enter </w:t>
      </w:r>
      <w:r w:rsidR="004C2A70" w:rsidRPr="006B005B">
        <w:rPr>
          <w:rFonts w:asciiTheme="majorHAnsi" w:eastAsia="Times New Roman" w:hAnsiTheme="majorHAnsi" w:cs="Times New Roman"/>
          <w:b/>
          <w:bCs/>
          <w:color w:val="3F3F3F"/>
          <w:sz w:val="32"/>
          <w:szCs w:val="32"/>
        </w:rPr>
        <w:t>C</w:t>
      </w:r>
      <w:r w:rsidR="00CE12D0" w:rsidRPr="006B005B">
        <w:rPr>
          <w:rFonts w:asciiTheme="majorHAnsi" w:eastAsia="Times New Roman" w:hAnsiTheme="majorHAnsi" w:cs="Times New Roman"/>
          <w:b/>
          <w:bCs/>
          <w:color w:val="3F3F3F"/>
          <w:sz w:val="32"/>
          <w:szCs w:val="32"/>
        </w:rPr>
        <w:t xml:space="preserve">ollaborations for </w:t>
      </w:r>
      <w:r w:rsidR="004C2A70" w:rsidRPr="006B005B">
        <w:rPr>
          <w:rFonts w:asciiTheme="majorHAnsi" w:eastAsia="Times New Roman" w:hAnsiTheme="majorHAnsi" w:cs="Times New Roman"/>
          <w:b/>
          <w:bCs/>
          <w:color w:val="3F3F3F"/>
          <w:sz w:val="32"/>
          <w:szCs w:val="32"/>
        </w:rPr>
        <w:t>P</w:t>
      </w:r>
      <w:r w:rsidR="00CE12D0" w:rsidRPr="006B005B">
        <w:rPr>
          <w:rFonts w:asciiTheme="majorHAnsi" w:eastAsia="Times New Roman" w:hAnsiTheme="majorHAnsi" w:cs="Times New Roman"/>
          <w:b/>
          <w:bCs/>
          <w:color w:val="3F3F3F"/>
          <w:sz w:val="32"/>
          <w:szCs w:val="32"/>
        </w:rPr>
        <w:t xml:space="preserve">ublic </w:t>
      </w:r>
      <w:r w:rsidR="004C2A70" w:rsidRPr="006B005B">
        <w:rPr>
          <w:rFonts w:asciiTheme="majorHAnsi" w:eastAsia="Times New Roman" w:hAnsiTheme="majorHAnsi" w:cs="Times New Roman"/>
          <w:b/>
          <w:bCs/>
          <w:color w:val="3F3F3F"/>
          <w:sz w:val="32"/>
          <w:szCs w:val="32"/>
        </w:rPr>
        <w:t>H</w:t>
      </w:r>
      <w:r w:rsidR="00CE12D0" w:rsidRPr="006B005B">
        <w:rPr>
          <w:rFonts w:asciiTheme="majorHAnsi" w:eastAsia="Times New Roman" w:hAnsiTheme="majorHAnsi" w:cs="Times New Roman"/>
          <w:b/>
          <w:bCs/>
          <w:color w:val="3F3F3F"/>
          <w:sz w:val="32"/>
          <w:szCs w:val="32"/>
        </w:rPr>
        <w:t xml:space="preserve">ealth </w:t>
      </w:r>
      <w:r w:rsidR="004C2A70" w:rsidRPr="006B005B">
        <w:rPr>
          <w:rFonts w:asciiTheme="majorHAnsi" w:eastAsia="Times New Roman" w:hAnsiTheme="majorHAnsi" w:cs="Times New Roman"/>
          <w:b/>
          <w:bCs/>
          <w:color w:val="3F3F3F"/>
          <w:sz w:val="32"/>
          <w:szCs w:val="32"/>
        </w:rPr>
        <w:t>E</w:t>
      </w:r>
      <w:r w:rsidR="00CE12D0" w:rsidRPr="006B005B">
        <w:rPr>
          <w:rFonts w:asciiTheme="majorHAnsi" w:eastAsia="Times New Roman" w:hAnsiTheme="majorHAnsi" w:cs="Times New Roman"/>
          <w:b/>
          <w:bCs/>
          <w:color w:val="3F3F3F"/>
          <w:sz w:val="32"/>
          <w:szCs w:val="32"/>
        </w:rPr>
        <w:t>mergencies</w:t>
      </w:r>
    </w:p>
    <w:p w14:paraId="2F132B93" w14:textId="77777777" w:rsidR="00923F7B" w:rsidRPr="002F6A63" w:rsidRDefault="00F35D94" w:rsidP="004B72A8">
      <w:pPr>
        <w:shd w:val="clear" w:color="auto" w:fill="FFFFFF"/>
        <w:spacing w:after="100" w:afterAutospacing="1" w:line="240" w:lineRule="auto"/>
        <w:rPr>
          <w:rFonts w:asciiTheme="majorHAnsi" w:eastAsia="Times New Roman" w:hAnsiTheme="majorHAnsi" w:cs="Times New Roman"/>
          <w:b/>
          <w:bCs/>
          <w:color w:val="000000"/>
          <w:sz w:val="24"/>
          <w:szCs w:val="24"/>
        </w:rPr>
      </w:pPr>
      <w:r w:rsidRPr="002F6A63">
        <w:rPr>
          <w:rFonts w:asciiTheme="majorHAnsi" w:hAnsiTheme="majorHAnsi"/>
          <w:noProof/>
          <w:sz w:val="24"/>
          <w:szCs w:val="24"/>
        </w:rPr>
        <mc:AlternateContent>
          <mc:Choice Requires="wps">
            <w:drawing>
              <wp:anchor distT="4294967295" distB="4294967295" distL="114300" distR="114300" simplePos="0" relativeHeight="251659264" behindDoc="0" locked="0" layoutInCell="1" allowOverlap="1" wp14:anchorId="6C740750" wp14:editId="3A49741C">
                <wp:simplePos x="0" y="0"/>
                <wp:positionH relativeFrom="column">
                  <wp:posOffset>-457200</wp:posOffset>
                </wp:positionH>
                <wp:positionV relativeFrom="paragraph">
                  <wp:posOffset>4444</wp:posOffset>
                </wp:positionV>
                <wp:extent cx="7410450" cy="0"/>
                <wp:effectExtent l="0" t="1905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1DB2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5pt" to="5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D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" strokeweight="2.25pt"/>
            </w:pict>
          </mc:Fallback>
        </mc:AlternateContent>
      </w:r>
    </w:p>
    <w:p w14:paraId="0D7B850A" w14:textId="77777777" w:rsidR="004B72A8" w:rsidRPr="001942E3" w:rsidRDefault="001F52EC" w:rsidP="004B72A8">
      <w:pPr>
        <w:shd w:val="clear" w:color="auto" w:fill="FFFFFF"/>
        <w:spacing w:after="100" w:afterAutospacing="1" w:line="240" w:lineRule="auto"/>
        <w:rPr>
          <w:rFonts w:asciiTheme="majorHAnsi" w:eastAsia="Times New Roman" w:hAnsiTheme="majorHAnsi" w:cs="Times New Roman"/>
          <w:color w:val="000000"/>
          <w:sz w:val="24"/>
          <w:szCs w:val="24"/>
        </w:rPr>
      </w:pPr>
      <w:r w:rsidRPr="001942E3">
        <w:rPr>
          <w:rFonts w:asciiTheme="majorHAnsi" w:eastAsia="Times New Roman" w:hAnsiTheme="majorHAnsi" w:cs="Times New Roman"/>
          <w:b/>
          <w:bCs/>
          <w:color w:val="000000"/>
          <w:sz w:val="24"/>
          <w:szCs w:val="24"/>
        </w:rPr>
        <w:t>To conduct a Poison Center</w:t>
      </w:r>
      <w:r w:rsidR="004B72A8" w:rsidRPr="001942E3">
        <w:rPr>
          <w:rFonts w:asciiTheme="majorHAnsi" w:eastAsia="Times New Roman" w:hAnsiTheme="majorHAnsi" w:cs="Times New Roman"/>
          <w:b/>
          <w:bCs/>
          <w:color w:val="000000"/>
          <w:sz w:val="24"/>
          <w:szCs w:val="24"/>
        </w:rPr>
        <w:t xml:space="preserve"> investigation:</w:t>
      </w:r>
    </w:p>
    <w:p w14:paraId="0810A381" w14:textId="5A145418" w:rsidR="001942E3" w:rsidRPr="00E4559B" w:rsidRDefault="001942E3" w:rsidP="001942E3">
      <w:pPr>
        <w:pStyle w:val="ListParagraph"/>
        <w:numPr>
          <w:ilvl w:val="0"/>
          <w:numId w:val="2"/>
        </w:numPr>
        <w:spacing w:before="240"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After an emergency </w:t>
      </w:r>
      <w:r w:rsidR="003D6862">
        <w:rPr>
          <w:rFonts w:asciiTheme="majorHAnsi" w:eastAsia="Arial Unicode MS" w:hAnsiTheme="majorHAnsi"/>
          <w:sz w:val="24"/>
          <w:szCs w:val="24"/>
          <w:u w:color="000000"/>
        </w:rPr>
        <w:t>event</w:t>
      </w:r>
      <w:r w:rsidRPr="00E4559B">
        <w:rPr>
          <w:rFonts w:asciiTheme="majorHAnsi" w:eastAsia="Arial Unicode MS" w:hAnsiTheme="majorHAnsi"/>
          <w:sz w:val="24"/>
          <w:szCs w:val="24"/>
          <w:u w:color="000000"/>
        </w:rPr>
        <w:t xml:space="preserve"> is identified, the NCEH project officer reviews the “Step-by-Step How to use the Generic Clearance” guide (</w:t>
      </w:r>
      <w:r w:rsidRPr="00E4559B">
        <w:rPr>
          <w:rFonts w:asciiTheme="majorHAnsi" w:eastAsia="Arial Unicode MS" w:hAnsiTheme="majorHAnsi"/>
          <w:b/>
          <w:sz w:val="24"/>
          <w:szCs w:val="24"/>
          <w:u w:color="000000"/>
        </w:rPr>
        <w:t>Attachment 5</w:t>
      </w:r>
      <w:r w:rsidRPr="00E4559B">
        <w:rPr>
          <w:rFonts w:asciiTheme="majorHAnsi" w:eastAsia="Arial Unicode MS" w:hAnsiTheme="majorHAnsi"/>
          <w:sz w:val="24"/>
          <w:szCs w:val="24"/>
          <w:u w:color="000000"/>
        </w:rPr>
        <w:t xml:space="preserve">) and notifies the NCEH/ATSDR ICR Liaison (ICRL) of a potential poison center </w:t>
      </w: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w:t>
      </w:r>
    </w:p>
    <w:p w14:paraId="015D3CA5" w14:textId="77777777" w:rsidR="001942E3" w:rsidRPr="00E4559B" w:rsidRDefault="001942E3" w:rsidP="001942E3">
      <w:pPr>
        <w:pStyle w:val="ListParagraph"/>
        <w:numPr>
          <w:ilvl w:val="0"/>
          <w:numId w:val="2"/>
        </w:numPr>
        <w:spacing w:before="240"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NCEH engages AAPCC to determine if the incident is an eligible public health emergency and ensures all data collection criteria are met (refer to Section A2). </w:t>
      </w:r>
    </w:p>
    <w:p w14:paraId="70EC42EE"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Following concurrence from AAPCC, NCEH requests poison center(s) to collect follow-up information.</w:t>
      </w:r>
    </w:p>
    <w:p w14:paraId="32D09F1F"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If a 72 or 24-hour approval will be requested</w:t>
      </w:r>
      <w:r w:rsidRPr="00E4559B">
        <w:rPr>
          <w:rFonts w:asciiTheme="majorHAnsi" w:hAnsiTheme="majorHAnsi"/>
          <w:color w:val="000000"/>
          <w:sz w:val="24"/>
          <w:szCs w:val="24"/>
        </w:rPr>
        <w:t>, the NCEH project officer prepares and routes the Advance Notification Email with justification (</w:t>
      </w:r>
      <w:r w:rsidRPr="00E4559B">
        <w:rPr>
          <w:rFonts w:asciiTheme="majorHAnsi" w:hAnsiTheme="majorHAnsi"/>
          <w:b/>
          <w:color w:val="000000"/>
          <w:sz w:val="24"/>
          <w:szCs w:val="24"/>
        </w:rPr>
        <w:t>Attachment 6</w:t>
      </w:r>
      <w:r w:rsidRPr="00E4559B">
        <w:rPr>
          <w:rFonts w:asciiTheme="majorHAnsi" w:hAnsiTheme="majorHAnsi"/>
          <w:color w:val="000000"/>
          <w:sz w:val="24"/>
          <w:szCs w:val="24"/>
        </w:rPr>
        <w:t>)</w:t>
      </w:r>
      <w:r w:rsidRPr="00E4559B">
        <w:rPr>
          <w:rFonts w:asciiTheme="majorHAnsi" w:eastAsia="Arial Unicode MS" w:hAnsiTheme="majorHAnsi"/>
          <w:sz w:val="24"/>
          <w:szCs w:val="24"/>
          <w:u w:color="000000"/>
        </w:rPr>
        <w:t xml:space="preserve"> to the ICRL to provide as much advance warning as possible that the request is being prepared. This step is not needed for a 5-day approval.</w:t>
      </w:r>
    </w:p>
    <w:p w14:paraId="0875349E"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The ICRL routes the 72 or 24-hour advance notification to the CDC Information Collection Request Office (ICRO), which in turn alerts the United States (US) Department of Health and Human Services (HHS) and the OMB desk officers to expect a new urgent poison center </w:t>
      </w: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 Again, a 5-day approval will not require advance notification.</w:t>
      </w:r>
    </w:p>
    <w:p w14:paraId="1044242D" w14:textId="77777777" w:rsidR="00D675F5" w:rsidRPr="00D675F5" w:rsidRDefault="00D675F5" w:rsidP="00D675F5">
      <w:pPr>
        <w:pStyle w:val="ListParagraph"/>
        <w:numPr>
          <w:ilvl w:val="0"/>
          <w:numId w:val="2"/>
        </w:numPr>
        <w:rPr>
          <w:rFonts w:asciiTheme="majorHAnsi" w:eastAsia="Arial Unicode MS" w:hAnsiTheme="majorHAnsi"/>
          <w:sz w:val="24"/>
          <w:szCs w:val="24"/>
          <w:u w:color="000000"/>
        </w:rPr>
      </w:pPr>
      <w:r w:rsidRPr="00D675F5">
        <w:rPr>
          <w:rFonts w:asciiTheme="majorHAnsi" w:eastAsia="Arial Unicode MS" w:hAnsiTheme="majorHAnsi"/>
          <w:sz w:val="24"/>
          <w:szCs w:val="24"/>
          <w:u w:color="000000"/>
        </w:rPr>
        <w:t xml:space="preserve">The NCEH project officer prepares  and submits the </w:t>
      </w:r>
      <w:proofErr w:type="spellStart"/>
      <w:r w:rsidRPr="00D675F5">
        <w:rPr>
          <w:rFonts w:asciiTheme="majorHAnsi" w:eastAsia="Arial Unicode MS" w:hAnsiTheme="majorHAnsi"/>
          <w:sz w:val="24"/>
          <w:szCs w:val="24"/>
          <w:u w:color="000000"/>
        </w:rPr>
        <w:t>GenIC</w:t>
      </w:r>
      <w:proofErr w:type="spellEnd"/>
      <w:r w:rsidRPr="00D675F5">
        <w:rPr>
          <w:rFonts w:asciiTheme="majorHAnsi" w:eastAsia="Arial Unicode MS" w:hAnsiTheme="majorHAnsi"/>
          <w:sz w:val="24"/>
          <w:szCs w:val="24"/>
          <w:u w:color="000000"/>
        </w:rPr>
        <w:t xml:space="preserve"> package to the ICRL, which includes:</w:t>
      </w:r>
    </w:p>
    <w:p w14:paraId="559630F8"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 xml:space="preserve"> Request for Approval (</w:t>
      </w:r>
      <w:r w:rsidRPr="00E4559B">
        <w:rPr>
          <w:rFonts w:asciiTheme="majorHAnsi" w:eastAsia="Arial Unicode MS" w:hAnsiTheme="majorHAnsi"/>
          <w:b/>
          <w:sz w:val="24"/>
          <w:szCs w:val="24"/>
          <w:u w:color="000000"/>
        </w:rPr>
        <w:t>Attachment 7</w:t>
      </w:r>
      <w:r w:rsidRPr="00E4559B">
        <w:rPr>
          <w:rFonts w:asciiTheme="majorHAnsi" w:eastAsia="Arial Unicode MS" w:hAnsiTheme="majorHAnsi"/>
          <w:sz w:val="24"/>
          <w:szCs w:val="24"/>
          <w:u w:color="000000"/>
        </w:rPr>
        <w:t>)</w:t>
      </w:r>
    </w:p>
    <w:p w14:paraId="7DE1719B"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Supporting Statement B</w:t>
      </w:r>
    </w:p>
    <w:p w14:paraId="4CD04D81"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Consent Form (</w:t>
      </w:r>
      <w:r w:rsidRPr="00E4559B">
        <w:rPr>
          <w:rFonts w:asciiTheme="majorHAnsi" w:eastAsia="Arial Unicode MS" w:hAnsiTheme="majorHAnsi"/>
          <w:b/>
          <w:sz w:val="24"/>
          <w:szCs w:val="24"/>
          <w:u w:color="000000"/>
        </w:rPr>
        <w:t xml:space="preserve">Attachment 8 </w:t>
      </w:r>
      <w:r w:rsidRPr="00E4559B">
        <w:rPr>
          <w:rFonts w:asciiTheme="majorHAnsi" w:eastAsia="Arial Unicode MS" w:hAnsiTheme="majorHAnsi"/>
          <w:sz w:val="24"/>
          <w:szCs w:val="24"/>
          <w:u w:color="000000"/>
        </w:rPr>
        <w:t xml:space="preserve"> - sample consent forms)</w:t>
      </w:r>
    </w:p>
    <w:p w14:paraId="6E3A33FD" w14:textId="2344BED6"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Questionnaire</w:t>
      </w:r>
      <w:r w:rsidR="00B16CF0">
        <w:rPr>
          <w:rFonts w:asciiTheme="majorHAnsi" w:eastAsia="Arial Unicode MS" w:hAnsiTheme="majorHAnsi"/>
          <w:sz w:val="24"/>
          <w:szCs w:val="24"/>
          <w:u w:color="000000"/>
        </w:rPr>
        <w:t>s</w:t>
      </w:r>
      <w:r w:rsidRPr="00E4559B">
        <w:rPr>
          <w:rFonts w:asciiTheme="majorHAnsi" w:eastAsia="Arial Unicode MS" w:hAnsiTheme="majorHAnsi"/>
          <w:sz w:val="24"/>
          <w:szCs w:val="24"/>
          <w:u w:color="000000"/>
        </w:rPr>
        <w:t xml:space="preserve"> (</w:t>
      </w:r>
      <w:r w:rsidRPr="00E4559B">
        <w:rPr>
          <w:rFonts w:asciiTheme="majorHAnsi" w:eastAsia="Arial Unicode MS" w:hAnsiTheme="majorHAnsi"/>
          <w:b/>
          <w:sz w:val="24"/>
          <w:szCs w:val="24"/>
          <w:u w:color="000000"/>
        </w:rPr>
        <w:t>Attachment</w:t>
      </w:r>
      <w:r w:rsidR="00B16CF0">
        <w:rPr>
          <w:rFonts w:asciiTheme="majorHAnsi" w:eastAsia="Arial Unicode MS" w:hAnsiTheme="majorHAnsi"/>
          <w:b/>
          <w:sz w:val="24"/>
          <w:szCs w:val="24"/>
          <w:u w:color="000000"/>
        </w:rPr>
        <w:t>s</w:t>
      </w:r>
      <w:r w:rsidRPr="00E4559B">
        <w:rPr>
          <w:rFonts w:asciiTheme="majorHAnsi" w:eastAsia="Arial Unicode MS" w:hAnsiTheme="majorHAnsi"/>
          <w:b/>
          <w:sz w:val="24"/>
          <w:szCs w:val="24"/>
          <w:u w:color="000000"/>
        </w:rPr>
        <w:t xml:space="preserve"> 9</w:t>
      </w:r>
      <w:r w:rsidR="00B16CF0">
        <w:rPr>
          <w:rFonts w:asciiTheme="majorHAnsi" w:eastAsia="Arial Unicode MS" w:hAnsiTheme="majorHAnsi"/>
          <w:b/>
          <w:sz w:val="24"/>
          <w:szCs w:val="24"/>
          <w:u w:color="000000"/>
        </w:rPr>
        <w:t>-11</w:t>
      </w:r>
      <w:r w:rsidRPr="00E4559B">
        <w:rPr>
          <w:rFonts w:asciiTheme="majorHAnsi" w:eastAsia="Arial Unicode MS" w:hAnsiTheme="majorHAnsi"/>
          <w:sz w:val="24"/>
          <w:szCs w:val="24"/>
          <w:u w:color="000000"/>
        </w:rPr>
        <w:t xml:space="preserve"> – sample questions that can be quickly modified)</w:t>
      </w:r>
    </w:p>
    <w:p w14:paraId="49E960DA"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Worksheet 2</w:t>
      </w:r>
    </w:p>
    <w:p w14:paraId="1935736C"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 xml:space="preserve"> NCEH Research Determination</w:t>
      </w:r>
    </w:p>
    <w:p w14:paraId="3299C31D" w14:textId="77777777" w:rsidR="001942E3" w:rsidRPr="00E4559B" w:rsidRDefault="001942E3" w:rsidP="001942E3">
      <w:pPr>
        <w:pStyle w:val="ListParagraph"/>
        <w:numPr>
          <w:ilvl w:val="1"/>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Any other supporting documents</w:t>
      </w:r>
    </w:p>
    <w:p w14:paraId="4FDEF0F2"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The NCEH/ATSDR ICRL reviews and submits the </w:t>
      </w: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 xml:space="preserve"> package to ICRO for processing with HHS and OMB.</w:t>
      </w:r>
    </w:p>
    <w:p w14:paraId="36CE63B5"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The OMB desk officer responds with approval or comments on the proposed investigation within the time frame is requested (default is 5 days unless otherwise requested). </w:t>
      </w:r>
    </w:p>
    <w:p w14:paraId="26D3F0E5" w14:textId="77777777" w:rsidR="001942E3" w:rsidRPr="00E4559B"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The OMB desk officer may provide approval and comments orally (followed by e-mail for written documentation) or e-mail directly. This may occur before the </w:t>
      </w:r>
      <w:proofErr w:type="spellStart"/>
      <w:r w:rsidRPr="00E4559B">
        <w:rPr>
          <w:rFonts w:asciiTheme="majorHAnsi" w:eastAsia="Arial Unicode MS" w:hAnsiTheme="majorHAnsi"/>
          <w:sz w:val="24"/>
          <w:szCs w:val="24"/>
          <w:u w:color="000000"/>
        </w:rPr>
        <w:t>GenIC</w:t>
      </w:r>
      <w:proofErr w:type="spellEnd"/>
      <w:r w:rsidRPr="00E4559B">
        <w:rPr>
          <w:rFonts w:asciiTheme="majorHAnsi" w:eastAsia="Arial Unicode MS" w:hAnsiTheme="majorHAnsi"/>
          <w:sz w:val="24"/>
          <w:szCs w:val="24"/>
          <w:u w:color="000000"/>
        </w:rPr>
        <w:t xml:space="preserve"> request is submitted and received by OMB through the official ICR tracking system. </w:t>
      </w:r>
    </w:p>
    <w:p w14:paraId="2BCD4860" w14:textId="77777777" w:rsidR="001942E3" w:rsidRPr="00026330" w:rsidRDefault="001942E3" w:rsidP="001942E3">
      <w:pPr>
        <w:pStyle w:val="ListParagraph"/>
        <w:numPr>
          <w:ilvl w:val="0"/>
          <w:numId w:val="2"/>
        </w:numPr>
        <w:spacing w:after="0"/>
        <w:rPr>
          <w:rFonts w:asciiTheme="majorHAnsi" w:eastAsia="Arial Unicode MS" w:hAnsiTheme="majorHAnsi"/>
          <w:sz w:val="24"/>
          <w:szCs w:val="24"/>
          <w:u w:color="000000"/>
        </w:rPr>
      </w:pPr>
      <w:r w:rsidRPr="00E4559B">
        <w:rPr>
          <w:rFonts w:asciiTheme="majorHAnsi" w:eastAsia="Arial Unicode MS" w:hAnsiTheme="majorHAnsi"/>
          <w:sz w:val="24"/>
          <w:szCs w:val="24"/>
          <w:u w:color="000000"/>
        </w:rPr>
        <w:t xml:space="preserve">Data collection proceeds upon approval </w:t>
      </w:r>
      <w:r w:rsidRPr="00026330">
        <w:rPr>
          <w:rFonts w:asciiTheme="majorHAnsi" w:eastAsia="Arial Unicode MS" w:hAnsiTheme="majorHAnsi"/>
          <w:sz w:val="24"/>
          <w:szCs w:val="24"/>
          <w:u w:color="000000"/>
        </w:rPr>
        <w:t>and may not exceed</w:t>
      </w:r>
      <w:bookmarkStart w:id="0" w:name="_GoBack"/>
      <w:bookmarkEnd w:id="0"/>
      <w:r w:rsidRPr="00026330">
        <w:rPr>
          <w:rFonts w:asciiTheme="majorHAnsi" w:eastAsia="Arial Unicode MS" w:hAnsiTheme="majorHAnsi"/>
          <w:sz w:val="24"/>
          <w:szCs w:val="24"/>
          <w:u w:color="000000"/>
        </w:rPr>
        <w:t xml:space="preserve"> 60 days.</w:t>
      </w:r>
    </w:p>
    <w:p w14:paraId="7D5E53C7" w14:textId="54E3FD59" w:rsidR="001942E3" w:rsidRPr="00026330" w:rsidRDefault="001942E3" w:rsidP="001942E3">
      <w:pPr>
        <w:pStyle w:val="ListParagraph"/>
        <w:numPr>
          <w:ilvl w:val="0"/>
          <w:numId w:val="2"/>
        </w:numPr>
        <w:spacing w:after="0"/>
        <w:rPr>
          <w:rFonts w:asciiTheme="majorHAnsi" w:eastAsia="Arial Unicode MS" w:hAnsiTheme="majorHAnsi"/>
          <w:sz w:val="24"/>
          <w:szCs w:val="24"/>
          <w:u w:color="000000"/>
        </w:rPr>
      </w:pPr>
      <w:r w:rsidRPr="00026330">
        <w:rPr>
          <w:rFonts w:asciiTheme="majorHAnsi" w:eastAsia="Arial Unicode MS" w:hAnsiTheme="majorHAnsi"/>
          <w:sz w:val="24"/>
          <w:szCs w:val="24"/>
          <w:u w:color="000000"/>
        </w:rPr>
        <w:lastRenderedPageBreak/>
        <w:t>Within 5 days of the completion of the data collection, the investigators submit the final data collection instrument(s), consent forms, and associated burden using the “Burden Memo” form (</w:t>
      </w:r>
      <w:r w:rsidR="00B16CF0">
        <w:rPr>
          <w:rFonts w:asciiTheme="majorHAnsi" w:eastAsia="Arial Unicode MS" w:hAnsiTheme="majorHAnsi"/>
          <w:b/>
          <w:sz w:val="24"/>
          <w:szCs w:val="24"/>
          <w:u w:color="000000"/>
        </w:rPr>
        <w:t>Attachment 12</w:t>
      </w:r>
      <w:r w:rsidRPr="00026330">
        <w:rPr>
          <w:rFonts w:asciiTheme="majorHAnsi" w:eastAsia="Arial Unicode MS" w:hAnsiTheme="majorHAnsi"/>
          <w:sz w:val="24"/>
          <w:szCs w:val="24"/>
          <w:u w:color="000000"/>
        </w:rPr>
        <w:t>) to the ICRL.</w:t>
      </w:r>
    </w:p>
    <w:p w14:paraId="26C0EF62" w14:textId="77777777" w:rsidR="001942E3" w:rsidRPr="00026330" w:rsidRDefault="001942E3" w:rsidP="001942E3">
      <w:pPr>
        <w:pStyle w:val="ListParagraph"/>
        <w:numPr>
          <w:ilvl w:val="0"/>
          <w:numId w:val="2"/>
        </w:numPr>
        <w:spacing w:after="0"/>
        <w:rPr>
          <w:rFonts w:asciiTheme="majorHAnsi" w:eastAsia="Arial Unicode MS" w:hAnsiTheme="majorHAnsi"/>
          <w:sz w:val="24"/>
          <w:szCs w:val="24"/>
          <w:u w:color="000000"/>
        </w:rPr>
      </w:pPr>
      <w:r w:rsidRPr="00026330">
        <w:rPr>
          <w:rFonts w:asciiTheme="majorHAnsi" w:eastAsia="Arial Unicode MS" w:hAnsiTheme="majorHAnsi"/>
          <w:sz w:val="24"/>
          <w:szCs w:val="24"/>
          <w:u w:color="000000"/>
        </w:rPr>
        <w:t xml:space="preserve">On a quarterly basis, the ICRL will submit a non-substantive change request for all </w:t>
      </w:r>
      <w:proofErr w:type="spellStart"/>
      <w:r w:rsidRPr="00026330">
        <w:rPr>
          <w:rFonts w:asciiTheme="majorHAnsi" w:eastAsia="Arial Unicode MS" w:hAnsiTheme="majorHAnsi"/>
          <w:sz w:val="24"/>
          <w:szCs w:val="24"/>
          <w:u w:color="000000"/>
        </w:rPr>
        <w:t>GenICs</w:t>
      </w:r>
      <w:proofErr w:type="spellEnd"/>
      <w:r w:rsidRPr="00026330">
        <w:rPr>
          <w:rFonts w:asciiTheme="majorHAnsi" w:eastAsia="Arial Unicode MS" w:hAnsiTheme="majorHAnsi"/>
          <w:sz w:val="24"/>
          <w:szCs w:val="24"/>
          <w:u w:color="000000"/>
        </w:rPr>
        <w:t xml:space="preserve"> conducted in the prior quarter. The following documents will be submitted to support the request: burden memos, final questionnaires, and final consent forms.</w:t>
      </w:r>
    </w:p>
    <w:p w14:paraId="52AC4044" w14:textId="77777777" w:rsidR="001942E3" w:rsidRPr="00026330" w:rsidRDefault="001942E3" w:rsidP="001942E3">
      <w:pPr>
        <w:rPr>
          <w:rFonts w:asciiTheme="majorHAnsi" w:eastAsia="Arial Unicode MS" w:hAnsiTheme="majorHAnsi"/>
          <w:sz w:val="24"/>
          <w:szCs w:val="24"/>
          <w:u w:color="000000"/>
        </w:rPr>
      </w:pPr>
    </w:p>
    <w:p w14:paraId="352A5D5A" w14:textId="77777777" w:rsidR="001942E3" w:rsidRPr="00026330" w:rsidRDefault="001942E3" w:rsidP="001942E3">
      <w:pPr>
        <w:rPr>
          <w:rFonts w:asciiTheme="majorHAnsi" w:eastAsia="Arial Unicode MS" w:hAnsiTheme="majorHAnsi" w:cs="Times New Roman"/>
          <w:sz w:val="24"/>
          <w:szCs w:val="24"/>
          <w:u w:color="000000"/>
        </w:rPr>
      </w:pPr>
      <w:r w:rsidRPr="00026330">
        <w:rPr>
          <w:rFonts w:asciiTheme="majorHAnsi" w:eastAsia="Arial Unicode MS" w:hAnsiTheme="majorHAnsi" w:cs="Times New Roman"/>
          <w:sz w:val="24"/>
          <w:szCs w:val="24"/>
          <w:u w:color="000000"/>
        </w:rPr>
        <w:t xml:space="preserve">The </w:t>
      </w:r>
      <w:r w:rsidRPr="00026330">
        <w:rPr>
          <w:rFonts w:asciiTheme="majorHAnsi" w:hAnsiTheme="majorHAnsi" w:cs="Times New Roman"/>
          <w:color w:val="000000"/>
          <w:sz w:val="24"/>
          <w:szCs w:val="24"/>
        </w:rPr>
        <w:t>NCEH/ATSDR PRA coordinator</w:t>
      </w:r>
      <w:r w:rsidRPr="00026330" w:rsidDel="001C1507">
        <w:rPr>
          <w:rFonts w:asciiTheme="majorHAnsi" w:eastAsia="Arial Unicode MS" w:hAnsiTheme="majorHAnsi" w:cs="Times New Roman"/>
          <w:sz w:val="24"/>
          <w:szCs w:val="24"/>
          <w:u w:color="000000"/>
        </w:rPr>
        <w:t xml:space="preserve"> </w:t>
      </w:r>
      <w:r w:rsidRPr="00026330">
        <w:rPr>
          <w:rFonts w:asciiTheme="majorHAnsi" w:eastAsia="Arial Unicode MS" w:hAnsiTheme="majorHAnsi" w:cs="Times New Roman"/>
          <w:sz w:val="24"/>
          <w:szCs w:val="24"/>
          <w:u w:color="000000"/>
        </w:rPr>
        <w:t xml:space="preserve">serves in the role of the ICRL. The ICRL oversees the clearance process for individual </w:t>
      </w:r>
      <w:proofErr w:type="spellStart"/>
      <w:r w:rsidRPr="00026330">
        <w:rPr>
          <w:rFonts w:asciiTheme="majorHAnsi" w:eastAsia="Arial Unicode MS" w:hAnsiTheme="majorHAnsi" w:cs="Times New Roman"/>
          <w:sz w:val="24"/>
          <w:szCs w:val="24"/>
          <w:u w:color="000000"/>
        </w:rPr>
        <w:t>GenICs</w:t>
      </w:r>
      <w:proofErr w:type="spellEnd"/>
      <w:r w:rsidRPr="00026330">
        <w:rPr>
          <w:rFonts w:asciiTheme="majorHAnsi" w:eastAsia="Arial Unicode MS" w:hAnsiTheme="majorHAnsi" w:cs="Times New Roman"/>
          <w:sz w:val="24"/>
          <w:szCs w:val="24"/>
          <w:u w:color="000000"/>
        </w:rPr>
        <w:t>.</w:t>
      </w:r>
    </w:p>
    <w:p w14:paraId="354C07B5" w14:textId="77777777" w:rsidR="001942E3" w:rsidRPr="00026330" w:rsidRDefault="001942E3" w:rsidP="001942E3">
      <w:pPr>
        <w:rPr>
          <w:rFonts w:asciiTheme="majorHAnsi" w:eastAsia="Arial Unicode MS" w:hAnsiTheme="majorHAnsi"/>
          <w:sz w:val="24"/>
          <w:szCs w:val="24"/>
          <w:u w:color="000000"/>
        </w:rPr>
      </w:pPr>
      <w:r w:rsidRPr="00026330">
        <w:rPr>
          <w:rFonts w:asciiTheme="majorHAnsi" w:eastAsia="Arial Unicode MS" w:hAnsiTheme="majorHAnsi"/>
          <w:sz w:val="24"/>
          <w:szCs w:val="24"/>
          <w:u w:color="000000"/>
        </w:rPr>
        <w:t xml:space="preserve">The NCEH program will maintain a library of data collection instruments that includes all final data collection instruments conducted under this Generic ICR. </w:t>
      </w:r>
    </w:p>
    <w:p w14:paraId="1892C33E" w14:textId="77777777" w:rsidR="001F52EC" w:rsidRPr="001942E3" w:rsidRDefault="001F52EC" w:rsidP="004322EF">
      <w:pPr>
        <w:spacing w:after="0" w:line="240" w:lineRule="auto"/>
        <w:rPr>
          <w:rFonts w:asciiTheme="majorHAnsi" w:eastAsia="Times New Roman" w:hAnsiTheme="majorHAnsi" w:cs="Times New Roman"/>
          <w:color w:val="000000"/>
          <w:sz w:val="24"/>
          <w:szCs w:val="24"/>
        </w:rPr>
      </w:pPr>
    </w:p>
    <w:p w14:paraId="5158EDCD" w14:textId="77777777" w:rsidR="004B72A8" w:rsidRPr="0038503F" w:rsidRDefault="004B72A8" w:rsidP="004322EF">
      <w:pPr>
        <w:spacing w:after="0" w:line="240" w:lineRule="auto"/>
        <w:rPr>
          <w:rFonts w:asciiTheme="majorHAnsi" w:eastAsia="Times New Roman" w:hAnsiTheme="majorHAnsi" w:cs="Times New Roman"/>
          <w:sz w:val="24"/>
          <w:szCs w:val="24"/>
        </w:rPr>
      </w:pPr>
      <w:r w:rsidRPr="001942E3">
        <w:rPr>
          <w:rFonts w:asciiTheme="majorHAnsi" w:eastAsia="Times New Roman" w:hAnsiTheme="majorHAnsi" w:cs="Times New Roman"/>
          <w:color w:val="000000"/>
          <w:sz w:val="24"/>
          <w:szCs w:val="24"/>
        </w:rPr>
        <w:t>Questions or Comments?</w:t>
      </w:r>
      <w:r w:rsidR="00880CC7" w:rsidRPr="001942E3">
        <w:rPr>
          <w:rFonts w:asciiTheme="majorHAnsi" w:eastAsia="Times New Roman" w:hAnsiTheme="majorHAnsi" w:cs="Times New Roman"/>
          <w:color w:val="000000"/>
          <w:sz w:val="24"/>
          <w:szCs w:val="24"/>
        </w:rPr>
        <w:t xml:space="preserve"> Contact</w:t>
      </w:r>
      <w:r w:rsidR="00880CC7" w:rsidRPr="0038503F">
        <w:rPr>
          <w:rFonts w:asciiTheme="majorHAnsi" w:eastAsia="Times New Roman" w:hAnsiTheme="majorHAnsi" w:cs="Times New Roman"/>
          <w:color w:val="000000"/>
          <w:sz w:val="24"/>
          <w:szCs w:val="24"/>
        </w:rPr>
        <w:t xml:space="preserve"> the </w:t>
      </w:r>
      <w:r w:rsidR="001F52EC" w:rsidRPr="0038503F">
        <w:rPr>
          <w:rFonts w:asciiTheme="majorHAnsi" w:eastAsia="Times New Roman" w:hAnsiTheme="majorHAnsi" w:cs="Times New Roman"/>
          <w:sz w:val="24"/>
          <w:szCs w:val="24"/>
          <w:u w:val="single"/>
        </w:rPr>
        <w:t>Poison Center</w:t>
      </w:r>
      <w:r w:rsidRPr="0038503F">
        <w:rPr>
          <w:rFonts w:asciiTheme="majorHAnsi" w:eastAsia="Times New Roman" w:hAnsiTheme="majorHAnsi" w:cs="Times New Roman"/>
          <w:sz w:val="24"/>
          <w:szCs w:val="24"/>
          <w:u w:val="single"/>
        </w:rPr>
        <w:t xml:space="preserve"> Information Collection Request Liaison</w:t>
      </w:r>
      <w:r w:rsidR="004322EF" w:rsidRPr="0038503F">
        <w:rPr>
          <w:rFonts w:asciiTheme="majorHAnsi" w:eastAsia="Times New Roman" w:hAnsiTheme="majorHAnsi" w:cs="Times New Roman"/>
          <w:sz w:val="24"/>
          <w:szCs w:val="24"/>
          <w:u w:val="single"/>
        </w:rPr>
        <w:t xml:space="preserve"> (ICRL)</w:t>
      </w:r>
      <w:r w:rsidRPr="0038503F">
        <w:rPr>
          <w:rFonts w:asciiTheme="majorHAnsi" w:eastAsia="Times New Roman" w:hAnsiTheme="majorHAnsi" w:cs="Times New Roman"/>
          <w:sz w:val="24"/>
          <w:szCs w:val="24"/>
        </w:rPr>
        <w:t>:</w:t>
      </w:r>
    </w:p>
    <w:p w14:paraId="5BA7A7DD" w14:textId="77777777" w:rsidR="0025266D" w:rsidRPr="0038503F" w:rsidRDefault="0025266D" w:rsidP="004322EF">
      <w:pPr>
        <w:spacing w:after="0" w:line="240" w:lineRule="auto"/>
        <w:rPr>
          <w:rFonts w:asciiTheme="majorHAnsi" w:eastAsia="Times New Roman" w:hAnsiTheme="majorHAnsi" w:cs="Times New Roman"/>
          <w:sz w:val="24"/>
          <w:szCs w:val="24"/>
        </w:rPr>
      </w:pPr>
    </w:p>
    <w:p w14:paraId="49DFB3AF" w14:textId="77777777" w:rsidR="004322EF" w:rsidRPr="0038503F" w:rsidRDefault="004322EF" w:rsidP="000935E5">
      <w:pPr>
        <w:spacing w:after="0" w:line="240" w:lineRule="auto"/>
        <w:rPr>
          <w:rFonts w:asciiTheme="majorHAnsi" w:eastAsiaTheme="minorEastAsia" w:hAnsiTheme="majorHAnsi"/>
          <w:bCs/>
          <w:noProof/>
          <w:sz w:val="24"/>
          <w:szCs w:val="24"/>
        </w:rPr>
      </w:pPr>
      <w:bookmarkStart w:id="1" w:name="_MailAutoSig"/>
      <w:r w:rsidRPr="0038503F">
        <w:rPr>
          <w:rFonts w:asciiTheme="majorHAnsi" w:eastAsiaTheme="minorEastAsia" w:hAnsiTheme="majorHAnsi"/>
          <w:bCs/>
          <w:noProof/>
          <w:sz w:val="24"/>
          <w:szCs w:val="24"/>
        </w:rPr>
        <w:t>Stephanie I. Davis, MSPH</w:t>
      </w:r>
    </w:p>
    <w:p w14:paraId="7983AAD5" w14:textId="6B79C5CF" w:rsidR="004322EF" w:rsidRPr="0038503F" w:rsidRDefault="004322EF" w:rsidP="000935E5">
      <w:pPr>
        <w:spacing w:after="0" w:line="240" w:lineRule="auto"/>
        <w:rPr>
          <w:rFonts w:asciiTheme="majorHAnsi" w:eastAsiaTheme="minorEastAsia" w:hAnsiTheme="majorHAnsi"/>
          <w:bCs/>
          <w:noProof/>
          <w:sz w:val="24"/>
          <w:szCs w:val="24"/>
        </w:rPr>
      </w:pPr>
      <w:r w:rsidRPr="0038503F">
        <w:rPr>
          <w:rFonts w:asciiTheme="majorHAnsi" w:eastAsiaTheme="minorEastAsia" w:hAnsiTheme="majorHAnsi"/>
          <w:noProof/>
          <w:sz w:val="24"/>
          <w:szCs w:val="24"/>
        </w:rPr>
        <w:t xml:space="preserve">NCEH/ATSDR </w:t>
      </w:r>
      <w:r w:rsidR="001942E3">
        <w:rPr>
          <w:rFonts w:asciiTheme="majorHAnsi" w:eastAsiaTheme="minorEastAsia" w:hAnsiTheme="majorHAnsi"/>
          <w:bCs/>
          <w:noProof/>
          <w:sz w:val="24"/>
          <w:szCs w:val="24"/>
        </w:rPr>
        <w:t>PRA Co</w:t>
      </w:r>
      <w:r w:rsidR="00E01309">
        <w:rPr>
          <w:rFonts w:asciiTheme="majorHAnsi" w:eastAsiaTheme="minorEastAsia" w:hAnsiTheme="majorHAnsi"/>
          <w:bCs/>
          <w:noProof/>
          <w:sz w:val="24"/>
          <w:szCs w:val="24"/>
        </w:rPr>
        <w:t>ntact</w:t>
      </w:r>
    </w:p>
    <w:p w14:paraId="4B3DA809" w14:textId="77777777" w:rsidR="004322EF" w:rsidRPr="0038503F" w:rsidRDefault="004322EF" w:rsidP="000935E5">
      <w:pPr>
        <w:spacing w:after="0" w:line="240" w:lineRule="auto"/>
        <w:rPr>
          <w:rFonts w:asciiTheme="majorHAnsi" w:eastAsiaTheme="minorEastAsia" w:hAnsiTheme="majorHAnsi"/>
          <w:noProof/>
          <w:sz w:val="24"/>
          <w:szCs w:val="24"/>
        </w:rPr>
      </w:pPr>
      <w:r w:rsidRPr="0038503F">
        <w:rPr>
          <w:rFonts w:asciiTheme="majorHAnsi" w:eastAsiaTheme="minorEastAsia" w:hAnsiTheme="majorHAnsi"/>
          <w:bCs/>
          <w:noProof/>
          <w:sz w:val="24"/>
          <w:szCs w:val="24"/>
        </w:rPr>
        <w:t>Office: 770-488-3676</w:t>
      </w:r>
    </w:p>
    <w:p w14:paraId="17644873" w14:textId="77777777" w:rsidR="004322EF" w:rsidRPr="0038503F" w:rsidRDefault="004322EF" w:rsidP="000935E5">
      <w:pPr>
        <w:spacing w:after="0" w:line="240" w:lineRule="auto"/>
        <w:rPr>
          <w:rFonts w:asciiTheme="majorHAnsi" w:eastAsiaTheme="minorEastAsia" w:hAnsiTheme="majorHAnsi"/>
          <w:noProof/>
          <w:sz w:val="24"/>
          <w:szCs w:val="24"/>
        </w:rPr>
      </w:pPr>
      <w:r w:rsidRPr="0038503F">
        <w:rPr>
          <w:rFonts w:asciiTheme="majorHAnsi" w:eastAsiaTheme="minorEastAsia" w:hAnsiTheme="majorHAnsi"/>
          <w:noProof/>
          <w:sz w:val="24"/>
          <w:szCs w:val="24"/>
        </w:rPr>
        <w:t xml:space="preserve">BlackBerry: </w:t>
      </w:r>
      <w:r w:rsidRPr="0038503F">
        <w:rPr>
          <w:rFonts w:asciiTheme="majorHAnsi" w:eastAsiaTheme="minorEastAsia" w:hAnsiTheme="majorHAnsi" w:cs="Tahoma"/>
          <w:noProof/>
          <w:sz w:val="24"/>
          <w:szCs w:val="24"/>
        </w:rPr>
        <w:t>404-213-2967</w:t>
      </w:r>
      <w:bookmarkEnd w:id="1"/>
    </w:p>
    <w:p w14:paraId="7D3C1BD2" w14:textId="48256501" w:rsidR="004322EF" w:rsidRPr="0038503F" w:rsidRDefault="001942E3" w:rsidP="000935E5">
      <w:pPr>
        <w:spacing w:after="0" w:line="240" w:lineRule="auto"/>
        <w:rPr>
          <w:rFonts w:asciiTheme="majorHAnsi" w:eastAsiaTheme="minorEastAsia" w:hAnsiTheme="majorHAnsi"/>
          <w:noProof/>
          <w:sz w:val="24"/>
          <w:szCs w:val="24"/>
        </w:rPr>
      </w:pPr>
      <w:r>
        <w:rPr>
          <w:rFonts w:asciiTheme="majorHAnsi" w:eastAsiaTheme="minorEastAsia" w:hAnsiTheme="majorHAnsi"/>
          <w:noProof/>
          <w:sz w:val="24"/>
          <w:szCs w:val="24"/>
        </w:rPr>
        <w:t>NCEHOMB@cdc.gov</w:t>
      </w:r>
    </w:p>
    <w:p w14:paraId="06044266" w14:textId="77777777" w:rsidR="00F1467C" w:rsidRPr="0038503F" w:rsidRDefault="00F1467C" w:rsidP="004322EF">
      <w:pPr>
        <w:spacing w:after="0" w:line="240" w:lineRule="auto"/>
        <w:rPr>
          <w:rFonts w:asciiTheme="majorHAnsi" w:eastAsia="Times New Roman" w:hAnsiTheme="majorHAnsi" w:cs="Times New Roman"/>
          <w:color w:val="000000"/>
          <w:sz w:val="24"/>
          <w:szCs w:val="24"/>
        </w:rPr>
      </w:pPr>
    </w:p>
    <w:sectPr w:rsidR="00F1467C" w:rsidRPr="0038503F"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0458"/>
    <w:multiLevelType w:val="hybridMultilevel"/>
    <w:tmpl w:val="7A9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23A50"/>
    <w:multiLevelType w:val="multilevel"/>
    <w:tmpl w:val="92A69030"/>
    <w:lvl w:ilvl="0">
      <w:start w:val="1"/>
      <w:numFmt w:val="decimal"/>
      <w:lvlText w:val="%1."/>
      <w:lvlJc w:val="left"/>
      <w:pPr>
        <w:tabs>
          <w:tab w:val="num" w:pos="540"/>
        </w:tabs>
        <w:ind w:left="54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539D6694"/>
    <w:multiLevelType w:val="hybridMultilevel"/>
    <w:tmpl w:val="051A00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047A1"/>
    <w:multiLevelType w:val="hybridMultilevel"/>
    <w:tmpl w:val="5B8C8C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362168"/>
    <w:multiLevelType w:val="hybridMultilevel"/>
    <w:tmpl w:val="5B1A8D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A8"/>
    <w:rsid w:val="000240F8"/>
    <w:rsid w:val="00026330"/>
    <w:rsid w:val="00053891"/>
    <w:rsid w:val="00063E98"/>
    <w:rsid w:val="00076992"/>
    <w:rsid w:val="00090206"/>
    <w:rsid w:val="00091B0A"/>
    <w:rsid w:val="000935E5"/>
    <w:rsid w:val="001012EC"/>
    <w:rsid w:val="00105356"/>
    <w:rsid w:val="001107CE"/>
    <w:rsid w:val="00110F47"/>
    <w:rsid w:val="001251F9"/>
    <w:rsid w:val="00132370"/>
    <w:rsid w:val="00137157"/>
    <w:rsid w:val="001942E3"/>
    <w:rsid w:val="001A655B"/>
    <w:rsid w:val="001D1421"/>
    <w:rsid w:val="001F52EC"/>
    <w:rsid w:val="00234331"/>
    <w:rsid w:val="002502A7"/>
    <w:rsid w:val="0025266D"/>
    <w:rsid w:val="002761E4"/>
    <w:rsid w:val="002D0FCE"/>
    <w:rsid w:val="002F6A63"/>
    <w:rsid w:val="00320A1D"/>
    <w:rsid w:val="00360ACA"/>
    <w:rsid w:val="00365852"/>
    <w:rsid w:val="003814E1"/>
    <w:rsid w:val="0038503F"/>
    <w:rsid w:val="003C2BDF"/>
    <w:rsid w:val="003D6862"/>
    <w:rsid w:val="003E2C7C"/>
    <w:rsid w:val="00407042"/>
    <w:rsid w:val="004322EF"/>
    <w:rsid w:val="00444413"/>
    <w:rsid w:val="00445901"/>
    <w:rsid w:val="00465695"/>
    <w:rsid w:val="004745E2"/>
    <w:rsid w:val="004774DA"/>
    <w:rsid w:val="0047797B"/>
    <w:rsid w:val="00494F8A"/>
    <w:rsid w:val="004B72A8"/>
    <w:rsid w:val="004C2A70"/>
    <w:rsid w:val="004D2D04"/>
    <w:rsid w:val="004E6E12"/>
    <w:rsid w:val="005153A4"/>
    <w:rsid w:val="005200D7"/>
    <w:rsid w:val="00565A9D"/>
    <w:rsid w:val="00590D14"/>
    <w:rsid w:val="005967AA"/>
    <w:rsid w:val="005A5D5A"/>
    <w:rsid w:val="00603664"/>
    <w:rsid w:val="00627FF9"/>
    <w:rsid w:val="0067481E"/>
    <w:rsid w:val="006759E4"/>
    <w:rsid w:val="006840AB"/>
    <w:rsid w:val="006856AC"/>
    <w:rsid w:val="006B005B"/>
    <w:rsid w:val="006C3F11"/>
    <w:rsid w:val="006E356A"/>
    <w:rsid w:val="006F1FAC"/>
    <w:rsid w:val="007001F5"/>
    <w:rsid w:val="007835C8"/>
    <w:rsid w:val="007976A2"/>
    <w:rsid w:val="007B128B"/>
    <w:rsid w:val="007B61B4"/>
    <w:rsid w:val="007C6EB1"/>
    <w:rsid w:val="007D7191"/>
    <w:rsid w:val="00802553"/>
    <w:rsid w:val="00821BFE"/>
    <w:rsid w:val="00840465"/>
    <w:rsid w:val="00845DAA"/>
    <w:rsid w:val="008506A4"/>
    <w:rsid w:val="0086022A"/>
    <w:rsid w:val="00863094"/>
    <w:rsid w:val="00864D04"/>
    <w:rsid w:val="00880CC7"/>
    <w:rsid w:val="008A7732"/>
    <w:rsid w:val="008C5023"/>
    <w:rsid w:val="008C673A"/>
    <w:rsid w:val="008C7404"/>
    <w:rsid w:val="008D61CE"/>
    <w:rsid w:val="00901F74"/>
    <w:rsid w:val="00923F7B"/>
    <w:rsid w:val="00942030"/>
    <w:rsid w:val="009512ED"/>
    <w:rsid w:val="009533D3"/>
    <w:rsid w:val="009648C4"/>
    <w:rsid w:val="009872D0"/>
    <w:rsid w:val="009953DE"/>
    <w:rsid w:val="009D2998"/>
    <w:rsid w:val="009D4443"/>
    <w:rsid w:val="009D5115"/>
    <w:rsid w:val="00A311DA"/>
    <w:rsid w:val="00A67180"/>
    <w:rsid w:val="00A87A2D"/>
    <w:rsid w:val="00A955FB"/>
    <w:rsid w:val="00AD3C82"/>
    <w:rsid w:val="00AF7FC2"/>
    <w:rsid w:val="00B16CF0"/>
    <w:rsid w:val="00B412F0"/>
    <w:rsid w:val="00B4731B"/>
    <w:rsid w:val="00B51CBA"/>
    <w:rsid w:val="00B60809"/>
    <w:rsid w:val="00B61E4E"/>
    <w:rsid w:val="00B6723F"/>
    <w:rsid w:val="00B750EB"/>
    <w:rsid w:val="00BC4D85"/>
    <w:rsid w:val="00BC66BB"/>
    <w:rsid w:val="00BD7121"/>
    <w:rsid w:val="00BE223B"/>
    <w:rsid w:val="00C10F10"/>
    <w:rsid w:val="00C26860"/>
    <w:rsid w:val="00C4562D"/>
    <w:rsid w:val="00C47E31"/>
    <w:rsid w:val="00C95D4E"/>
    <w:rsid w:val="00C967CF"/>
    <w:rsid w:val="00CE12D0"/>
    <w:rsid w:val="00CE3E35"/>
    <w:rsid w:val="00CF4ECC"/>
    <w:rsid w:val="00D408EF"/>
    <w:rsid w:val="00D5587A"/>
    <w:rsid w:val="00D57CD4"/>
    <w:rsid w:val="00D675F5"/>
    <w:rsid w:val="00D92958"/>
    <w:rsid w:val="00DD3DF7"/>
    <w:rsid w:val="00DE26F3"/>
    <w:rsid w:val="00DE3196"/>
    <w:rsid w:val="00DF729A"/>
    <w:rsid w:val="00E01309"/>
    <w:rsid w:val="00E24FEC"/>
    <w:rsid w:val="00E36135"/>
    <w:rsid w:val="00E4559B"/>
    <w:rsid w:val="00E45C80"/>
    <w:rsid w:val="00E60360"/>
    <w:rsid w:val="00E83BB9"/>
    <w:rsid w:val="00E85183"/>
    <w:rsid w:val="00E865DD"/>
    <w:rsid w:val="00E871DE"/>
    <w:rsid w:val="00E87350"/>
    <w:rsid w:val="00EB0F53"/>
    <w:rsid w:val="00EB6F78"/>
    <w:rsid w:val="00EE7CE4"/>
    <w:rsid w:val="00F1467C"/>
    <w:rsid w:val="00F35D94"/>
    <w:rsid w:val="00F55C58"/>
    <w:rsid w:val="00F708AE"/>
    <w:rsid w:val="00F926C1"/>
    <w:rsid w:val="00FA04CD"/>
    <w:rsid w:val="00FB02E3"/>
    <w:rsid w:val="00FB73ED"/>
    <w:rsid w:val="00FC1182"/>
    <w:rsid w:val="00FC56D0"/>
    <w:rsid w:val="00FD2370"/>
    <w:rsid w:val="00FD3FD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69D"/>
  <w15:docId w15:val="{477B56E1-18F5-4A90-BC48-7E743579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Law, Royal K. (CDC/ONDIEH/NCEH)</cp:lastModifiedBy>
  <cp:revision>2</cp:revision>
  <dcterms:created xsi:type="dcterms:W3CDTF">2016-08-09T20:35:00Z</dcterms:created>
  <dcterms:modified xsi:type="dcterms:W3CDTF">2016-08-09T20:35:00Z</dcterms:modified>
</cp:coreProperties>
</file>