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6D2" w:rsidRPr="00063AB9" w:rsidRDefault="001076D2" w:rsidP="00373487">
      <w:pPr>
        <w:jc w:val="center"/>
        <w:rPr>
          <w:b/>
        </w:rPr>
      </w:pPr>
      <w:r w:rsidRPr="00063AB9">
        <w:rPr>
          <w:b/>
        </w:rPr>
        <w:t>“</w:t>
      </w:r>
      <w:r w:rsidR="00373487" w:rsidRPr="00373487">
        <w:rPr>
          <w:b/>
          <w:bCs/>
        </w:rPr>
        <w:t>Guidance for Industry and Food and Drug Administration Staff; Section 905(j) Reports: Demonstrating Substantial Equivalence for Tobacco Products</w:t>
      </w:r>
      <w:r w:rsidRPr="00063AB9">
        <w:rPr>
          <w:b/>
        </w:rPr>
        <w:t>”</w:t>
      </w:r>
    </w:p>
    <w:p w:rsidR="001076D2" w:rsidRPr="00FA6A85" w:rsidRDefault="001076D2" w:rsidP="001076D2">
      <w:pPr>
        <w:jc w:val="center"/>
        <w:rPr>
          <w:b/>
        </w:rPr>
      </w:pPr>
      <w:r w:rsidRPr="00FA6A85">
        <w:rPr>
          <w:b/>
        </w:rPr>
        <w:t>(OMB Control Number 0910-</w:t>
      </w:r>
      <w:r w:rsidR="00373487">
        <w:rPr>
          <w:b/>
        </w:rPr>
        <w:t>0673</w:t>
      </w:r>
      <w:r w:rsidRPr="00FA6A85">
        <w:rPr>
          <w:b/>
        </w:rPr>
        <w:t>)</w:t>
      </w:r>
    </w:p>
    <w:p w:rsidR="001076D2" w:rsidRPr="00FA6A85" w:rsidRDefault="001076D2" w:rsidP="001076D2">
      <w:pPr>
        <w:jc w:val="center"/>
        <w:rPr>
          <w:b/>
        </w:rPr>
      </w:pPr>
    </w:p>
    <w:p w:rsidR="001076D2" w:rsidRPr="00FA6A85" w:rsidRDefault="001076D2" w:rsidP="001076D2">
      <w:pPr>
        <w:jc w:val="center"/>
        <w:rPr>
          <w:b/>
        </w:rPr>
      </w:pPr>
    </w:p>
    <w:p w:rsidR="001076D2" w:rsidRPr="00FA6A85" w:rsidRDefault="00C03A24" w:rsidP="001076D2">
      <w:pPr>
        <w:rPr>
          <w:b/>
        </w:rPr>
      </w:pPr>
      <w:r>
        <w:rPr>
          <w:b/>
        </w:rPr>
        <w:t>Change Request</w:t>
      </w:r>
    </w:p>
    <w:p w:rsidR="001076D2" w:rsidRPr="00FA6A85" w:rsidRDefault="001076D2" w:rsidP="001076D2">
      <w:pPr>
        <w:rPr>
          <w:b/>
        </w:rPr>
      </w:pPr>
    </w:p>
    <w:p w:rsidR="001076D2" w:rsidRPr="00FA6A85" w:rsidRDefault="00C37C79" w:rsidP="001076D2">
      <w:pPr>
        <w:rPr>
          <w:b/>
        </w:rPr>
      </w:pPr>
      <w:r>
        <w:rPr>
          <w:b/>
        </w:rPr>
        <w:t>September</w:t>
      </w:r>
      <w:r w:rsidR="005A63EA">
        <w:rPr>
          <w:b/>
        </w:rPr>
        <w:t xml:space="preserve"> 2</w:t>
      </w:r>
      <w:r w:rsidR="004465DC">
        <w:rPr>
          <w:b/>
        </w:rPr>
        <w:t>7</w:t>
      </w:r>
      <w:bookmarkStart w:id="0" w:name="_GoBack"/>
      <w:bookmarkEnd w:id="0"/>
      <w:r w:rsidR="00373487">
        <w:rPr>
          <w:b/>
        </w:rPr>
        <w:t>, 2015</w:t>
      </w:r>
    </w:p>
    <w:p w:rsidR="001076D2" w:rsidRPr="00FA6A85" w:rsidRDefault="001076D2" w:rsidP="001076D2">
      <w:pPr>
        <w:jc w:val="center"/>
      </w:pPr>
    </w:p>
    <w:p w:rsidR="001076D2" w:rsidRPr="00FA6A85" w:rsidRDefault="001076D2" w:rsidP="00671626">
      <w:pPr>
        <w:spacing w:line="360" w:lineRule="auto"/>
      </w:pPr>
    </w:p>
    <w:p w:rsidR="0013562F" w:rsidRDefault="001076D2" w:rsidP="008E30AF">
      <w:pPr>
        <w:spacing w:line="360" w:lineRule="auto"/>
      </w:pPr>
      <w:r w:rsidRPr="00FA6A85">
        <w:t>The Food and Drug Administration is submitting this nonmaterial/non-substantive c</w:t>
      </w:r>
      <w:r w:rsidR="00C03A24">
        <w:t xml:space="preserve">hange request </w:t>
      </w:r>
      <w:r w:rsidR="0013562F">
        <w:t xml:space="preserve">to </w:t>
      </w:r>
      <w:r w:rsidR="00A249D6">
        <w:t>reduce</w:t>
      </w:r>
      <w:r w:rsidR="00373487">
        <w:t xml:space="preserve"> the burden based </w:t>
      </w:r>
      <w:r w:rsidR="00671626">
        <w:t xml:space="preserve">on </w:t>
      </w:r>
      <w:r w:rsidR="00814208">
        <w:t xml:space="preserve">a </w:t>
      </w:r>
      <w:r w:rsidR="00814208" w:rsidRPr="00814208">
        <w:t>recent decision in the United States District Court for the District of Columbia</w:t>
      </w:r>
      <w:r w:rsidR="00814208">
        <w:t>. The court</w:t>
      </w:r>
      <w:r w:rsidR="00814208" w:rsidRPr="00814208">
        <w:t xml:space="preserve"> found that a modification to an existing tobacco product’s label does not result in a “new tobacco product.”   (Philip Morris USA Inc. v. United States Food and Drug Administration, No. 15-cv1590 (APM), (D.D.C. Aug. 16, 2016)).  As such, products with a modified label are not required to receive premarket authorization.   Thus, the </w:t>
      </w:r>
      <w:r w:rsidR="008E30AF">
        <w:t xml:space="preserve">numbers will reflect </w:t>
      </w:r>
      <w:r w:rsidR="00814208" w:rsidRPr="00814208">
        <w:t>that manufacturers need not submit SE applications for label changes.</w:t>
      </w:r>
    </w:p>
    <w:p w:rsidR="008E30AF" w:rsidRDefault="008E30AF" w:rsidP="008E30AF">
      <w:pPr>
        <w:spacing w:line="360" w:lineRule="auto"/>
      </w:pPr>
    </w:p>
    <w:p w:rsidR="00373487" w:rsidRDefault="008E30AF" w:rsidP="00C314AF">
      <w:pPr>
        <w:spacing w:line="360" w:lineRule="auto"/>
      </w:pPr>
      <w:r>
        <w:t>The decrease results in minus 518 annual responses and 24,346 hours. Based on these estimates, FDA now estimates that the total burden of this collection is 171,878 (as shown in the chart) and the updated supporting statement attached.</w:t>
      </w:r>
      <w:r w:rsidR="00C314AF">
        <w:t xml:space="preserve"> </w:t>
      </w:r>
    </w:p>
    <w:bookmarkStart w:id="1" w:name="_MON_1536477723"/>
    <w:bookmarkEnd w:id="1"/>
    <w:p w:rsidR="008E30AF" w:rsidRDefault="004465DC" w:rsidP="008E30AF">
      <w:pPr>
        <w:spacing w:line="360" w:lineRule="auto"/>
      </w:pPr>
      <w:r>
        <w:object w:dxaOrig="153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49.5pt" o:ole="">
            <v:imagedata r:id="rId6" o:title=""/>
          </v:shape>
          <o:OLEObject Type="Embed" ProgID="Word.Document.12" ShapeID="_x0000_i1027" DrawAspect="Icon" ObjectID="_1536477738" r:id="rId7">
            <o:FieldCodes>\s</o:FieldCodes>
          </o:OLEObject>
        </w:objec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1112"/>
        <w:gridCol w:w="1502"/>
        <w:gridCol w:w="1188"/>
        <w:gridCol w:w="1582"/>
        <w:gridCol w:w="1915"/>
      </w:tblGrid>
      <w:tr w:rsidR="00E03513" w:rsidRPr="00671626" w:rsidTr="00A15ABE">
        <w:trPr>
          <w:cantSplit/>
          <w:trHeight w:val="1"/>
          <w:tblHeader/>
        </w:trPr>
        <w:tc>
          <w:tcPr>
            <w:tcW w:w="5000" w:type="pct"/>
            <w:gridSpan w:val="6"/>
            <w:tcBorders>
              <w:top w:val="nil"/>
              <w:left w:val="nil"/>
              <w:bottom w:val="single" w:sz="4" w:space="0" w:color="auto"/>
              <w:right w:val="nil"/>
            </w:tcBorders>
            <w:shd w:val="clear" w:color="auto" w:fill="auto"/>
          </w:tcPr>
          <w:p w:rsidR="00E03513" w:rsidRPr="00671626" w:rsidRDefault="00E03513" w:rsidP="00A15ABE">
            <w:pPr>
              <w:rPr>
                <w:b/>
                <w:bCs/>
              </w:rPr>
            </w:pPr>
          </w:p>
        </w:tc>
      </w:tr>
      <w:tr w:rsidR="00E03513" w:rsidRPr="00A249D6" w:rsidTr="00A15ABE">
        <w:trPr>
          <w:cantSplit/>
          <w:trHeight w:val="1"/>
          <w:tblHeader/>
        </w:trPr>
        <w:tc>
          <w:tcPr>
            <w:tcW w:w="879" w:type="pct"/>
            <w:shd w:val="clear" w:color="auto" w:fill="auto"/>
          </w:tcPr>
          <w:p w:rsidR="00E03513" w:rsidRPr="00A249D6" w:rsidRDefault="00E03513" w:rsidP="00A15ABE">
            <w:r w:rsidRPr="00A249D6">
              <w:t>Activity</w:t>
            </w:r>
          </w:p>
        </w:tc>
        <w:tc>
          <w:tcPr>
            <w:tcW w:w="628" w:type="pct"/>
            <w:shd w:val="clear" w:color="auto" w:fill="auto"/>
          </w:tcPr>
          <w:p w:rsidR="00E03513" w:rsidRPr="00A249D6" w:rsidRDefault="00E03513" w:rsidP="00A15ABE">
            <w:r w:rsidRPr="00A249D6">
              <w:t>Number. of respondents</w:t>
            </w:r>
          </w:p>
        </w:tc>
        <w:tc>
          <w:tcPr>
            <w:tcW w:w="848" w:type="pct"/>
            <w:shd w:val="clear" w:color="auto" w:fill="auto"/>
          </w:tcPr>
          <w:p w:rsidR="00E03513" w:rsidRPr="00A249D6" w:rsidRDefault="00E03513" w:rsidP="00A15ABE">
            <w:r w:rsidRPr="00A249D6">
              <w:rPr>
                <w:bCs/>
              </w:rPr>
              <w:t>Number of responses per respondent</w:t>
            </w:r>
          </w:p>
        </w:tc>
        <w:tc>
          <w:tcPr>
            <w:tcW w:w="671" w:type="pct"/>
            <w:shd w:val="clear" w:color="auto" w:fill="auto"/>
          </w:tcPr>
          <w:p w:rsidR="00E03513" w:rsidRPr="00A249D6" w:rsidRDefault="00E03513" w:rsidP="00A15ABE">
            <w:r w:rsidRPr="00A249D6">
              <w:t>Total annual responses</w:t>
            </w:r>
          </w:p>
        </w:tc>
        <w:tc>
          <w:tcPr>
            <w:tcW w:w="893" w:type="pct"/>
            <w:shd w:val="clear" w:color="auto" w:fill="auto"/>
          </w:tcPr>
          <w:p w:rsidR="00E03513" w:rsidRPr="00A249D6" w:rsidRDefault="00E03513" w:rsidP="00A15ABE">
            <w:r w:rsidRPr="00A249D6">
              <w:rPr>
                <w:bCs/>
              </w:rPr>
              <w:t>Average burden per response</w:t>
            </w:r>
          </w:p>
        </w:tc>
        <w:tc>
          <w:tcPr>
            <w:tcW w:w="1081" w:type="pct"/>
            <w:shd w:val="clear" w:color="auto" w:fill="auto"/>
          </w:tcPr>
          <w:p w:rsidR="00E03513" w:rsidRPr="00A249D6" w:rsidRDefault="00E03513" w:rsidP="00A15ABE">
            <w:r w:rsidRPr="00A249D6">
              <w:t>Total hours</w:t>
            </w:r>
          </w:p>
        </w:tc>
      </w:tr>
      <w:tr w:rsidR="00E03513" w:rsidRPr="00A249D6" w:rsidTr="00A15ABE">
        <w:trPr>
          <w:cantSplit/>
          <w:trHeight w:val="1"/>
        </w:trPr>
        <w:tc>
          <w:tcPr>
            <w:tcW w:w="879" w:type="pct"/>
            <w:shd w:val="clear" w:color="auto" w:fill="auto"/>
          </w:tcPr>
          <w:p w:rsidR="00E03513" w:rsidRPr="00A249D6" w:rsidRDefault="00E03513" w:rsidP="00A15ABE">
            <w:r w:rsidRPr="00A249D6">
              <w:t>Full SE 905(j)(1)(A)(</w:t>
            </w:r>
            <w:proofErr w:type="spellStart"/>
            <w:r w:rsidRPr="00A249D6">
              <w:t>i</w:t>
            </w:r>
            <w:proofErr w:type="spellEnd"/>
            <w:r w:rsidRPr="00A249D6">
              <w:t>) and 910(a</w:t>
            </w:r>
            <w:r>
              <w:t>)</w:t>
            </w:r>
          </w:p>
        </w:tc>
        <w:tc>
          <w:tcPr>
            <w:tcW w:w="628" w:type="pct"/>
            <w:shd w:val="clear" w:color="auto" w:fill="auto"/>
          </w:tcPr>
          <w:p w:rsidR="00E03513" w:rsidRPr="00A249D6" w:rsidRDefault="00E03513" w:rsidP="00A15ABE">
            <w:r>
              <w:t>410</w:t>
            </w:r>
          </w:p>
        </w:tc>
        <w:tc>
          <w:tcPr>
            <w:tcW w:w="848" w:type="pct"/>
            <w:shd w:val="clear" w:color="auto" w:fill="auto"/>
          </w:tcPr>
          <w:p w:rsidR="00E03513" w:rsidRPr="00A249D6" w:rsidRDefault="00E03513" w:rsidP="00A15ABE">
            <w:r w:rsidRPr="00A249D6">
              <w:t>1</w:t>
            </w:r>
          </w:p>
        </w:tc>
        <w:tc>
          <w:tcPr>
            <w:tcW w:w="671" w:type="pct"/>
            <w:shd w:val="clear" w:color="auto" w:fill="auto"/>
          </w:tcPr>
          <w:p w:rsidR="00E03513" w:rsidRPr="00A249D6" w:rsidRDefault="00E03513" w:rsidP="00A15ABE">
            <w:r>
              <w:t>410</w:t>
            </w:r>
          </w:p>
        </w:tc>
        <w:tc>
          <w:tcPr>
            <w:tcW w:w="893" w:type="pct"/>
            <w:shd w:val="clear" w:color="auto" w:fill="auto"/>
          </w:tcPr>
          <w:p w:rsidR="00E03513" w:rsidRPr="00A249D6" w:rsidRDefault="00E03513" w:rsidP="00A15ABE">
            <w:r w:rsidRPr="00A249D6">
              <w:t>300</w:t>
            </w:r>
          </w:p>
        </w:tc>
        <w:tc>
          <w:tcPr>
            <w:tcW w:w="1081" w:type="pct"/>
            <w:shd w:val="clear" w:color="auto" w:fill="auto"/>
          </w:tcPr>
          <w:p w:rsidR="00E03513" w:rsidRPr="00A249D6" w:rsidRDefault="00E03513" w:rsidP="00A15ABE">
            <w:r>
              <w:t>123,000</w:t>
            </w:r>
          </w:p>
        </w:tc>
      </w:tr>
      <w:tr w:rsidR="00E03513" w:rsidRPr="00A249D6" w:rsidTr="00A15ABE">
        <w:trPr>
          <w:cantSplit/>
          <w:trHeight w:val="1"/>
        </w:trPr>
        <w:tc>
          <w:tcPr>
            <w:tcW w:w="879" w:type="pct"/>
            <w:shd w:val="clear" w:color="auto" w:fill="auto"/>
          </w:tcPr>
          <w:p w:rsidR="00E03513" w:rsidRPr="00A249D6" w:rsidRDefault="00E03513" w:rsidP="00A15ABE">
            <w:r w:rsidRPr="00A249D6">
              <w:t>Full SE 905(j)(1)(A)(</w:t>
            </w:r>
            <w:proofErr w:type="spellStart"/>
            <w:r w:rsidRPr="00A249D6">
              <w:t>i</w:t>
            </w:r>
            <w:proofErr w:type="spellEnd"/>
            <w:r w:rsidRPr="00A249D6">
              <w:t>) and 910(a</w:t>
            </w:r>
            <w:r>
              <w:t>) Bundled</w:t>
            </w:r>
          </w:p>
        </w:tc>
        <w:tc>
          <w:tcPr>
            <w:tcW w:w="628" w:type="pct"/>
            <w:shd w:val="clear" w:color="auto" w:fill="auto"/>
          </w:tcPr>
          <w:p w:rsidR="00E03513" w:rsidRPr="00A249D6" w:rsidRDefault="00E03513" w:rsidP="00A15ABE">
            <w:r>
              <w:t>250</w:t>
            </w:r>
          </w:p>
        </w:tc>
        <w:tc>
          <w:tcPr>
            <w:tcW w:w="848" w:type="pct"/>
            <w:shd w:val="clear" w:color="auto" w:fill="auto"/>
          </w:tcPr>
          <w:p w:rsidR="00E03513" w:rsidRPr="00A249D6" w:rsidRDefault="00E03513" w:rsidP="00A15ABE">
            <w:r>
              <w:t>1</w:t>
            </w:r>
          </w:p>
        </w:tc>
        <w:tc>
          <w:tcPr>
            <w:tcW w:w="671" w:type="pct"/>
            <w:shd w:val="clear" w:color="auto" w:fill="auto"/>
          </w:tcPr>
          <w:p w:rsidR="00E03513" w:rsidRPr="00A249D6" w:rsidRDefault="00E03513" w:rsidP="00A15ABE">
            <w:r>
              <w:t>250</w:t>
            </w:r>
          </w:p>
        </w:tc>
        <w:tc>
          <w:tcPr>
            <w:tcW w:w="893" w:type="pct"/>
            <w:shd w:val="clear" w:color="auto" w:fill="auto"/>
          </w:tcPr>
          <w:p w:rsidR="00E03513" w:rsidRPr="00A249D6" w:rsidRDefault="00E03513" w:rsidP="00A15ABE">
            <w:r>
              <w:t>90</w:t>
            </w:r>
          </w:p>
        </w:tc>
        <w:tc>
          <w:tcPr>
            <w:tcW w:w="1081" w:type="pct"/>
            <w:shd w:val="clear" w:color="auto" w:fill="auto"/>
          </w:tcPr>
          <w:p w:rsidR="00E03513" w:rsidRPr="00A249D6" w:rsidRDefault="00E03513" w:rsidP="00A15ABE">
            <w:r>
              <w:t>22,500</w:t>
            </w:r>
          </w:p>
        </w:tc>
      </w:tr>
      <w:tr w:rsidR="00E03513" w:rsidRPr="00A249D6" w:rsidTr="00A15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513" w:rsidRPr="00A249D6" w:rsidRDefault="00E03513" w:rsidP="00A15ABE">
            <w:r w:rsidRPr="00A249D6">
              <w:t xml:space="preserve">Product Quantity </w:t>
            </w:r>
            <w:r w:rsidRPr="00A249D6">
              <w:lastRenderedPageBreak/>
              <w:t>Change SE Report</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E03513" w:rsidRPr="00A249D6" w:rsidRDefault="00E03513" w:rsidP="00A15ABE">
            <w:r>
              <w:lastRenderedPageBreak/>
              <w:t>264</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E03513" w:rsidRPr="00A249D6" w:rsidRDefault="00E03513" w:rsidP="00A15ABE">
            <w:r w:rsidRPr="00A249D6">
              <w:t>1</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E03513" w:rsidRPr="00A249D6" w:rsidRDefault="00E03513" w:rsidP="00A15ABE">
            <w:r>
              <w:t>264</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E03513" w:rsidRPr="00A249D6" w:rsidRDefault="00E03513" w:rsidP="00A15ABE">
            <w:r w:rsidRPr="00A249D6">
              <w:t>87</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E03513" w:rsidRPr="00A249D6" w:rsidRDefault="00E03513" w:rsidP="00A15ABE">
            <w:r>
              <w:t>22,968</w:t>
            </w:r>
          </w:p>
        </w:tc>
      </w:tr>
      <w:tr w:rsidR="00E03513" w:rsidRPr="00A249D6" w:rsidTr="00A15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03513" w:rsidRPr="00A249D6" w:rsidRDefault="00E03513" w:rsidP="00A15ABE">
            <w:r w:rsidRPr="0083276D">
              <w:lastRenderedPageBreak/>
              <w:t xml:space="preserve">Product Quantity Change </w:t>
            </w:r>
            <w:r>
              <w:t xml:space="preserve">Bundled </w:t>
            </w:r>
            <w:r w:rsidRPr="0083276D">
              <w:t>SE Report</w:t>
            </w:r>
          </w:p>
        </w:tc>
        <w:tc>
          <w:tcPr>
            <w:tcW w:w="628" w:type="pct"/>
            <w:tcBorders>
              <w:top w:val="nil"/>
              <w:left w:val="nil"/>
              <w:bottom w:val="single" w:sz="8" w:space="0" w:color="auto"/>
              <w:right w:val="single" w:sz="8" w:space="0" w:color="auto"/>
            </w:tcBorders>
            <w:tcMar>
              <w:top w:w="0" w:type="dxa"/>
              <w:left w:w="108" w:type="dxa"/>
              <w:bottom w:w="0" w:type="dxa"/>
              <w:right w:w="108" w:type="dxa"/>
            </w:tcMar>
          </w:tcPr>
          <w:p w:rsidR="00E03513" w:rsidRPr="00A249D6" w:rsidRDefault="00E03513" w:rsidP="00A15ABE">
            <w:r>
              <w:t>55</w:t>
            </w:r>
          </w:p>
        </w:tc>
        <w:tc>
          <w:tcPr>
            <w:tcW w:w="848" w:type="pct"/>
            <w:tcBorders>
              <w:top w:val="nil"/>
              <w:left w:val="nil"/>
              <w:bottom w:val="single" w:sz="8" w:space="0" w:color="auto"/>
              <w:right w:val="single" w:sz="8" w:space="0" w:color="auto"/>
            </w:tcBorders>
            <w:tcMar>
              <w:top w:w="0" w:type="dxa"/>
              <w:left w:w="108" w:type="dxa"/>
              <w:bottom w:w="0" w:type="dxa"/>
              <w:right w:w="108" w:type="dxa"/>
            </w:tcMar>
          </w:tcPr>
          <w:p w:rsidR="00E03513" w:rsidRPr="00A249D6" w:rsidRDefault="00E03513" w:rsidP="00A15ABE">
            <w:r>
              <w:t>1</w:t>
            </w:r>
          </w:p>
        </w:tc>
        <w:tc>
          <w:tcPr>
            <w:tcW w:w="671" w:type="pct"/>
            <w:tcBorders>
              <w:top w:val="nil"/>
              <w:left w:val="nil"/>
              <w:bottom w:val="single" w:sz="8" w:space="0" w:color="auto"/>
              <w:right w:val="single" w:sz="8" w:space="0" w:color="auto"/>
            </w:tcBorders>
            <w:tcMar>
              <w:top w:w="0" w:type="dxa"/>
              <w:left w:w="108" w:type="dxa"/>
              <w:bottom w:w="0" w:type="dxa"/>
              <w:right w:w="108" w:type="dxa"/>
            </w:tcMar>
          </w:tcPr>
          <w:p w:rsidR="00E03513" w:rsidRPr="00A249D6" w:rsidRDefault="00E03513" w:rsidP="00A15ABE">
            <w:r>
              <w:t>55</w:t>
            </w:r>
          </w:p>
        </w:tc>
        <w:tc>
          <w:tcPr>
            <w:tcW w:w="893" w:type="pct"/>
            <w:tcBorders>
              <w:top w:val="nil"/>
              <w:left w:val="nil"/>
              <w:bottom w:val="single" w:sz="8" w:space="0" w:color="auto"/>
              <w:right w:val="single" w:sz="8" w:space="0" w:color="auto"/>
            </w:tcBorders>
            <w:tcMar>
              <w:top w:w="0" w:type="dxa"/>
              <w:left w:w="108" w:type="dxa"/>
              <w:bottom w:w="0" w:type="dxa"/>
              <w:right w:w="108" w:type="dxa"/>
            </w:tcMar>
          </w:tcPr>
          <w:p w:rsidR="00E03513" w:rsidRPr="00A249D6" w:rsidRDefault="00E03513" w:rsidP="00A15ABE">
            <w:r>
              <w:t>62</w:t>
            </w:r>
          </w:p>
        </w:tc>
        <w:tc>
          <w:tcPr>
            <w:tcW w:w="1081" w:type="pct"/>
            <w:tcBorders>
              <w:top w:val="nil"/>
              <w:left w:val="nil"/>
              <w:bottom w:val="single" w:sz="8" w:space="0" w:color="auto"/>
              <w:right w:val="single" w:sz="8" w:space="0" w:color="auto"/>
            </w:tcBorders>
            <w:tcMar>
              <w:top w:w="0" w:type="dxa"/>
              <w:left w:w="108" w:type="dxa"/>
              <w:bottom w:w="0" w:type="dxa"/>
              <w:right w:w="108" w:type="dxa"/>
            </w:tcMar>
          </w:tcPr>
          <w:p w:rsidR="00E03513" w:rsidRPr="00A249D6" w:rsidRDefault="00E03513" w:rsidP="00A15ABE">
            <w:r>
              <w:t>3,410</w:t>
            </w:r>
          </w:p>
        </w:tc>
      </w:tr>
      <w:tr w:rsidR="00E03513" w:rsidRPr="00A249D6" w:rsidTr="00A15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879" w:type="pct"/>
            <w:tcBorders>
              <w:top w:val="nil"/>
              <w:left w:val="single" w:sz="8" w:space="0" w:color="auto"/>
              <w:bottom w:val="nil"/>
              <w:right w:val="single" w:sz="8" w:space="0" w:color="auto"/>
            </w:tcBorders>
            <w:tcMar>
              <w:top w:w="0" w:type="dxa"/>
              <w:left w:w="108" w:type="dxa"/>
              <w:bottom w:w="0" w:type="dxa"/>
              <w:right w:w="108" w:type="dxa"/>
            </w:tcMar>
          </w:tcPr>
          <w:p w:rsidR="00E03513" w:rsidRPr="00A249D6" w:rsidRDefault="00E03513" w:rsidP="00A15ABE"/>
        </w:tc>
        <w:tc>
          <w:tcPr>
            <w:tcW w:w="628" w:type="pct"/>
            <w:tcBorders>
              <w:top w:val="nil"/>
              <w:left w:val="nil"/>
              <w:bottom w:val="nil"/>
              <w:right w:val="single" w:sz="8" w:space="0" w:color="auto"/>
            </w:tcBorders>
            <w:tcMar>
              <w:top w:w="0" w:type="dxa"/>
              <w:left w:w="108" w:type="dxa"/>
              <w:bottom w:w="0" w:type="dxa"/>
              <w:right w:w="108" w:type="dxa"/>
            </w:tcMar>
          </w:tcPr>
          <w:p w:rsidR="00E03513" w:rsidRPr="00A249D6" w:rsidRDefault="00E03513" w:rsidP="00A15ABE"/>
        </w:tc>
        <w:tc>
          <w:tcPr>
            <w:tcW w:w="848" w:type="pct"/>
            <w:tcBorders>
              <w:top w:val="nil"/>
              <w:left w:val="nil"/>
              <w:bottom w:val="nil"/>
              <w:right w:val="single" w:sz="8" w:space="0" w:color="auto"/>
            </w:tcBorders>
            <w:tcMar>
              <w:top w:w="0" w:type="dxa"/>
              <w:left w:w="108" w:type="dxa"/>
              <w:bottom w:w="0" w:type="dxa"/>
              <w:right w:w="108" w:type="dxa"/>
            </w:tcMar>
          </w:tcPr>
          <w:p w:rsidR="00E03513" w:rsidRPr="00A249D6" w:rsidRDefault="00E03513" w:rsidP="00A15ABE"/>
        </w:tc>
        <w:tc>
          <w:tcPr>
            <w:tcW w:w="671" w:type="pct"/>
            <w:tcBorders>
              <w:top w:val="nil"/>
              <w:left w:val="nil"/>
              <w:bottom w:val="nil"/>
              <w:right w:val="single" w:sz="8" w:space="0" w:color="auto"/>
            </w:tcBorders>
            <w:tcMar>
              <w:top w:w="0" w:type="dxa"/>
              <w:left w:w="108" w:type="dxa"/>
              <w:bottom w:w="0" w:type="dxa"/>
              <w:right w:w="108" w:type="dxa"/>
            </w:tcMar>
          </w:tcPr>
          <w:p w:rsidR="00E03513" w:rsidRPr="00A249D6" w:rsidRDefault="00E03513" w:rsidP="00A15ABE"/>
        </w:tc>
        <w:tc>
          <w:tcPr>
            <w:tcW w:w="893" w:type="pct"/>
            <w:tcBorders>
              <w:top w:val="nil"/>
              <w:left w:val="nil"/>
              <w:bottom w:val="nil"/>
              <w:right w:val="single" w:sz="8" w:space="0" w:color="auto"/>
            </w:tcBorders>
            <w:tcMar>
              <w:top w:w="0" w:type="dxa"/>
              <w:left w:w="108" w:type="dxa"/>
              <w:bottom w:w="0" w:type="dxa"/>
              <w:right w:w="108" w:type="dxa"/>
            </w:tcMar>
          </w:tcPr>
          <w:p w:rsidR="00E03513" w:rsidRPr="00A249D6" w:rsidRDefault="00E03513" w:rsidP="00A15ABE"/>
        </w:tc>
        <w:tc>
          <w:tcPr>
            <w:tcW w:w="1081" w:type="pct"/>
            <w:tcBorders>
              <w:top w:val="nil"/>
              <w:left w:val="nil"/>
              <w:bottom w:val="nil"/>
              <w:right w:val="single" w:sz="8" w:space="0" w:color="auto"/>
            </w:tcBorders>
            <w:tcMar>
              <w:top w:w="0" w:type="dxa"/>
              <w:left w:w="108" w:type="dxa"/>
              <w:bottom w:w="0" w:type="dxa"/>
              <w:right w:w="108" w:type="dxa"/>
            </w:tcMar>
            <w:hideMark/>
          </w:tcPr>
          <w:p w:rsidR="00E03513" w:rsidRPr="00A249D6" w:rsidRDefault="00E03513" w:rsidP="00A15ABE"/>
        </w:tc>
      </w:tr>
      <w:tr w:rsidR="00E03513" w:rsidRPr="00A249D6" w:rsidTr="00A15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1"/>
        </w:trPr>
        <w:tc>
          <w:tcPr>
            <w:tcW w:w="879" w:type="pct"/>
            <w:tcBorders>
              <w:top w:val="nil"/>
              <w:left w:val="single" w:sz="8" w:space="0" w:color="auto"/>
              <w:bottom w:val="nil"/>
              <w:right w:val="single" w:sz="8" w:space="0" w:color="auto"/>
            </w:tcBorders>
            <w:tcMar>
              <w:top w:w="0" w:type="dxa"/>
              <w:left w:w="108" w:type="dxa"/>
              <w:bottom w:w="0" w:type="dxa"/>
              <w:right w:w="108" w:type="dxa"/>
            </w:tcMar>
            <w:hideMark/>
          </w:tcPr>
          <w:p w:rsidR="00E03513" w:rsidRPr="00A249D6" w:rsidRDefault="00E03513" w:rsidP="00A15ABE">
            <w:r w:rsidRPr="00A249D6">
              <w:t>Totals</w:t>
            </w:r>
          </w:p>
        </w:tc>
        <w:tc>
          <w:tcPr>
            <w:tcW w:w="628" w:type="pct"/>
            <w:tcBorders>
              <w:top w:val="nil"/>
              <w:left w:val="nil"/>
              <w:bottom w:val="nil"/>
              <w:right w:val="single" w:sz="8" w:space="0" w:color="auto"/>
            </w:tcBorders>
            <w:tcMar>
              <w:top w:w="0" w:type="dxa"/>
              <w:left w:w="108" w:type="dxa"/>
              <w:bottom w:w="0" w:type="dxa"/>
              <w:right w:w="108" w:type="dxa"/>
            </w:tcMar>
          </w:tcPr>
          <w:p w:rsidR="00E03513" w:rsidRPr="00A249D6" w:rsidRDefault="00E03513" w:rsidP="00A15ABE"/>
        </w:tc>
        <w:tc>
          <w:tcPr>
            <w:tcW w:w="848" w:type="pct"/>
            <w:tcBorders>
              <w:top w:val="nil"/>
              <w:left w:val="nil"/>
              <w:bottom w:val="nil"/>
              <w:right w:val="single" w:sz="8" w:space="0" w:color="auto"/>
            </w:tcBorders>
            <w:tcMar>
              <w:top w:w="0" w:type="dxa"/>
              <w:left w:w="108" w:type="dxa"/>
              <w:bottom w:w="0" w:type="dxa"/>
              <w:right w:w="108" w:type="dxa"/>
            </w:tcMar>
          </w:tcPr>
          <w:p w:rsidR="00E03513" w:rsidRPr="00A249D6" w:rsidRDefault="00E03513" w:rsidP="00A15ABE"/>
        </w:tc>
        <w:tc>
          <w:tcPr>
            <w:tcW w:w="671" w:type="pct"/>
            <w:tcBorders>
              <w:top w:val="nil"/>
              <w:left w:val="nil"/>
              <w:bottom w:val="nil"/>
              <w:right w:val="single" w:sz="8" w:space="0" w:color="auto"/>
            </w:tcBorders>
            <w:tcMar>
              <w:top w:w="0" w:type="dxa"/>
              <w:left w:w="108" w:type="dxa"/>
              <w:bottom w:w="0" w:type="dxa"/>
              <w:right w:w="108" w:type="dxa"/>
            </w:tcMar>
          </w:tcPr>
          <w:p w:rsidR="00E03513" w:rsidRPr="00A249D6" w:rsidRDefault="00E03513" w:rsidP="00A15ABE"/>
        </w:tc>
        <w:tc>
          <w:tcPr>
            <w:tcW w:w="893" w:type="pct"/>
            <w:tcBorders>
              <w:top w:val="nil"/>
              <w:left w:val="nil"/>
              <w:bottom w:val="nil"/>
              <w:right w:val="single" w:sz="8" w:space="0" w:color="auto"/>
            </w:tcBorders>
            <w:tcMar>
              <w:top w:w="0" w:type="dxa"/>
              <w:left w:w="108" w:type="dxa"/>
              <w:bottom w:w="0" w:type="dxa"/>
              <w:right w:w="108" w:type="dxa"/>
            </w:tcMar>
          </w:tcPr>
          <w:p w:rsidR="00E03513" w:rsidRPr="00A249D6" w:rsidRDefault="00E03513" w:rsidP="00A15ABE"/>
        </w:tc>
        <w:tc>
          <w:tcPr>
            <w:tcW w:w="1081" w:type="pct"/>
            <w:tcBorders>
              <w:top w:val="nil"/>
              <w:left w:val="nil"/>
              <w:bottom w:val="nil"/>
              <w:right w:val="single" w:sz="8" w:space="0" w:color="auto"/>
            </w:tcBorders>
            <w:tcMar>
              <w:top w:w="0" w:type="dxa"/>
              <w:left w:w="108" w:type="dxa"/>
              <w:bottom w:w="0" w:type="dxa"/>
              <w:right w:w="108" w:type="dxa"/>
            </w:tcMar>
          </w:tcPr>
          <w:p w:rsidR="00E03513" w:rsidRPr="00A249D6" w:rsidRDefault="00E03513" w:rsidP="00A15ABE">
            <w:r>
              <w:fldChar w:fldCharType="begin"/>
            </w:r>
            <w:r>
              <w:instrText xml:space="preserve"> =SUM(ABOVE) </w:instrText>
            </w:r>
            <w:r>
              <w:fldChar w:fldCharType="end"/>
            </w:r>
            <w:r>
              <w:t>171,878</w:t>
            </w:r>
          </w:p>
        </w:tc>
      </w:tr>
    </w:tbl>
    <w:p w:rsidR="005F7666" w:rsidRDefault="005F7666" w:rsidP="005F7666"/>
    <w:p w:rsidR="001603DF" w:rsidRDefault="001603DF" w:rsidP="0075675F"/>
    <w:p w:rsidR="00DE3A3A" w:rsidRPr="00FA6A85" w:rsidRDefault="00DE3A3A" w:rsidP="00DE3A3A"/>
    <w:p w:rsidR="00DE3A3A" w:rsidRPr="00FA6A85" w:rsidRDefault="00DE3A3A"/>
    <w:sectPr w:rsidR="00DE3A3A" w:rsidRPr="00FA6A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915FF"/>
    <w:multiLevelType w:val="hybridMultilevel"/>
    <w:tmpl w:val="10862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CF4F5F"/>
    <w:multiLevelType w:val="hybridMultilevel"/>
    <w:tmpl w:val="E21CC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D2"/>
    <w:rsid w:val="0000097B"/>
    <w:rsid w:val="00004386"/>
    <w:rsid w:val="00006018"/>
    <w:rsid w:val="00012642"/>
    <w:rsid w:val="00012BBD"/>
    <w:rsid w:val="000170A1"/>
    <w:rsid w:val="00021679"/>
    <w:rsid w:val="000269BD"/>
    <w:rsid w:val="000273B2"/>
    <w:rsid w:val="0003049A"/>
    <w:rsid w:val="000326DE"/>
    <w:rsid w:val="00041B12"/>
    <w:rsid w:val="00043D3B"/>
    <w:rsid w:val="00047D05"/>
    <w:rsid w:val="00051585"/>
    <w:rsid w:val="00051ACD"/>
    <w:rsid w:val="00051B17"/>
    <w:rsid w:val="00053BA9"/>
    <w:rsid w:val="000559A6"/>
    <w:rsid w:val="00056F46"/>
    <w:rsid w:val="00060811"/>
    <w:rsid w:val="00063AB9"/>
    <w:rsid w:val="00066E1B"/>
    <w:rsid w:val="000778B9"/>
    <w:rsid w:val="000823B3"/>
    <w:rsid w:val="00082AB6"/>
    <w:rsid w:val="00084301"/>
    <w:rsid w:val="00092D22"/>
    <w:rsid w:val="000A0C76"/>
    <w:rsid w:val="000A21F0"/>
    <w:rsid w:val="000A2FE3"/>
    <w:rsid w:val="000A35D1"/>
    <w:rsid w:val="000A3DDE"/>
    <w:rsid w:val="000A59A7"/>
    <w:rsid w:val="000A7381"/>
    <w:rsid w:val="000A79D9"/>
    <w:rsid w:val="000B4A8D"/>
    <w:rsid w:val="000C1095"/>
    <w:rsid w:val="000C36BE"/>
    <w:rsid w:val="000C6573"/>
    <w:rsid w:val="000D0A24"/>
    <w:rsid w:val="000D1731"/>
    <w:rsid w:val="000D24B5"/>
    <w:rsid w:val="000D3717"/>
    <w:rsid w:val="000D5823"/>
    <w:rsid w:val="000E09A1"/>
    <w:rsid w:val="000E444F"/>
    <w:rsid w:val="000E447C"/>
    <w:rsid w:val="000E58CF"/>
    <w:rsid w:val="000F5D58"/>
    <w:rsid w:val="000F5E16"/>
    <w:rsid w:val="000F6ECC"/>
    <w:rsid w:val="00100442"/>
    <w:rsid w:val="00100702"/>
    <w:rsid w:val="001007A4"/>
    <w:rsid w:val="00104617"/>
    <w:rsid w:val="00106F44"/>
    <w:rsid w:val="001076D2"/>
    <w:rsid w:val="00110AB4"/>
    <w:rsid w:val="00112B49"/>
    <w:rsid w:val="00114699"/>
    <w:rsid w:val="001266A9"/>
    <w:rsid w:val="001277D7"/>
    <w:rsid w:val="00127C3C"/>
    <w:rsid w:val="0013042E"/>
    <w:rsid w:val="0013562F"/>
    <w:rsid w:val="00140EA7"/>
    <w:rsid w:val="001501F8"/>
    <w:rsid w:val="001520E4"/>
    <w:rsid w:val="00156FD7"/>
    <w:rsid w:val="001573D0"/>
    <w:rsid w:val="001603DF"/>
    <w:rsid w:val="001703D8"/>
    <w:rsid w:val="00170C08"/>
    <w:rsid w:val="00173D3C"/>
    <w:rsid w:val="00177F99"/>
    <w:rsid w:val="001850D9"/>
    <w:rsid w:val="00185F56"/>
    <w:rsid w:val="001914CC"/>
    <w:rsid w:val="00191952"/>
    <w:rsid w:val="001922C8"/>
    <w:rsid w:val="00194064"/>
    <w:rsid w:val="001A00AE"/>
    <w:rsid w:val="001A04FF"/>
    <w:rsid w:val="001A25D6"/>
    <w:rsid w:val="001A2708"/>
    <w:rsid w:val="001A4F04"/>
    <w:rsid w:val="001A5DDF"/>
    <w:rsid w:val="001B0D57"/>
    <w:rsid w:val="001B31CC"/>
    <w:rsid w:val="001B6FEE"/>
    <w:rsid w:val="001C0E6B"/>
    <w:rsid w:val="001C1755"/>
    <w:rsid w:val="001C2369"/>
    <w:rsid w:val="001C5076"/>
    <w:rsid w:val="001C5EB7"/>
    <w:rsid w:val="001C6CF9"/>
    <w:rsid w:val="001D020E"/>
    <w:rsid w:val="001D5CF7"/>
    <w:rsid w:val="001E13BB"/>
    <w:rsid w:val="001E4160"/>
    <w:rsid w:val="001E41A9"/>
    <w:rsid w:val="001F4443"/>
    <w:rsid w:val="00201DD0"/>
    <w:rsid w:val="002067C6"/>
    <w:rsid w:val="00212204"/>
    <w:rsid w:val="00213ACB"/>
    <w:rsid w:val="00214372"/>
    <w:rsid w:val="00220C88"/>
    <w:rsid w:val="00231968"/>
    <w:rsid w:val="00232FE9"/>
    <w:rsid w:val="00233306"/>
    <w:rsid w:val="00234875"/>
    <w:rsid w:val="0023750F"/>
    <w:rsid w:val="0024605F"/>
    <w:rsid w:val="00247536"/>
    <w:rsid w:val="00255059"/>
    <w:rsid w:val="002556AA"/>
    <w:rsid w:val="002707C8"/>
    <w:rsid w:val="00271476"/>
    <w:rsid w:val="00272EFF"/>
    <w:rsid w:val="0027365B"/>
    <w:rsid w:val="00273E82"/>
    <w:rsid w:val="00274AC7"/>
    <w:rsid w:val="0027556F"/>
    <w:rsid w:val="0028111C"/>
    <w:rsid w:val="00284FFF"/>
    <w:rsid w:val="002869A0"/>
    <w:rsid w:val="00294141"/>
    <w:rsid w:val="00295B64"/>
    <w:rsid w:val="00296C92"/>
    <w:rsid w:val="002A2840"/>
    <w:rsid w:val="002A3BEA"/>
    <w:rsid w:val="002A519D"/>
    <w:rsid w:val="002A6412"/>
    <w:rsid w:val="002B1AA8"/>
    <w:rsid w:val="002B7268"/>
    <w:rsid w:val="002B7315"/>
    <w:rsid w:val="002B748B"/>
    <w:rsid w:val="002B79C4"/>
    <w:rsid w:val="002C2887"/>
    <w:rsid w:val="002C3365"/>
    <w:rsid w:val="002D101D"/>
    <w:rsid w:val="002D1F0E"/>
    <w:rsid w:val="002D3019"/>
    <w:rsid w:val="002D4BCF"/>
    <w:rsid w:val="002D4CCD"/>
    <w:rsid w:val="002D6AA0"/>
    <w:rsid w:val="002E7E08"/>
    <w:rsid w:val="002F024C"/>
    <w:rsid w:val="002F0ED7"/>
    <w:rsid w:val="002F1C4E"/>
    <w:rsid w:val="003008A6"/>
    <w:rsid w:val="00301111"/>
    <w:rsid w:val="00302A6D"/>
    <w:rsid w:val="00303B54"/>
    <w:rsid w:val="00305241"/>
    <w:rsid w:val="00311991"/>
    <w:rsid w:val="00311C0F"/>
    <w:rsid w:val="00322840"/>
    <w:rsid w:val="003231FF"/>
    <w:rsid w:val="00323E3A"/>
    <w:rsid w:val="003261E6"/>
    <w:rsid w:val="003337D5"/>
    <w:rsid w:val="00334652"/>
    <w:rsid w:val="00335544"/>
    <w:rsid w:val="003365CE"/>
    <w:rsid w:val="0034080E"/>
    <w:rsid w:val="00342766"/>
    <w:rsid w:val="0034342C"/>
    <w:rsid w:val="00343AD0"/>
    <w:rsid w:val="00343EFE"/>
    <w:rsid w:val="0034669E"/>
    <w:rsid w:val="00352C20"/>
    <w:rsid w:val="0035797B"/>
    <w:rsid w:val="00363A58"/>
    <w:rsid w:val="00364849"/>
    <w:rsid w:val="00366EA6"/>
    <w:rsid w:val="00370C26"/>
    <w:rsid w:val="00372649"/>
    <w:rsid w:val="00373487"/>
    <w:rsid w:val="003752C1"/>
    <w:rsid w:val="00375D0E"/>
    <w:rsid w:val="00376369"/>
    <w:rsid w:val="00377113"/>
    <w:rsid w:val="0038039D"/>
    <w:rsid w:val="00381C40"/>
    <w:rsid w:val="00385C1F"/>
    <w:rsid w:val="003909AC"/>
    <w:rsid w:val="00391279"/>
    <w:rsid w:val="00392D06"/>
    <w:rsid w:val="003962DE"/>
    <w:rsid w:val="00397F22"/>
    <w:rsid w:val="00397F3C"/>
    <w:rsid w:val="003A022F"/>
    <w:rsid w:val="003A1544"/>
    <w:rsid w:val="003A468B"/>
    <w:rsid w:val="003A7AEF"/>
    <w:rsid w:val="003A7C62"/>
    <w:rsid w:val="003B5CE1"/>
    <w:rsid w:val="003B7AC2"/>
    <w:rsid w:val="003C0A55"/>
    <w:rsid w:val="003D123F"/>
    <w:rsid w:val="003D1D0D"/>
    <w:rsid w:val="003D3880"/>
    <w:rsid w:val="003D59D6"/>
    <w:rsid w:val="003E0C08"/>
    <w:rsid w:val="003E0EA1"/>
    <w:rsid w:val="003E33BB"/>
    <w:rsid w:val="003E3CE3"/>
    <w:rsid w:val="003F1188"/>
    <w:rsid w:val="003F1C79"/>
    <w:rsid w:val="003F27C5"/>
    <w:rsid w:val="004009E5"/>
    <w:rsid w:val="00401D3B"/>
    <w:rsid w:val="0040393B"/>
    <w:rsid w:val="00404049"/>
    <w:rsid w:val="00411B48"/>
    <w:rsid w:val="00414A0A"/>
    <w:rsid w:val="0041560A"/>
    <w:rsid w:val="00415711"/>
    <w:rsid w:val="0041783E"/>
    <w:rsid w:val="004202B4"/>
    <w:rsid w:val="004218C0"/>
    <w:rsid w:val="00423159"/>
    <w:rsid w:val="0042555B"/>
    <w:rsid w:val="00426E27"/>
    <w:rsid w:val="00426E91"/>
    <w:rsid w:val="0043163E"/>
    <w:rsid w:val="00432E18"/>
    <w:rsid w:val="004336AD"/>
    <w:rsid w:val="004459DE"/>
    <w:rsid w:val="004465DC"/>
    <w:rsid w:val="00451F08"/>
    <w:rsid w:val="0045237F"/>
    <w:rsid w:val="004534CE"/>
    <w:rsid w:val="00454E12"/>
    <w:rsid w:val="00456A36"/>
    <w:rsid w:val="004601FA"/>
    <w:rsid w:val="00462A9A"/>
    <w:rsid w:val="004649D7"/>
    <w:rsid w:val="004661F4"/>
    <w:rsid w:val="0047165E"/>
    <w:rsid w:val="00471ABD"/>
    <w:rsid w:val="00473AF4"/>
    <w:rsid w:val="0047540D"/>
    <w:rsid w:val="00476CF6"/>
    <w:rsid w:val="0047770D"/>
    <w:rsid w:val="00477DB1"/>
    <w:rsid w:val="00486100"/>
    <w:rsid w:val="004871D1"/>
    <w:rsid w:val="0049043F"/>
    <w:rsid w:val="0049109E"/>
    <w:rsid w:val="00492D7D"/>
    <w:rsid w:val="00493AA0"/>
    <w:rsid w:val="0049539E"/>
    <w:rsid w:val="00496832"/>
    <w:rsid w:val="00496FA2"/>
    <w:rsid w:val="0049785C"/>
    <w:rsid w:val="004A4203"/>
    <w:rsid w:val="004A4B52"/>
    <w:rsid w:val="004A4CF2"/>
    <w:rsid w:val="004A601C"/>
    <w:rsid w:val="004B071A"/>
    <w:rsid w:val="004B17EC"/>
    <w:rsid w:val="004B1CAD"/>
    <w:rsid w:val="004B21CE"/>
    <w:rsid w:val="004B326C"/>
    <w:rsid w:val="004B760C"/>
    <w:rsid w:val="004C0310"/>
    <w:rsid w:val="004C497D"/>
    <w:rsid w:val="004C4D82"/>
    <w:rsid w:val="004C5B41"/>
    <w:rsid w:val="004C7CDE"/>
    <w:rsid w:val="004D14ED"/>
    <w:rsid w:val="004D29AB"/>
    <w:rsid w:val="004D59CB"/>
    <w:rsid w:val="004D5AB7"/>
    <w:rsid w:val="004E37CD"/>
    <w:rsid w:val="004E3880"/>
    <w:rsid w:val="004E3A72"/>
    <w:rsid w:val="004E6873"/>
    <w:rsid w:val="004E74E9"/>
    <w:rsid w:val="004F3428"/>
    <w:rsid w:val="004F5A69"/>
    <w:rsid w:val="004F77D8"/>
    <w:rsid w:val="00501AD1"/>
    <w:rsid w:val="005054E9"/>
    <w:rsid w:val="00506591"/>
    <w:rsid w:val="00511C33"/>
    <w:rsid w:val="00513DF1"/>
    <w:rsid w:val="00520555"/>
    <w:rsid w:val="00522596"/>
    <w:rsid w:val="005242EB"/>
    <w:rsid w:val="0052607C"/>
    <w:rsid w:val="005265F8"/>
    <w:rsid w:val="0052691A"/>
    <w:rsid w:val="00532A67"/>
    <w:rsid w:val="00532A98"/>
    <w:rsid w:val="005334C0"/>
    <w:rsid w:val="00533D83"/>
    <w:rsid w:val="00540726"/>
    <w:rsid w:val="00541272"/>
    <w:rsid w:val="00544762"/>
    <w:rsid w:val="00547DE3"/>
    <w:rsid w:val="0055169B"/>
    <w:rsid w:val="00553E75"/>
    <w:rsid w:val="005572DB"/>
    <w:rsid w:val="005579B0"/>
    <w:rsid w:val="005608FF"/>
    <w:rsid w:val="00561558"/>
    <w:rsid w:val="00567570"/>
    <w:rsid w:val="00576852"/>
    <w:rsid w:val="00580363"/>
    <w:rsid w:val="00582430"/>
    <w:rsid w:val="0058405B"/>
    <w:rsid w:val="00584F4B"/>
    <w:rsid w:val="00587391"/>
    <w:rsid w:val="00592526"/>
    <w:rsid w:val="005952D4"/>
    <w:rsid w:val="005957F4"/>
    <w:rsid w:val="00596A38"/>
    <w:rsid w:val="00596E03"/>
    <w:rsid w:val="005A44AF"/>
    <w:rsid w:val="005A58D1"/>
    <w:rsid w:val="005A63EA"/>
    <w:rsid w:val="005A72B4"/>
    <w:rsid w:val="005B06EB"/>
    <w:rsid w:val="005B0C5B"/>
    <w:rsid w:val="005B1A7F"/>
    <w:rsid w:val="005B5141"/>
    <w:rsid w:val="005C111F"/>
    <w:rsid w:val="005C1594"/>
    <w:rsid w:val="005C1777"/>
    <w:rsid w:val="005C546B"/>
    <w:rsid w:val="005C6305"/>
    <w:rsid w:val="005C6425"/>
    <w:rsid w:val="005C6F05"/>
    <w:rsid w:val="005D1D12"/>
    <w:rsid w:val="005D2D12"/>
    <w:rsid w:val="005D46A7"/>
    <w:rsid w:val="005E0A7F"/>
    <w:rsid w:val="005E5B03"/>
    <w:rsid w:val="005F4315"/>
    <w:rsid w:val="005F43DE"/>
    <w:rsid w:val="005F67BB"/>
    <w:rsid w:val="005F6CE7"/>
    <w:rsid w:val="005F7666"/>
    <w:rsid w:val="005F7B9D"/>
    <w:rsid w:val="0060441E"/>
    <w:rsid w:val="00606E23"/>
    <w:rsid w:val="00610213"/>
    <w:rsid w:val="006146AB"/>
    <w:rsid w:val="00614F67"/>
    <w:rsid w:val="0062099D"/>
    <w:rsid w:val="006216EB"/>
    <w:rsid w:val="00621BA5"/>
    <w:rsid w:val="00626A4D"/>
    <w:rsid w:val="00626EB3"/>
    <w:rsid w:val="00630C0C"/>
    <w:rsid w:val="006326AE"/>
    <w:rsid w:val="00634188"/>
    <w:rsid w:val="006351AC"/>
    <w:rsid w:val="00646263"/>
    <w:rsid w:val="006509D0"/>
    <w:rsid w:val="0066132F"/>
    <w:rsid w:val="006651C7"/>
    <w:rsid w:val="006701B0"/>
    <w:rsid w:val="006715A2"/>
    <w:rsid w:val="00671626"/>
    <w:rsid w:val="00672603"/>
    <w:rsid w:val="006809FF"/>
    <w:rsid w:val="00682EC9"/>
    <w:rsid w:val="00692970"/>
    <w:rsid w:val="00692B17"/>
    <w:rsid w:val="0069339F"/>
    <w:rsid w:val="00695ECB"/>
    <w:rsid w:val="006A05AA"/>
    <w:rsid w:val="006A09BD"/>
    <w:rsid w:val="006A1046"/>
    <w:rsid w:val="006B6700"/>
    <w:rsid w:val="006B6D76"/>
    <w:rsid w:val="006C04CF"/>
    <w:rsid w:val="006C0F7F"/>
    <w:rsid w:val="006C1D69"/>
    <w:rsid w:val="006C4849"/>
    <w:rsid w:val="006C5D86"/>
    <w:rsid w:val="006D3140"/>
    <w:rsid w:val="006D33E5"/>
    <w:rsid w:val="006D55CB"/>
    <w:rsid w:val="006D648D"/>
    <w:rsid w:val="006D7CEF"/>
    <w:rsid w:val="006E50C3"/>
    <w:rsid w:val="006E76F0"/>
    <w:rsid w:val="006F054D"/>
    <w:rsid w:val="006F0C76"/>
    <w:rsid w:val="006F34BF"/>
    <w:rsid w:val="006F3AAA"/>
    <w:rsid w:val="006F7C36"/>
    <w:rsid w:val="00705E95"/>
    <w:rsid w:val="00706461"/>
    <w:rsid w:val="0070723A"/>
    <w:rsid w:val="00711FAF"/>
    <w:rsid w:val="007126DF"/>
    <w:rsid w:val="0071381F"/>
    <w:rsid w:val="00715C07"/>
    <w:rsid w:val="00730875"/>
    <w:rsid w:val="00732BE0"/>
    <w:rsid w:val="00733395"/>
    <w:rsid w:val="00733629"/>
    <w:rsid w:val="00734AC3"/>
    <w:rsid w:val="00735C5C"/>
    <w:rsid w:val="00735FEA"/>
    <w:rsid w:val="0074543E"/>
    <w:rsid w:val="007501C8"/>
    <w:rsid w:val="007507F3"/>
    <w:rsid w:val="00751185"/>
    <w:rsid w:val="00751BCB"/>
    <w:rsid w:val="0075675F"/>
    <w:rsid w:val="00760317"/>
    <w:rsid w:val="00760886"/>
    <w:rsid w:val="0076206F"/>
    <w:rsid w:val="00763B47"/>
    <w:rsid w:val="00763B6A"/>
    <w:rsid w:val="007656BD"/>
    <w:rsid w:val="00770EC8"/>
    <w:rsid w:val="007737F3"/>
    <w:rsid w:val="0077631F"/>
    <w:rsid w:val="007804C1"/>
    <w:rsid w:val="00781165"/>
    <w:rsid w:val="0078251E"/>
    <w:rsid w:val="00786E2C"/>
    <w:rsid w:val="007905F6"/>
    <w:rsid w:val="007914F8"/>
    <w:rsid w:val="0079675E"/>
    <w:rsid w:val="00797454"/>
    <w:rsid w:val="007A04F7"/>
    <w:rsid w:val="007B0335"/>
    <w:rsid w:val="007B13EA"/>
    <w:rsid w:val="007B771C"/>
    <w:rsid w:val="007C2629"/>
    <w:rsid w:val="007C7494"/>
    <w:rsid w:val="007D0CAC"/>
    <w:rsid w:val="007D2338"/>
    <w:rsid w:val="007D2913"/>
    <w:rsid w:val="007D4D15"/>
    <w:rsid w:val="007D675A"/>
    <w:rsid w:val="007D6E38"/>
    <w:rsid w:val="007D6FAB"/>
    <w:rsid w:val="007D79D8"/>
    <w:rsid w:val="007E11AA"/>
    <w:rsid w:val="007E1E62"/>
    <w:rsid w:val="007E5A0F"/>
    <w:rsid w:val="007F155C"/>
    <w:rsid w:val="007F22A9"/>
    <w:rsid w:val="00800A25"/>
    <w:rsid w:val="00801080"/>
    <w:rsid w:val="00803158"/>
    <w:rsid w:val="0080693C"/>
    <w:rsid w:val="00811B6B"/>
    <w:rsid w:val="00813CD2"/>
    <w:rsid w:val="00814208"/>
    <w:rsid w:val="00826D0F"/>
    <w:rsid w:val="008355A7"/>
    <w:rsid w:val="0083691A"/>
    <w:rsid w:val="008503CB"/>
    <w:rsid w:val="00850E65"/>
    <w:rsid w:val="00854953"/>
    <w:rsid w:val="008607E8"/>
    <w:rsid w:val="00862B9E"/>
    <w:rsid w:val="0086747F"/>
    <w:rsid w:val="008748B2"/>
    <w:rsid w:val="00875D61"/>
    <w:rsid w:val="0088321A"/>
    <w:rsid w:val="00883A03"/>
    <w:rsid w:val="00890FFF"/>
    <w:rsid w:val="008A3F97"/>
    <w:rsid w:val="008A5085"/>
    <w:rsid w:val="008A584C"/>
    <w:rsid w:val="008B33A0"/>
    <w:rsid w:val="008B75DA"/>
    <w:rsid w:val="008C2F0A"/>
    <w:rsid w:val="008C308A"/>
    <w:rsid w:val="008D0E46"/>
    <w:rsid w:val="008D30C9"/>
    <w:rsid w:val="008D3B1F"/>
    <w:rsid w:val="008D7E71"/>
    <w:rsid w:val="008E30AF"/>
    <w:rsid w:val="008E7E35"/>
    <w:rsid w:val="008F1F51"/>
    <w:rsid w:val="008F20C3"/>
    <w:rsid w:val="00902C91"/>
    <w:rsid w:val="00915C5C"/>
    <w:rsid w:val="00917C7A"/>
    <w:rsid w:val="00922318"/>
    <w:rsid w:val="0092389C"/>
    <w:rsid w:val="00924D90"/>
    <w:rsid w:val="00936482"/>
    <w:rsid w:val="00936E1B"/>
    <w:rsid w:val="009375D3"/>
    <w:rsid w:val="00941A59"/>
    <w:rsid w:val="009503E0"/>
    <w:rsid w:val="009577BB"/>
    <w:rsid w:val="0096081B"/>
    <w:rsid w:val="009727BE"/>
    <w:rsid w:val="00974BA6"/>
    <w:rsid w:val="00980F5D"/>
    <w:rsid w:val="00984235"/>
    <w:rsid w:val="00987FC1"/>
    <w:rsid w:val="00995E4B"/>
    <w:rsid w:val="009A02F6"/>
    <w:rsid w:val="009A7C41"/>
    <w:rsid w:val="009B3680"/>
    <w:rsid w:val="009C08EF"/>
    <w:rsid w:val="009C13FA"/>
    <w:rsid w:val="009C50FF"/>
    <w:rsid w:val="009E0449"/>
    <w:rsid w:val="009E2968"/>
    <w:rsid w:val="009E4DD7"/>
    <w:rsid w:val="009E7BB9"/>
    <w:rsid w:val="009F0CBA"/>
    <w:rsid w:val="009F1634"/>
    <w:rsid w:val="009F7DE3"/>
    <w:rsid w:val="00A125C5"/>
    <w:rsid w:val="00A13490"/>
    <w:rsid w:val="00A151AB"/>
    <w:rsid w:val="00A15E1F"/>
    <w:rsid w:val="00A17954"/>
    <w:rsid w:val="00A2355C"/>
    <w:rsid w:val="00A244F4"/>
    <w:rsid w:val="00A249D6"/>
    <w:rsid w:val="00A24D58"/>
    <w:rsid w:val="00A263C3"/>
    <w:rsid w:val="00A32FEE"/>
    <w:rsid w:val="00A35AEA"/>
    <w:rsid w:val="00A3753C"/>
    <w:rsid w:val="00A41264"/>
    <w:rsid w:val="00A4179B"/>
    <w:rsid w:val="00A4327F"/>
    <w:rsid w:val="00A527CF"/>
    <w:rsid w:val="00A5367C"/>
    <w:rsid w:val="00A549F6"/>
    <w:rsid w:val="00A564D6"/>
    <w:rsid w:val="00A64671"/>
    <w:rsid w:val="00A67064"/>
    <w:rsid w:val="00A72489"/>
    <w:rsid w:val="00A773B4"/>
    <w:rsid w:val="00A779BB"/>
    <w:rsid w:val="00A77B1C"/>
    <w:rsid w:val="00A80FF5"/>
    <w:rsid w:val="00A84480"/>
    <w:rsid w:val="00A872F8"/>
    <w:rsid w:val="00A90974"/>
    <w:rsid w:val="00A97899"/>
    <w:rsid w:val="00AA0576"/>
    <w:rsid w:val="00AA1569"/>
    <w:rsid w:val="00AA3BFE"/>
    <w:rsid w:val="00AA5399"/>
    <w:rsid w:val="00AB0DCC"/>
    <w:rsid w:val="00AB2901"/>
    <w:rsid w:val="00AB36F1"/>
    <w:rsid w:val="00AB3B0B"/>
    <w:rsid w:val="00AB409C"/>
    <w:rsid w:val="00AB463B"/>
    <w:rsid w:val="00AB5FBF"/>
    <w:rsid w:val="00AC00E8"/>
    <w:rsid w:val="00AC0885"/>
    <w:rsid w:val="00AC0B67"/>
    <w:rsid w:val="00AC2973"/>
    <w:rsid w:val="00AC2B7D"/>
    <w:rsid w:val="00AC4100"/>
    <w:rsid w:val="00AC4B42"/>
    <w:rsid w:val="00AC56D7"/>
    <w:rsid w:val="00AD04A5"/>
    <w:rsid w:val="00AD14E1"/>
    <w:rsid w:val="00AD352C"/>
    <w:rsid w:val="00AD37D8"/>
    <w:rsid w:val="00AD4A84"/>
    <w:rsid w:val="00AD5329"/>
    <w:rsid w:val="00AD7D10"/>
    <w:rsid w:val="00AE28ED"/>
    <w:rsid w:val="00AE3019"/>
    <w:rsid w:val="00AF017F"/>
    <w:rsid w:val="00AF0850"/>
    <w:rsid w:val="00AF132F"/>
    <w:rsid w:val="00AF346B"/>
    <w:rsid w:val="00B02672"/>
    <w:rsid w:val="00B031FA"/>
    <w:rsid w:val="00B04546"/>
    <w:rsid w:val="00B05E51"/>
    <w:rsid w:val="00B0643F"/>
    <w:rsid w:val="00B070D4"/>
    <w:rsid w:val="00B076A5"/>
    <w:rsid w:val="00B10AB6"/>
    <w:rsid w:val="00B11084"/>
    <w:rsid w:val="00B126C3"/>
    <w:rsid w:val="00B15EF5"/>
    <w:rsid w:val="00B232EE"/>
    <w:rsid w:val="00B25751"/>
    <w:rsid w:val="00B277D2"/>
    <w:rsid w:val="00B301D8"/>
    <w:rsid w:val="00B35819"/>
    <w:rsid w:val="00B36340"/>
    <w:rsid w:val="00B42A7A"/>
    <w:rsid w:val="00B51712"/>
    <w:rsid w:val="00B51790"/>
    <w:rsid w:val="00B517BC"/>
    <w:rsid w:val="00B52CAF"/>
    <w:rsid w:val="00B60B9F"/>
    <w:rsid w:val="00B640AC"/>
    <w:rsid w:val="00B6487E"/>
    <w:rsid w:val="00B65528"/>
    <w:rsid w:val="00B66923"/>
    <w:rsid w:val="00B67ECB"/>
    <w:rsid w:val="00B83987"/>
    <w:rsid w:val="00B90A40"/>
    <w:rsid w:val="00B94EAD"/>
    <w:rsid w:val="00BA1AD2"/>
    <w:rsid w:val="00BB003D"/>
    <w:rsid w:val="00BB038B"/>
    <w:rsid w:val="00BB47B4"/>
    <w:rsid w:val="00BC1534"/>
    <w:rsid w:val="00BC1BA9"/>
    <w:rsid w:val="00BD430D"/>
    <w:rsid w:val="00BD4472"/>
    <w:rsid w:val="00BD4540"/>
    <w:rsid w:val="00BD61C3"/>
    <w:rsid w:val="00BD7CD7"/>
    <w:rsid w:val="00BE0F06"/>
    <w:rsid w:val="00BE25C6"/>
    <w:rsid w:val="00BE2777"/>
    <w:rsid w:val="00BE2FCE"/>
    <w:rsid w:val="00BE3502"/>
    <w:rsid w:val="00BE7D0F"/>
    <w:rsid w:val="00BF00A7"/>
    <w:rsid w:val="00BF29CE"/>
    <w:rsid w:val="00BF2D56"/>
    <w:rsid w:val="00BF3E17"/>
    <w:rsid w:val="00BF41F7"/>
    <w:rsid w:val="00BF52AE"/>
    <w:rsid w:val="00C036D0"/>
    <w:rsid w:val="00C03A24"/>
    <w:rsid w:val="00C053A2"/>
    <w:rsid w:val="00C058D9"/>
    <w:rsid w:val="00C05DD5"/>
    <w:rsid w:val="00C12821"/>
    <w:rsid w:val="00C12BE4"/>
    <w:rsid w:val="00C144BD"/>
    <w:rsid w:val="00C164F7"/>
    <w:rsid w:val="00C25F0B"/>
    <w:rsid w:val="00C27C0E"/>
    <w:rsid w:val="00C27F37"/>
    <w:rsid w:val="00C314AF"/>
    <w:rsid w:val="00C31763"/>
    <w:rsid w:val="00C32601"/>
    <w:rsid w:val="00C33CA1"/>
    <w:rsid w:val="00C363B1"/>
    <w:rsid w:val="00C37C79"/>
    <w:rsid w:val="00C43428"/>
    <w:rsid w:val="00C435A6"/>
    <w:rsid w:val="00C46F5E"/>
    <w:rsid w:val="00C56A5F"/>
    <w:rsid w:val="00C60C5F"/>
    <w:rsid w:val="00C60D12"/>
    <w:rsid w:val="00C66369"/>
    <w:rsid w:val="00C67546"/>
    <w:rsid w:val="00C72B54"/>
    <w:rsid w:val="00C747C6"/>
    <w:rsid w:val="00C76F17"/>
    <w:rsid w:val="00C824AF"/>
    <w:rsid w:val="00C840F0"/>
    <w:rsid w:val="00C864BA"/>
    <w:rsid w:val="00C86769"/>
    <w:rsid w:val="00CA370E"/>
    <w:rsid w:val="00CB015D"/>
    <w:rsid w:val="00CB32A5"/>
    <w:rsid w:val="00CB501B"/>
    <w:rsid w:val="00CB6ECC"/>
    <w:rsid w:val="00CC3983"/>
    <w:rsid w:val="00CC7AA5"/>
    <w:rsid w:val="00CD238B"/>
    <w:rsid w:val="00CD2834"/>
    <w:rsid w:val="00CD382B"/>
    <w:rsid w:val="00CD6F76"/>
    <w:rsid w:val="00CD784B"/>
    <w:rsid w:val="00CD7B34"/>
    <w:rsid w:val="00CE073D"/>
    <w:rsid w:val="00CE3887"/>
    <w:rsid w:val="00CE38E1"/>
    <w:rsid w:val="00CF02C1"/>
    <w:rsid w:val="00CF5C4D"/>
    <w:rsid w:val="00CF7556"/>
    <w:rsid w:val="00D03711"/>
    <w:rsid w:val="00D128F9"/>
    <w:rsid w:val="00D12E23"/>
    <w:rsid w:val="00D137FF"/>
    <w:rsid w:val="00D20880"/>
    <w:rsid w:val="00D218BF"/>
    <w:rsid w:val="00D226AE"/>
    <w:rsid w:val="00D22FDE"/>
    <w:rsid w:val="00D26920"/>
    <w:rsid w:val="00D372C5"/>
    <w:rsid w:val="00D37AE3"/>
    <w:rsid w:val="00D44EC7"/>
    <w:rsid w:val="00D522CE"/>
    <w:rsid w:val="00D529E3"/>
    <w:rsid w:val="00D537B0"/>
    <w:rsid w:val="00D554F8"/>
    <w:rsid w:val="00D56B84"/>
    <w:rsid w:val="00D60DBF"/>
    <w:rsid w:val="00D65B71"/>
    <w:rsid w:val="00D6689C"/>
    <w:rsid w:val="00D71E27"/>
    <w:rsid w:val="00D73336"/>
    <w:rsid w:val="00D83009"/>
    <w:rsid w:val="00D8359A"/>
    <w:rsid w:val="00D86EBD"/>
    <w:rsid w:val="00D87218"/>
    <w:rsid w:val="00D9429A"/>
    <w:rsid w:val="00D97BE3"/>
    <w:rsid w:val="00DA0443"/>
    <w:rsid w:val="00DB2608"/>
    <w:rsid w:val="00DB6BCC"/>
    <w:rsid w:val="00DB6D50"/>
    <w:rsid w:val="00DC0F2A"/>
    <w:rsid w:val="00DC1AFB"/>
    <w:rsid w:val="00DC3DDF"/>
    <w:rsid w:val="00DD05E2"/>
    <w:rsid w:val="00DD10AD"/>
    <w:rsid w:val="00DD2CE9"/>
    <w:rsid w:val="00DD3B30"/>
    <w:rsid w:val="00DD528D"/>
    <w:rsid w:val="00DE0845"/>
    <w:rsid w:val="00DE0CE4"/>
    <w:rsid w:val="00DE1048"/>
    <w:rsid w:val="00DE253B"/>
    <w:rsid w:val="00DE3A3A"/>
    <w:rsid w:val="00DE5D6E"/>
    <w:rsid w:val="00DF22C4"/>
    <w:rsid w:val="00DF2D34"/>
    <w:rsid w:val="00DF5D7F"/>
    <w:rsid w:val="00DF7BFF"/>
    <w:rsid w:val="00E02808"/>
    <w:rsid w:val="00E03513"/>
    <w:rsid w:val="00E05E74"/>
    <w:rsid w:val="00E16170"/>
    <w:rsid w:val="00E24718"/>
    <w:rsid w:val="00E24797"/>
    <w:rsid w:val="00E27210"/>
    <w:rsid w:val="00E27298"/>
    <w:rsid w:val="00E32E1C"/>
    <w:rsid w:val="00E359A2"/>
    <w:rsid w:val="00E3750F"/>
    <w:rsid w:val="00E4066A"/>
    <w:rsid w:val="00E427E9"/>
    <w:rsid w:val="00E44EFC"/>
    <w:rsid w:val="00E508E3"/>
    <w:rsid w:val="00E50F98"/>
    <w:rsid w:val="00E512AA"/>
    <w:rsid w:val="00E51C0C"/>
    <w:rsid w:val="00E53031"/>
    <w:rsid w:val="00E5583E"/>
    <w:rsid w:val="00E564D0"/>
    <w:rsid w:val="00E63632"/>
    <w:rsid w:val="00E704BC"/>
    <w:rsid w:val="00E75B34"/>
    <w:rsid w:val="00E81663"/>
    <w:rsid w:val="00E83CD7"/>
    <w:rsid w:val="00E87427"/>
    <w:rsid w:val="00E92249"/>
    <w:rsid w:val="00E93756"/>
    <w:rsid w:val="00E9605C"/>
    <w:rsid w:val="00EA5963"/>
    <w:rsid w:val="00EA7061"/>
    <w:rsid w:val="00EB17D4"/>
    <w:rsid w:val="00EB3012"/>
    <w:rsid w:val="00EB78EB"/>
    <w:rsid w:val="00EC286C"/>
    <w:rsid w:val="00EC5535"/>
    <w:rsid w:val="00ED277A"/>
    <w:rsid w:val="00ED4719"/>
    <w:rsid w:val="00ED4A93"/>
    <w:rsid w:val="00EF0B92"/>
    <w:rsid w:val="00EF167E"/>
    <w:rsid w:val="00EF27E2"/>
    <w:rsid w:val="00EF3B5C"/>
    <w:rsid w:val="00F03A92"/>
    <w:rsid w:val="00F03B6A"/>
    <w:rsid w:val="00F10D35"/>
    <w:rsid w:val="00F13216"/>
    <w:rsid w:val="00F1722F"/>
    <w:rsid w:val="00F17693"/>
    <w:rsid w:val="00F22593"/>
    <w:rsid w:val="00F23B25"/>
    <w:rsid w:val="00F34D6F"/>
    <w:rsid w:val="00F37785"/>
    <w:rsid w:val="00F378D4"/>
    <w:rsid w:val="00F4508A"/>
    <w:rsid w:val="00F45759"/>
    <w:rsid w:val="00F46577"/>
    <w:rsid w:val="00F46956"/>
    <w:rsid w:val="00F503C8"/>
    <w:rsid w:val="00F50BA9"/>
    <w:rsid w:val="00F52347"/>
    <w:rsid w:val="00F561EF"/>
    <w:rsid w:val="00F57135"/>
    <w:rsid w:val="00F5746F"/>
    <w:rsid w:val="00F57820"/>
    <w:rsid w:val="00F6034C"/>
    <w:rsid w:val="00F605C7"/>
    <w:rsid w:val="00F6313F"/>
    <w:rsid w:val="00F65C49"/>
    <w:rsid w:val="00F67D7A"/>
    <w:rsid w:val="00F73AE4"/>
    <w:rsid w:val="00F7433B"/>
    <w:rsid w:val="00F80B39"/>
    <w:rsid w:val="00F81939"/>
    <w:rsid w:val="00F81E01"/>
    <w:rsid w:val="00F82969"/>
    <w:rsid w:val="00F8756B"/>
    <w:rsid w:val="00F900DA"/>
    <w:rsid w:val="00F909B2"/>
    <w:rsid w:val="00F91898"/>
    <w:rsid w:val="00F94383"/>
    <w:rsid w:val="00F96462"/>
    <w:rsid w:val="00F9795D"/>
    <w:rsid w:val="00F97F15"/>
    <w:rsid w:val="00FA0A57"/>
    <w:rsid w:val="00FA2E74"/>
    <w:rsid w:val="00FA42FE"/>
    <w:rsid w:val="00FA44FA"/>
    <w:rsid w:val="00FA6A85"/>
    <w:rsid w:val="00FA7195"/>
    <w:rsid w:val="00FB1AB3"/>
    <w:rsid w:val="00FC012D"/>
    <w:rsid w:val="00FC4C16"/>
    <w:rsid w:val="00FC51CC"/>
    <w:rsid w:val="00FC57BD"/>
    <w:rsid w:val="00FC5A30"/>
    <w:rsid w:val="00FC6CCD"/>
    <w:rsid w:val="00FC6DA0"/>
    <w:rsid w:val="00FD1BDF"/>
    <w:rsid w:val="00FD4390"/>
    <w:rsid w:val="00FD5F68"/>
    <w:rsid w:val="00FD6A77"/>
    <w:rsid w:val="00FE0730"/>
    <w:rsid w:val="00FE4A6E"/>
    <w:rsid w:val="00FE6D2C"/>
    <w:rsid w:val="00FF13F8"/>
    <w:rsid w:val="00FF1461"/>
    <w:rsid w:val="00FF241D"/>
    <w:rsid w:val="00FF3486"/>
    <w:rsid w:val="00FF37E7"/>
    <w:rsid w:val="00FF553B"/>
    <w:rsid w:val="00FF78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ListParagraph">
    <w:name w:val="List Paragraph"/>
    <w:basedOn w:val="Normal"/>
    <w:uiPriority w:val="34"/>
    <w:qFormat/>
    <w:rsid w:val="003A46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ListParagraph">
    <w:name w:val="List Paragraph"/>
    <w:basedOn w:val="Normal"/>
    <w:uiPriority w:val="34"/>
    <w:qFormat/>
    <w:rsid w:val="003A4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689148">
      <w:bodyDiv w:val="1"/>
      <w:marLeft w:val="0"/>
      <w:marRight w:val="0"/>
      <w:marTop w:val="0"/>
      <w:marBottom w:val="0"/>
      <w:divBdr>
        <w:top w:val="none" w:sz="0" w:space="0" w:color="auto"/>
        <w:left w:val="none" w:sz="0" w:space="0" w:color="auto"/>
        <w:bottom w:val="none" w:sz="0" w:space="0" w:color="auto"/>
        <w:right w:val="none" w:sz="0" w:space="0" w:color="auto"/>
      </w:divBdr>
    </w:div>
    <w:div w:id="1195582819">
      <w:bodyDiv w:val="1"/>
      <w:marLeft w:val="0"/>
      <w:marRight w:val="0"/>
      <w:marTop w:val="0"/>
      <w:marBottom w:val="0"/>
      <w:divBdr>
        <w:top w:val="none" w:sz="0" w:space="0" w:color="auto"/>
        <w:left w:val="none" w:sz="0" w:space="0" w:color="auto"/>
        <w:bottom w:val="none" w:sz="0" w:space="0" w:color="auto"/>
        <w:right w:val="none" w:sz="0" w:space="0" w:color="auto"/>
      </w:divBdr>
    </w:div>
    <w:div w:id="19270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225</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dgittleson</dc:creator>
  <cp:lastModifiedBy>Gittleson, Daniel</cp:lastModifiedBy>
  <cp:revision>6</cp:revision>
  <cp:lastPrinted>2015-03-23T19:21:00Z</cp:lastPrinted>
  <dcterms:created xsi:type="dcterms:W3CDTF">2016-09-13T22:01:00Z</dcterms:created>
  <dcterms:modified xsi:type="dcterms:W3CDTF">2016-09-27T14:36:00Z</dcterms:modified>
</cp:coreProperties>
</file>