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rsidR="00BA1A0C" w:rsidRPr="00C45431" w:rsidRDefault="00BA1A0C" w:rsidP="00CE5AA9">
      <w:pPr>
        <w:tabs>
          <w:tab w:val="center" w:pos="4680"/>
        </w:tabs>
        <w:spacing w:before="120"/>
        <w:jc w:val="center"/>
        <w:rPr>
          <w:rFonts w:ascii="Arial" w:hAnsi="Arial" w:cs="Arial"/>
          <w:b/>
          <w:bCs/>
          <w:sz w:val="32"/>
          <w:szCs w:val="32"/>
        </w:rPr>
      </w:pPr>
    </w:p>
    <w:p w:rsidR="00BA1A0C" w:rsidRDefault="001E02D5" w:rsidP="001E02D5">
      <w:pPr>
        <w:tabs>
          <w:tab w:val="center" w:pos="4680"/>
        </w:tabs>
        <w:spacing w:before="120"/>
        <w:jc w:val="center"/>
        <w:rPr>
          <w:rFonts w:ascii="Arial" w:hAnsi="Arial" w:cs="Arial"/>
          <w:b/>
          <w:bCs/>
          <w:sz w:val="32"/>
          <w:szCs w:val="32"/>
        </w:rPr>
      </w:pPr>
      <w:r w:rsidRPr="001E02D5">
        <w:rPr>
          <w:rFonts w:ascii="Arial" w:hAnsi="Arial" w:cs="Arial"/>
          <w:b/>
          <w:bCs/>
          <w:sz w:val="32"/>
          <w:szCs w:val="32"/>
        </w:rPr>
        <w:t>Small Rural Hospital Transition</w:t>
      </w:r>
      <w:r w:rsidR="006D3506">
        <w:rPr>
          <w:rFonts w:ascii="Arial" w:hAnsi="Arial" w:cs="Arial"/>
          <w:b/>
          <w:bCs/>
          <w:sz w:val="32"/>
          <w:szCs w:val="32"/>
        </w:rPr>
        <w:t>s</w:t>
      </w:r>
      <w:r w:rsidRPr="001E02D5">
        <w:rPr>
          <w:rFonts w:ascii="Arial" w:hAnsi="Arial" w:cs="Arial"/>
          <w:b/>
          <w:bCs/>
          <w:sz w:val="32"/>
          <w:szCs w:val="32"/>
        </w:rPr>
        <w:t xml:space="preserve"> Project</w:t>
      </w:r>
    </w:p>
    <w:p w:rsidR="001E02D5" w:rsidRPr="001E02D5" w:rsidRDefault="001E02D5" w:rsidP="001E02D5">
      <w:pPr>
        <w:tabs>
          <w:tab w:val="center" w:pos="4680"/>
        </w:tabs>
        <w:spacing w:before="120"/>
        <w:jc w:val="center"/>
        <w:rPr>
          <w:rFonts w:ascii="Arial" w:hAnsi="Arial" w:cs="Arial"/>
          <w:b/>
          <w:bCs/>
          <w:sz w:val="32"/>
          <w:szCs w:val="32"/>
        </w:rPr>
      </w:pPr>
    </w:p>
    <w:p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D16D2C">
        <w:rPr>
          <w:rFonts w:ascii="Arial" w:hAnsi="Arial" w:cs="Arial"/>
          <w:b/>
          <w:bCs/>
          <w:sz w:val="32"/>
          <w:szCs w:val="32"/>
        </w:rPr>
        <w:t>06</w:t>
      </w:r>
      <w:r w:rsidRPr="00C45431">
        <w:rPr>
          <w:rFonts w:ascii="Arial" w:hAnsi="Arial" w:cs="Arial"/>
          <w:b/>
          <w:bCs/>
          <w:sz w:val="32"/>
          <w:szCs w:val="32"/>
        </w:rPr>
        <w:t>-XXXX</w:t>
      </w:r>
    </w:p>
    <w:p w:rsidR="00BA1A0C" w:rsidRPr="00C45431" w:rsidRDefault="00BA1A0C" w:rsidP="00CE5AA9">
      <w:pPr>
        <w:tabs>
          <w:tab w:val="center" w:pos="4680"/>
        </w:tabs>
        <w:spacing w:before="120"/>
        <w:jc w:val="center"/>
        <w:rPr>
          <w:rFonts w:ascii="Arial" w:hAnsi="Arial" w:cs="Arial"/>
          <w:b/>
          <w:bCs/>
          <w:sz w:val="32"/>
          <w:szCs w:val="32"/>
        </w:rPr>
      </w:pPr>
    </w:p>
    <w:p w:rsidR="009B3794" w:rsidRPr="00C45431" w:rsidRDefault="009B3794" w:rsidP="00CE5AA9">
      <w:pPr>
        <w:tabs>
          <w:tab w:val="center" w:pos="4680"/>
        </w:tabs>
        <w:spacing w:before="120"/>
        <w:jc w:val="center"/>
        <w:rPr>
          <w:rFonts w:ascii="Arial" w:hAnsi="Arial" w:cs="Arial"/>
          <w:b/>
          <w:bCs/>
          <w:sz w:val="32"/>
          <w:szCs w:val="32"/>
        </w:rPr>
      </w:pPr>
    </w:p>
    <w:p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43BE3">
        <w:rPr>
          <w:rFonts w:ascii="Arial" w:hAnsi="Arial" w:cs="Arial"/>
          <w:b/>
          <w:sz w:val="24"/>
        </w:rPr>
        <w:t>None</w:t>
      </w:r>
      <w:r w:rsidR="00BA1A0C" w:rsidRPr="00C45431">
        <w:rPr>
          <w:rFonts w:ascii="Arial" w:hAnsi="Arial" w:cs="Arial"/>
          <w:b/>
          <w:sz w:val="24"/>
        </w:rPr>
        <w:t xml:space="preserve"> </w:t>
      </w:r>
    </w:p>
    <w:p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4257ED" w:rsidRPr="00565900" w:rsidRDefault="008238FA" w:rsidP="00565900">
      <w:pPr>
        <w:spacing w:before="120"/>
        <w:rPr>
          <w:rFonts w:ascii="Arial" w:hAnsi="Arial" w:cs="Arial"/>
          <w:sz w:val="24"/>
        </w:rPr>
      </w:pPr>
      <w:r w:rsidRPr="00565900">
        <w:rPr>
          <w:rFonts w:ascii="Arial" w:hAnsi="Arial" w:cs="Arial"/>
          <w:sz w:val="24"/>
        </w:rPr>
        <w:t>This is a new information collection request from the Federal Office of Rural Health Policy (FORHP)</w:t>
      </w:r>
      <w:r w:rsidR="00F754B1" w:rsidRPr="00565900">
        <w:rPr>
          <w:rFonts w:ascii="Arial" w:hAnsi="Arial" w:cs="Arial"/>
          <w:sz w:val="24"/>
        </w:rPr>
        <w:t xml:space="preserve"> for</w:t>
      </w:r>
      <w:r w:rsidRPr="00565900">
        <w:rPr>
          <w:rFonts w:ascii="Arial" w:hAnsi="Arial" w:cs="Arial"/>
          <w:sz w:val="24"/>
        </w:rPr>
        <w:t xml:space="preserve"> approval of </w:t>
      </w:r>
      <w:r w:rsidR="00F754B1" w:rsidRPr="00565900">
        <w:rPr>
          <w:rFonts w:ascii="Arial" w:hAnsi="Arial" w:cs="Arial"/>
          <w:sz w:val="24"/>
        </w:rPr>
        <w:t xml:space="preserve">the Small Rural Hospital Transitions (SRHT) </w:t>
      </w:r>
      <w:r w:rsidR="00994FE0" w:rsidRPr="00565900">
        <w:rPr>
          <w:rFonts w:ascii="Arial" w:hAnsi="Arial" w:cs="Arial"/>
          <w:sz w:val="24"/>
        </w:rPr>
        <w:t>Project application</w:t>
      </w:r>
      <w:r w:rsidR="00F754B1" w:rsidRPr="00565900">
        <w:rPr>
          <w:rFonts w:ascii="Arial" w:hAnsi="Arial" w:cs="Arial"/>
          <w:sz w:val="24"/>
        </w:rPr>
        <w:t xml:space="preserve"> form and the supporting hospital assessment, Performance Excellence for Rural Hospitals. </w:t>
      </w:r>
      <w:r w:rsidR="004257ED" w:rsidRPr="00565900">
        <w:rPr>
          <w:rFonts w:ascii="Arial" w:hAnsi="Arial" w:cs="Arial"/>
          <w:sz w:val="24"/>
        </w:rPr>
        <w:t>The</w:t>
      </w:r>
      <w:r w:rsidR="0001502F" w:rsidRPr="00565900">
        <w:rPr>
          <w:rFonts w:ascii="Arial" w:hAnsi="Arial" w:cs="Arial"/>
          <w:sz w:val="24"/>
        </w:rPr>
        <w:t xml:space="preserve"> collection of information wil</w:t>
      </w:r>
      <w:r w:rsidR="00F151FD" w:rsidRPr="00565900">
        <w:rPr>
          <w:rFonts w:ascii="Arial" w:hAnsi="Arial" w:cs="Arial"/>
          <w:sz w:val="24"/>
        </w:rPr>
        <w:t xml:space="preserve">l support the selection of nine </w:t>
      </w:r>
      <w:r w:rsidR="0001502F" w:rsidRPr="00565900">
        <w:rPr>
          <w:rFonts w:ascii="Arial" w:hAnsi="Arial" w:cs="Arial"/>
          <w:sz w:val="24"/>
        </w:rPr>
        <w:t>small rural hospitals to receive on-site technical assistance</w:t>
      </w:r>
      <w:r w:rsidR="006C465B">
        <w:rPr>
          <w:rFonts w:ascii="Arial" w:hAnsi="Arial" w:cs="Arial"/>
          <w:sz w:val="24"/>
        </w:rPr>
        <w:t xml:space="preserve"> (TA)</w:t>
      </w:r>
      <w:r w:rsidR="0024454F" w:rsidRPr="00565900">
        <w:rPr>
          <w:rFonts w:ascii="Arial" w:hAnsi="Arial" w:cs="Arial"/>
          <w:sz w:val="24"/>
        </w:rPr>
        <w:t xml:space="preserve"> through the SRHT</w:t>
      </w:r>
      <w:r w:rsidR="00994FE0" w:rsidRPr="00565900">
        <w:rPr>
          <w:rFonts w:ascii="Arial" w:hAnsi="Arial" w:cs="Arial"/>
          <w:sz w:val="24"/>
        </w:rPr>
        <w:t>.</w:t>
      </w:r>
    </w:p>
    <w:p w:rsidR="002879F3" w:rsidRPr="00565900" w:rsidRDefault="004257ED" w:rsidP="00565900">
      <w:pPr>
        <w:spacing w:before="120"/>
        <w:rPr>
          <w:rFonts w:ascii="Arial" w:hAnsi="Arial" w:cs="Arial"/>
          <w:sz w:val="24"/>
        </w:rPr>
      </w:pPr>
      <w:r w:rsidRPr="00565900">
        <w:rPr>
          <w:rFonts w:ascii="Arial" w:hAnsi="Arial" w:cs="Arial"/>
          <w:sz w:val="24"/>
        </w:rPr>
        <w:t xml:space="preserve">Small rural hospitals are facing many challenges in the new health care environment, including the concurrent need to better measure and account for quality of care in all settings and improve transitions of care as patients move from one care setting to another, the evolution of new payment approaches such as value-based purchasing, and new approaches to care delivery such as accountable care organizations (ACO) and patient-centered medical home.  Success in this new environment will require bridging the gaps between the current health care system and the newly emerging system of healthcare delivery and payment.  Also, because little is known about how these new models might impact rural communities, there is a need to help hospitals understand and consider those factors that would make them logical participants in health care systems that focus on value. </w:t>
      </w:r>
      <w:r w:rsidR="00994FE0" w:rsidRPr="00565900">
        <w:rPr>
          <w:rFonts w:ascii="Arial" w:hAnsi="Arial" w:cs="Arial"/>
          <w:sz w:val="24"/>
        </w:rPr>
        <w:t xml:space="preserve">The technical assistance services </w:t>
      </w:r>
      <w:r w:rsidRPr="00565900">
        <w:rPr>
          <w:rFonts w:ascii="Arial" w:hAnsi="Arial" w:cs="Arial"/>
          <w:sz w:val="24"/>
        </w:rPr>
        <w:t xml:space="preserve">provided through SRHT </w:t>
      </w:r>
      <w:r w:rsidR="00994FE0" w:rsidRPr="00565900">
        <w:rPr>
          <w:rFonts w:ascii="Arial" w:hAnsi="Arial" w:cs="Arial"/>
          <w:sz w:val="24"/>
        </w:rPr>
        <w:t xml:space="preserve">will prepare </w:t>
      </w:r>
      <w:r w:rsidR="004C6E18" w:rsidRPr="00565900">
        <w:rPr>
          <w:rFonts w:ascii="Arial" w:hAnsi="Arial" w:cs="Arial"/>
          <w:sz w:val="24"/>
        </w:rPr>
        <w:t>the</w:t>
      </w:r>
      <w:r w:rsidR="00994FE0" w:rsidRPr="00565900">
        <w:rPr>
          <w:rFonts w:ascii="Arial" w:hAnsi="Arial" w:cs="Arial"/>
          <w:sz w:val="24"/>
        </w:rPr>
        <w:t xml:space="preserve"> hospitals for transitioning to the new health care environment.  Eligible hospitals must be located in a rural (non-metro)</w:t>
      </w:r>
      <w:r w:rsidR="000236FE" w:rsidRPr="00565900">
        <w:rPr>
          <w:rFonts w:ascii="Arial" w:hAnsi="Arial" w:cs="Arial"/>
          <w:sz w:val="24"/>
        </w:rPr>
        <w:t>,</w:t>
      </w:r>
      <w:r w:rsidR="00994FE0" w:rsidRPr="00565900">
        <w:rPr>
          <w:rFonts w:ascii="Arial" w:hAnsi="Arial" w:cs="Arial"/>
          <w:sz w:val="24"/>
        </w:rPr>
        <w:t xml:space="preserve"> persistent poverty county or a rural census tract of a metro persistent poverty county and have 49 staffed beds or less as reported on the hospital's most recently filed Medicare Cost Report.   Hospitals may be for-profit or not-for-profit.</w:t>
      </w:r>
      <w:r w:rsidRPr="00565900">
        <w:rPr>
          <w:rFonts w:ascii="Arial" w:hAnsi="Arial" w:cs="Arial"/>
          <w:sz w:val="24"/>
        </w:rPr>
        <w:t xml:space="preserve">  </w:t>
      </w:r>
      <w:r w:rsidR="00F151FD" w:rsidRPr="00565900">
        <w:rPr>
          <w:rFonts w:ascii="Arial" w:hAnsi="Arial" w:cs="Arial"/>
          <w:sz w:val="24"/>
        </w:rPr>
        <w:t xml:space="preserve">There is no </w:t>
      </w:r>
      <w:r w:rsidR="002B3B32" w:rsidRPr="00565900">
        <w:rPr>
          <w:rFonts w:ascii="Arial" w:hAnsi="Arial" w:cs="Arial"/>
          <w:sz w:val="24"/>
        </w:rPr>
        <w:t>lega</w:t>
      </w:r>
      <w:r w:rsidRPr="00565900">
        <w:rPr>
          <w:rFonts w:ascii="Arial" w:hAnsi="Arial" w:cs="Arial"/>
          <w:sz w:val="24"/>
        </w:rPr>
        <w:t>l or administrative requirement</w:t>
      </w:r>
      <w:r w:rsidR="002B3B32" w:rsidRPr="00565900">
        <w:rPr>
          <w:rFonts w:ascii="Arial" w:hAnsi="Arial" w:cs="Arial"/>
          <w:sz w:val="24"/>
        </w:rPr>
        <w:t xml:space="preserve"> that necessitate the collection.</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1A2E09" w:rsidRPr="00565900" w:rsidRDefault="001A2E09" w:rsidP="00C21A7A">
      <w:pPr>
        <w:widowControl/>
        <w:autoSpaceDE/>
        <w:autoSpaceDN/>
        <w:adjustRightInd/>
        <w:spacing w:before="120"/>
        <w:rPr>
          <w:rFonts w:ascii="Arial" w:hAnsi="Arial" w:cs="Arial"/>
          <w:sz w:val="24"/>
        </w:rPr>
      </w:pPr>
      <w:r w:rsidRPr="00565900">
        <w:rPr>
          <w:rFonts w:ascii="Arial" w:hAnsi="Arial" w:cs="Arial"/>
          <w:sz w:val="24"/>
        </w:rPr>
        <w:t xml:space="preserve">The information will be solicited in the form of the Small Rural Hospital Transitions (SRHT) Project application form and the supporting hospital assessment, Performance </w:t>
      </w:r>
      <w:r w:rsidRPr="00565900">
        <w:rPr>
          <w:rFonts w:ascii="Arial" w:hAnsi="Arial" w:cs="Arial"/>
          <w:sz w:val="24"/>
        </w:rPr>
        <w:lastRenderedPageBreak/>
        <w:t xml:space="preserve">Excellence for Rural Hospitals.  All small rural hospitals desiring to apply for onsite technical assistance through SRHT will be required to complete the application and the assessment.  The information collection will be scored and ranked to aid in the selection of nine small rural hospitals to receive on-site technical assistance. Both the application form and the hospital assessment are designed to ensure the selection of hospital applicants consistent with established SRHT eligibility criteria and hospitals’ readiness or ability to implement consultants’ recommendations.  </w:t>
      </w:r>
    </w:p>
    <w:p w:rsidR="00D32692" w:rsidRPr="00565900" w:rsidRDefault="00C21A7A" w:rsidP="00C21A7A">
      <w:pPr>
        <w:widowControl/>
        <w:autoSpaceDE/>
        <w:autoSpaceDN/>
        <w:adjustRightInd/>
        <w:spacing w:before="120"/>
        <w:rPr>
          <w:rFonts w:ascii="Arial" w:hAnsi="Arial" w:cs="Arial"/>
          <w:sz w:val="24"/>
        </w:rPr>
      </w:pPr>
      <w:r w:rsidRPr="00565900">
        <w:rPr>
          <w:rFonts w:ascii="Arial" w:hAnsi="Arial" w:cs="Arial"/>
          <w:sz w:val="24"/>
        </w:rPr>
        <w:t>The on-</w:t>
      </w:r>
      <w:r w:rsidR="00D12188" w:rsidRPr="00565900">
        <w:rPr>
          <w:rFonts w:ascii="Arial" w:hAnsi="Arial" w:cs="Arial"/>
          <w:sz w:val="24"/>
        </w:rPr>
        <w:t>site TA available through SRHT P</w:t>
      </w:r>
      <w:r w:rsidRPr="00565900">
        <w:rPr>
          <w:rFonts w:ascii="Arial" w:hAnsi="Arial" w:cs="Arial"/>
          <w:sz w:val="24"/>
        </w:rPr>
        <w:t xml:space="preserve">roject is limited to nine hospitals per year.  There are approximately </w:t>
      </w:r>
      <w:r w:rsidR="00480F23" w:rsidRPr="00565900">
        <w:rPr>
          <w:rFonts w:ascii="Arial" w:hAnsi="Arial" w:cs="Arial"/>
          <w:sz w:val="24"/>
        </w:rPr>
        <w:t>175 hospitals eligible to apply for</w:t>
      </w:r>
      <w:r w:rsidR="005034CA" w:rsidRPr="00565900">
        <w:rPr>
          <w:rFonts w:ascii="Arial" w:hAnsi="Arial" w:cs="Arial"/>
          <w:sz w:val="24"/>
        </w:rPr>
        <w:t xml:space="preserve"> the TA.</w:t>
      </w:r>
      <w:r w:rsidR="00480F23" w:rsidRPr="00565900">
        <w:rPr>
          <w:rFonts w:ascii="Arial" w:hAnsi="Arial" w:cs="Arial"/>
          <w:sz w:val="24"/>
        </w:rPr>
        <w:t xml:space="preserve"> </w:t>
      </w:r>
      <w:r w:rsidR="00B20AA4" w:rsidRPr="00565900">
        <w:rPr>
          <w:rFonts w:ascii="Arial" w:hAnsi="Arial" w:cs="Arial"/>
          <w:sz w:val="24"/>
        </w:rPr>
        <w:t>It</w:t>
      </w:r>
      <w:r w:rsidR="005034CA" w:rsidRPr="00565900">
        <w:rPr>
          <w:rFonts w:ascii="Arial" w:hAnsi="Arial" w:cs="Arial"/>
          <w:sz w:val="24"/>
        </w:rPr>
        <w:t xml:space="preserve"> is</w:t>
      </w:r>
      <w:r w:rsidRPr="00565900">
        <w:rPr>
          <w:rFonts w:ascii="Arial" w:hAnsi="Arial" w:cs="Arial"/>
          <w:sz w:val="24"/>
        </w:rPr>
        <w:t xml:space="preserve"> anticipate</w:t>
      </w:r>
      <w:r w:rsidR="005034CA" w:rsidRPr="00565900">
        <w:rPr>
          <w:rFonts w:ascii="Arial" w:hAnsi="Arial" w:cs="Arial"/>
          <w:sz w:val="24"/>
        </w:rPr>
        <w:t>d that</w:t>
      </w:r>
      <w:r w:rsidRPr="00565900">
        <w:rPr>
          <w:rFonts w:ascii="Arial" w:hAnsi="Arial" w:cs="Arial"/>
          <w:sz w:val="24"/>
        </w:rPr>
        <w:t xml:space="preserve"> approximately 30 hospitals will apply to participate in the pro</w:t>
      </w:r>
      <w:r w:rsidR="00281960" w:rsidRPr="00565900">
        <w:rPr>
          <w:rFonts w:ascii="Arial" w:hAnsi="Arial" w:cs="Arial"/>
          <w:sz w:val="24"/>
        </w:rPr>
        <w:t>ject</w:t>
      </w:r>
      <w:r w:rsidRPr="00565900">
        <w:rPr>
          <w:rFonts w:ascii="Arial" w:hAnsi="Arial" w:cs="Arial"/>
          <w:sz w:val="24"/>
        </w:rPr>
        <w:t xml:space="preserve">. </w:t>
      </w:r>
    </w:p>
    <w:p w:rsidR="009B3794" w:rsidRPr="00C45431" w:rsidRDefault="009B3794" w:rsidP="00CA3DA6">
      <w:pPr>
        <w:numPr>
          <w:ilvl w:val="0"/>
          <w:numId w:val="2"/>
        </w:numPr>
        <w:tabs>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9B3794" w:rsidRPr="00FE037C" w:rsidRDefault="00B20AA4" w:rsidP="00565900">
      <w:pPr>
        <w:widowControl/>
        <w:spacing w:before="120"/>
        <w:rPr>
          <w:rFonts w:ascii="Arial" w:hAnsi="Arial" w:cs="Arial"/>
          <w:sz w:val="24"/>
        </w:rPr>
      </w:pPr>
      <w:r>
        <w:rPr>
          <w:rFonts w:ascii="Arial" w:hAnsi="Arial" w:cs="Arial"/>
          <w:sz w:val="24"/>
        </w:rPr>
        <w:t xml:space="preserve">This information collection activity will be </w:t>
      </w:r>
      <w:r w:rsidR="00026480">
        <w:rPr>
          <w:rFonts w:ascii="Arial" w:hAnsi="Arial" w:cs="Arial"/>
          <w:sz w:val="24"/>
        </w:rPr>
        <w:t xml:space="preserve">100% </w:t>
      </w:r>
      <w:r>
        <w:rPr>
          <w:rFonts w:ascii="Arial" w:hAnsi="Arial" w:cs="Arial"/>
          <w:sz w:val="24"/>
        </w:rPr>
        <w:t>web-based.  The link to the online application and assessment will reside on the web</w:t>
      </w:r>
      <w:r w:rsidR="00811722">
        <w:rPr>
          <w:rFonts w:ascii="Arial" w:hAnsi="Arial" w:cs="Arial"/>
          <w:sz w:val="24"/>
        </w:rPr>
        <w:t xml:space="preserve">site of the </w:t>
      </w:r>
      <w:r w:rsidR="00322CB0" w:rsidRPr="00322CB0">
        <w:rPr>
          <w:rFonts w:ascii="Arial" w:hAnsi="Arial" w:cs="Arial"/>
          <w:sz w:val="24"/>
        </w:rPr>
        <w:t>National Rural Health Resource Center</w:t>
      </w:r>
      <w:r w:rsidR="00026480">
        <w:rPr>
          <w:rFonts w:ascii="Arial" w:hAnsi="Arial" w:cs="Arial"/>
          <w:sz w:val="24"/>
        </w:rPr>
        <w:t xml:space="preserve"> (The Center)</w:t>
      </w:r>
      <w:r w:rsidR="00322CB0" w:rsidRPr="00322CB0">
        <w:rPr>
          <w:rFonts w:ascii="Arial" w:hAnsi="Arial" w:cs="Arial"/>
          <w:sz w:val="24"/>
        </w:rPr>
        <w:t xml:space="preserve"> </w:t>
      </w:r>
      <w:r w:rsidR="00026480">
        <w:rPr>
          <w:rFonts w:ascii="Arial" w:hAnsi="Arial" w:cs="Arial"/>
          <w:sz w:val="24"/>
        </w:rPr>
        <w:t xml:space="preserve">at </w:t>
      </w:r>
      <w:hyperlink r:id="rId8" w:history="1">
        <w:r w:rsidR="00026480" w:rsidRPr="000B3536">
          <w:rPr>
            <w:rStyle w:val="Hyperlink"/>
            <w:rFonts w:ascii="Arial" w:hAnsi="Arial" w:cs="Arial"/>
            <w:sz w:val="24"/>
          </w:rPr>
          <w:t>https://www.ruralcenter.org/</w:t>
        </w:r>
      </w:hyperlink>
      <w:r w:rsidR="00026480">
        <w:rPr>
          <w:rFonts w:ascii="Arial" w:hAnsi="Arial" w:cs="Arial"/>
          <w:sz w:val="24"/>
        </w:rPr>
        <w:t xml:space="preserve">.  The Center is </w:t>
      </w:r>
      <w:r w:rsidR="00322CB0">
        <w:rPr>
          <w:rFonts w:ascii="Arial" w:hAnsi="Arial" w:cs="Arial"/>
          <w:sz w:val="24"/>
        </w:rPr>
        <w:t xml:space="preserve">one of </w:t>
      </w:r>
      <w:r w:rsidR="00322CB0" w:rsidRPr="00322CB0">
        <w:rPr>
          <w:rFonts w:ascii="Arial" w:hAnsi="Arial" w:cs="Arial"/>
          <w:sz w:val="24"/>
        </w:rPr>
        <w:t xml:space="preserve">the nation's leading technical assistance </w:t>
      </w:r>
      <w:r w:rsidR="00026480">
        <w:rPr>
          <w:rFonts w:ascii="Arial" w:hAnsi="Arial" w:cs="Arial"/>
          <w:sz w:val="24"/>
        </w:rPr>
        <w:t xml:space="preserve">providers </w:t>
      </w:r>
      <w:r w:rsidR="00322CB0" w:rsidRPr="00322CB0">
        <w:rPr>
          <w:rFonts w:ascii="Arial" w:hAnsi="Arial" w:cs="Arial"/>
          <w:sz w:val="24"/>
        </w:rPr>
        <w:t>and knowledge centers in rural health.</w:t>
      </w:r>
      <w:r w:rsidR="00811722">
        <w:rPr>
          <w:rFonts w:ascii="Arial" w:hAnsi="Arial" w:cs="Arial"/>
          <w:sz w:val="24"/>
        </w:rPr>
        <w:t xml:space="preserve"> </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DA5386" w:rsidRPr="00B97EF8" w:rsidRDefault="0092327B" w:rsidP="00716D73">
      <w:pPr>
        <w:spacing w:before="120"/>
        <w:rPr>
          <w:rFonts w:ascii="Arial" w:hAnsi="Arial" w:cs="Arial"/>
          <w:color w:val="0070C0"/>
          <w:sz w:val="24"/>
        </w:rPr>
      </w:pPr>
      <w:r>
        <w:rPr>
          <w:rFonts w:ascii="Arial" w:hAnsi="Arial" w:cs="Arial"/>
          <w:sz w:val="24"/>
        </w:rPr>
        <w:t xml:space="preserve">The information collection is unique to SRHT. </w:t>
      </w:r>
      <w:r w:rsidRPr="001C7885">
        <w:rPr>
          <w:rFonts w:ascii="Arial" w:hAnsi="Arial" w:cs="Arial"/>
          <w:sz w:val="24"/>
        </w:rPr>
        <w:t xml:space="preserve"> </w:t>
      </w:r>
      <w:r w:rsidR="005F59ED" w:rsidRPr="00565900">
        <w:rPr>
          <w:rFonts w:ascii="Arial" w:hAnsi="Arial" w:cs="Arial"/>
          <w:sz w:val="24"/>
        </w:rPr>
        <w:t xml:space="preserve">Efforts to identify duplication and use of similar information did not reveal </w:t>
      </w:r>
      <w:r w:rsidR="00FD1124" w:rsidRPr="00565900">
        <w:rPr>
          <w:rFonts w:ascii="Arial" w:hAnsi="Arial" w:cs="Arial"/>
          <w:sz w:val="24"/>
        </w:rPr>
        <w:t>the existence of duplicative or similar data collection</w:t>
      </w:r>
      <w:r w:rsidR="00CD6AD1" w:rsidRPr="00565900">
        <w:rPr>
          <w:rFonts w:ascii="Arial" w:hAnsi="Arial" w:cs="Arial"/>
          <w:sz w:val="24"/>
        </w:rPr>
        <w:t>s</w:t>
      </w:r>
      <w:r w:rsidR="00677EF3" w:rsidRPr="00565900">
        <w:rPr>
          <w:rFonts w:ascii="Arial" w:hAnsi="Arial" w:cs="Arial"/>
          <w:sz w:val="24"/>
        </w:rPr>
        <w:t xml:space="preserve"> within HHS or outside</w:t>
      </w:r>
      <w:r w:rsidR="00CD6AD1" w:rsidRPr="00565900">
        <w:rPr>
          <w:rFonts w:ascii="Arial" w:hAnsi="Arial" w:cs="Arial"/>
          <w:sz w:val="24"/>
        </w:rPr>
        <w:t xml:space="preserve"> </w:t>
      </w:r>
      <w:r w:rsidR="00677EF3" w:rsidRPr="00565900">
        <w:rPr>
          <w:rFonts w:ascii="Arial" w:hAnsi="Arial" w:cs="Arial"/>
          <w:sz w:val="24"/>
        </w:rPr>
        <w:t>Government</w:t>
      </w:r>
      <w:r w:rsidRPr="00565900">
        <w:rPr>
          <w:rFonts w:ascii="Arial" w:hAnsi="Arial" w:cs="Arial"/>
          <w:sz w:val="24"/>
        </w:rPr>
        <w:t>.</w:t>
      </w:r>
    </w:p>
    <w:p w:rsidR="009B3794" w:rsidRPr="00C45431" w:rsidRDefault="009B3794" w:rsidP="00CA3DA6">
      <w:pPr>
        <w:numPr>
          <w:ilvl w:val="0"/>
          <w:numId w:val="2"/>
        </w:numPr>
        <w:tabs>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692FB8" w:rsidRPr="00565900" w:rsidRDefault="00692FB8" w:rsidP="00565900">
      <w:pPr>
        <w:spacing w:before="120"/>
        <w:rPr>
          <w:rFonts w:ascii="Arial" w:hAnsi="Arial" w:cs="Arial"/>
          <w:sz w:val="24"/>
        </w:rPr>
      </w:pPr>
      <w:r w:rsidRPr="00565900">
        <w:rPr>
          <w:rFonts w:ascii="Arial" w:hAnsi="Arial" w:cs="Arial"/>
          <w:sz w:val="24"/>
        </w:rPr>
        <w:t>No small businesses will be involved in this study.</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rsidR="009B3794" w:rsidRPr="006F276E" w:rsidRDefault="00BA4323" w:rsidP="001C7885">
      <w:pPr>
        <w:widowControl/>
        <w:autoSpaceDE/>
        <w:autoSpaceDN/>
        <w:adjustRightInd/>
        <w:spacing w:before="120"/>
        <w:rPr>
          <w:rFonts w:ascii="Arial" w:hAnsi="Arial" w:cs="Arial"/>
          <w:color w:val="0070C0"/>
          <w:sz w:val="24"/>
        </w:rPr>
      </w:pPr>
      <w:r>
        <w:rPr>
          <w:rFonts w:ascii="Arial" w:hAnsi="Arial" w:cs="Arial"/>
          <w:sz w:val="24"/>
        </w:rPr>
        <w:t xml:space="preserve">Under the SRHT contract, </w:t>
      </w:r>
      <w:r w:rsidR="001E02D5">
        <w:rPr>
          <w:rFonts w:ascii="Arial" w:hAnsi="Arial" w:cs="Arial"/>
          <w:sz w:val="24"/>
        </w:rPr>
        <w:t>a</w:t>
      </w:r>
      <w:r>
        <w:rPr>
          <w:rFonts w:ascii="Arial" w:hAnsi="Arial" w:cs="Arial"/>
          <w:sz w:val="24"/>
        </w:rPr>
        <w:t xml:space="preserve"> </w:t>
      </w:r>
      <w:r w:rsidR="00EF3407" w:rsidRPr="00565900">
        <w:rPr>
          <w:rFonts w:ascii="Arial" w:hAnsi="Arial" w:cs="Arial"/>
          <w:sz w:val="24"/>
        </w:rPr>
        <w:t>new cohort of nine hospitals</w:t>
      </w:r>
      <w:r w:rsidR="00B42BA5">
        <w:rPr>
          <w:rFonts w:ascii="Arial" w:hAnsi="Arial" w:cs="Arial"/>
          <w:sz w:val="24"/>
        </w:rPr>
        <w:t xml:space="preserve"> will be selected</w:t>
      </w:r>
      <w:r w:rsidR="00EF3407" w:rsidRPr="00565900">
        <w:rPr>
          <w:rFonts w:ascii="Arial" w:hAnsi="Arial" w:cs="Arial"/>
          <w:sz w:val="24"/>
        </w:rPr>
        <w:t xml:space="preserve"> to receive on-site TA</w:t>
      </w:r>
      <w:r>
        <w:rPr>
          <w:rFonts w:ascii="Arial" w:hAnsi="Arial" w:cs="Arial"/>
          <w:sz w:val="24"/>
        </w:rPr>
        <w:t xml:space="preserve"> each year</w:t>
      </w:r>
      <w:r w:rsidR="00137294">
        <w:rPr>
          <w:rFonts w:ascii="Arial" w:hAnsi="Arial" w:cs="Arial"/>
          <w:sz w:val="24"/>
        </w:rPr>
        <w:t xml:space="preserve"> (b</w:t>
      </w:r>
      <w:r w:rsidR="006E7623">
        <w:rPr>
          <w:rFonts w:ascii="Arial" w:hAnsi="Arial" w:cs="Arial"/>
          <w:sz w:val="24"/>
        </w:rPr>
        <w:t>ase year plus three option years)</w:t>
      </w:r>
      <w:r w:rsidR="00EF3407" w:rsidRPr="00565900">
        <w:rPr>
          <w:rFonts w:ascii="Arial" w:hAnsi="Arial" w:cs="Arial"/>
          <w:sz w:val="24"/>
        </w:rPr>
        <w:t xml:space="preserve">.  </w:t>
      </w:r>
      <w:r w:rsidR="00B42BA5">
        <w:rPr>
          <w:rFonts w:ascii="Arial" w:hAnsi="Arial" w:cs="Arial"/>
          <w:sz w:val="24"/>
        </w:rPr>
        <w:t>H</w:t>
      </w:r>
      <w:r w:rsidR="00EF3407" w:rsidRPr="00565900">
        <w:rPr>
          <w:rFonts w:ascii="Arial" w:hAnsi="Arial" w:cs="Arial"/>
          <w:sz w:val="24"/>
        </w:rPr>
        <w:t>ospital</w:t>
      </w:r>
      <w:r w:rsidR="00B42BA5">
        <w:rPr>
          <w:rFonts w:ascii="Arial" w:hAnsi="Arial" w:cs="Arial"/>
          <w:sz w:val="24"/>
        </w:rPr>
        <w:t>s</w:t>
      </w:r>
      <w:r w:rsidR="006F276E" w:rsidRPr="00565900">
        <w:rPr>
          <w:rFonts w:ascii="Arial" w:hAnsi="Arial" w:cs="Arial"/>
          <w:sz w:val="24"/>
        </w:rPr>
        <w:t xml:space="preserve"> </w:t>
      </w:r>
      <w:r w:rsidR="009614DB">
        <w:rPr>
          <w:rFonts w:ascii="Arial" w:hAnsi="Arial" w:cs="Arial"/>
          <w:sz w:val="24"/>
        </w:rPr>
        <w:t>desiring</w:t>
      </w:r>
      <w:r w:rsidR="006F276E" w:rsidRPr="00565900">
        <w:rPr>
          <w:rFonts w:ascii="Arial" w:hAnsi="Arial" w:cs="Arial"/>
          <w:sz w:val="24"/>
        </w:rPr>
        <w:t xml:space="preserve"> to </w:t>
      </w:r>
      <w:r w:rsidR="009614DB">
        <w:rPr>
          <w:rFonts w:ascii="Arial" w:hAnsi="Arial" w:cs="Arial"/>
          <w:sz w:val="24"/>
        </w:rPr>
        <w:t xml:space="preserve">receive TA via the </w:t>
      </w:r>
      <w:r w:rsidR="006F276E" w:rsidRPr="00565900">
        <w:rPr>
          <w:rFonts w:ascii="Arial" w:hAnsi="Arial" w:cs="Arial"/>
          <w:sz w:val="24"/>
        </w:rPr>
        <w:t>project will be required</w:t>
      </w:r>
      <w:r w:rsidR="00EF3407" w:rsidRPr="00565900">
        <w:rPr>
          <w:rFonts w:ascii="Arial" w:hAnsi="Arial" w:cs="Arial"/>
          <w:sz w:val="24"/>
        </w:rPr>
        <w:t xml:space="preserve"> to complete the</w:t>
      </w:r>
      <w:r w:rsidR="009614DB">
        <w:rPr>
          <w:rFonts w:ascii="Arial" w:hAnsi="Arial" w:cs="Arial"/>
          <w:sz w:val="24"/>
        </w:rPr>
        <w:t xml:space="preserve"> SRHT</w:t>
      </w:r>
      <w:r w:rsidR="00EF3407" w:rsidRPr="00565900">
        <w:rPr>
          <w:rFonts w:ascii="Arial" w:hAnsi="Arial" w:cs="Arial"/>
          <w:sz w:val="24"/>
        </w:rPr>
        <w:t xml:space="preserve"> application form and</w:t>
      </w:r>
      <w:r w:rsidR="006F276E" w:rsidRPr="00565900">
        <w:rPr>
          <w:rFonts w:ascii="Arial" w:hAnsi="Arial" w:cs="Arial"/>
          <w:sz w:val="24"/>
        </w:rPr>
        <w:t xml:space="preserve"> the</w:t>
      </w:r>
      <w:r w:rsidR="00EF3407" w:rsidRPr="00565900">
        <w:rPr>
          <w:rFonts w:ascii="Arial" w:hAnsi="Arial" w:cs="Arial"/>
          <w:sz w:val="24"/>
        </w:rPr>
        <w:t xml:space="preserve"> </w:t>
      </w:r>
      <w:r w:rsidR="009614DB">
        <w:rPr>
          <w:rFonts w:ascii="Arial" w:hAnsi="Arial" w:cs="Arial"/>
          <w:sz w:val="24"/>
        </w:rPr>
        <w:t xml:space="preserve">hospital </w:t>
      </w:r>
      <w:r w:rsidR="00EF3407" w:rsidRPr="00565900">
        <w:rPr>
          <w:rFonts w:ascii="Arial" w:hAnsi="Arial" w:cs="Arial"/>
          <w:sz w:val="24"/>
        </w:rPr>
        <w:t xml:space="preserve">self-assessment for the year in which the TA is requested. </w:t>
      </w:r>
      <w:r w:rsidR="009614DB">
        <w:rPr>
          <w:rFonts w:ascii="Arial" w:hAnsi="Arial" w:cs="Arial"/>
          <w:sz w:val="24"/>
        </w:rPr>
        <w:t xml:space="preserve">The information </w:t>
      </w:r>
      <w:r w:rsidR="006E7623">
        <w:rPr>
          <w:rFonts w:ascii="Arial" w:hAnsi="Arial" w:cs="Arial"/>
          <w:sz w:val="24"/>
        </w:rPr>
        <w:t>will</w:t>
      </w:r>
      <w:r w:rsidR="009614DB">
        <w:rPr>
          <w:rFonts w:ascii="Arial" w:hAnsi="Arial" w:cs="Arial"/>
          <w:sz w:val="24"/>
        </w:rPr>
        <w:t xml:space="preserve"> capture information relevant to the selection of small rural hospitals most ready and eligible to participate in SRHT. </w:t>
      </w:r>
      <w:r w:rsidR="00EF3407" w:rsidRPr="00565900">
        <w:rPr>
          <w:rFonts w:ascii="Arial" w:hAnsi="Arial" w:cs="Arial"/>
          <w:sz w:val="24"/>
        </w:rPr>
        <w:t xml:space="preserve"> </w:t>
      </w:r>
      <w:r w:rsidR="007B3AAB" w:rsidRPr="00565900">
        <w:rPr>
          <w:rFonts w:ascii="Arial" w:hAnsi="Arial" w:cs="Arial"/>
          <w:sz w:val="24"/>
        </w:rPr>
        <w:t>Respondents will respond to data collection one time only. There are no legal obstacles to reduce the burden.</w:t>
      </w:r>
      <w:r w:rsidR="007B3AAB" w:rsidRPr="007B3AAB">
        <w:rPr>
          <w:rFonts w:ascii="Arial" w:hAnsi="Arial" w:cs="Arial"/>
          <w:color w:val="0070C0"/>
          <w:sz w:val="24"/>
        </w:rPr>
        <w:t xml:space="preserve">  </w:t>
      </w:r>
      <w:r w:rsidR="007B3AAB">
        <w:rPr>
          <w:rFonts w:ascii="Arial" w:hAnsi="Arial" w:cs="Arial"/>
          <w:color w:val="0070C0"/>
          <w:sz w:val="24"/>
        </w:rPr>
        <w:t xml:space="preserve"> </w:t>
      </w:r>
      <w:r w:rsidR="009B3794" w:rsidRPr="00C45431">
        <w:rPr>
          <w:rFonts w:ascii="Arial" w:hAnsi="Arial" w:cs="Arial"/>
          <w:sz w:val="24"/>
        </w:rPr>
        <w:tab/>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7961DF" w:rsidRDefault="007961DF" w:rsidP="00565900">
      <w:pPr>
        <w:widowControl/>
        <w:spacing w:before="120"/>
        <w:rPr>
          <w:rFonts w:ascii="Arial" w:hAnsi="Arial" w:cs="Arial"/>
          <w:sz w:val="24"/>
        </w:rPr>
      </w:pPr>
      <w:r w:rsidRPr="00565900">
        <w:rPr>
          <w:rFonts w:ascii="Arial" w:hAnsi="Arial" w:cs="Arial"/>
          <w:sz w:val="24"/>
        </w:rPr>
        <w:t>The request fully complies with the regulation.</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F219AF"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rsidR="00770BFE" w:rsidRPr="00565900" w:rsidRDefault="00770BFE" w:rsidP="00565900">
      <w:pPr>
        <w:tabs>
          <w:tab w:val="num" w:pos="450"/>
        </w:tabs>
        <w:spacing w:before="120"/>
        <w:rPr>
          <w:rFonts w:ascii="Arial" w:hAnsi="Arial" w:cs="Arial"/>
          <w:sz w:val="24"/>
        </w:rPr>
      </w:pPr>
      <w:r w:rsidRPr="00565900">
        <w:rPr>
          <w:rFonts w:ascii="Arial" w:hAnsi="Arial" w:cs="Arial"/>
          <w:sz w:val="24"/>
        </w:rPr>
        <w:t>A 60-day Federal Register Notice was publish</w:t>
      </w:r>
      <w:r w:rsidR="00AD5E39" w:rsidRPr="00565900">
        <w:rPr>
          <w:rFonts w:ascii="Arial" w:hAnsi="Arial" w:cs="Arial"/>
          <w:sz w:val="24"/>
        </w:rPr>
        <w:t>ed in the Federal Register on</w:t>
      </w:r>
      <w:r w:rsidR="00D16D2C">
        <w:rPr>
          <w:rFonts w:ascii="Arial" w:hAnsi="Arial" w:cs="Arial"/>
          <w:sz w:val="24"/>
        </w:rPr>
        <w:t xml:space="preserve"> June 24, 2016 (</w:t>
      </w:r>
      <w:r w:rsidR="00AD5E39" w:rsidRPr="00565900">
        <w:rPr>
          <w:rFonts w:ascii="Arial" w:hAnsi="Arial" w:cs="Arial"/>
          <w:sz w:val="24"/>
        </w:rPr>
        <w:t>81</w:t>
      </w:r>
      <w:r w:rsidR="00D16D2C">
        <w:rPr>
          <w:rFonts w:ascii="Arial" w:hAnsi="Arial" w:cs="Arial"/>
          <w:sz w:val="24"/>
        </w:rPr>
        <w:t xml:space="preserve"> </w:t>
      </w:r>
      <w:r w:rsidR="00AD5E39" w:rsidRPr="00565900">
        <w:rPr>
          <w:rFonts w:ascii="Arial" w:hAnsi="Arial" w:cs="Arial"/>
          <w:sz w:val="24"/>
        </w:rPr>
        <w:t>Fed Reg</w:t>
      </w:r>
      <w:r w:rsidR="00D16D2C">
        <w:rPr>
          <w:rFonts w:ascii="Arial" w:hAnsi="Arial" w:cs="Arial"/>
          <w:sz w:val="24"/>
        </w:rPr>
        <w:t xml:space="preserve"> 41315</w:t>
      </w:r>
      <w:r w:rsidR="00AD5E39" w:rsidRPr="00565900">
        <w:rPr>
          <w:rFonts w:ascii="Arial" w:hAnsi="Arial" w:cs="Arial"/>
          <w:sz w:val="24"/>
        </w:rPr>
        <w:t xml:space="preserve">). </w:t>
      </w:r>
      <w:r w:rsidR="00137294">
        <w:rPr>
          <w:rFonts w:ascii="Arial" w:hAnsi="Arial" w:cs="Arial"/>
          <w:sz w:val="24"/>
        </w:rPr>
        <w:t xml:space="preserve">  No public comments were received.  </w:t>
      </w:r>
    </w:p>
    <w:p w:rsidR="006314A8" w:rsidRPr="00770BFE" w:rsidRDefault="006314A8" w:rsidP="00AD5E39">
      <w:pPr>
        <w:tabs>
          <w:tab w:val="num" w:pos="450"/>
        </w:tabs>
        <w:spacing w:before="120"/>
        <w:ind w:left="360"/>
        <w:rPr>
          <w:rFonts w:ascii="Arial" w:hAnsi="Arial" w:cs="Arial"/>
          <w:color w:val="0070C0"/>
          <w:sz w:val="24"/>
        </w:rPr>
      </w:pPr>
    </w:p>
    <w:p w:rsidR="00DE3A45" w:rsidRPr="00571DCA" w:rsidRDefault="00DE3A45" w:rsidP="00565900">
      <w:pPr>
        <w:pStyle w:val="ListParagraph"/>
        <w:tabs>
          <w:tab w:val="num" w:pos="360"/>
        </w:tabs>
        <w:spacing w:before="120"/>
        <w:ind w:left="0"/>
        <w:rPr>
          <w:rFonts w:ascii="Arial" w:hAnsi="Arial" w:cs="Arial"/>
          <w:b/>
          <w:sz w:val="28"/>
          <w:szCs w:val="28"/>
        </w:rPr>
      </w:pPr>
      <w:r w:rsidRPr="00571DCA">
        <w:rPr>
          <w:rFonts w:ascii="Arial" w:hAnsi="Arial" w:cs="Arial"/>
          <w:b/>
          <w:sz w:val="28"/>
          <w:szCs w:val="28"/>
        </w:rPr>
        <w:t>Section 8B:</w:t>
      </w:r>
    </w:p>
    <w:p w:rsidR="008B1686" w:rsidRPr="00565900" w:rsidRDefault="006E7623" w:rsidP="00565900">
      <w:pPr>
        <w:spacing w:before="120"/>
        <w:rPr>
          <w:rFonts w:ascii="Arial" w:hAnsi="Arial" w:cs="Arial"/>
          <w:sz w:val="24"/>
        </w:rPr>
      </w:pPr>
      <w:r>
        <w:rPr>
          <w:rFonts w:ascii="Arial" w:hAnsi="Arial" w:cs="Arial"/>
          <w:sz w:val="24"/>
        </w:rPr>
        <w:t>Because</w:t>
      </w:r>
      <w:r w:rsidR="007B3B45" w:rsidRPr="00565900">
        <w:rPr>
          <w:rFonts w:ascii="Arial" w:hAnsi="Arial" w:cs="Arial"/>
          <w:sz w:val="24"/>
        </w:rPr>
        <w:t xml:space="preserve"> hospital selection is based on </w:t>
      </w:r>
      <w:r w:rsidR="001C7885" w:rsidRPr="00565900">
        <w:rPr>
          <w:rFonts w:ascii="Arial" w:hAnsi="Arial" w:cs="Arial"/>
          <w:sz w:val="24"/>
        </w:rPr>
        <w:t xml:space="preserve">response to </w:t>
      </w:r>
      <w:r w:rsidR="007B3B45" w:rsidRPr="00565900">
        <w:rPr>
          <w:rFonts w:ascii="Arial" w:hAnsi="Arial" w:cs="Arial"/>
          <w:sz w:val="24"/>
        </w:rPr>
        <w:t>the information collection, i</w:t>
      </w:r>
      <w:r w:rsidR="00391FE9" w:rsidRPr="00565900">
        <w:rPr>
          <w:rFonts w:ascii="Arial" w:hAnsi="Arial" w:cs="Arial"/>
          <w:sz w:val="24"/>
        </w:rPr>
        <w:t xml:space="preserve">t is believed that consultation with representatives of those from whom the information is to be obtained would give </w:t>
      </w:r>
      <w:r w:rsidR="000F436B" w:rsidRPr="00565900">
        <w:rPr>
          <w:rFonts w:ascii="Arial" w:hAnsi="Arial" w:cs="Arial"/>
          <w:sz w:val="24"/>
        </w:rPr>
        <w:t xml:space="preserve">potential </w:t>
      </w:r>
      <w:r w:rsidR="00391FE9" w:rsidRPr="00565900">
        <w:rPr>
          <w:rFonts w:ascii="Arial" w:hAnsi="Arial" w:cs="Arial"/>
          <w:sz w:val="24"/>
        </w:rPr>
        <w:t>applicant</w:t>
      </w:r>
      <w:r w:rsidR="000F436B" w:rsidRPr="00565900">
        <w:rPr>
          <w:rFonts w:ascii="Arial" w:hAnsi="Arial" w:cs="Arial"/>
          <w:sz w:val="24"/>
        </w:rPr>
        <w:t>s</w:t>
      </w:r>
      <w:r w:rsidR="00391FE9" w:rsidRPr="00565900">
        <w:rPr>
          <w:rFonts w:ascii="Arial" w:hAnsi="Arial" w:cs="Arial"/>
          <w:sz w:val="24"/>
        </w:rPr>
        <w:t xml:space="preserve"> an unfair advantage in</w:t>
      </w:r>
      <w:r w:rsidR="00554911" w:rsidRPr="00565900">
        <w:rPr>
          <w:rFonts w:ascii="Arial" w:hAnsi="Arial" w:cs="Arial"/>
          <w:sz w:val="24"/>
        </w:rPr>
        <w:t xml:space="preserve"> preparing</w:t>
      </w:r>
      <w:r w:rsidR="00391FE9" w:rsidRPr="00565900">
        <w:rPr>
          <w:rFonts w:ascii="Arial" w:hAnsi="Arial" w:cs="Arial"/>
          <w:sz w:val="24"/>
        </w:rPr>
        <w:t xml:space="preserve"> the application</w:t>
      </w:r>
      <w:r w:rsidR="002A06A3" w:rsidRPr="00565900">
        <w:rPr>
          <w:rFonts w:ascii="Arial" w:hAnsi="Arial" w:cs="Arial"/>
          <w:sz w:val="24"/>
        </w:rPr>
        <w:t xml:space="preserve"> and assessment.</w:t>
      </w:r>
      <w:r w:rsidR="00AC309E" w:rsidRPr="00565900">
        <w:rPr>
          <w:rFonts w:ascii="Arial" w:hAnsi="Arial" w:cs="Arial"/>
          <w:sz w:val="24"/>
        </w:rPr>
        <w:t xml:space="preserve">  </w:t>
      </w:r>
      <w:r w:rsidR="00125838" w:rsidRPr="00565900">
        <w:rPr>
          <w:rFonts w:ascii="Arial" w:hAnsi="Arial" w:cs="Arial"/>
          <w:sz w:val="24"/>
        </w:rPr>
        <w:t xml:space="preserve">However, </w:t>
      </w:r>
      <w:r w:rsidR="0090013F">
        <w:rPr>
          <w:rFonts w:ascii="Arial" w:hAnsi="Arial" w:cs="Arial"/>
          <w:sz w:val="24"/>
        </w:rPr>
        <w:t xml:space="preserve">upon completion of the hospital </w:t>
      </w:r>
      <w:r w:rsidR="00FA41D2" w:rsidRPr="00565900">
        <w:rPr>
          <w:rFonts w:ascii="Arial" w:hAnsi="Arial" w:cs="Arial"/>
          <w:sz w:val="24"/>
        </w:rPr>
        <w:t>selection process</w:t>
      </w:r>
      <w:r w:rsidR="0090013F">
        <w:rPr>
          <w:rFonts w:ascii="Arial" w:hAnsi="Arial" w:cs="Arial"/>
          <w:sz w:val="24"/>
        </w:rPr>
        <w:t>,</w:t>
      </w:r>
      <w:r w:rsidR="00FA41D2" w:rsidRPr="00565900">
        <w:rPr>
          <w:rFonts w:ascii="Arial" w:hAnsi="Arial" w:cs="Arial"/>
          <w:sz w:val="24"/>
        </w:rPr>
        <w:t xml:space="preserve"> </w:t>
      </w:r>
      <w:r w:rsidR="00D01015">
        <w:rPr>
          <w:rFonts w:ascii="Arial" w:hAnsi="Arial" w:cs="Arial"/>
          <w:sz w:val="24"/>
        </w:rPr>
        <w:t xml:space="preserve">applicant </w:t>
      </w:r>
      <w:r w:rsidR="00125838" w:rsidRPr="00565900">
        <w:rPr>
          <w:rFonts w:ascii="Arial" w:hAnsi="Arial" w:cs="Arial"/>
          <w:sz w:val="24"/>
        </w:rPr>
        <w:t xml:space="preserve">feedback on the information collection can be </w:t>
      </w:r>
      <w:r w:rsidR="00FA41D2" w:rsidRPr="00565900">
        <w:rPr>
          <w:rFonts w:ascii="Arial" w:hAnsi="Arial" w:cs="Arial"/>
          <w:sz w:val="24"/>
        </w:rPr>
        <w:t>solicited</w:t>
      </w:r>
      <w:r w:rsidR="00125838" w:rsidRPr="00565900">
        <w:rPr>
          <w:rFonts w:ascii="Arial" w:hAnsi="Arial" w:cs="Arial"/>
          <w:sz w:val="24"/>
        </w:rPr>
        <w:t xml:space="preserve"> from the nine hospitals selected to receive TA.  </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00AE265F" w:rsidRPr="00565900" w:rsidRDefault="00AE265F" w:rsidP="00565900">
      <w:pPr>
        <w:rPr>
          <w:rFonts w:ascii="Arial" w:hAnsi="Arial" w:cs="Arial"/>
          <w:sz w:val="24"/>
        </w:rPr>
      </w:pPr>
      <w:r w:rsidRPr="00565900">
        <w:rPr>
          <w:rFonts w:ascii="Arial" w:hAnsi="Arial" w:cs="Arial"/>
          <w:sz w:val="24"/>
        </w:rPr>
        <w:t>Respondents will not receive any payments or gifts.</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637366" w:rsidRPr="00565900" w:rsidRDefault="00200AC4" w:rsidP="00565900">
      <w:pPr>
        <w:widowControl/>
        <w:spacing w:before="120"/>
        <w:rPr>
          <w:rFonts w:ascii="Arial" w:hAnsi="Arial" w:cs="Arial"/>
          <w:sz w:val="24"/>
        </w:rPr>
      </w:pPr>
      <w:r w:rsidRPr="00565900">
        <w:rPr>
          <w:rFonts w:ascii="Arial" w:hAnsi="Arial" w:cs="Arial"/>
          <w:sz w:val="24"/>
        </w:rPr>
        <w:t>Data</w:t>
      </w:r>
      <w:r w:rsidR="00181191" w:rsidRPr="00565900">
        <w:rPr>
          <w:rFonts w:ascii="Arial" w:hAnsi="Arial" w:cs="Arial"/>
          <w:sz w:val="24"/>
        </w:rPr>
        <w:t xml:space="preserve"> will be kept private to the extent allowed by law.</w:t>
      </w:r>
      <w:r w:rsidR="00E46291" w:rsidRPr="00565900">
        <w:rPr>
          <w:rFonts w:ascii="Arial" w:hAnsi="Arial" w:cs="Arial"/>
          <w:sz w:val="24"/>
        </w:rPr>
        <w:t xml:space="preserve"> The methods used</w:t>
      </w:r>
      <w:r w:rsidR="00614439">
        <w:rPr>
          <w:rFonts w:ascii="Arial" w:hAnsi="Arial" w:cs="Arial"/>
          <w:sz w:val="24"/>
        </w:rPr>
        <w:t xml:space="preserve"> by The Center</w:t>
      </w:r>
      <w:r w:rsidR="00E46291" w:rsidRPr="00565900">
        <w:rPr>
          <w:rFonts w:ascii="Arial" w:hAnsi="Arial" w:cs="Arial"/>
          <w:sz w:val="24"/>
        </w:rPr>
        <w:t xml:space="preserve"> to maintain the privacy and/or confidenti</w:t>
      </w:r>
      <w:r w:rsidR="00637366" w:rsidRPr="00565900">
        <w:rPr>
          <w:rFonts w:ascii="Arial" w:hAnsi="Arial" w:cs="Arial"/>
          <w:sz w:val="24"/>
        </w:rPr>
        <w:t>ality of the respondent</w:t>
      </w:r>
      <w:r w:rsidR="00614439">
        <w:rPr>
          <w:rFonts w:ascii="Arial" w:hAnsi="Arial" w:cs="Arial"/>
          <w:sz w:val="24"/>
        </w:rPr>
        <w:t>s</w:t>
      </w:r>
      <w:r w:rsidR="00637366" w:rsidRPr="00565900">
        <w:rPr>
          <w:rFonts w:ascii="Arial" w:hAnsi="Arial" w:cs="Arial"/>
          <w:sz w:val="24"/>
        </w:rPr>
        <w:t xml:space="preserve"> include:</w:t>
      </w:r>
    </w:p>
    <w:p w:rsidR="009E2890" w:rsidRPr="00565900" w:rsidRDefault="009E2890" w:rsidP="00565900">
      <w:pPr>
        <w:widowControl/>
        <w:spacing w:before="120"/>
        <w:rPr>
          <w:rFonts w:ascii="Arial" w:hAnsi="Arial" w:cs="Arial"/>
          <w:sz w:val="24"/>
          <w:u w:val="single"/>
        </w:rPr>
      </w:pPr>
      <w:r w:rsidRPr="00565900">
        <w:rPr>
          <w:rFonts w:ascii="Arial" w:hAnsi="Arial" w:cs="Arial"/>
          <w:sz w:val="24"/>
          <w:u w:val="single"/>
        </w:rPr>
        <w:t>Technical details:</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Encryption of all website traffic at www.ruralcenter.org using an SSL certificate with SHA-2 encryption. This protects hospital application data when it is transmitted from the applicant to our server.</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On a weekly basis, IT department reviews and installs security releases to keep our web servers and applications secure. This protects hospital application data that is stored on the servers.</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Website requires valid credentials from a Center staff member to access hospital application data. This protects hospital application data that is stored on our servers.</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Copying of application data to SharePoint server. This server is not accessible from outside our network and requires valid Center authentication credentials to access. A managed services vendor regularly installs security updates and ensures anti-virus software on the server is up to date. This protects hospital application data that is stored on our servers.</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 xml:space="preserve">The managed services vendor ensures client computers are kept up to date with security updates and anti-virus software. They also monitor the security of our local network infrastructure. This protects hospital application data while </w:t>
      </w:r>
      <w:r w:rsidR="009C2269" w:rsidRPr="00565900">
        <w:rPr>
          <w:rFonts w:ascii="Arial" w:hAnsi="Arial" w:cs="Arial"/>
          <w:sz w:val="24"/>
        </w:rPr>
        <w:t>staff at The Center is</w:t>
      </w:r>
      <w:r w:rsidRPr="00565900">
        <w:rPr>
          <w:rFonts w:ascii="Arial" w:hAnsi="Arial" w:cs="Arial"/>
          <w:sz w:val="24"/>
        </w:rPr>
        <w:t xml:space="preserve"> accessing it.</w:t>
      </w:r>
    </w:p>
    <w:p w:rsidR="009E2890" w:rsidRPr="00565900" w:rsidRDefault="009C2269" w:rsidP="00565900">
      <w:pPr>
        <w:widowControl/>
        <w:spacing w:before="120"/>
        <w:rPr>
          <w:rFonts w:ascii="Arial" w:hAnsi="Arial" w:cs="Arial"/>
          <w:sz w:val="24"/>
          <w:u w:val="single"/>
        </w:rPr>
      </w:pPr>
      <w:r w:rsidRPr="00565900">
        <w:rPr>
          <w:rFonts w:ascii="Arial" w:hAnsi="Arial" w:cs="Arial"/>
          <w:sz w:val="24"/>
          <w:u w:val="single"/>
        </w:rPr>
        <w:t>N</w:t>
      </w:r>
      <w:r w:rsidR="009E2890" w:rsidRPr="00565900">
        <w:rPr>
          <w:rFonts w:ascii="Arial" w:hAnsi="Arial" w:cs="Arial"/>
          <w:sz w:val="24"/>
          <w:u w:val="single"/>
        </w:rPr>
        <w:t>on-technical details that relate to privacy and security:</w:t>
      </w:r>
    </w:p>
    <w:p w:rsidR="009E2890" w:rsidRPr="00565900" w:rsidRDefault="009E2890" w:rsidP="00565900">
      <w:pPr>
        <w:pStyle w:val="ListParagraph"/>
        <w:widowControl/>
        <w:numPr>
          <w:ilvl w:val="0"/>
          <w:numId w:val="46"/>
        </w:numPr>
        <w:spacing w:before="120"/>
        <w:rPr>
          <w:rFonts w:ascii="Arial" w:hAnsi="Arial" w:cs="Arial"/>
          <w:sz w:val="24"/>
        </w:rPr>
      </w:pPr>
      <w:r w:rsidRPr="00565900">
        <w:rPr>
          <w:rFonts w:ascii="Arial" w:hAnsi="Arial" w:cs="Arial"/>
          <w:sz w:val="24"/>
        </w:rPr>
        <w:t>Emergency Response Team that is activated in th</w:t>
      </w:r>
      <w:r w:rsidR="009C2269" w:rsidRPr="00565900">
        <w:rPr>
          <w:rFonts w:ascii="Arial" w:hAnsi="Arial" w:cs="Arial"/>
          <w:sz w:val="24"/>
        </w:rPr>
        <w:t>e event of a security breach. With the</w:t>
      </w:r>
      <w:r w:rsidRPr="00565900">
        <w:rPr>
          <w:rFonts w:ascii="Arial" w:hAnsi="Arial" w:cs="Arial"/>
          <w:sz w:val="24"/>
        </w:rPr>
        <w:t xml:space="preserve"> understand</w:t>
      </w:r>
      <w:r w:rsidR="009C2269" w:rsidRPr="00565900">
        <w:rPr>
          <w:rFonts w:ascii="Arial" w:hAnsi="Arial" w:cs="Arial"/>
          <w:sz w:val="24"/>
        </w:rPr>
        <w:t>ing</w:t>
      </w:r>
      <w:r w:rsidRPr="00565900">
        <w:rPr>
          <w:rFonts w:ascii="Arial" w:hAnsi="Arial" w:cs="Arial"/>
          <w:sz w:val="24"/>
        </w:rPr>
        <w:t xml:space="preserve"> that even with st</w:t>
      </w:r>
      <w:r w:rsidR="009C2269" w:rsidRPr="00565900">
        <w:rPr>
          <w:rFonts w:ascii="Arial" w:hAnsi="Arial" w:cs="Arial"/>
          <w:sz w:val="24"/>
        </w:rPr>
        <w:t>rong security measures in place</w:t>
      </w:r>
      <w:r w:rsidRPr="00565900">
        <w:rPr>
          <w:rFonts w:ascii="Arial" w:hAnsi="Arial" w:cs="Arial"/>
          <w:sz w:val="24"/>
        </w:rPr>
        <w:t xml:space="preserve"> t</w:t>
      </w:r>
      <w:r w:rsidR="009C2269" w:rsidRPr="00565900">
        <w:rPr>
          <w:rFonts w:ascii="Arial" w:hAnsi="Arial" w:cs="Arial"/>
          <w:sz w:val="24"/>
        </w:rPr>
        <w:t>here is always risk of a breach</w:t>
      </w:r>
      <w:r w:rsidR="00DB38AD">
        <w:rPr>
          <w:rFonts w:ascii="Arial" w:hAnsi="Arial" w:cs="Arial"/>
          <w:sz w:val="24"/>
        </w:rPr>
        <w:t>.</w:t>
      </w:r>
      <w:r w:rsidR="009C2269" w:rsidRPr="00565900">
        <w:rPr>
          <w:rFonts w:ascii="Arial" w:hAnsi="Arial" w:cs="Arial"/>
          <w:sz w:val="24"/>
        </w:rPr>
        <w:t xml:space="preserve"> </w:t>
      </w:r>
      <w:r w:rsidR="00614439">
        <w:rPr>
          <w:rFonts w:ascii="Arial" w:hAnsi="Arial" w:cs="Arial"/>
          <w:sz w:val="24"/>
        </w:rPr>
        <w:t>The Center is</w:t>
      </w:r>
      <w:r w:rsidR="009C2269" w:rsidRPr="00565900">
        <w:rPr>
          <w:rFonts w:ascii="Arial" w:hAnsi="Arial" w:cs="Arial"/>
          <w:sz w:val="24"/>
        </w:rPr>
        <w:t xml:space="preserve"> prepared </w:t>
      </w:r>
      <w:r w:rsidRPr="00565900">
        <w:rPr>
          <w:rFonts w:ascii="Arial" w:hAnsi="Arial" w:cs="Arial"/>
          <w:sz w:val="24"/>
        </w:rPr>
        <w:t>to act if a breach occur</w:t>
      </w:r>
      <w:r w:rsidR="009C2269" w:rsidRPr="00565900">
        <w:rPr>
          <w:rFonts w:ascii="Arial" w:hAnsi="Arial" w:cs="Arial"/>
          <w:sz w:val="24"/>
        </w:rPr>
        <w:t>s</w:t>
      </w:r>
      <w:r w:rsidRPr="00565900">
        <w:rPr>
          <w:rFonts w:ascii="Arial" w:hAnsi="Arial" w:cs="Arial"/>
          <w:sz w:val="24"/>
        </w:rPr>
        <w:t>.</w:t>
      </w:r>
    </w:p>
    <w:p w:rsidR="009E2890" w:rsidRPr="00565900" w:rsidRDefault="00DB38AD" w:rsidP="00565900">
      <w:pPr>
        <w:pStyle w:val="ListParagraph"/>
        <w:widowControl/>
        <w:numPr>
          <w:ilvl w:val="0"/>
          <w:numId w:val="46"/>
        </w:numPr>
        <w:spacing w:before="120"/>
        <w:rPr>
          <w:rFonts w:ascii="Arial" w:hAnsi="Arial" w:cs="Arial"/>
          <w:sz w:val="24"/>
        </w:rPr>
      </w:pPr>
      <w:r>
        <w:rPr>
          <w:rFonts w:ascii="Arial" w:hAnsi="Arial" w:cs="Arial"/>
          <w:sz w:val="24"/>
        </w:rPr>
        <w:t>H</w:t>
      </w:r>
      <w:r w:rsidR="009E2890" w:rsidRPr="00565900">
        <w:rPr>
          <w:rFonts w:ascii="Arial" w:hAnsi="Arial" w:cs="Arial"/>
          <w:sz w:val="24"/>
        </w:rPr>
        <w:t xml:space="preserve">ospital data </w:t>
      </w:r>
      <w:r>
        <w:rPr>
          <w:rFonts w:ascii="Arial" w:hAnsi="Arial" w:cs="Arial"/>
          <w:sz w:val="24"/>
        </w:rPr>
        <w:t xml:space="preserve">will not be shared </w:t>
      </w:r>
      <w:r w:rsidR="009E2890" w:rsidRPr="00565900">
        <w:rPr>
          <w:rFonts w:ascii="Arial" w:hAnsi="Arial" w:cs="Arial"/>
          <w:sz w:val="24"/>
        </w:rPr>
        <w:t xml:space="preserve">with anyone outside </w:t>
      </w:r>
      <w:r w:rsidR="009C2269" w:rsidRPr="00565900">
        <w:rPr>
          <w:rFonts w:ascii="Arial" w:hAnsi="Arial" w:cs="Arial"/>
          <w:sz w:val="24"/>
        </w:rPr>
        <w:t>the FORHP Project O</w:t>
      </w:r>
      <w:r w:rsidR="00F305E5" w:rsidRPr="00565900">
        <w:rPr>
          <w:rFonts w:ascii="Arial" w:hAnsi="Arial" w:cs="Arial"/>
          <w:sz w:val="24"/>
        </w:rPr>
        <w:t>fficer</w:t>
      </w:r>
      <w:r w:rsidR="009E2890" w:rsidRPr="00565900">
        <w:rPr>
          <w:rFonts w:ascii="Arial" w:hAnsi="Arial" w:cs="Arial"/>
          <w:sz w:val="24"/>
        </w:rPr>
        <w:t>.</w:t>
      </w:r>
    </w:p>
    <w:p w:rsidR="00181191" w:rsidRPr="00181191" w:rsidRDefault="00E46291" w:rsidP="00181191">
      <w:pPr>
        <w:widowControl/>
        <w:spacing w:before="120"/>
        <w:ind w:left="360"/>
        <w:rPr>
          <w:rFonts w:ascii="Arial" w:hAnsi="Arial" w:cs="Arial"/>
          <w:color w:val="0070C0"/>
          <w:sz w:val="24"/>
        </w:rPr>
      </w:pPr>
      <w:r w:rsidRPr="00E46291">
        <w:rPr>
          <w:rFonts w:ascii="Arial" w:hAnsi="Arial" w:cs="Arial"/>
          <w:color w:val="0070C0"/>
          <w:sz w:val="24"/>
        </w:rPr>
        <w:t xml:space="preserve">  </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lastRenderedPageBreak/>
        <w:t>Justification for Sensitive Questions</w:t>
      </w:r>
    </w:p>
    <w:p w:rsidR="00773850" w:rsidRDefault="00773850" w:rsidP="00565900">
      <w:pPr>
        <w:widowControl/>
        <w:spacing w:before="120"/>
        <w:rPr>
          <w:rFonts w:ascii="Arial" w:hAnsi="Arial" w:cs="Arial"/>
          <w:sz w:val="24"/>
        </w:rPr>
      </w:pPr>
      <w:r w:rsidRPr="00565900">
        <w:rPr>
          <w:rFonts w:ascii="Arial" w:hAnsi="Arial" w:cs="Arial"/>
          <w:sz w:val="24"/>
        </w:rPr>
        <w:t>Respondents are not asked to respond to any questions of a sensitive nature.</w:t>
      </w:r>
    </w:p>
    <w:p w:rsidR="00D44175" w:rsidRDefault="00D44175" w:rsidP="00565900">
      <w:pPr>
        <w:widowControl/>
        <w:spacing w:before="120"/>
        <w:rPr>
          <w:rFonts w:ascii="Arial" w:hAnsi="Arial" w:cs="Arial"/>
          <w:sz w:val="24"/>
        </w:rPr>
      </w:pPr>
    </w:p>
    <w:p w:rsidR="00D44175" w:rsidRPr="00565900" w:rsidRDefault="00D44175" w:rsidP="00565900">
      <w:pPr>
        <w:widowControl/>
        <w:spacing w:before="120"/>
        <w:rPr>
          <w:rFonts w:ascii="Arial" w:hAnsi="Arial" w:cs="Arial"/>
          <w:strike/>
          <w:sz w:val="24"/>
        </w:rPr>
      </w:pPr>
    </w:p>
    <w:p w:rsidR="009B3794" w:rsidRPr="00C45431" w:rsidRDefault="009B3794" w:rsidP="00CA3DA6">
      <w:pPr>
        <w:numPr>
          <w:ilvl w:val="0"/>
          <w:numId w:val="2"/>
        </w:numPr>
        <w:tabs>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04429B" w:rsidRDefault="0004429B" w:rsidP="00CA3DA6">
      <w:pPr>
        <w:widowControl/>
        <w:tabs>
          <w:tab w:val="num" w:pos="720"/>
        </w:tabs>
        <w:spacing w:before="120"/>
        <w:rPr>
          <w:rFonts w:ascii="Arial" w:hAnsi="Arial" w:cs="Arial"/>
          <w:sz w:val="24"/>
        </w:rPr>
      </w:pPr>
    </w:p>
    <w:p w:rsidR="009B3794" w:rsidRPr="00C45431" w:rsidRDefault="009B3794" w:rsidP="00CA3DA6">
      <w:pPr>
        <w:widowControl/>
        <w:tabs>
          <w:tab w:val="num" w:pos="720"/>
        </w:tabs>
        <w:spacing w:before="120"/>
        <w:rPr>
          <w:rFonts w:ascii="Arial" w:hAnsi="Arial" w:cs="Arial"/>
          <w:sz w:val="24"/>
        </w:rPr>
      </w:pPr>
      <w:r w:rsidRPr="00565900">
        <w:rPr>
          <w:rFonts w:ascii="Arial" w:hAnsi="Arial" w:cs="Arial"/>
          <w:b/>
          <w:sz w:val="28"/>
          <w:szCs w:val="28"/>
        </w:rPr>
        <w:t>12A</w:t>
      </w:r>
      <w:r w:rsidRPr="00405538">
        <w:rPr>
          <w:rFonts w:ascii="Arial" w:hAnsi="Arial" w:cs="Arial"/>
          <w:b/>
          <w:sz w:val="28"/>
          <w:szCs w:val="28"/>
        </w:rPr>
        <w:t>.</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472"/>
        <w:gridCol w:w="1605"/>
        <w:gridCol w:w="1483"/>
        <w:gridCol w:w="1284"/>
        <w:gridCol w:w="1264"/>
        <w:gridCol w:w="985"/>
      </w:tblGrid>
      <w:tr w:rsidR="0011635E" w:rsidRPr="00C45431" w:rsidTr="0011635E">
        <w:trPr>
          <w:trHeight w:val="2189"/>
        </w:trPr>
        <w:tc>
          <w:tcPr>
            <w:tcW w:w="1531"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Type of</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Respondent</w:t>
            </w:r>
          </w:p>
          <w:p w:rsidR="0011635E" w:rsidRPr="0011635E" w:rsidRDefault="0011635E" w:rsidP="00CA3DA6">
            <w:pPr>
              <w:widowControl/>
              <w:tabs>
                <w:tab w:val="num" w:pos="1080"/>
              </w:tabs>
              <w:spacing w:before="120"/>
              <w:rPr>
                <w:rFonts w:ascii="Arial" w:hAnsi="Arial" w:cs="Arial"/>
                <w:b/>
                <w:bCs/>
                <w:szCs w:val="20"/>
              </w:rPr>
            </w:pPr>
          </w:p>
        </w:tc>
        <w:tc>
          <w:tcPr>
            <w:tcW w:w="1520"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Form</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Name</w:t>
            </w:r>
          </w:p>
          <w:p w:rsidR="0011635E" w:rsidRPr="0011635E" w:rsidRDefault="0011635E" w:rsidP="00CA3DA6">
            <w:pPr>
              <w:widowControl/>
              <w:tabs>
                <w:tab w:val="num" w:pos="1080"/>
              </w:tabs>
              <w:spacing w:before="120"/>
              <w:rPr>
                <w:rFonts w:ascii="Arial" w:hAnsi="Arial" w:cs="Arial"/>
                <w:b/>
                <w:bCs/>
                <w:szCs w:val="20"/>
              </w:rPr>
            </w:pPr>
          </w:p>
        </w:tc>
        <w:tc>
          <w:tcPr>
            <w:tcW w:w="1659"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No. of</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Respondents</w:t>
            </w:r>
          </w:p>
        </w:tc>
        <w:tc>
          <w:tcPr>
            <w:tcW w:w="1532"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No.</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Responses</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per</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Respondent</w:t>
            </w:r>
          </w:p>
        </w:tc>
        <w:tc>
          <w:tcPr>
            <w:tcW w:w="1013" w:type="dxa"/>
          </w:tcPr>
          <w:p w:rsidR="0011635E" w:rsidRPr="0011635E" w:rsidRDefault="0011635E" w:rsidP="00CA3DA6">
            <w:pPr>
              <w:widowControl/>
              <w:tabs>
                <w:tab w:val="num" w:pos="1080"/>
              </w:tabs>
              <w:spacing w:before="120"/>
              <w:rPr>
                <w:rFonts w:ascii="Arial" w:hAnsi="Arial" w:cs="Arial"/>
                <w:b/>
                <w:bCs/>
                <w:szCs w:val="20"/>
              </w:rPr>
            </w:pPr>
            <w:r>
              <w:rPr>
                <w:rFonts w:ascii="Arial" w:hAnsi="Arial" w:cs="Arial"/>
                <w:b/>
                <w:bCs/>
                <w:szCs w:val="20"/>
              </w:rPr>
              <w:t>Total Number of Responses</w:t>
            </w:r>
          </w:p>
        </w:tc>
        <w:tc>
          <w:tcPr>
            <w:tcW w:w="1305"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Average</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Burden per</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Response</w:t>
            </w:r>
          </w:p>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(in hours)</w:t>
            </w:r>
          </w:p>
        </w:tc>
        <w:tc>
          <w:tcPr>
            <w:tcW w:w="1016"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Total Burden Hours</w:t>
            </w:r>
          </w:p>
        </w:tc>
      </w:tr>
      <w:tr w:rsidR="0011635E" w:rsidRPr="00C45431" w:rsidTr="0011635E">
        <w:trPr>
          <w:trHeight w:val="679"/>
        </w:trPr>
        <w:tc>
          <w:tcPr>
            <w:tcW w:w="1531" w:type="dxa"/>
          </w:tcPr>
          <w:p w:rsidR="0011635E" w:rsidRPr="0011635E" w:rsidRDefault="0011635E" w:rsidP="00276F57">
            <w:pPr>
              <w:widowControl/>
              <w:tabs>
                <w:tab w:val="num" w:pos="1080"/>
              </w:tabs>
              <w:spacing w:before="120"/>
              <w:rPr>
                <w:rFonts w:ascii="Arial" w:hAnsi="Arial" w:cs="Arial"/>
                <w:b/>
                <w:bCs/>
                <w:szCs w:val="20"/>
              </w:rPr>
            </w:pPr>
            <w:r w:rsidRPr="0011635E">
              <w:rPr>
                <w:rFonts w:ascii="Arial" w:hAnsi="Arial" w:cs="Arial"/>
                <w:b/>
                <w:bCs/>
                <w:szCs w:val="20"/>
              </w:rPr>
              <w:t>Hospital Manager</w:t>
            </w:r>
          </w:p>
        </w:tc>
        <w:tc>
          <w:tcPr>
            <w:tcW w:w="1520" w:type="dxa"/>
          </w:tcPr>
          <w:p w:rsidR="0011635E" w:rsidRPr="0011635E" w:rsidRDefault="0011635E" w:rsidP="00405538">
            <w:pPr>
              <w:rPr>
                <w:rFonts w:ascii="Arial" w:hAnsi="Arial" w:cs="Arial"/>
                <w:szCs w:val="20"/>
              </w:rPr>
            </w:pPr>
            <w:r w:rsidRPr="0011635E">
              <w:rPr>
                <w:rFonts w:ascii="Arial" w:hAnsi="Arial" w:cs="Arial"/>
                <w:szCs w:val="20"/>
              </w:rPr>
              <w:t>SRHT Application</w:t>
            </w:r>
          </w:p>
        </w:tc>
        <w:tc>
          <w:tcPr>
            <w:tcW w:w="1659" w:type="dxa"/>
          </w:tcPr>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30</w:t>
            </w:r>
          </w:p>
          <w:p w:rsidR="0011635E" w:rsidRPr="0011635E" w:rsidRDefault="0011635E" w:rsidP="00CA3DA6">
            <w:pPr>
              <w:widowControl/>
              <w:tabs>
                <w:tab w:val="num" w:pos="1080"/>
              </w:tabs>
              <w:spacing w:before="120"/>
              <w:rPr>
                <w:rFonts w:ascii="Arial" w:hAnsi="Arial" w:cs="Arial"/>
                <w:b/>
                <w:bCs/>
                <w:strike/>
                <w:szCs w:val="20"/>
              </w:rPr>
            </w:pPr>
            <w:r w:rsidRPr="0011635E">
              <w:rPr>
                <w:rFonts w:ascii="Arial" w:hAnsi="Arial" w:cs="Arial"/>
                <w:strike/>
                <w:szCs w:val="20"/>
              </w:rPr>
              <w:t xml:space="preserve"> </w:t>
            </w:r>
          </w:p>
        </w:tc>
        <w:tc>
          <w:tcPr>
            <w:tcW w:w="1532" w:type="dxa"/>
          </w:tcPr>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38</w:t>
            </w:r>
          </w:p>
          <w:p w:rsidR="0011635E" w:rsidRPr="0011635E" w:rsidRDefault="0011635E" w:rsidP="00CA3DA6">
            <w:pPr>
              <w:widowControl/>
              <w:tabs>
                <w:tab w:val="num" w:pos="1080"/>
              </w:tabs>
              <w:spacing w:before="120"/>
              <w:rPr>
                <w:rFonts w:ascii="Arial" w:hAnsi="Arial" w:cs="Arial"/>
                <w:szCs w:val="20"/>
              </w:rPr>
            </w:pPr>
          </w:p>
        </w:tc>
        <w:tc>
          <w:tcPr>
            <w:tcW w:w="1013" w:type="dxa"/>
          </w:tcPr>
          <w:p w:rsidR="0011635E" w:rsidRPr="0011635E" w:rsidRDefault="0011635E" w:rsidP="00CA3DA6">
            <w:pPr>
              <w:widowControl/>
              <w:tabs>
                <w:tab w:val="num" w:pos="1080"/>
              </w:tabs>
              <w:spacing w:before="120"/>
              <w:rPr>
                <w:rFonts w:ascii="Arial" w:hAnsi="Arial" w:cs="Arial"/>
                <w:szCs w:val="20"/>
              </w:rPr>
            </w:pPr>
            <w:r>
              <w:rPr>
                <w:rFonts w:ascii="Arial" w:hAnsi="Arial" w:cs="Arial"/>
                <w:szCs w:val="20"/>
              </w:rPr>
              <w:t>1140</w:t>
            </w:r>
          </w:p>
        </w:tc>
        <w:tc>
          <w:tcPr>
            <w:tcW w:w="1305" w:type="dxa"/>
          </w:tcPr>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.50</w:t>
            </w:r>
          </w:p>
          <w:p w:rsidR="0011635E" w:rsidRPr="0011635E" w:rsidRDefault="0011635E" w:rsidP="00CA3DA6">
            <w:pPr>
              <w:widowControl/>
              <w:tabs>
                <w:tab w:val="num" w:pos="1080"/>
              </w:tabs>
              <w:spacing w:before="120"/>
              <w:rPr>
                <w:rFonts w:ascii="Arial" w:hAnsi="Arial" w:cs="Arial"/>
                <w:b/>
                <w:bCs/>
                <w:strike/>
                <w:szCs w:val="20"/>
              </w:rPr>
            </w:pPr>
          </w:p>
        </w:tc>
        <w:tc>
          <w:tcPr>
            <w:tcW w:w="1016" w:type="dxa"/>
          </w:tcPr>
          <w:p w:rsidR="00EF259D" w:rsidRDefault="00EF259D">
            <w:pPr>
              <w:rPr>
                <w:rFonts w:ascii="Arial" w:hAnsi="Arial" w:cs="Arial"/>
                <w:szCs w:val="20"/>
              </w:rPr>
            </w:pPr>
          </w:p>
          <w:p w:rsidR="0011635E" w:rsidRPr="0011635E" w:rsidRDefault="0011635E">
            <w:pPr>
              <w:rPr>
                <w:rFonts w:ascii="Arial" w:hAnsi="Arial" w:cs="Arial"/>
                <w:szCs w:val="20"/>
              </w:rPr>
            </w:pPr>
            <w:bookmarkStart w:id="0" w:name="_GoBack"/>
            <w:bookmarkEnd w:id="0"/>
            <w:r w:rsidRPr="0011635E">
              <w:rPr>
                <w:rFonts w:ascii="Arial" w:hAnsi="Arial" w:cs="Arial"/>
                <w:szCs w:val="20"/>
              </w:rPr>
              <w:t>570</w:t>
            </w:r>
          </w:p>
          <w:p w:rsidR="0011635E" w:rsidRPr="0011635E" w:rsidRDefault="0011635E">
            <w:pPr>
              <w:rPr>
                <w:rFonts w:ascii="Arial" w:hAnsi="Arial" w:cs="Arial"/>
                <w:szCs w:val="20"/>
              </w:rPr>
            </w:pPr>
          </w:p>
        </w:tc>
      </w:tr>
      <w:tr w:rsidR="0011635E" w:rsidRPr="00C45431" w:rsidTr="0011635E">
        <w:trPr>
          <w:trHeight w:val="800"/>
        </w:trPr>
        <w:tc>
          <w:tcPr>
            <w:tcW w:w="1531" w:type="dxa"/>
          </w:tcPr>
          <w:p w:rsidR="0011635E" w:rsidRPr="0011635E" w:rsidRDefault="0011635E" w:rsidP="00276F57">
            <w:pPr>
              <w:widowControl/>
              <w:tabs>
                <w:tab w:val="num" w:pos="1080"/>
              </w:tabs>
              <w:spacing w:before="120"/>
              <w:rPr>
                <w:rFonts w:ascii="Arial" w:hAnsi="Arial" w:cs="Arial"/>
                <w:b/>
                <w:bCs/>
                <w:szCs w:val="20"/>
              </w:rPr>
            </w:pPr>
            <w:r w:rsidRPr="0011635E">
              <w:rPr>
                <w:rFonts w:ascii="Arial" w:hAnsi="Arial" w:cs="Arial"/>
                <w:b/>
                <w:bCs/>
                <w:szCs w:val="20"/>
              </w:rPr>
              <w:t>Hospital Manager</w:t>
            </w:r>
          </w:p>
        </w:tc>
        <w:tc>
          <w:tcPr>
            <w:tcW w:w="1520" w:type="dxa"/>
          </w:tcPr>
          <w:p w:rsidR="0011635E" w:rsidRPr="0011635E" w:rsidRDefault="0011635E" w:rsidP="00405538">
            <w:pPr>
              <w:rPr>
                <w:rFonts w:ascii="Arial" w:hAnsi="Arial" w:cs="Arial"/>
                <w:szCs w:val="20"/>
              </w:rPr>
            </w:pPr>
            <w:r w:rsidRPr="0011635E">
              <w:rPr>
                <w:rFonts w:ascii="Arial" w:hAnsi="Arial" w:cs="Arial"/>
                <w:szCs w:val="20"/>
              </w:rPr>
              <w:t>Assessment: Performance Excellence  for Rural Hospitals</w:t>
            </w:r>
          </w:p>
        </w:tc>
        <w:tc>
          <w:tcPr>
            <w:tcW w:w="1659" w:type="dxa"/>
          </w:tcPr>
          <w:p w:rsidR="0011635E" w:rsidRPr="0011635E" w:rsidRDefault="0011635E" w:rsidP="00CA3DA6">
            <w:pPr>
              <w:widowControl/>
              <w:tabs>
                <w:tab w:val="num" w:pos="1080"/>
              </w:tabs>
              <w:spacing w:before="120"/>
              <w:rPr>
                <w:rFonts w:ascii="Arial" w:hAnsi="Arial" w:cs="Arial"/>
                <w:szCs w:val="20"/>
              </w:rPr>
            </w:pPr>
          </w:p>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30</w:t>
            </w:r>
            <w:r w:rsidRPr="0011635E">
              <w:rPr>
                <w:rFonts w:ascii="Arial" w:hAnsi="Arial" w:cs="Arial"/>
                <w:strike/>
                <w:szCs w:val="20"/>
              </w:rPr>
              <w:t xml:space="preserve">   </w:t>
            </w:r>
          </w:p>
        </w:tc>
        <w:tc>
          <w:tcPr>
            <w:tcW w:w="1532" w:type="dxa"/>
          </w:tcPr>
          <w:p w:rsidR="0011635E" w:rsidRPr="0011635E" w:rsidRDefault="0011635E" w:rsidP="00CA3DA6">
            <w:pPr>
              <w:widowControl/>
              <w:tabs>
                <w:tab w:val="num" w:pos="1080"/>
              </w:tabs>
              <w:spacing w:before="120"/>
              <w:rPr>
                <w:rFonts w:ascii="Arial" w:hAnsi="Arial" w:cs="Arial"/>
                <w:szCs w:val="20"/>
              </w:rPr>
            </w:pPr>
          </w:p>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29</w:t>
            </w:r>
          </w:p>
          <w:p w:rsidR="0011635E" w:rsidRPr="0011635E" w:rsidRDefault="0011635E" w:rsidP="00CA3DA6">
            <w:pPr>
              <w:widowControl/>
              <w:tabs>
                <w:tab w:val="num" w:pos="1080"/>
              </w:tabs>
              <w:spacing w:before="120"/>
              <w:rPr>
                <w:rFonts w:ascii="Arial" w:hAnsi="Arial" w:cs="Arial"/>
                <w:b/>
                <w:bCs/>
                <w:strike/>
                <w:szCs w:val="20"/>
              </w:rPr>
            </w:pPr>
          </w:p>
        </w:tc>
        <w:tc>
          <w:tcPr>
            <w:tcW w:w="1013" w:type="dxa"/>
          </w:tcPr>
          <w:p w:rsidR="0011635E" w:rsidRDefault="0011635E" w:rsidP="00CA3DA6">
            <w:pPr>
              <w:widowControl/>
              <w:tabs>
                <w:tab w:val="num" w:pos="1080"/>
              </w:tabs>
              <w:spacing w:before="120"/>
              <w:rPr>
                <w:rFonts w:ascii="Arial" w:hAnsi="Arial" w:cs="Arial"/>
                <w:szCs w:val="20"/>
              </w:rPr>
            </w:pPr>
          </w:p>
          <w:p w:rsidR="0011635E" w:rsidRPr="0011635E" w:rsidRDefault="0011635E" w:rsidP="00CA3DA6">
            <w:pPr>
              <w:widowControl/>
              <w:tabs>
                <w:tab w:val="num" w:pos="1080"/>
              </w:tabs>
              <w:spacing w:before="120"/>
              <w:rPr>
                <w:rFonts w:ascii="Arial" w:hAnsi="Arial" w:cs="Arial"/>
                <w:szCs w:val="20"/>
              </w:rPr>
            </w:pPr>
            <w:r>
              <w:rPr>
                <w:rFonts w:ascii="Arial" w:hAnsi="Arial" w:cs="Arial"/>
                <w:szCs w:val="20"/>
              </w:rPr>
              <w:t>870</w:t>
            </w:r>
          </w:p>
        </w:tc>
        <w:tc>
          <w:tcPr>
            <w:tcW w:w="1305" w:type="dxa"/>
          </w:tcPr>
          <w:p w:rsidR="0011635E" w:rsidRPr="0011635E" w:rsidRDefault="0011635E" w:rsidP="00CA3DA6">
            <w:pPr>
              <w:widowControl/>
              <w:tabs>
                <w:tab w:val="num" w:pos="1080"/>
              </w:tabs>
              <w:spacing w:before="120"/>
              <w:rPr>
                <w:rFonts w:ascii="Arial" w:hAnsi="Arial" w:cs="Arial"/>
                <w:szCs w:val="20"/>
              </w:rPr>
            </w:pPr>
          </w:p>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.25</w:t>
            </w:r>
          </w:p>
        </w:tc>
        <w:tc>
          <w:tcPr>
            <w:tcW w:w="1016" w:type="dxa"/>
          </w:tcPr>
          <w:p w:rsidR="0011635E" w:rsidRPr="0011635E" w:rsidRDefault="0011635E">
            <w:pPr>
              <w:rPr>
                <w:rFonts w:ascii="Arial" w:hAnsi="Arial" w:cs="Arial"/>
                <w:szCs w:val="20"/>
              </w:rPr>
            </w:pPr>
          </w:p>
          <w:p w:rsidR="0011635E" w:rsidRPr="0011635E" w:rsidRDefault="0011635E">
            <w:pPr>
              <w:rPr>
                <w:rFonts w:ascii="Arial" w:hAnsi="Arial" w:cs="Arial"/>
                <w:szCs w:val="20"/>
              </w:rPr>
            </w:pPr>
          </w:p>
          <w:p w:rsidR="0011635E" w:rsidRPr="0011635E" w:rsidRDefault="0011635E">
            <w:pPr>
              <w:rPr>
                <w:rFonts w:ascii="Arial" w:hAnsi="Arial" w:cs="Arial"/>
                <w:szCs w:val="20"/>
              </w:rPr>
            </w:pPr>
            <w:r w:rsidRPr="0011635E">
              <w:rPr>
                <w:rFonts w:ascii="Arial" w:hAnsi="Arial" w:cs="Arial"/>
                <w:szCs w:val="20"/>
              </w:rPr>
              <w:t>217.5</w:t>
            </w:r>
          </w:p>
        </w:tc>
      </w:tr>
      <w:tr w:rsidR="0011635E" w:rsidRPr="00C45431" w:rsidTr="0011635E">
        <w:trPr>
          <w:trHeight w:val="815"/>
        </w:trPr>
        <w:tc>
          <w:tcPr>
            <w:tcW w:w="1531" w:type="dxa"/>
          </w:tcPr>
          <w:p w:rsidR="0011635E" w:rsidRPr="0011635E" w:rsidRDefault="0011635E" w:rsidP="00CA3DA6">
            <w:pPr>
              <w:widowControl/>
              <w:tabs>
                <w:tab w:val="num" w:pos="1080"/>
              </w:tabs>
              <w:spacing w:before="120"/>
              <w:rPr>
                <w:rFonts w:ascii="Arial" w:hAnsi="Arial" w:cs="Arial"/>
                <w:b/>
                <w:bCs/>
                <w:szCs w:val="20"/>
              </w:rPr>
            </w:pPr>
            <w:r w:rsidRPr="0011635E">
              <w:rPr>
                <w:rFonts w:ascii="Arial" w:hAnsi="Arial" w:cs="Arial"/>
                <w:b/>
                <w:bCs/>
                <w:szCs w:val="20"/>
              </w:rPr>
              <w:t>Total</w:t>
            </w:r>
          </w:p>
        </w:tc>
        <w:tc>
          <w:tcPr>
            <w:tcW w:w="1520" w:type="dxa"/>
          </w:tcPr>
          <w:p w:rsidR="0011635E" w:rsidRPr="0011635E" w:rsidRDefault="0011635E" w:rsidP="00CA3DA6">
            <w:pPr>
              <w:widowControl/>
              <w:tabs>
                <w:tab w:val="num" w:pos="1080"/>
              </w:tabs>
              <w:spacing w:before="120"/>
              <w:rPr>
                <w:rFonts w:ascii="Arial" w:hAnsi="Arial" w:cs="Arial"/>
                <w:szCs w:val="20"/>
              </w:rPr>
            </w:pPr>
          </w:p>
        </w:tc>
        <w:tc>
          <w:tcPr>
            <w:tcW w:w="1659" w:type="dxa"/>
          </w:tcPr>
          <w:p w:rsidR="0011635E" w:rsidRPr="0011635E" w:rsidRDefault="0011635E" w:rsidP="00CA3DA6">
            <w:pPr>
              <w:widowControl/>
              <w:tabs>
                <w:tab w:val="num" w:pos="1080"/>
              </w:tabs>
              <w:spacing w:before="120"/>
              <w:rPr>
                <w:rFonts w:ascii="Arial" w:hAnsi="Arial" w:cs="Arial"/>
                <w:szCs w:val="20"/>
              </w:rPr>
            </w:pPr>
            <w:r w:rsidRPr="0011635E">
              <w:rPr>
                <w:rFonts w:ascii="Arial" w:hAnsi="Arial" w:cs="Arial"/>
                <w:szCs w:val="20"/>
              </w:rPr>
              <w:t>30*</w:t>
            </w:r>
          </w:p>
        </w:tc>
        <w:tc>
          <w:tcPr>
            <w:tcW w:w="1532" w:type="dxa"/>
          </w:tcPr>
          <w:p w:rsidR="0011635E" w:rsidRPr="0011635E" w:rsidRDefault="0011635E" w:rsidP="00CA3DA6">
            <w:pPr>
              <w:widowControl/>
              <w:tabs>
                <w:tab w:val="num" w:pos="1080"/>
              </w:tabs>
              <w:spacing w:before="120"/>
              <w:rPr>
                <w:rFonts w:ascii="Arial" w:hAnsi="Arial" w:cs="Arial"/>
                <w:szCs w:val="20"/>
              </w:rPr>
            </w:pPr>
          </w:p>
        </w:tc>
        <w:tc>
          <w:tcPr>
            <w:tcW w:w="1013" w:type="dxa"/>
          </w:tcPr>
          <w:p w:rsidR="0011635E" w:rsidRPr="0011635E" w:rsidRDefault="0011635E" w:rsidP="00CA3DA6">
            <w:pPr>
              <w:widowControl/>
              <w:tabs>
                <w:tab w:val="num" w:pos="1080"/>
              </w:tabs>
              <w:spacing w:before="120"/>
              <w:rPr>
                <w:rFonts w:ascii="Arial" w:hAnsi="Arial" w:cs="Arial"/>
                <w:szCs w:val="20"/>
              </w:rPr>
            </w:pPr>
            <w:r>
              <w:rPr>
                <w:rFonts w:ascii="Arial" w:hAnsi="Arial" w:cs="Arial"/>
                <w:szCs w:val="20"/>
              </w:rPr>
              <w:t>2010</w:t>
            </w:r>
          </w:p>
        </w:tc>
        <w:tc>
          <w:tcPr>
            <w:tcW w:w="1305" w:type="dxa"/>
          </w:tcPr>
          <w:p w:rsidR="0011635E" w:rsidRPr="0011635E" w:rsidRDefault="0011635E" w:rsidP="00CA3DA6">
            <w:pPr>
              <w:widowControl/>
              <w:tabs>
                <w:tab w:val="num" w:pos="1080"/>
              </w:tabs>
              <w:spacing w:before="120"/>
              <w:rPr>
                <w:rFonts w:ascii="Arial" w:hAnsi="Arial" w:cs="Arial"/>
                <w:szCs w:val="20"/>
              </w:rPr>
            </w:pPr>
          </w:p>
        </w:tc>
        <w:tc>
          <w:tcPr>
            <w:tcW w:w="1016" w:type="dxa"/>
          </w:tcPr>
          <w:p w:rsidR="0011635E" w:rsidRPr="0011635E" w:rsidRDefault="0011635E" w:rsidP="00BC7508">
            <w:pPr>
              <w:widowControl/>
              <w:tabs>
                <w:tab w:val="num" w:pos="1080"/>
              </w:tabs>
              <w:spacing w:before="120"/>
              <w:rPr>
                <w:rFonts w:ascii="Arial" w:hAnsi="Arial" w:cs="Arial"/>
                <w:szCs w:val="20"/>
              </w:rPr>
            </w:pPr>
            <w:r w:rsidRPr="0011635E">
              <w:rPr>
                <w:rFonts w:ascii="Arial" w:hAnsi="Arial" w:cs="Arial"/>
                <w:szCs w:val="20"/>
              </w:rPr>
              <w:t>787.50</w:t>
            </w:r>
          </w:p>
        </w:tc>
      </w:tr>
    </w:tbl>
    <w:p w:rsidR="009B3794" w:rsidRPr="005E7F42" w:rsidRDefault="005E7F42" w:rsidP="00CA3DA6">
      <w:pPr>
        <w:widowControl/>
        <w:tabs>
          <w:tab w:val="num" w:pos="1080"/>
        </w:tabs>
        <w:spacing w:before="120"/>
        <w:rPr>
          <w:rFonts w:ascii="Arial" w:hAnsi="Arial" w:cs="Arial"/>
          <w:bCs/>
          <w:i/>
          <w:sz w:val="24"/>
        </w:rPr>
      </w:pPr>
      <w:r w:rsidRPr="005E7F42">
        <w:rPr>
          <w:rFonts w:ascii="Arial" w:hAnsi="Arial" w:cs="Arial"/>
          <w:bCs/>
          <w:i/>
          <w:sz w:val="24"/>
        </w:rPr>
        <w:t>* The same individuals complete the SRHT Online Application and the Assessment for a total of 30 respondents.</w:t>
      </w:r>
    </w:p>
    <w:p w:rsidR="00D44175" w:rsidRDefault="00D44175"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11635E" w:rsidRDefault="0011635E" w:rsidP="00CA3DA6">
      <w:pPr>
        <w:widowControl/>
        <w:spacing w:before="120"/>
        <w:rPr>
          <w:rFonts w:ascii="Arial" w:hAnsi="Arial" w:cs="Arial"/>
          <w:b/>
          <w:sz w:val="28"/>
          <w:szCs w:val="28"/>
        </w:rPr>
      </w:pPr>
    </w:p>
    <w:p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lastRenderedPageBreak/>
        <w:t>12B</w:t>
      </w:r>
      <w:r w:rsidRPr="00C45431">
        <w:rPr>
          <w:rFonts w:ascii="Arial" w:hAnsi="Arial" w:cs="Arial"/>
          <w:sz w:val="28"/>
          <w:szCs w:val="28"/>
        </w:rPr>
        <w:t xml:space="preserve">.  </w:t>
      </w:r>
    </w:p>
    <w:p w:rsidR="0054280C" w:rsidRDefault="0054280C" w:rsidP="00CA3DA6">
      <w:pPr>
        <w:widowControl/>
        <w:spacing w:before="120"/>
        <w:ind w:left="270"/>
        <w:rPr>
          <w:rFonts w:ascii="Arial" w:hAnsi="Arial" w:cs="Arial"/>
          <w:b/>
          <w:sz w:val="24"/>
        </w:rPr>
      </w:pPr>
    </w:p>
    <w:p w:rsidR="009B3794"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p w:rsidR="0054280C" w:rsidRPr="00C45431" w:rsidRDefault="0054280C" w:rsidP="00CA3DA6">
      <w:pPr>
        <w:widowControl/>
        <w:spacing w:before="120"/>
        <w:ind w:left="270"/>
        <w:rPr>
          <w:rFonts w:ascii="Arial" w:hAnsi="Arial" w:cs="Arial"/>
          <w:b/>
          <w:sz w:val="24"/>
        </w:rPr>
      </w:pP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350"/>
        <w:gridCol w:w="1440"/>
        <w:gridCol w:w="2970"/>
      </w:tblGrid>
      <w:tr w:rsidR="009B3794" w:rsidRPr="00C45431" w:rsidTr="00565900">
        <w:tc>
          <w:tcPr>
            <w:tcW w:w="2250" w:type="dxa"/>
          </w:tcPr>
          <w:p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rsidR="009B3794" w:rsidRPr="007A4172" w:rsidRDefault="009B3794" w:rsidP="00CE5AA9">
            <w:pPr>
              <w:widowControl/>
              <w:spacing w:before="120"/>
              <w:rPr>
                <w:rFonts w:ascii="Arial" w:hAnsi="Arial" w:cs="Arial"/>
                <w:sz w:val="24"/>
              </w:rPr>
            </w:pPr>
            <w:r w:rsidRPr="00C45431">
              <w:rPr>
                <w:rFonts w:ascii="Arial" w:hAnsi="Arial" w:cs="Arial"/>
                <w:b/>
                <w:bCs/>
                <w:sz w:val="24"/>
              </w:rPr>
              <w:t>Respondent</w:t>
            </w:r>
          </w:p>
        </w:tc>
        <w:tc>
          <w:tcPr>
            <w:tcW w:w="1350" w:type="dxa"/>
          </w:tcPr>
          <w:p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rsidR="009B3794" w:rsidRPr="00C45431" w:rsidRDefault="009B3794" w:rsidP="00CE5AA9">
            <w:pPr>
              <w:widowControl/>
              <w:spacing w:before="120"/>
              <w:rPr>
                <w:rFonts w:ascii="Arial" w:hAnsi="Arial" w:cs="Arial"/>
                <w:b/>
                <w:bCs/>
                <w:sz w:val="24"/>
              </w:rPr>
            </w:pPr>
          </w:p>
        </w:tc>
        <w:tc>
          <w:tcPr>
            <w:tcW w:w="1440" w:type="dxa"/>
          </w:tcPr>
          <w:p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rsidR="009B3794" w:rsidRPr="00C45431" w:rsidRDefault="009B3794" w:rsidP="00CE5AA9">
            <w:pPr>
              <w:widowControl/>
              <w:spacing w:before="120"/>
              <w:rPr>
                <w:rFonts w:ascii="Arial" w:hAnsi="Arial" w:cs="Arial"/>
                <w:b/>
                <w:bCs/>
                <w:sz w:val="24"/>
              </w:rPr>
            </w:pPr>
          </w:p>
        </w:tc>
        <w:tc>
          <w:tcPr>
            <w:tcW w:w="2970" w:type="dxa"/>
          </w:tcPr>
          <w:p w:rsidR="009B3794" w:rsidRPr="007A4172" w:rsidRDefault="009B3794">
            <w:pPr>
              <w:widowControl/>
              <w:spacing w:before="120"/>
              <w:rPr>
                <w:rFonts w:ascii="Arial" w:hAnsi="Arial" w:cs="Arial"/>
                <w:sz w:val="24"/>
              </w:rPr>
            </w:pPr>
            <w:r w:rsidRPr="00C45431">
              <w:rPr>
                <w:rFonts w:ascii="Arial" w:hAnsi="Arial" w:cs="Arial"/>
                <w:b/>
                <w:bCs/>
                <w:sz w:val="24"/>
              </w:rPr>
              <w:t>Total Respondent Costs</w:t>
            </w:r>
          </w:p>
        </w:tc>
      </w:tr>
      <w:tr w:rsidR="009B3794" w:rsidRPr="00C45431" w:rsidTr="00565900">
        <w:tc>
          <w:tcPr>
            <w:tcW w:w="2250" w:type="dxa"/>
          </w:tcPr>
          <w:p w:rsidR="009B3794" w:rsidRPr="00040354" w:rsidRDefault="006A1802" w:rsidP="006A1802">
            <w:pPr>
              <w:spacing w:before="120"/>
              <w:rPr>
                <w:rFonts w:ascii="Arial" w:hAnsi="Arial" w:cs="Arial"/>
                <w:sz w:val="22"/>
                <w:szCs w:val="22"/>
              </w:rPr>
            </w:pPr>
            <w:r>
              <w:rPr>
                <w:rFonts w:ascii="Arial" w:hAnsi="Arial" w:cs="Arial"/>
                <w:sz w:val="22"/>
                <w:szCs w:val="22"/>
              </w:rPr>
              <w:t>Small r</w:t>
            </w:r>
            <w:r w:rsidR="0066734E" w:rsidRPr="00040354">
              <w:rPr>
                <w:rFonts w:ascii="Arial" w:hAnsi="Arial" w:cs="Arial"/>
                <w:sz w:val="22"/>
                <w:szCs w:val="22"/>
              </w:rPr>
              <w:t xml:space="preserve">ural </w:t>
            </w:r>
            <w:r>
              <w:rPr>
                <w:rFonts w:ascii="Arial" w:hAnsi="Arial" w:cs="Arial"/>
                <w:sz w:val="22"/>
                <w:szCs w:val="22"/>
              </w:rPr>
              <w:t>h</w:t>
            </w:r>
            <w:r w:rsidR="00BD6D85" w:rsidRPr="00040354">
              <w:rPr>
                <w:rFonts w:ascii="Arial" w:hAnsi="Arial" w:cs="Arial"/>
                <w:sz w:val="22"/>
                <w:szCs w:val="22"/>
              </w:rPr>
              <w:t xml:space="preserve">ospital </w:t>
            </w:r>
            <w:r>
              <w:rPr>
                <w:rFonts w:ascii="Arial" w:hAnsi="Arial" w:cs="Arial"/>
                <w:sz w:val="22"/>
                <w:szCs w:val="22"/>
              </w:rPr>
              <w:t>manager</w:t>
            </w:r>
            <w:r w:rsidR="00380234">
              <w:rPr>
                <w:rFonts w:ascii="Arial" w:hAnsi="Arial" w:cs="Arial"/>
                <w:sz w:val="22"/>
                <w:szCs w:val="22"/>
              </w:rPr>
              <w:t>ial staff</w:t>
            </w:r>
          </w:p>
        </w:tc>
        <w:tc>
          <w:tcPr>
            <w:tcW w:w="1350" w:type="dxa"/>
          </w:tcPr>
          <w:p w:rsidR="009B3794" w:rsidRPr="00040354" w:rsidRDefault="007A4172" w:rsidP="00CE5AA9">
            <w:pPr>
              <w:spacing w:before="120"/>
              <w:rPr>
                <w:rFonts w:ascii="Arial" w:hAnsi="Arial" w:cs="Arial"/>
                <w:sz w:val="22"/>
                <w:szCs w:val="22"/>
              </w:rPr>
            </w:pPr>
            <w:r>
              <w:rPr>
                <w:rFonts w:ascii="Arial" w:hAnsi="Arial" w:cs="Arial"/>
                <w:sz w:val="22"/>
                <w:szCs w:val="22"/>
              </w:rPr>
              <w:t>570</w:t>
            </w:r>
          </w:p>
        </w:tc>
        <w:tc>
          <w:tcPr>
            <w:tcW w:w="1440" w:type="dxa"/>
          </w:tcPr>
          <w:p w:rsidR="009B3794" w:rsidRPr="00040354" w:rsidRDefault="00BD6D85" w:rsidP="00B655D4">
            <w:pPr>
              <w:spacing w:before="120"/>
              <w:rPr>
                <w:rFonts w:ascii="Arial" w:hAnsi="Arial" w:cs="Arial"/>
                <w:sz w:val="22"/>
                <w:szCs w:val="22"/>
              </w:rPr>
            </w:pPr>
            <w:r w:rsidRPr="00040354">
              <w:rPr>
                <w:rFonts w:ascii="Arial" w:hAnsi="Arial" w:cs="Arial"/>
                <w:sz w:val="22"/>
                <w:szCs w:val="22"/>
              </w:rPr>
              <w:t>$</w:t>
            </w:r>
            <w:r w:rsidR="00040354" w:rsidRPr="00040354">
              <w:rPr>
                <w:rFonts w:ascii="Arial" w:hAnsi="Arial" w:cs="Arial"/>
                <w:sz w:val="22"/>
                <w:szCs w:val="22"/>
              </w:rPr>
              <w:t>38</w:t>
            </w:r>
            <w:r w:rsidR="009B3794" w:rsidRPr="00040354">
              <w:rPr>
                <w:rFonts w:ascii="Arial" w:hAnsi="Arial" w:cs="Arial"/>
                <w:sz w:val="22"/>
                <w:szCs w:val="22"/>
              </w:rPr>
              <w:t>.00</w:t>
            </w:r>
            <w:r w:rsidR="00A24739">
              <w:rPr>
                <w:rFonts w:ascii="Arial" w:hAnsi="Arial" w:cs="Arial"/>
                <w:sz w:val="22"/>
                <w:szCs w:val="22"/>
              </w:rPr>
              <w:t>*</w:t>
            </w:r>
            <w:r w:rsidR="009B3794" w:rsidRPr="00040354">
              <w:rPr>
                <w:rFonts w:ascii="Arial" w:hAnsi="Arial" w:cs="Arial"/>
                <w:sz w:val="22"/>
                <w:szCs w:val="22"/>
              </w:rPr>
              <w:t xml:space="preserve"> </w:t>
            </w:r>
          </w:p>
        </w:tc>
        <w:tc>
          <w:tcPr>
            <w:tcW w:w="2970" w:type="dxa"/>
          </w:tcPr>
          <w:p w:rsidR="009B3794" w:rsidRPr="00040354" w:rsidRDefault="00040354" w:rsidP="00565900">
            <w:pPr>
              <w:spacing w:before="120"/>
              <w:rPr>
                <w:rFonts w:ascii="Arial" w:hAnsi="Arial" w:cs="Arial"/>
                <w:sz w:val="22"/>
                <w:szCs w:val="22"/>
              </w:rPr>
            </w:pPr>
            <w:r w:rsidRPr="00040354">
              <w:rPr>
                <w:rFonts w:ascii="Arial" w:hAnsi="Arial" w:cs="Arial"/>
                <w:sz w:val="22"/>
                <w:szCs w:val="22"/>
              </w:rPr>
              <w:t xml:space="preserve"> $</w:t>
            </w:r>
            <w:r w:rsidR="00B655D4">
              <w:rPr>
                <w:rFonts w:ascii="Arial" w:hAnsi="Arial" w:cs="Arial"/>
                <w:sz w:val="22"/>
                <w:szCs w:val="22"/>
              </w:rPr>
              <w:t>21,660</w:t>
            </w:r>
            <w:r w:rsidR="009B3794" w:rsidRPr="00040354">
              <w:rPr>
                <w:rFonts w:ascii="Arial" w:hAnsi="Arial" w:cs="Arial"/>
                <w:sz w:val="22"/>
                <w:szCs w:val="22"/>
              </w:rPr>
              <w:t>.00</w:t>
            </w:r>
          </w:p>
        </w:tc>
      </w:tr>
      <w:tr w:rsidR="009B3794" w:rsidRPr="00C45431" w:rsidTr="00565900">
        <w:tc>
          <w:tcPr>
            <w:tcW w:w="2250" w:type="dxa"/>
          </w:tcPr>
          <w:p w:rsidR="009B3794" w:rsidRPr="00040354" w:rsidRDefault="00380234" w:rsidP="006A1802">
            <w:pPr>
              <w:spacing w:before="120"/>
              <w:rPr>
                <w:rFonts w:ascii="Arial" w:hAnsi="Arial" w:cs="Arial"/>
                <w:sz w:val="22"/>
                <w:szCs w:val="22"/>
              </w:rPr>
            </w:pPr>
            <w:r>
              <w:rPr>
                <w:rFonts w:ascii="Arial" w:hAnsi="Arial" w:cs="Arial"/>
                <w:sz w:val="22"/>
                <w:szCs w:val="22"/>
              </w:rPr>
              <w:t>S</w:t>
            </w:r>
            <w:r w:rsidR="006A1802">
              <w:rPr>
                <w:rFonts w:ascii="Arial" w:hAnsi="Arial" w:cs="Arial"/>
                <w:sz w:val="22"/>
                <w:szCs w:val="22"/>
              </w:rPr>
              <w:t>mall r</w:t>
            </w:r>
            <w:r w:rsidR="0066734E" w:rsidRPr="00040354">
              <w:rPr>
                <w:rFonts w:ascii="Arial" w:hAnsi="Arial" w:cs="Arial"/>
                <w:sz w:val="22"/>
                <w:szCs w:val="22"/>
              </w:rPr>
              <w:t xml:space="preserve">ural </w:t>
            </w:r>
            <w:r w:rsidR="006A1802">
              <w:rPr>
                <w:rFonts w:ascii="Arial" w:hAnsi="Arial" w:cs="Arial"/>
                <w:sz w:val="22"/>
                <w:szCs w:val="22"/>
              </w:rPr>
              <w:t>h</w:t>
            </w:r>
            <w:r w:rsidR="00BD6D85" w:rsidRPr="00040354">
              <w:rPr>
                <w:rFonts w:ascii="Arial" w:hAnsi="Arial" w:cs="Arial"/>
                <w:sz w:val="22"/>
                <w:szCs w:val="22"/>
              </w:rPr>
              <w:t xml:space="preserve">ospital </w:t>
            </w:r>
            <w:r>
              <w:rPr>
                <w:rFonts w:ascii="Arial" w:hAnsi="Arial" w:cs="Arial"/>
                <w:sz w:val="22"/>
                <w:szCs w:val="22"/>
              </w:rPr>
              <w:t>m</w:t>
            </w:r>
            <w:r w:rsidR="006A1802">
              <w:rPr>
                <w:rFonts w:ascii="Arial" w:hAnsi="Arial" w:cs="Arial"/>
                <w:sz w:val="22"/>
                <w:szCs w:val="22"/>
              </w:rPr>
              <w:t>anager</w:t>
            </w:r>
            <w:r>
              <w:rPr>
                <w:rFonts w:ascii="Arial" w:hAnsi="Arial" w:cs="Arial"/>
                <w:sz w:val="22"/>
                <w:szCs w:val="22"/>
              </w:rPr>
              <w:t>ial staff</w:t>
            </w:r>
          </w:p>
        </w:tc>
        <w:tc>
          <w:tcPr>
            <w:tcW w:w="1350" w:type="dxa"/>
          </w:tcPr>
          <w:p w:rsidR="009B3794" w:rsidRPr="00040354" w:rsidRDefault="00B655D4" w:rsidP="00CE5AA9">
            <w:pPr>
              <w:spacing w:before="120"/>
              <w:rPr>
                <w:rFonts w:ascii="Arial" w:hAnsi="Arial" w:cs="Arial"/>
                <w:sz w:val="22"/>
                <w:szCs w:val="22"/>
              </w:rPr>
            </w:pPr>
            <w:r>
              <w:rPr>
                <w:rFonts w:ascii="Arial" w:hAnsi="Arial" w:cs="Arial"/>
                <w:sz w:val="22"/>
                <w:szCs w:val="22"/>
              </w:rPr>
              <w:t>217.5</w:t>
            </w:r>
          </w:p>
        </w:tc>
        <w:tc>
          <w:tcPr>
            <w:tcW w:w="1440" w:type="dxa"/>
          </w:tcPr>
          <w:p w:rsidR="009B3794" w:rsidRPr="00040354" w:rsidRDefault="00BD6D85" w:rsidP="00565900">
            <w:pPr>
              <w:spacing w:before="120"/>
              <w:rPr>
                <w:rFonts w:ascii="Arial" w:hAnsi="Arial" w:cs="Arial"/>
                <w:sz w:val="22"/>
                <w:szCs w:val="22"/>
              </w:rPr>
            </w:pPr>
            <w:r w:rsidRPr="00040354">
              <w:rPr>
                <w:rFonts w:ascii="Arial" w:hAnsi="Arial" w:cs="Arial"/>
                <w:sz w:val="22"/>
                <w:szCs w:val="22"/>
              </w:rPr>
              <w:t>$</w:t>
            </w:r>
            <w:r w:rsidR="00040354" w:rsidRPr="00040354">
              <w:rPr>
                <w:rFonts w:ascii="Arial" w:hAnsi="Arial" w:cs="Arial"/>
                <w:sz w:val="22"/>
                <w:szCs w:val="22"/>
              </w:rPr>
              <w:t>38</w:t>
            </w:r>
            <w:r w:rsidR="009B3794" w:rsidRPr="00040354">
              <w:rPr>
                <w:rFonts w:ascii="Arial" w:hAnsi="Arial" w:cs="Arial"/>
                <w:sz w:val="22"/>
                <w:szCs w:val="22"/>
              </w:rPr>
              <w:t>.00</w:t>
            </w:r>
            <w:r w:rsidR="00A24739">
              <w:rPr>
                <w:rFonts w:ascii="Arial" w:hAnsi="Arial" w:cs="Arial"/>
                <w:sz w:val="22"/>
                <w:szCs w:val="22"/>
              </w:rPr>
              <w:t>*</w:t>
            </w:r>
            <w:r w:rsidR="009B3794" w:rsidRPr="00040354">
              <w:rPr>
                <w:rFonts w:ascii="Arial" w:hAnsi="Arial" w:cs="Arial"/>
                <w:sz w:val="22"/>
                <w:szCs w:val="22"/>
              </w:rPr>
              <w:t xml:space="preserve"> </w:t>
            </w:r>
          </w:p>
        </w:tc>
        <w:tc>
          <w:tcPr>
            <w:tcW w:w="2970" w:type="dxa"/>
          </w:tcPr>
          <w:p w:rsidR="009B3794" w:rsidRPr="00040354" w:rsidRDefault="00040354" w:rsidP="00565900">
            <w:pPr>
              <w:spacing w:before="120"/>
              <w:rPr>
                <w:rFonts w:ascii="Arial" w:hAnsi="Arial" w:cs="Arial"/>
                <w:sz w:val="22"/>
                <w:szCs w:val="22"/>
              </w:rPr>
            </w:pPr>
            <w:r w:rsidRPr="00040354">
              <w:rPr>
                <w:rFonts w:ascii="Arial" w:hAnsi="Arial" w:cs="Arial"/>
                <w:sz w:val="22"/>
                <w:szCs w:val="22"/>
              </w:rPr>
              <w:t xml:space="preserve"> $</w:t>
            </w:r>
            <w:r w:rsidR="00D01015">
              <w:rPr>
                <w:rFonts w:ascii="Arial" w:hAnsi="Arial" w:cs="Arial"/>
                <w:sz w:val="22"/>
                <w:szCs w:val="22"/>
              </w:rPr>
              <w:t>8,265</w:t>
            </w:r>
            <w:r w:rsidR="009B3794" w:rsidRPr="00040354">
              <w:rPr>
                <w:rFonts w:ascii="Arial" w:hAnsi="Arial" w:cs="Arial"/>
                <w:sz w:val="22"/>
                <w:szCs w:val="22"/>
              </w:rPr>
              <w:t>.00</w:t>
            </w:r>
          </w:p>
        </w:tc>
      </w:tr>
      <w:tr w:rsidR="009B3794" w:rsidRPr="00C45431" w:rsidTr="00565900">
        <w:trPr>
          <w:trHeight w:val="440"/>
        </w:trPr>
        <w:tc>
          <w:tcPr>
            <w:tcW w:w="2250" w:type="dxa"/>
          </w:tcPr>
          <w:p w:rsidR="009B3794" w:rsidRPr="00040354" w:rsidRDefault="009B3794" w:rsidP="00CE5AA9">
            <w:pPr>
              <w:widowControl/>
              <w:spacing w:before="120"/>
              <w:rPr>
                <w:rFonts w:ascii="Arial" w:hAnsi="Arial" w:cs="Arial"/>
                <w:sz w:val="22"/>
                <w:szCs w:val="22"/>
              </w:rPr>
            </w:pPr>
            <w:r w:rsidRPr="00040354">
              <w:rPr>
                <w:rFonts w:ascii="Arial" w:hAnsi="Arial" w:cs="Arial"/>
                <w:sz w:val="22"/>
                <w:szCs w:val="22"/>
              </w:rPr>
              <w:t>To</w:t>
            </w:r>
            <w:r w:rsidR="00380234">
              <w:rPr>
                <w:rFonts w:ascii="Arial" w:hAnsi="Arial" w:cs="Arial"/>
                <w:sz w:val="22"/>
                <w:szCs w:val="22"/>
              </w:rPr>
              <w:t>tal</w:t>
            </w:r>
          </w:p>
        </w:tc>
        <w:tc>
          <w:tcPr>
            <w:tcW w:w="1350" w:type="dxa"/>
          </w:tcPr>
          <w:p w:rsidR="009B3794" w:rsidRPr="00040354" w:rsidRDefault="00D01015" w:rsidP="00CE5AA9">
            <w:pPr>
              <w:widowControl/>
              <w:spacing w:before="120"/>
              <w:rPr>
                <w:rFonts w:ascii="Arial" w:hAnsi="Arial" w:cs="Arial"/>
                <w:sz w:val="22"/>
                <w:szCs w:val="22"/>
              </w:rPr>
            </w:pPr>
            <w:r>
              <w:rPr>
                <w:rFonts w:ascii="Arial" w:hAnsi="Arial" w:cs="Arial"/>
                <w:sz w:val="22"/>
                <w:szCs w:val="22"/>
              </w:rPr>
              <w:t>787</w:t>
            </w:r>
            <w:r w:rsidR="00B655D4">
              <w:rPr>
                <w:rFonts w:ascii="Arial" w:hAnsi="Arial" w:cs="Arial"/>
                <w:sz w:val="22"/>
                <w:szCs w:val="22"/>
              </w:rPr>
              <w:t>.5</w:t>
            </w:r>
          </w:p>
        </w:tc>
        <w:tc>
          <w:tcPr>
            <w:tcW w:w="1440" w:type="dxa"/>
          </w:tcPr>
          <w:p w:rsidR="009B3794" w:rsidRPr="00040354" w:rsidRDefault="009B3794" w:rsidP="00565900">
            <w:pPr>
              <w:widowControl/>
              <w:spacing w:before="120"/>
              <w:rPr>
                <w:rFonts w:ascii="Arial" w:hAnsi="Arial" w:cs="Arial"/>
                <w:sz w:val="22"/>
                <w:szCs w:val="22"/>
              </w:rPr>
            </w:pPr>
          </w:p>
        </w:tc>
        <w:tc>
          <w:tcPr>
            <w:tcW w:w="2970" w:type="dxa"/>
          </w:tcPr>
          <w:p w:rsidR="009B3794" w:rsidRPr="00040354" w:rsidRDefault="00040354" w:rsidP="00565900">
            <w:pPr>
              <w:widowControl/>
              <w:spacing w:before="120"/>
              <w:rPr>
                <w:rFonts w:ascii="Arial" w:hAnsi="Arial" w:cs="Arial"/>
                <w:sz w:val="22"/>
                <w:szCs w:val="22"/>
              </w:rPr>
            </w:pPr>
            <w:r w:rsidRPr="00040354">
              <w:rPr>
                <w:rFonts w:ascii="Arial" w:hAnsi="Arial" w:cs="Arial"/>
                <w:sz w:val="22"/>
                <w:szCs w:val="22"/>
              </w:rPr>
              <w:t>$</w:t>
            </w:r>
            <w:r w:rsidR="00B655D4">
              <w:rPr>
                <w:rFonts w:ascii="Arial" w:hAnsi="Arial" w:cs="Arial"/>
                <w:sz w:val="22"/>
                <w:szCs w:val="22"/>
              </w:rPr>
              <w:t>2</w:t>
            </w:r>
            <w:r w:rsidR="004E5AA0">
              <w:rPr>
                <w:rFonts w:ascii="Arial" w:hAnsi="Arial" w:cs="Arial"/>
                <w:sz w:val="22"/>
                <w:szCs w:val="22"/>
              </w:rPr>
              <w:t>9</w:t>
            </w:r>
            <w:r w:rsidR="00B655D4">
              <w:rPr>
                <w:rFonts w:ascii="Arial" w:hAnsi="Arial" w:cs="Arial"/>
                <w:sz w:val="22"/>
                <w:szCs w:val="22"/>
              </w:rPr>
              <w:t>,</w:t>
            </w:r>
            <w:r w:rsidR="004E5AA0">
              <w:rPr>
                <w:rFonts w:ascii="Arial" w:hAnsi="Arial" w:cs="Arial"/>
                <w:sz w:val="22"/>
                <w:szCs w:val="22"/>
              </w:rPr>
              <w:t>925</w:t>
            </w:r>
            <w:r w:rsidR="009B3794" w:rsidRPr="00040354">
              <w:rPr>
                <w:rFonts w:ascii="Arial" w:hAnsi="Arial" w:cs="Arial"/>
                <w:sz w:val="22"/>
                <w:szCs w:val="22"/>
              </w:rPr>
              <w:t>.00</w:t>
            </w:r>
            <w:r w:rsidR="00D01015">
              <w:rPr>
                <w:rFonts w:ascii="Arial" w:hAnsi="Arial" w:cs="Arial"/>
                <w:sz w:val="22"/>
                <w:szCs w:val="22"/>
              </w:rPr>
              <w:t xml:space="preserve">  </w:t>
            </w:r>
          </w:p>
        </w:tc>
      </w:tr>
    </w:tbl>
    <w:p w:rsidR="00972012" w:rsidRDefault="00A24739" w:rsidP="0016044E">
      <w:pPr>
        <w:spacing w:before="240"/>
        <w:rPr>
          <w:rFonts w:ascii="Arial" w:hAnsi="Arial" w:cs="Arial"/>
          <w:bCs/>
          <w:i/>
          <w:sz w:val="22"/>
          <w:szCs w:val="22"/>
        </w:rPr>
      </w:pPr>
      <w:r>
        <w:rPr>
          <w:rFonts w:ascii="Arial" w:hAnsi="Arial" w:cs="Arial"/>
          <w:bCs/>
          <w:sz w:val="24"/>
        </w:rPr>
        <w:t>*</w:t>
      </w:r>
      <w:r w:rsidR="0016044E" w:rsidRPr="00924CEF">
        <w:rPr>
          <w:rFonts w:ascii="Arial" w:hAnsi="Arial" w:cs="Arial"/>
          <w:bCs/>
          <w:i/>
          <w:sz w:val="22"/>
          <w:szCs w:val="22"/>
        </w:rPr>
        <w:t xml:space="preserve">Wage rates for small rural hospital </w:t>
      </w:r>
      <w:r w:rsidR="00F82E83">
        <w:rPr>
          <w:rFonts w:ascii="Arial" w:hAnsi="Arial" w:cs="Arial"/>
          <w:bCs/>
          <w:i/>
          <w:sz w:val="22"/>
          <w:szCs w:val="22"/>
        </w:rPr>
        <w:t xml:space="preserve">managers </w:t>
      </w:r>
      <w:r w:rsidR="0016044E" w:rsidRPr="00924CEF">
        <w:rPr>
          <w:rFonts w:ascii="Arial" w:hAnsi="Arial" w:cs="Arial"/>
          <w:bCs/>
          <w:i/>
          <w:sz w:val="22"/>
          <w:szCs w:val="22"/>
        </w:rPr>
        <w:t>could not be found on Department of Labor website.  Best estimate based on pay for GS13</w:t>
      </w:r>
      <w:r w:rsidR="002C058B" w:rsidRPr="00924CEF">
        <w:rPr>
          <w:rFonts w:ascii="Arial" w:hAnsi="Arial" w:cs="Arial"/>
          <w:bCs/>
          <w:i/>
          <w:sz w:val="22"/>
          <w:szCs w:val="22"/>
        </w:rPr>
        <w:t>, Step 1.</w:t>
      </w:r>
      <w:r w:rsidR="0016044E" w:rsidRPr="00924CEF">
        <w:rPr>
          <w:rFonts w:ascii="Arial" w:hAnsi="Arial" w:cs="Arial"/>
          <w:bCs/>
          <w:i/>
          <w:sz w:val="22"/>
          <w:szCs w:val="22"/>
        </w:rPr>
        <w:t xml:space="preserve"> </w:t>
      </w:r>
      <w:r w:rsidR="00972012" w:rsidRPr="00924CEF">
        <w:rPr>
          <w:rFonts w:ascii="Arial" w:hAnsi="Arial" w:cs="Arial"/>
          <w:bCs/>
          <w:i/>
          <w:sz w:val="22"/>
          <w:szCs w:val="22"/>
        </w:rPr>
        <w:t xml:space="preserve">Source: </w:t>
      </w:r>
      <w:hyperlink r:id="rId9" w:history="1">
        <w:r w:rsidR="00CD1EF0" w:rsidRPr="00195BA6">
          <w:rPr>
            <w:rStyle w:val="Hyperlink"/>
            <w:rFonts w:ascii="Arial" w:hAnsi="Arial" w:cs="Arial"/>
            <w:bCs/>
            <w:i/>
            <w:sz w:val="22"/>
            <w:szCs w:val="22"/>
          </w:rPr>
          <w:t>https://www.federalpay.org/gs/2016</w:t>
        </w:r>
      </w:hyperlink>
      <w:r w:rsidR="00CD1EF0">
        <w:rPr>
          <w:rFonts w:ascii="Arial" w:hAnsi="Arial" w:cs="Arial"/>
          <w:bCs/>
          <w:i/>
          <w:sz w:val="22"/>
          <w:szCs w:val="22"/>
        </w:rPr>
        <w:t xml:space="preserve"> </w:t>
      </w:r>
    </w:p>
    <w:p w:rsidR="004B262D" w:rsidRPr="0016044E" w:rsidRDefault="004B262D" w:rsidP="0016044E">
      <w:pPr>
        <w:spacing w:before="240"/>
        <w:rPr>
          <w:rFonts w:ascii="Arial" w:hAnsi="Arial" w:cs="Arial"/>
          <w:bCs/>
          <w:sz w:val="24"/>
        </w:rPr>
      </w:pP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FE3EDB" w:rsidRPr="00565900" w:rsidRDefault="00FE3EDB" w:rsidP="00565900">
      <w:pPr>
        <w:pStyle w:val="BodyTextIndent"/>
        <w:spacing w:before="120"/>
        <w:ind w:left="0"/>
        <w:rPr>
          <w:rFonts w:ascii="Arial" w:hAnsi="Arial" w:cs="Arial"/>
          <w:highlight w:val="yellow"/>
        </w:rPr>
      </w:pPr>
      <w:r w:rsidRPr="00565900">
        <w:rPr>
          <w:rFonts w:ascii="Arial" w:hAnsi="Arial" w:cs="Arial"/>
        </w:rPr>
        <w:t>Other than their time, there is no cost to respondents.</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rsidR="00074009" w:rsidRPr="00565900" w:rsidRDefault="005C75A6" w:rsidP="00565900">
      <w:pPr>
        <w:pStyle w:val="BodyTextIndent"/>
        <w:spacing w:before="120"/>
        <w:ind w:left="0"/>
        <w:rPr>
          <w:rFonts w:ascii="Arial" w:hAnsi="Arial" w:cs="Arial"/>
        </w:rPr>
      </w:pPr>
      <w:r w:rsidRPr="00565900">
        <w:rPr>
          <w:rFonts w:ascii="Arial" w:hAnsi="Arial" w:cs="Arial"/>
        </w:rPr>
        <w:t xml:space="preserve">The SRHT Project </w:t>
      </w:r>
      <w:r w:rsidR="00A2231E" w:rsidRPr="00565900">
        <w:rPr>
          <w:rFonts w:ascii="Arial" w:hAnsi="Arial" w:cs="Arial"/>
        </w:rPr>
        <w:t xml:space="preserve">is </w:t>
      </w:r>
      <w:r w:rsidR="00DE27DC" w:rsidRPr="00565900">
        <w:rPr>
          <w:rFonts w:ascii="Arial" w:hAnsi="Arial" w:cs="Arial"/>
        </w:rPr>
        <w:t xml:space="preserve">currently </w:t>
      </w:r>
      <w:r w:rsidRPr="00565900">
        <w:rPr>
          <w:rFonts w:ascii="Arial" w:hAnsi="Arial" w:cs="Arial"/>
        </w:rPr>
        <w:t xml:space="preserve">funded </w:t>
      </w:r>
      <w:r w:rsidR="00DE27DC" w:rsidRPr="00565900">
        <w:rPr>
          <w:rFonts w:ascii="Arial" w:hAnsi="Arial" w:cs="Arial"/>
        </w:rPr>
        <w:t xml:space="preserve">under </w:t>
      </w:r>
      <w:r w:rsidRPr="00565900">
        <w:rPr>
          <w:rFonts w:ascii="Arial" w:hAnsi="Arial" w:cs="Arial"/>
        </w:rPr>
        <w:t xml:space="preserve">a contract </w:t>
      </w:r>
      <w:r w:rsidR="00DE27DC" w:rsidRPr="00565900">
        <w:rPr>
          <w:rFonts w:ascii="Arial" w:hAnsi="Arial" w:cs="Arial"/>
        </w:rPr>
        <w:t>that was</w:t>
      </w:r>
      <w:r w:rsidR="00A2231E" w:rsidRPr="00565900">
        <w:rPr>
          <w:rFonts w:ascii="Arial" w:hAnsi="Arial" w:cs="Arial"/>
        </w:rPr>
        <w:t xml:space="preserve"> </w:t>
      </w:r>
      <w:r w:rsidR="00F36656" w:rsidRPr="00565900">
        <w:rPr>
          <w:rFonts w:ascii="Arial" w:hAnsi="Arial" w:cs="Arial"/>
        </w:rPr>
        <w:t xml:space="preserve">awarded in </w:t>
      </w:r>
      <w:r w:rsidR="00A2231E" w:rsidRPr="00565900">
        <w:rPr>
          <w:rFonts w:ascii="Arial" w:hAnsi="Arial" w:cs="Arial"/>
        </w:rPr>
        <w:t>S</w:t>
      </w:r>
      <w:r w:rsidR="00DE27DC" w:rsidRPr="00565900">
        <w:rPr>
          <w:rFonts w:ascii="Arial" w:hAnsi="Arial" w:cs="Arial"/>
        </w:rPr>
        <w:t>eptember, 2014.</w:t>
      </w:r>
      <w:r w:rsidR="00F36656" w:rsidRPr="00565900">
        <w:rPr>
          <w:rFonts w:ascii="Arial" w:hAnsi="Arial" w:cs="Arial"/>
        </w:rPr>
        <w:t xml:space="preserve">  The total contract amount is $</w:t>
      </w:r>
      <w:r w:rsidR="002E1D55" w:rsidRPr="00565900">
        <w:rPr>
          <w:rFonts w:ascii="Arial" w:hAnsi="Arial" w:cs="Arial"/>
        </w:rPr>
        <w:t>1</w:t>
      </w:r>
      <w:r w:rsidR="00D7340B" w:rsidRPr="00565900">
        <w:rPr>
          <w:rFonts w:ascii="Arial" w:hAnsi="Arial" w:cs="Arial"/>
        </w:rPr>
        <w:t>,</w:t>
      </w:r>
      <w:r w:rsidR="002E1D55" w:rsidRPr="00565900">
        <w:rPr>
          <w:rFonts w:ascii="Arial" w:hAnsi="Arial" w:cs="Arial"/>
        </w:rPr>
        <w:t>107</w:t>
      </w:r>
      <w:r w:rsidR="00D7340B" w:rsidRPr="00565900">
        <w:rPr>
          <w:rFonts w:ascii="Arial" w:hAnsi="Arial" w:cs="Arial"/>
        </w:rPr>
        <w:t>,</w:t>
      </w:r>
      <w:r w:rsidR="002E1D55" w:rsidRPr="00565900">
        <w:rPr>
          <w:rFonts w:ascii="Arial" w:hAnsi="Arial" w:cs="Arial"/>
        </w:rPr>
        <w:t>842.99</w:t>
      </w:r>
      <w:r w:rsidR="00445F82">
        <w:rPr>
          <w:rFonts w:ascii="Arial" w:hAnsi="Arial" w:cs="Arial"/>
        </w:rPr>
        <w:t xml:space="preserve"> (</w:t>
      </w:r>
      <w:r w:rsidR="00445F82" w:rsidRPr="00445F82">
        <w:rPr>
          <w:rFonts w:ascii="Arial" w:hAnsi="Arial" w:cs="Arial"/>
        </w:rPr>
        <w:t>Base Year $552,136.30</w:t>
      </w:r>
      <w:r w:rsidR="00445F82">
        <w:rPr>
          <w:rFonts w:ascii="Arial" w:hAnsi="Arial" w:cs="Arial"/>
        </w:rPr>
        <w:t xml:space="preserve">, </w:t>
      </w:r>
      <w:r w:rsidR="00445F82" w:rsidRPr="00445F82">
        <w:rPr>
          <w:rFonts w:ascii="Arial" w:hAnsi="Arial" w:cs="Arial"/>
        </w:rPr>
        <w:t>Option</w:t>
      </w:r>
      <w:r w:rsidR="00445F82">
        <w:rPr>
          <w:rFonts w:ascii="Arial" w:hAnsi="Arial" w:cs="Arial"/>
        </w:rPr>
        <w:t xml:space="preserve"> year</w:t>
      </w:r>
      <w:r w:rsidR="00445F82" w:rsidRPr="00445F82">
        <w:rPr>
          <w:rFonts w:ascii="Arial" w:hAnsi="Arial" w:cs="Arial"/>
        </w:rPr>
        <w:t xml:space="preserve"> $555,706.69</w:t>
      </w:r>
      <w:r w:rsidR="00445F82">
        <w:rPr>
          <w:rFonts w:ascii="Arial" w:hAnsi="Arial" w:cs="Arial"/>
        </w:rPr>
        <w:t>).</w:t>
      </w:r>
      <w:r w:rsidR="002F6AFF" w:rsidRPr="00565900">
        <w:rPr>
          <w:rFonts w:ascii="Arial" w:hAnsi="Arial" w:cs="Arial"/>
        </w:rPr>
        <w:t>Estimated hours to perform the information collection</w:t>
      </w:r>
      <w:r w:rsidR="00D7340B" w:rsidRPr="00565900">
        <w:rPr>
          <w:rFonts w:ascii="Arial" w:hAnsi="Arial" w:cs="Arial"/>
        </w:rPr>
        <w:t xml:space="preserve"> portion of the contract</w:t>
      </w:r>
      <w:r w:rsidR="002F6AFF" w:rsidRPr="00565900">
        <w:rPr>
          <w:rFonts w:ascii="Arial" w:hAnsi="Arial" w:cs="Arial"/>
        </w:rPr>
        <w:t xml:space="preserve"> </w:t>
      </w:r>
      <w:r w:rsidR="00445F82">
        <w:rPr>
          <w:rFonts w:ascii="Arial" w:hAnsi="Arial" w:cs="Arial"/>
        </w:rPr>
        <w:t xml:space="preserve">in each year are </w:t>
      </w:r>
      <w:r w:rsidRPr="00565900">
        <w:rPr>
          <w:rFonts w:ascii="Arial" w:hAnsi="Arial" w:cs="Arial"/>
        </w:rPr>
        <w:t>approximately 900 contrac</w:t>
      </w:r>
      <w:r w:rsidR="00445F82">
        <w:rPr>
          <w:rFonts w:ascii="Arial" w:hAnsi="Arial" w:cs="Arial"/>
        </w:rPr>
        <w:t>t</w:t>
      </w:r>
      <w:r w:rsidRPr="00565900">
        <w:rPr>
          <w:rFonts w:ascii="Arial" w:hAnsi="Arial" w:cs="Arial"/>
        </w:rPr>
        <w:t xml:space="preserve"> hours.</w:t>
      </w:r>
      <w:r w:rsidR="00F36656" w:rsidRPr="00565900">
        <w:rPr>
          <w:rFonts w:ascii="Arial" w:hAnsi="Arial" w:cs="Arial"/>
        </w:rPr>
        <w:t xml:space="preserve">  This number is based on </w:t>
      </w:r>
      <w:r w:rsidR="00445F82">
        <w:rPr>
          <w:rFonts w:ascii="Arial" w:hAnsi="Arial" w:cs="Arial"/>
        </w:rPr>
        <w:t xml:space="preserve">the </w:t>
      </w:r>
      <w:r w:rsidR="00FF4896">
        <w:rPr>
          <w:rFonts w:ascii="Arial" w:hAnsi="Arial" w:cs="Arial"/>
        </w:rPr>
        <w:t xml:space="preserve">current </w:t>
      </w:r>
      <w:r w:rsidR="00F36656" w:rsidRPr="00565900">
        <w:rPr>
          <w:rFonts w:ascii="Arial" w:hAnsi="Arial" w:cs="Arial"/>
        </w:rPr>
        <w:t xml:space="preserve">contractor’s </w:t>
      </w:r>
      <w:r w:rsidR="002E1D55" w:rsidRPr="00565900">
        <w:rPr>
          <w:rFonts w:ascii="Arial" w:hAnsi="Arial" w:cs="Arial"/>
        </w:rPr>
        <w:t xml:space="preserve">best </w:t>
      </w:r>
      <w:r w:rsidR="00074009" w:rsidRPr="00565900">
        <w:rPr>
          <w:rFonts w:ascii="Arial" w:hAnsi="Arial" w:cs="Arial"/>
        </w:rPr>
        <w:t xml:space="preserve">estimate and includes </w:t>
      </w:r>
      <w:r w:rsidR="009323D7" w:rsidRPr="00565900">
        <w:rPr>
          <w:rFonts w:ascii="Arial" w:hAnsi="Arial" w:cs="Arial"/>
        </w:rPr>
        <w:t xml:space="preserve">hours dedicated to </w:t>
      </w:r>
      <w:r w:rsidR="008D217E" w:rsidRPr="00565900">
        <w:rPr>
          <w:rFonts w:ascii="Arial" w:hAnsi="Arial" w:cs="Arial"/>
        </w:rPr>
        <w:t xml:space="preserve">the </w:t>
      </w:r>
      <w:r w:rsidR="00074009" w:rsidRPr="00565900">
        <w:rPr>
          <w:rFonts w:ascii="Arial" w:hAnsi="Arial" w:cs="Arial"/>
        </w:rPr>
        <w:t>des</w:t>
      </w:r>
      <w:r w:rsidR="008D217E" w:rsidRPr="00565900">
        <w:rPr>
          <w:rFonts w:ascii="Arial" w:hAnsi="Arial" w:cs="Arial"/>
        </w:rPr>
        <w:t>ign and implementation of</w:t>
      </w:r>
      <w:r w:rsidR="00074009" w:rsidRPr="00565900">
        <w:rPr>
          <w:rFonts w:ascii="Arial" w:hAnsi="Arial" w:cs="Arial"/>
        </w:rPr>
        <w:t xml:space="preserve"> process</w:t>
      </w:r>
      <w:r w:rsidR="008D217E" w:rsidRPr="00565900">
        <w:rPr>
          <w:rFonts w:ascii="Arial" w:hAnsi="Arial" w:cs="Arial"/>
        </w:rPr>
        <w:t>es</w:t>
      </w:r>
      <w:r w:rsidR="00074009" w:rsidRPr="00565900">
        <w:rPr>
          <w:rFonts w:ascii="Arial" w:hAnsi="Arial" w:cs="Arial"/>
        </w:rPr>
        <w:t xml:space="preserve"> for developing, receiving, reviewing,</w:t>
      </w:r>
      <w:r w:rsidR="00445F82">
        <w:rPr>
          <w:rFonts w:ascii="Arial" w:hAnsi="Arial" w:cs="Arial"/>
        </w:rPr>
        <w:t xml:space="preserve"> </w:t>
      </w:r>
      <w:r w:rsidR="00074009" w:rsidRPr="00565900">
        <w:rPr>
          <w:rFonts w:ascii="Arial" w:hAnsi="Arial" w:cs="Arial"/>
        </w:rPr>
        <w:t>scoring</w:t>
      </w:r>
      <w:r w:rsidR="00445F82">
        <w:rPr>
          <w:rFonts w:ascii="Arial" w:hAnsi="Arial" w:cs="Arial"/>
        </w:rPr>
        <w:t xml:space="preserve"> and ranking</w:t>
      </w:r>
      <w:r w:rsidR="00074009" w:rsidRPr="00565900">
        <w:rPr>
          <w:rFonts w:ascii="Arial" w:hAnsi="Arial" w:cs="Arial"/>
        </w:rPr>
        <w:t xml:space="preserve"> hospital applications for pa</w:t>
      </w:r>
      <w:r w:rsidR="008D217E" w:rsidRPr="00565900">
        <w:rPr>
          <w:rFonts w:ascii="Arial" w:hAnsi="Arial" w:cs="Arial"/>
        </w:rPr>
        <w:t>rticipation in the SRHT P</w:t>
      </w:r>
      <w:r w:rsidR="00074009" w:rsidRPr="00565900">
        <w:rPr>
          <w:rFonts w:ascii="Arial" w:hAnsi="Arial" w:cs="Arial"/>
        </w:rPr>
        <w:t>roject</w:t>
      </w:r>
      <w:r w:rsidR="00FB54F5" w:rsidRPr="00565900">
        <w:rPr>
          <w:rFonts w:ascii="Arial" w:hAnsi="Arial" w:cs="Arial"/>
        </w:rPr>
        <w:t>.</w:t>
      </w:r>
    </w:p>
    <w:p w:rsidR="0052025F" w:rsidRPr="00565900" w:rsidRDefault="002F6AFF" w:rsidP="00565900">
      <w:pPr>
        <w:pStyle w:val="BodyTextIndent"/>
        <w:spacing w:before="120"/>
        <w:ind w:left="0"/>
        <w:rPr>
          <w:rFonts w:ascii="Arial" w:hAnsi="Arial" w:cs="Arial"/>
        </w:rPr>
      </w:pPr>
      <w:r w:rsidRPr="00565900">
        <w:rPr>
          <w:rFonts w:ascii="Arial" w:hAnsi="Arial" w:cs="Arial"/>
        </w:rPr>
        <w:t xml:space="preserve">The method used to </w:t>
      </w:r>
      <w:r w:rsidR="005C75A6" w:rsidRPr="00565900">
        <w:rPr>
          <w:rFonts w:ascii="Arial" w:hAnsi="Arial" w:cs="Arial"/>
        </w:rPr>
        <w:t>estimate</w:t>
      </w:r>
      <w:r w:rsidR="00260800" w:rsidRPr="00565900">
        <w:rPr>
          <w:rFonts w:ascii="Arial" w:hAnsi="Arial" w:cs="Arial"/>
        </w:rPr>
        <w:t xml:space="preserve"> cost of the information collection</w:t>
      </w:r>
      <w:r w:rsidR="005C75A6" w:rsidRPr="00565900">
        <w:rPr>
          <w:rFonts w:ascii="Arial" w:hAnsi="Arial" w:cs="Arial"/>
        </w:rPr>
        <w:t xml:space="preserve"> is </w:t>
      </w:r>
      <w:r w:rsidRPr="00565900">
        <w:rPr>
          <w:rFonts w:ascii="Arial" w:hAnsi="Arial" w:cs="Arial"/>
        </w:rPr>
        <w:t>a</w:t>
      </w:r>
      <w:r w:rsidR="006E2E46" w:rsidRPr="00565900">
        <w:rPr>
          <w:rFonts w:ascii="Arial" w:hAnsi="Arial" w:cs="Arial"/>
        </w:rPr>
        <w:t xml:space="preserve">s follows. </w:t>
      </w:r>
      <w:r w:rsidR="002E1D55" w:rsidRPr="00565900">
        <w:rPr>
          <w:rFonts w:ascii="Arial" w:hAnsi="Arial" w:cs="Arial"/>
        </w:rPr>
        <w:t>Since the contractor does not</w:t>
      </w:r>
      <w:r w:rsidR="00D7340B" w:rsidRPr="00565900">
        <w:rPr>
          <w:rFonts w:ascii="Arial" w:hAnsi="Arial" w:cs="Arial"/>
        </w:rPr>
        <w:t xml:space="preserve"> track </w:t>
      </w:r>
      <w:r w:rsidR="00BF48EE">
        <w:rPr>
          <w:rFonts w:ascii="Arial" w:hAnsi="Arial" w:cs="Arial"/>
        </w:rPr>
        <w:t xml:space="preserve">staff </w:t>
      </w:r>
      <w:r w:rsidR="00D7340B" w:rsidRPr="00565900">
        <w:rPr>
          <w:rFonts w:ascii="Arial" w:hAnsi="Arial" w:cs="Arial"/>
        </w:rPr>
        <w:t xml:space="preserve">hours based on individual contract deliverables, the best estimate </w:t>
      </w:r>
      <w:r w:rsidR="00BF48EE">
        <w:rPr>
          <w:rFonts w:ascii="Arial" w:hAnsi="Arial" w:cs="Arial"/>
        </w:rPr>
        <w:t>of cost</w:t>
      </w:r>
      <w:r w:rsidR="00D7340B" w:rsidRPr="00565900">
        <w:rPr>
          <w:rFonts w:ascii="Arial" w:hAnsi="Arial" w:cs="Arial"/>
        </w:rPr>
        <w:t xml:space="preserve"> is based on two contract staff performing the information collection: the contract manager at </w:t>
      </w:r>
      <w:r w:rsidR="00BE45AE">
        <w:rPr>
          <w:rFonts w:ascii="Arial" w:hAnsi="Arial" w:cs="Arial"/>
        </w:rPr>
        <w:t>50</w:t>
      </w:r>
      <w:r w:rsidR="00D7340B" w:rsidRPr="00565900">
        <w:rPr>
          <w:rFonts w:ascii="Arial" w:hAnsi="Arial" w:cs="Arial"/>
        </w:rPr>
        <w:t xml:space="preserve">% of </w:t>
      </w:r>
      <w:r w:rsidR="00260800" w:rsidRPr="00565900">
        <w:rPr>
          <w:rFonts w:ascii="Arial" w:hAnsi="Arial" w:cs="Arial"/>
        </w:rPr>
        <w:t xml:space="preserve">the total </w:t>
      </w:r>
      <w:r w:rsidR="00E274AC">
        <w:rPr>
          <w:rFonts w:ascii="Arial" w:hAnsi="Arial" w:cs="Arial"/>
        </w:rPr>
        <w:t>450</w:t>
      </w:r>
      <w:r w:rsidR="00D7340B" w:rsidRPr="00565900">
        <w:rPr>
          <w:rFonts w:ascii="Arial" w:hAnsi="Arial" w:cs="Arial"/>
        </w:rPr>
        <w:t xml:space="preserve"> hours</w:t>
      </w:r>
      <w:r w:rsidR="00260800" w:rsidRPr="00565900">
        <w:rPr>
          <w:rFonts w:ascii="Arial" w:hAnsi="Arial" w:cs="Arial"/>
        </w:rPr>
        <w:t xml:space="preserve"> dedicated to the information collection; </w:t>
      </w:r>
      <w:r w:rsidR="00D7340B" w:rsidRPr="00565900">
        <w:rPr>
          <w:rFonts w:ascii="Arial" w:hAnsi="Arial" w:cs="Arial"/>
        </w:rPr>
        <w:t xml:space="preserve">and the Contract Specialist at </w:t>
      </w:r>
      <w:r w:rsidR="00BE45AE">
        <w:rPr>
          <w:rFonts w:ascii="Arial" w:hAnsi="Arial" w:cs="Arial"/>
        </w:rPr>
        <w:t>50</w:t>
      </w:r>
      <w:r w:rsidR="00D7340B" w:rsidRPr="00565900">
        <w:rPr>
          <w:rFonts w:ascii="Arial" w:hAnsi="Arial" w:cs="Arial"/>
        </w:rPr>
        <w:t>% of</w:t>
      </w:r>
      <w:r w:rsidR="00AA3661">
        <w:rPr>
          <w:rFonts w:ascii="Arial" w:hAnsi="Arial" w:cs="Arial"/>
        </w:rPr>
        <w:t xml:space="preserve"> 900</w:t>
      </w:r>
      <w:r w:rsidR="00E274AC">
        <w:rPr>
          <w:rFonts w:ascii="Arial" w:hAnsi="Arial" w:cs="Arial"/>
        </w:rPr>
        <w:t xml:space="preserve"> </w:t>
      </w:r>
      <w:r w:rsidR="00D7340B" w:rsidRPr="00565900">
        <w:rPr>
          <w:rFonts w:ascii="Arial" w:hAnsi="Arial" w:cs="Arial"/>
        </w:rPr>
        <w:t>hours</w:t>
      </w:r>
      <w:r w:rsidR="00260800" w:rsidRPr="00565900">
        <w:rPr>
          <w:rFonts w:ascii="Arial" w:hAnsi="Arial" w:cs="Arial"/>
        </w:rPr>
        <w:t xml:space="preserve"> dedicated to the information collection</w:t>
      </w:r>
      <w:r w:rsidR="00D7340B" w:rsidRPr="00565900">
        <w:rPr>
          <w:rFonts w:ascii="Arial" w:hAnsi="Arial" w:cs="Arial"/>
        </w:rPr>
        <w:t>.</w:t>
      </w:r>
      <w:r w:rsidR="006E2E46" w:rsidRPr="00565900">
        <w:rPr>
          <w:rFonts w:ascii="Arial" w:hAnsi="Arial" w:cs="Arial"/>
        </w:rPr>
        <w:t xml:space="preserve"> </w:t>
      </w:r>
      <w:r w:rsidR="00FB54F5" w:rsidRPr="00565900">
        <w:rPr>
          <w:rFonts w:ascii="Arial" w:hAnsi="Arial" w:cs="Arial"/>
        </w:rPr>
        <w:t>N</w:t>
      </w:r>
      <w:r w:rsidR="006E2E46" w:rsidRPr="00565900">
        <w:rPr>
          <w:rFonts w:ascii="Arial" w:hAnsi="Arial" w:cs="Arial"/>
        </w:rPr>
        <w:t>o Federal staff work</w:t>
      </w:r>
      <w:r w:rsidR="00FB54F5" w:rsidRPr="00565900">
        <w:rPr>
          <w:rFonts w:ascii="Arial" w:hAnsi="Arial" w:cs="Arial"/>
        </w:rPr>
        <w:t>ed</w:t>
      </w:r>
      <w:r w:rsidR="006E2E46" w:rsidRPr="00565900">
        <w:rPr>
          <w:rFonts w:ascii="Arial" w:hAnsi="Arial" w:cs="Arial"/>
        </w:rPr>
        <w:t xml:space="preserve"> on the information collection. </w:t>
      </w:r>
      <w:r w:rsidR="008A574E" w:rsidRPr="00565900">
        <w:rPr>
          <w:rFonts w:ascii="Arial" w:hAnsi="Arial" w:cs="Arial"/>
        </w:rPr>
        <w:t xml:space="preserve">No funds </w:t>
      </w:r>
      <w:r w:rsidR="00FB54F5" w:rsidRPr="00565900">
        <w:rPr>
          <w:rFonts w:ascii="Arial" w:hAnsi="Arial" w:cs="Arial"/>
        </w:rPr>
        <w:t xml:space="preserve">will be </w:t>
      </w:r>
      <w:r w:rsidR="008A574E" w:rsidRPr="00565900">
        <w:rPr>
          <w:rFonts w:ascii="Arial" w:hAnsi="Arial" w:cs="Arial"/>
        </w:rPr>
        <w:t>transferred to the OS budget from another agency.  No evaluation funds are associated with this project.</w:t>
      </w:r>
      <w:r w:rsidR="006E2E46" w:rsidRPr="00565900">
        <w:rPr>
          <w:rFonts w:ascii="Arial" w:hAnsi="Arial" w:cs="Arial"/>
        </w:rPr>
        <w:t xml:space="preserve"> </w:t>
      </w:r>
      <w:r w:rsidRPr="00565900">
        <w:rPr>
          <w:rFonts w:ascii="Arial" w:hAnsi="Arial" w:cs="Arial"/>
        </w:rPr>
        <w:t xml:space="preserve"> </w:t>
      </w:r>
    </w:p>
    <w:p w:rsidR="00A51438" w:rsidRPr="00565900" w:rsidRDefault="009D358D" w:rsidP="002E7A02">
      <w:pPr>
        <w:pStyle w:val="BodyTextIndent"/>
        <w:spacing w:before="120"/>
        <w:rPr>
          <w:rFonts w:ascii="Arial" w:hAnsi="Arial" w:cs="Arial"/>
        </w:rPr>
      </w:pPr>
      <w:r w:rsidRPr="00565900">
        <w:rPr>
          <w:rFonts w:ascii="Arial" w:hAnsi="Arial" w:cs="Arial"/>
        </w:rPr>
        <w:lastRenderedPageBreak/>
        <w:t>Base Year:</w:t>
      </w:r>
      <w:r w:rsidR="001A20B5" w:rsidRPr="00565900">
        <w:rPr>
          <w:rFonts w:ascii="Arial" w:hAnsi="Arial" w:cs="Arial"/>
        </w:rPr>
        <w:t xml:space="preserve"> $552,136.30</w:t>
      </w:r>
    </w:p>
    <w:tbl>
      <w:tblPr>
        <w:tblStyle w:val="TableGrid"/>
        <w:tblW w:w="0" w:type="auto"/>
        <w:tblInd w:w="636" w:type="dxa"/>
        <w:tblLayout w:type="fixed"/>
        <w:tblLook w:val="04A0" w:firstRow="1" w:lastRow="0" w:firstColumn="1" w:lastColumn="0" w:noHBand="0" w:noVBand="1"/>
      </w:tblPr>
      <w:tblGrid>
        <w:gridCol w:w="3612"/>
        <w:gridCol w:w="1800"/>
        <w:gridCol w:w="1626"/>
      </w:tblGrid>
      <w:tr w:rsidR="0076274F" w:rsidRPr="0076274F" w:rsidTr="00565900">
        <w:tc>
          <w:tcPr>
            <w:tcW w:w="3612"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Information Collection Hours</w:t>
            </w:r>
          </w:p>
        </w:tc>
        <w:tc>
          <w:tcPr>
            <w:tcW w:w="1800"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Hourly Rate</w:t>
            </w:r>
          </w:p>
        </w:tc>
        <w:tc>
          <w:tcPr>
            <w:tcW w:w="1626"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Total Cost</w:t>
            </w:r>
          </w:p>
        </w:tc>
      </w:tr>
      <w:tr w:rsidR="0076274F" w:rsidRPr="0076274F" w:rsidTr="00565900">
        <w:tc>
          <w:tcPr>
            <w:tcW w:w="3612" w:type="dxa"/>
          </w:tcPr>
          <w:p w:rsidR="001A20B5" w:rsidRPr="00565900" w:rsidRDefault="00660516" w:rsidP="005C75A6">
            <w:pPr>
              <w:pStyle w:val="BodyTextIndent"/>
              <w:spacing w:before="120"/>
              <w:ind w:left="0"/>
              <w:rPr>
                <w:rFonts w:ascii="Arial" w:hAnsi="Arial" w:cs="Arial"/>
              </w:rPr>
            </w:pPr>
            <w:r>
              <w:rPr>
                <w:rFonts w:ascii="Arial" w:hAnsi="Arial" w:cs="Arial"/>
              </w:rPr>
              <w:t>450</w:t>
            </w:r>
            <w:r w:rsidR="001A20B5" w:rsidRPr="00565900">
              <w:rPr>
                <w:rFonts w:ascii="Arial" w:hAnsi="Arial" w:cs="Arial"/>
              </w:rPr>
              <w:t xml:space="preserve"> (Program Manager)</w:t>
            </w:r>
          </w:p>
        </w:tc>
        <w:tc>
          <w:tcPr>
            <w:tcW w:w="1800" w:type="dxa"/>
          </w:tcPr>
          <w:p w:rsidR="001A20B5" w:rsidRPr="00565900" w:rsidRDefault="001A20B5" w:rsidP="005C75A6">
            <w:pPr>
              <w:pStyle w:val="BodyTextIndent"/>
              <w:spacing w:before="120"/>
              <w:ind w:left="0"/>
              <w:rPr>
                <w:rFonts w:ascii="Arial" w:hAnsi="Arial" w:cs="Arial"/>
              </w:rPr>
            </w:pPr>
            <w:r w:rsidRPr="00565900">
              <w:rPr>
                <w:rFonts w:ascii="Arial" w:hAnsi="Arial" w:cs="Arial"/>
              </w:rPr>
              <w:t>$45.13</w:t>
            </w:r>
          </w:p>
        </w:tc>
        <w:tc>
          <w:tcPr>
            <w:tcW w:w="1626" w:type="dxa"/>
          </w:tcPr>
          <w:p w:rsidR="001A20B5" w:rsidRPr="00565900" w:rsidRDefault="001A20B5" w:rsidP="002961D2">
            <w:pPr>
              <w:pStyle w:val="BodyTextIndent"/>
              <w:spacing w:before="120"/>
              <w:ind w:left="0"/>
              <w:rPr>
                <w:rFonts w:ascii="Arial" w:hAnsi="Arial" w:cs="Arial"/>
              </w:rPr>
            </w:pPr>
            <w:r w:rsidRPr="00565900">
              <w:rPr>
                <w:rFonts w:ascii="Arial" w:hAnsi="Arial" w:cs="Arial"/>
              </w:rPr>
              <w:t>$</w:t>
            </w:r>
            <w:r w:rsidR="00660516">
              <w:rPr>
                <w:rFonts w:ascii="Arial" w:hAnsi="Arial" w:cs="Arial"/>
              </w:rPr>
              <w:t>2</w:t>
            </w:r>
            <w:r w:rsidRPr="00565900">
              <w:rPr>
                <w:rFonts w:ascii="Arial" w:hAnsi="Arial" w:cs="Arial"/>
              </w:rPr>
              <w:t>0,</w:t>
            </w:r>
            <w:r w:rsidR="00660516">
              <w:rPr>
                <w:rFonts w:ascii="Arial" w:hAnsi="Arial" w:cs="Arial"/>
              </w:rPr>
              <w:t>308</w:t>
            </w:r>
            <w:r w:rsidRPr="00565900">
              <w:rPr>
                <w:rFonts w:ascii="Arial" w:hAnsi="Arial" w:cs="Arial"/>
              </w:rPr>
              <w:t>.</w:t>
            </w:r>
            <w:r w:rsidR="00660516">
              <w:rPr>
                <w:rFonts w:ascii="Arial" w:hAnsi="Arial" w:cs="Arial"/>
              </w:rPr>
              <w:t>50</w:t>
            </w:r>
          </w:p>
        </w:tc>
      </w:tr>
      <w:tr w:rsidR="0076274F" w:rsidRPr="0076274F" w:rsidTr="00565900">
        <w:tc>
          <w:tcPr>
            <w:tcW w:w="3612" w:type="dxa"/>
          </w:tcPr>
          <w:p w:rsidR="001A20B5" w:rsidRPr="00565900" w:rsidRDefault="00660516" w:rsidP="005C75A6">
            <w:pPr>
              <w:pStyle w:val="BodyTextIndent"/>
              <w:spacing w:before="120"/>
              <w:ind w:left="0"/>
              <w:rPr>
                <w:rFonts w:ascii="Arial" w:hAnsi="Arial" w:cs="Arial"/>
              </w:rPr>
            </w:pPr>
            <w:r>
              <w:rPr>
                <w:rFonts w:ascii="Arial" w:hAnsi="Arial" w:cs="Arial"/>
              </w:rPr>
              <w:t>450</w:t>
            </w:r>
            <w:r w:rsidR="001A20B5" w:rsidRPr="00565900">
              <w:rPr>
                <w:rFonts w:ascii="Arial" w:hAnsi="Arial" w:cs="Arial"/>
              </w:rPr>
              <w:t xml:space="preserve"> (Program Specialist)</w:t>
            </w:r>
          </w:p>
        </w:tc>
        <w:tc>
          <w:tcPr>
            <w:tcW w:w="1800" w:type="dxa"/>
          </w:tcPr>
          <w:p w:rsidR="001A20B5" w:rsidRPr="00565900" w:rsidRDefault="001A20B5" w:rsidP="005C75A6">
            <w:pPr>
              <w:pStyle w:val="BodyTextIndent"/>
              <w:spacing w:before="120"/>
              <w:ind w:left="0"/>
              <w:rPr>
                <w:rFonts w:ascii="Arial" w:hAnsi="Arial" w:cs="Arial"/>
              </w:rPr>
            </w:pPr>
            <w:r w:rsidRPr="00565900">
              <w:rPr>
                <w:rFonts w:ascii="Arial" w:hAnsi="Arial" w:cs="Arial"/>
              </w:rPr>
              <w:t>$30.62</w:t>
            </w:r>
          </w:p>
        </w:tc>
        <w:tc>
          <w:tcPr>
            <w:tcW w:w="1626" w:type="dxa"/>
          </w:tcPr>
          <w:p w:rsidR="001A20B5" w:rsidRPr="00565900" w:rsidRDefault="001A20B5" w:rsidP="005C75A6">
            <w:pPr>
              <w:pStyle w:val="BodyTextIndent"/>
              <w:spacing w:before="120"/>
              <w:ind w:left="0"/>
              <w:rPr>
                <w:rFonts w:ascii="Arial" w:hAnsi="Arial" w:cs="Arial"/>
              </w:rPr>
            </w:pPr>
            <w:r w:rsidRPr="00565900">
              <w:rPr>
                <w:rFonts w:ascii="Arial" w:hAnsi="Arial" w:cs="Arial"/>
              </w:rPr>
              <w:t>$</w:t>
            </w:r>
            <w:r w:rsidR="00660516">
              <w:rPr>
                <w:rFonts w:ascii="Arial" w:hAnsi="Arial" w:cs="Arial"/>
              </w:rPr>
              <w:t>13,779</w:t>
            </w:r>
            <w:r w:rsidRPr="00565900">
              <w:rPr>
                <w:rFonts w:ascii="Arial" w:hAnsi="Arial" w:cs="Arial"/>
              </w:rPr>
              <w:t>.</w:t>
            </w:r>
            <w:r w:rsidR="00660516">
              <w:rPr>
                <w:rFonts w:ascii="Arial" w:hAnsi="Arial" w:cs="Arial"/>
              </w:rPr>
              <w:t>0</w:t>
            </w:r>
            <w:r w:rsidRPr="00565900">
              <w:rPr>
                <w:rFonts w:ascii="Arial" w:hAnsi="Arial" w:cs="Arial"/>
              </w:rPr>
              <w:t>0</w:t>
            </w:r>
          </w:p>
        </w:tc>
      </w:tr>
      <w:tr w:rsidR="0076274F" w:rsidRPr="0076274F" w:rsidTr="00565900">
        <w:tc>
          <w:tcPr>
            <w:tcW w:w="3612" w:type="dxa"/>
          </w:tcPr>
          <w:p w:rsidR="0076274F" w:rsidRPr="00405538" w:rsidRDefault="0076274F" w:rsidP="005C75A6">
            <w:pPr>
              <w:pStyle w:val="BodyTextIndent"/>
              <w:spacing w:before="120"/>
              <w:ind w:left="0"/>
              <w:rPr>
                <w:rFonts w:ascii="Arial" w:hAnsi="Arial" w:cs="Arial"/>
              </w:rPr>
            </w:pPr>
            <w:r w:rsidRPr="00565900">
              <w:rPr>
                <w:rFonts w:ascii="Arial" w:hAnsi="Arial" w:cs="Arial"/>
              </w:rPr>
              <w:t>Total: 900*</w:t>
            </w:r>
          </w:p>
        </w:tc>
        <w:tc>
          <w:tcPr>
            <w:tcW w:w="1800" w:type="dxa"/>
          </w:tcPr>
          <w:p w:rsidR="0076274F" w:rsidRPr="00405538" w:rsidRDefault="0076274F" w:rsidP="005C75A6">
            <w:pPr>
              <w:pStyle w:val="BodyTextIndent"/>
              <w:spacing w:before="120"/>
              <w:ind w:left="0"/>
              <w:rPr>
                <w:rFonts w:ascii="Arial" w:hAnsi="Arial" w:cs="Arial"/>
              </w:rPr>
            </w:pPr>
            <w:r w:rsidRPr="00565900">
              <w:rPr>
                <w:rFonts w:ascii="Arial" w:hAnsi="Arial" w:cs="Arial"/>
              </w:rPr>
              <w:t>$75.75</w:t>
            </w:r>
          </w:p>
        </w:tc>
        <w:tc>
          <w:tcPr>
            <w:tcW w:w="1626" w:type="dxa"/>
          </w:tcPr>
          <w:p w:rsidR="0076274F" w:rsidRPr="00405538" w:rsidRDefault="00660516" w:rsidP="005C75A6">
            <w:pPr>
              <w:pStyle w:val="BodyTextIndent"/>
              <w:spacing w:before="120"/>
              <w:ind w:left="0"/>
              <w:rPr>
                <w:rFonts w:ascii="Arial" w:hAnsi="Arial" w:cs="Arial"/>
              </w:rPr>
            </w:pPr>
            <w:r w:rsidRPr="00405538">
              <w:rPr>
                <w:rFonts w:ascii="Arial" w:hAnsi="Arial" w:cs="Arial"/>
              </w:rPr>
              <w:t>$3</w:t>
            </w:r>
            <w:r>
              <w:rPr>
                <w:rFonts w:ascii="Arial" w:hAnsi="Arial" w:cs="Arial"/>
              </w:rPr>
              <w:t>4</w:t>
            </w:r>
            <w:r w:rsidRPr="00405538">
              <w:rPr>
                <w:rFonts w:ascii="Arial" w:hAnsi="Arial" w:cs="Arial"/>
              </w:rPr>
              <w:t>,</w:t>
            </w:r>
            <w:r>
              <w:rPr>
                <w:rFonts w:ascii="Arial" w:hAnsi="Arial" w:cs="Arial"/>
              </w:rPr>
              <w:t>087</w:t>
            </w:r>
            <w:r w:rsidR="0076274F" w:rsidRPr="00565900">
              <w:rPr>
                <w:rFonts w:ascii="Arial" w:hAnsi="Arial" w:cs="Arial"/>
              </w:rPr>
              <w:t>.</w:t>
            </w:r>
            <w:r>
              <w:rPr>
                <w:rFonts w:ascii="Arial" w:hAnsi="Arial" w:cs="Arial"/>
              </w:rPr>
              <w:t>50</w:t>
            </w:r>
          </w:p>
        </w:tc>
      </w:tr>
    </w:tbl>
    <w:p w:rsidR="00A51438" w:rsidRPr="00565900" w:rsidRDefault="009D358D" w:rsidP="002E7A02">
      <w:pPr>
        <w:pStyle w:val="BodyTextIndent"/>
        <w:spacing w:before="120"/>
        <w:rPr>
          <w:rFonts w:ascii="Arial Narrow" w:hAnsi="Arial Narrow" w:cs="Arial"/>
          <w:i/>
          <w:sz w:val="22"/>
          <w:szCs w:val="22"/>
        </w:rPr>
      </w:pPr>
      <w:r w:rsidRPr="00565900">
        <w:rPr>
          <w:rFonts w:ascii="Arial Narrow" w:hAnsi="Arial Narrow" w:cs="Arial"/>
          <w:i/>
          <w:sz w:val="22"/>
          <w:szCs w:val="22"/>
        </w:rPr>
        <w:t>*Based on contractor</w:t>
      </w:r>
      <w:r w:rsidR="00FE449E">
        <w:rPr>
          <w:rFonts w:ascii="Arial Narrow" w:hAnsi="Arial Narrow" w:cs="Arial"/>
          <w:i/>
          <w:sz w:val="22"/>
          <w:szCs w:val="22"/>
        </w:rPr>
        <w:t>’s</w:t>
      </w:r>
      <w:r w:rsidRPr="00565900">
        <w:rPr>
          <w:rFonts w:ascii="Arial Narrow" w:hAnsi="Arial Narrow" w:cs="Arial"/>
          <w:i/>
          <w:sz w:val="22"/>
          <w:szCs w:val="22"/>
        </w:rPr>
        <w:t xml:space="preserve"> estimate</w:t>
      </w:r>
    </w:p>
    <w:p w:rsidR="00A5373C" w:rsidRPr="009D358D" w:rsidRDefault="00A5373C" w:rsidP="009D358D">
      <w:pPr>
        <w:pStyle w:val="BodyTextIndent"/>
        <w:spacing w:before="120"/>
        <w:ind w:left="0"/>
        <w:rPr>
          <w:rFonts w:ascii="Arial Narrow" w:hAnsi="Arial Narrow" w:cs="Arial"/>
          <w:i/>
          <w:color w:val="0070C0"/>
          <w:sz w:val="22"/>
          <w:szCs w:val="22"/>
        </w:rPr>
      </w:pPr>
    </w:p>
    <w:p w:rsidR="00A51438" w:rsidRPr="00565900" w:rsidRDefault="00A5373C" w:rsidP="002E7A02">
      <w:pPr>
        <w:pStyle w:val="BodyTextIndent"/>
        <w:spacing w:before="120"/>
        <w:rPr>
          <w:rFonts w:ascii="Arial" w:hAnsi="Arial" w:cs="Arial"/>
          <w:sz w:val="22"/>
          <w:szCs w:val="22"/>
        </w:rPr>
      </w:pPr>
      <w:r w:rsidRPr="00565900">
        <w:rPr>
          <w:rFonts w:ascii="Arial" w:hAnsi="Arial" w:cs="Arial"/>
          <w:sz w:val="22"/>
          <w:szCs w:val="22"/>
        </w:rPr>
        <w:t>Option Year 1</w:t>
      </w:r>
      <w:r w:rsidR="001A20B5" w:rsidRPr="00565900">
        <w:rPr>
          <w:rFonts w:ascii="Arial" w:hAnsi="Arial" w:cs="Arial"/>
          <w:sz w:val="22"/>
          <w:szCs w:val="22"/>
        </w:rPr>
        <w:t xml:space="preserve">: $555,706.69  </w:t>
      </w:r>
    </w:p>
    <w:tbl>
      <w:tblPr>
        <w:tblStyle w:val="TableGrid"/>
        <w:tblW w:w="0" w:type="auto"/>
        <w:tblInd w:w="576" w:type="dxa"/>
        <w:tblLayout w:type="fixed"/>
        <w:tblLook w:val="04A0" w:firstRow="1" w:lastRow="0" w:firstColumn="1" w:lastColumn="0" w:noHBand="0" w:noVBand="1"/>
      </w:tblPr>
      <w:tblGrid>
        <w:gridCol w:w="3672"/>
        <w:gridCol w:w="1800"/>
        <w:gridCol w:w="1668"/>
      </w:tblGrid>
      <w:tr w:rsidR="0076274F" w:rsidRPr="0076274F" w:rsidTr="00565900">
        <w:tc>
          <w:tcPr>
            <w:tcW w:w="3672"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Information Collection Hours</w:t>
            </w:r>
          </w:p>
        </w:tc>
        <w:tc>
          <w:tcPr>
            <w:tcW w:w="1800"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Hourly Rate</w:t>
            </w:r>
          </w:p>
        </w:tc>
        <w:tc>
          <w:tcPr>
            <w:tcW w:w="1668" w:type="dxa"/>
          </w:tcPr>
          <w:p w:rsidR="001A20B5" w:rsidRPr="00565900" w:rsidRDefault="001A20B5" w:rsidP="001A20B5">
            <w:pPr>
              <w:pStyle w:val="BodyTextIndent"/>
              <w:spacing w:before="120"/>
              <w:ind w:left="0"/>
              <w:rPr>
                <w:rFonts w:ascii="Arial" w:hAnsi="Arial" w:cs="Arial"/>
                <w:b/>
              </w:rPr>
            </w:pPr>
            <w:r w:rsidRPr="00565900">
              <w:rPr>
                <w:rFonts w:ascii="Arial" w:hAnsi="Arial" w:cs="Arial"/>
                <w:b/>
              </w:rPr>
              <w:t>Total Cost</w:t>
            </w:r>
          </w:p>
        </w:tc>
      </w:tr>
      <w:tr w:rsidR="0076274F" w:rsidRPr="0076274F" w:rsidTr="00565900">
        <w:tc>
          <w:tcPr>
            <w:tcW w:w="3672" w:type="dxa"/>
          </w:tcPr>
          <w:p w:rsidR="001A20B5" w:rsidRPr="00565900" w:rsidRDefault="000D0E83" w:rsidP="00405538">
            <w:pPr>
              <w:pStyle w:val="BodyTextIndent"/>
              <w:spacing w:before="120"/>
              <w:ind w:left="0"/>
              <w:rPr>
                <w:rFonts w:ascii="Arial" w:hAnsi="Arial" w:cs="Arial"/>
              </w:rPr>
            </w:pPr>
            <w:r>
              <w:rPr>
                <w:rFonts w:ascii="Arial" w:hAnsi="Arial" w:cs="Arial"/>
              </w:rPr>
              <w:t>450</w:t>
            </w:r>
            <w:r w:rsidR="001A20B5" w:rsidRPr="00565900">
              <w:rPr>
                <w:rFonts w:ascii="Arial" w:hAnsi="Arial" w:cs="Arial"/>
              </w:rPr>
              <w:t xml:space="preserve"> (Program Manager)</w:t>
            </w:r>
          </w:p>
        </w:tc>
        <w:tc>
          <w:tcPr>
            <w:tcW w:w="1800"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$47.41</w:t>
            </w:r>
          </w:p>
        </w:tc>
        <w:tc>
          <w:tcPr>
            <w:tcW w:w="1668"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w:t>
            </w:r>
            <w:r w:rsidR="000D0E83">
              <w:rPr>
                <w:rFonts w:ascii="Arial" w:hAnsi="Arial" w:cs="Arial"/>
              </w:rPr>
              <w:t>21,334</w:t>
            </w:r>
            <w:r w:rsidRPr="00565900">
              <w:rPr>
                <w:rFonts w:ascii="Arial" w:hAnsi="Arial" w:cs="Arial"/>
              </w:rPr>
              <w:t>.</w:t>
            </w:r>
            <w:r w:rsidR="000D0E83">
              <w:rPr>
                <w:rFonts w:ascii="Arial" w:hAnsi="Arial" w:cs="Arial"/>
              </w:rPr>
              <w:t>50</w:t>
            </w:r>
          </w:p>
        </w:tc>
      </w:tr>
      <w:tr w:rsidR="0076274F" w:rsidRPr="0076274F" w:rsidTr="00565900">
        <w:tc>
          <w:tcPr>
            <w:tcW w:w="3672" w:type="dxa"/>
          </w:tcPr>
          <w:p w:rsidR="001A20B5" w:rsidRPr="00565900" w:rsidRDefault="000D0E83" w:rsidP="00405538">
            <w:pPr>
              <w:pStyle w:val="BodyTextIndent"/>
              <w:spacing w:before="120"/>
              <w:ind w:left="0"/>
              <w:rPr>
                <w:rFonts w:ascii="Arial" w:hAnsi="Arial" w:cs="Arial"/>
              </w:rPr>
            </w:pPr>
            <w:r>
              <w:rPr>
                <w:rFonts w:ascii="Arial" w:hAnsi="Arial" w:cs="Arial"/>
              </w:rPr>
              <w:t>450</w:t>
            </w:r>
            <w:r w:rsidR="001A20B5" w:rsidRPr="00565900">
              <w:rPr>
                <w:rFonts w:ascii="Arial" w:hAnsi="Arial" w:cs="Arial"/>
              </w:rPr>
              <w:t xml:space="preserve"> (Program Specialist)</w:t>
            </w:r>
          </w:p>
        </w:tc>
        <w:tc>
          <w:tcPr>
            <w:tcW w:w="1800"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$32.14</w:t>
            </w:r>
          </w:p>
        </w:tc>
        <w:tc>
          <w:tcPr>
            <w:tcW w:w="1668" w:type="dxa"/>
          </w:tcPr>
          <w:p w:rsidR="001A20B5" w:rsidRPr="00565900" w:rsidRDefault="001A20B5" w:rsidP="002961D2">
            <w:pPr>
              <w:pStyle w:val="BodyTextIndent"/>
              <w:spacing w:before="120"/>
              <w:ind w:left="0"/>
              <w:rPr>
                <w:rFonts w:ascii="Arial" w:hAnsi="Arial" w:cs="Arial"/>
              </w:rPr>
            </w:pPr>
            <w:r w:rsidRPr="00565900">
              <w:rPr>
                <w:rFonts w:ascii="Arial" w:hAnsi="Arial" w:cs="Arial"/>
              </w:rPr>
              <w:t>$</w:t>
            </w:r>
            <w:r w:rsidR="000D0E83">
              <w:rPr>
                <w:rFonts w:ascii="Arial" w:hAnsi="Arial" w:cs="Arial"/>
              </w:rPr>
              <w:t>14</w:t>
            </w:r>
            <w:r w:rsidR="0076274F">
              <w:rPr>
                <w:rFonts w:ascii="Arial" w:hAnsi="Arial" w:cs="Arial"/>
              </w:rPr>
              <w:t>,</w:t>
            </w:r>
            <w:r w:rsidR="000D0E83">
              <w:rPr>
                <w:rFonts w:ascii="Arial" w:hAnsi="Arial" w:cs="Arial"/>
              </w:rPr>
              <w:t>463</w:t>
            </w:r>
            <w:r w:rsidR="00FA42E0">
              <w:rPr>
                <w:rFonts w:ascii="Arial" w:hAnsi="Arial" w:cs="Arial"/>
              </w:rPr>
              <w:t>.00</w:t>
            </w:r>
          </w:p>
        </w:tc>
      </w:tr>
      <w:tr w:rsidR="0076274F" w:rsidRPr="0076274F" w:rsidTr="00565900">
        <w:tc>
          <w:tcPr>
            <w:tcW w:w="3672"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Total: 900*</w:t>
            </w:r>
          </w:p>
        </w:tc>
        <w:tc>
          <w:tcPr>
            <w:tcW w:w="1800"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$79.55</w:t>
            </w:r>
          </w:p>
        </w:tc>
        <w:tc>
          <w:tcPr>
            <w:tcW w:w="1668" w:type="dxa"/>
          </w:tcPr>
          <w:p w:rsidR="001A20B5" w:rsidRPr="00565900" w:rsidRDefault="001A20B5" w:rsidP="00405538">
            <w:pPr>
              <w:pStyle w:val="BodyTextIndent"/>
              <w:spacing w:before="120"/>
              <w:ind w:left="0"/>
              <w:rPr>
                <w:rFonts w:ascii="Arial" w:hAnsi="Arial" w:cs="Arial"/>
              </w:rPr>
            </w:pPr>
            <w:r w:rsidRPr="00565900">
              <w:rPr>
                <w:rFonts w:ascii="Arial" w:hAnsi="Arial" w:cs="Arial"/>
              </w:rPr>
              <w:t>$3</w:t>
            </w:r>
            <w:r w:rsidR="000D0E83">
              <w:rPr>
                <w:rFonts w:ascii="Arial" w:hAnsi="Arial" w:cs="Arial"/>
              </w:rPr>
              <w:t>5</w:t>
            </w:r>
            <w:r w:rsidR="0076274F">
              <w:rPr>
                <w:rFonts w:ascii="Arial" w:hAnsi="Arial" w:cs="Arial"/>
              </w:rPr>
              <w:t>,</w:t>
            </w:r>
            <w:r w:rsidR="00FA42E0">
              <w:rPr>
                <w:rFonts w:ascii="Arial" w:hAnsi="Arial" w:cs="Arial"/>
              </w:rPr>
              <w:t>797</w:t>
            </w:r>
            <w:r w:rsidRPr="00565900">
              <w:rPr>
                <w:rFonts w:ascii="Arial" w:hAnsi="Arial" w:cs="Arial"/>
              </w:rPr>
              <w:t>.</w:t>
            </w:r>
            <w:r w:rsidR="00FA42E0">
              <w:rPr>
                <w:rFonts w:ascii="Arial" w:hAnsi="Arial" w:cs="Arial"/>
              </w:rPr>
              <w:t>50</w:t>
            </w:r>
          </w:p>
        </w:tc>
      </w:tr>
    </w:tbl>
    <w:p w:rsidR="00A5373C" w:rsidRDefault="002961D2" w:rsidP="002E7A02">
      <w:pPr>
        <w:pStyle w:val="BodyTextIndent"/>
        <w:spacing w:before="120"/>
        <w:ind w:left="360"/>
        <w:rPr>
          <w:rFonts w:ascii="Arial Narrow" w:hAnsi="Arial Narrow" w:cs="Arial"/>
          <w:i/>
          <w:sz w:val="22"/>
          <w:szCs w:val="22"/>
        </w:rPr>
      </w:pPr>
      <w:r w:rsidRPr="00565900">
        <w:rPr>
          <w:rFonts w:ascii="Arial Narrow" w:hAnsi="Arial Narrow" w:cs="Arial"/>
          <w:i/>
          <w:sz w:val="22"/>
          <w:szCs w:val="22"/>
        </w:rPr>
        <w:t>*Based on contractor</w:t>
      </w:r>
      <w:r w:rsidR="00FE449E">
        <w:rPr>
          <w:rFonts w:ascii="Arial Narrow" w:hAnsi="Arial Narrow" w:cs="Arial"/>
          <w:i/>
          <w:sz w:val="22"/>
          <w:szCs w:val="22"/>
        </w:rPr>
        <w:t>’s</w:t>
      </w:r>
      <w:r w:rsidRPr="00565900">
        <w:rPr>
          <w:rFonts w:ascii="Arial Narrow" w:hAnsi="Arial Narrow" w:cs="Arial"/>
          <w:i/>
          <w:sz w:val="22"/>
          <w:szCs w:val="22"/>
        </w:rPr>
        <w:t xml:space="preserve"> estimate</w:t>
      </w:r>
    </w:p>
    <w:p w:rsidR="00BF7BD4" w:rsidRDefault="00BF7BD4" w:rsidP="002E7A02">
      <w:pPr>
        <w:pStyle w:val="BodyTextIndent"/>
        <w:spacing w:before="120"/>
        <w:ind w:left="360"/>
        <w:rPr>
          <w:rFonts w:ascii="Arial Narrow" w:hAnsi="Arial Narrow" w:cs="Arial"/>
          <w:sz w:val="22"/>
          <w:szCs w:val="22"/>
        </w:rPr>
      </w:pPr>
    </w:p>
    <w:p w:rsidR="00FC1AD9" w:rsidRPr="00FC1AD9" w:rsidRDefault="00FC1AD9" w:rsidP="002E7A02">
      <w:pPr>
        <w:pStyle w:val="BodyTextIndent"/>
        <w:spacing w:before="120"/>
        <w:ind w:left="360"/>
        <w:rPr>
          <w:rFonts w:ascii="Arial" w:hAnsi="Arial" w:cs="Arial"/>
        </w:rPr>
      </w:pPr>
      <w:r w:rsidRPr="00A518B9">
        <w:rPr>
          <w:rFonts w:ascii="Arial" w:hAnsi="Arial" w:cs="Arial"/>
        </w:rPr>
        <w:t>The total estimated annual cost is $</w:t>
      </w:r>
      <w:r w:rsidR="00E55737" w:rsidRPr="00A518B9">
        <w:rPr>
          <w:rFonts w:ascii="Arial" w:hAnsi="Arial" w:cs="Arial"/>
          <w:u w:val="single"/>
        </w:rPr>
        <w:t>139,770</w:t>
      </w:r>
      <w:r w:rsidR="00A518B9">
        <w:rPr>
          <w:rFonts w:ascii="Arial" w:hAnsi="Arial" w:cs="Arial"/>
          <w:u w:val="single"/>
        </w:rPr>
        <w:t>.</w:t>
      </w:r>
      <w:r w:rsidRPr="00A518B9">
        <w:rPr>
          <w:rFonts w:ascii="Arial" w:hAnsi="Arial" w:cs="Arial"/>
        </w:rPr>
        <w:t xml:space="preserve"> </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rsidR="00AC0982" w:rsidRPr="00565900" w:rsidRDefault="00AC0982" w:rsidP="00565900">
      <w:pPr>
        <w:pStyle w:val="BodyTextIndent"/>
        <w:spacing w:before="120"/>
        <w:ind w:left="0"/>
        <w:rPr>
          <w:rFonts w:ascii="Arial" w:hAnsi="Arial" w:cs="Arial"/>
        </w:rPr>
      </w:pPr>
      <w:r w:rsidRPr="00565900">
        <w:rPr>
          <w:rFonts w:ascii="Arial" w:hAnsi="Arial" w:cs="Arial"/>
        </w:rPr>
        <w:t>This is a new information collection.</w:t>
      </w:r>
    </w:p>
    <w:p w:rsidR="009B3794" w:rsidRPr="00C45431" w:rsidRDefault="009B3794" w:rsidP="00CA3DA6">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rsidR="008F1CEB" w:rsidRPr="00565900" w:rsidRDefault="00533D47" w:rsidP="00E274AC">
      <w:pPr>
        <w:spacing w:before="120"/>
        <w:rPr>
          <w:rFonts w:ascii="Arial" w:hAnsi="Arial" w:cs="Arial"/>
          <w:sz w:val="24"/>
        </w:rPr>
      </w:pPr>
      <w:r w:rsidRPr="00565900">
        <w:rPr>
          <w:rFonts w:ascii="Arial" w:hAnsi="Arial" w:cs="Arial"/>
          <w:sz w:val="24"/>
        </w:rPr>
        <w:t xml:space="preserve">The information collection will not use statistical methods such as sampling, imputation, or other statistical estimation techniques.  </w:t>
      </w:r>
      <w:r w:rsidR="008F1CEB" w:rsidRPr="00565900">
        <w:rPr>
          <w:rFonts w:ascii="Arial" w:hAnsi="Arial" w:cs="Arial"/>
          <w:sz w:val="24"/>
        </w:rPr>
        <w:t xml:space="preserve">The information collection will not be published, manipulated or tabulated.  It is anticipated that this data collection will be requested for the performance period of the SRHT contract—Base year </w:t>
      </w:r>
      <w:r w:rsidRPr="00565900">
        <w:rPr>
          <w:rFonts w:ascii="Arial" w:hAnsi="Arial" w:cs="Arial"/>
          <w:sz w:val="24"/>
        </w:rPr>
        <w:t xml:space="preserve">of </w:t>
      </w:r>
      <w:r w:rsidR="008F1CEB" w:rsidRPr="00565900">
        <w:rPr>
          <w:rFonts w:ascii="Arial" w:hAnsi="Arial" w:cs="Arial"/>
          <w:sz w:val="24"/>
        </w:rPr>
        <w:t>plus three</w:t>
      </w:r>
      <w:r w:rsidRPr="00565900">
        <w:rPr>
          <w:rFonts w:ascii="Arial" w:hAnsi="Arial" w:cs="Arial"/>
          <w:sz w:val="24"/>
        </w:rPr>
        <w:t>-</w:t>
      </w:r>
      <w:r w:rsidR="008F1CEB" w:rsidRPr="00565900">
        <w:rPr>
          <w:rFonts w:ascii="Arial" w:hAnsi="Arial" w:cs="Arial"/>
          <w:sz w:val="24"/>
        </w:rPr>
        <w:t xml:space="preserve">12 month option years.  It is </w:t>
      </w:r>
      <w:r w:rsidRPr="00565900">
        <w:rPr>
          <w:rFonts w:ascii="Arial" w:hAnsi="Arial" w:cs="Arial"/>
          <w:sz w:val="24"/>
        </w:rPr>
        <w:t>acknowledged</w:t>
      </w:r>
      <w:r w:rsidR="008F1CEB" w:rsidRPr="00565900">
        <w:rPr>
          <w:rFonts w:ascii="Arial" w:hAnsi="Arial" w:cs="Arial"/>
          <w:sz w:val="24"/>
        </w:rPr>
        <w:t xml:space="preserve"> that the data collection will require renewal </w:t>
      </w:r>
      <w:r w:rsidR="00606F71" w:rsidRPr="00565900">
        <w:rPr>
          <w:rFonts w:ascii="Arial" w:hAnsi="Arial" w:cs="Arial"/>
          <w:sz w:val="24"/>
        </w:rPr>
        <w:t xml:space="preserve">prior to the effective date of </w:t>
      </w:r>
      <w:r w:rsidRPr="00565900">
        <w:rPr>
          <w:rFonts w:ascii="Arial" w:hAnsi="Arial" w:cs="Arial"/>
          <w:sz w:val="24"/>
        </w:rPr>
        <w:t xml:space="preserve">option year </w:t>
      </w:r>
      <w:r w:rsidR="00606F71" w:rsidRPr="00565900">
        <w:rPr>
          <w:rFonts w:ascii="Arial" w:hAnsi="Arial" w:cs="Arial"/>
          <w:sz w:val="24"/>
        </w:rPr>
        <w:t>three</w:t>
      </w:r>
      <w:r w:rsidR="00BB5361" w:rsidRPr="00565900">
        <w:rPr>
          <w:rFonts w:ascii="Arial" w:hAnsi="Arial" w:cs="Arial"/>
          <w:sz w:val="24"/>
        </w:rPr>
        <w:t xml:space="preserve"> (year </w:t>
      </w:r>
      <w:r w:rsidR="00606F71" w:rsidRPr="00565900">
        <w:rPr>
          <w:rFonts w:ascii="Arial" w:hAnsi="Arial" w:cs="Arial"/>
          <w:sz w:val="24"/>
        </w:rPr>
        <w:t xml:space="preserve">4) </w:t>
      </w:r>
      <w:r w:rsidR="008F1CEB" w:rsidRPr="00565900">
        <w:rPr>
          <w:rFonts w:ascii="Arial" w:hAnsi="Arial" w:cs="Arial"/>
          <w:sz w:val="24"/>
        </w:rPr>
        <w:t>of the contract</w:t>
      </w:r>
      <w:r w:rsidR="00606F71" w:rsidRPr="00565900">
        <w:rPr>
          <w:rFonts w:ascii="Arial" w:hAnsi="Arial" w:cs="Arial"/>
          <w:sz w:val="24"/>
        </w:rPr>
        <w:t>)</w:t>
      </w:r>
      <w:r w:rsidR="008F1CEB" w:rsidRPr="00565900">
        <w:rPr>
          <w:rFonts w:ascii="Arial" w:hAnsi="Arial" w:cs="Arial"/>
          <w:sz w:val="24"/>
        </w:rPr>
        <w:t>.</w:t>
      </w:r>
    </w:p>
    <w:p w:rsidR="009B3794" w:rsidRPr="00565900" w:rsidRDefault="009B3794" w:rsidP="00565900">
      <w:pPr>
        <w:pStyle w:val="ListParagraph"/>
        <w:numPr>
          <w:ilvl w:val="0"/>
          <w:numId w:val="48"/>
        </w:numPr>
        <w:spacing w:before="120"/>
        <w:rPr>
          <w:rFonts w:ascii="Arial" w:hAnsi="Arial" w:cs="Arial"/>
          <w:b/>
          <w:sz w:val="24"/>
        </w:rPr>
      </w:pPr>
      <w:r w:rsidRPr="00565900">
        <w:rPr>
          <w:rFonts w:ascii="Arial" w:hAnsi="Arial" w:cs="Arial"/>
          <w:b/>
          <w:sz w:val="24"/>
          <w:u w:val="single"/>
        </w:rPr>
        <w:t>Reason(s) Display of OMB Expiration Date is Inappropriate</w:t>
      </w:r>
    </w:p>
    <w:p w:rsidR="00E7356F" w:rsidRPr="00E7356F" w:rsidRDefault="00E7356F" w:rsidP="00E274AC">
      <w:pPr>
        <w:pStyle w:val="BodyTextIndent"/>
        <w:spacing w:before="120"/>
        <w:ind w:left="0"/>
        <w:rPr>
          <w:rFonts w:ascii="Arial" w:hAnsi="Arial" w:cs="Arial"/>
          <w:color w:val="0070C0"/>
        </w:rPr>
      </w:pPr>
      <w:r w:rsidRPr="00565900">
        <w:rPr>
          <w:rFonts w:ascii="Arial" w:hAnsi="Arial" w:cs="Arial"/>
        </w:rPr>
        <w:t>The OMB number and Expiration date will be displayed on every page of every form/instrument</w:t>
      </w:r>
      <w:r>
        <w:rPr>
          <w:rFonts w:ascii="Arial" w:hAnsi="Arial" w:cs="Arial"/>
          <w:color w:val="0070C0"/>
        </w:rPr>
        <w:t>.</w:t>
      </w:r>
    </w:p>
    <w:p w:rsidR="009B3794" w:rsidRPr="00565900" w:rsidRDefault="009B3794" w:rsidP="00565900">
      <w:pPr>
        <w:pStyle w:val="ListParagraph"/>
        <w:numPr>
          <w:ilvl w:val="0"/>
          <w:numId w:val="48"/>
        </w:numPr>
        <w:spacing w:before="240"/>
        <w:rPr>
          <w:rFonts w:ascii="Arial" w:hAnsi="Arial" w:cs="Arial"/>
          <w:b/>
          <w:sz w:val="24"/>
        </w:rPr>
      </w:pPr>
      <w:r w:rsidRPr="00565900">
        <w:rPr>
          <w:rFonts w:ascii="Arial" w:hAnsi="Arial" w:cs="Arial"/>
          <w:b/>
          <w:sz w:val="24"/>
          <w:u w:val="single"/>
        </w:rPr>
        <w:t>Exceptions to Certification for Paperwork Reduction Act Submissions</w:t>
      </w:r>
    </w:p>
    <w:p w:rsidR="00FA0B06" w:rsidRPr="00565900" w:rsidRDefault="00FA0B06" w:rsidP="00E274AC">
      <w:pPr>
        <w:pStyle w:val="BodyTextIndent"/>
        <w:spacing w:before="120"/>
        <w:ind w:left="0"/>
        <w:rPr>
          <w:rFonts w:ascii="Arial" w:hAnsi="Arial" w:cs="Arial"/>
        </w:rPr>
      </w:pPr>
      <w:r w:rsidRPr="00565900">
        <w:rPr>
          <w:rFonts w:ascii="Arial" w:hAnsi="Arial" w:cs="Arial"/>
        </w:rPr>
        <w:t>There are no exceptions to the certification.</w:t>
      </w:r>
    </w:p>
    <w:sectPr w:rsidR="00FA0B06" w:rsidRPr="00565900" w:rsidSect="0052025F">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13" w:rsidRDefault="00625913">
      <w:r>
        <w:separator/>
      </w:r>
    </w:p>
  </w:endnote>
  <w:endnote w:type="continuationSeparator" w:id="0">
    <w:p w:rsidR="00625913" w:rsidRDefault="0062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38" w:rsidRDefault="00405538">
    <w:pPr>
      <w:spacing w:line="240" w:lineRule="exact"/>
    </w:pPr>
  </w:p>
  <w:p w:rsidR="00405538" w:rsidRDefault="0040553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E1475">
      <w:rPr>
        <w:noProof/>
        <w:sz w:val="24"/>
      </w:rPr>
      <w:t>4</w:t>
    </w:r>
    <w:r>
      <w:rPr>
        <w:sz w:val="24"/>
      </w:rPr>
      <w:fldChar w:fldCharType="end"/>
    </w:r>
  </w:p>
  <w:p w:rsidR="00405538" w:rsidRDefault="0040553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13" w:rsidRDefault="00625913">
      <w:r>
        <w:separator/>
      </w:r>
    </w:p>
  </w:footnote>
  <w:footnote w:type="continuationSeparator" w:id="0">
    <w:p w:rsidR="00625913" w:rsidRDefault="00625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2AB5AD2"/>
    <w:multiLevelType w:val="hybridMultilevel"/>
    <w:tmpl w:val="FF365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E2953A5"/>
    <w:multiLevelType w:val="hybridMultilevel"/>
    <w:tmpl w:val="ED2A2C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8C30CE0"/>
    <w:multiLevelType w:val="hybridMultilevel"/>
    <w:tmpl w:val="4CB4E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tplc="17BC0AFE">
      <w:start w:val="1"/>
      <w:numFmt w:val="decimal"/>
      <w:lvlText w:val="%1."/>
      <w:lvlJc w:val="left"/>
      <w:pPr>
        <w:tabs>
          <w:tab w:val="num" w:pos="5760"/>
        </w:tabs>
        <w:ind w:left="57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7E562A"/>
    <w:multiLevelType w:val="hybridMultilevel"/>
    <w:tmpl w:val="FC76D19A"/>
    <w:lvl w:ilvl="0" w:tplc="85AA4E26">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A10AD8"/>
    <w:multiLevelType w:val="hybridMultilevel"/>
    <w:tmpl w:val="5664904A"/>
    <w:lvl w:ilvl="0" w:tplc="85AA4E26">
      <w:start w:val="17"/>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21FE7CF6"/>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56E0433A">
      <w:numFmt w:val="bullet"/>
      <w:lvlText w:val="•"/>
      <w:lvlJc w:val="left"/>
      <w:pPr>
        <w:ind w:left="4680" w:hanging="720"/>
      </w:pPr>
      <w:rPr>
        <w:rFonts w:ascii="Arial" w:eastAsia="Times New Roman" w:hAnsi="Arial" w:cs="Aria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4"/>
  </w:num>
  <w:num w:numId="3">
    <w:abstractNumId w:val="17"/>
  </w:num>
  <w:num w:numId="4">
    <w:abstractNumId w:val="43"/>
  </w:num>
  <w:num w:numId="5">
    <w:abstractNumId w:val="46"/>
  </w:num>
  <w:num w:numId="6">
    <w:abstractNumId w:val="10"/>
  </w:num>
  <w:num w:numId="7">
    <w:abstractNumId w:val="39"/>
  </w:num>
  <w:num w:numId="8">
    <w:abstractNumId w:val="20"/>
  </w:num>
  <w:num w:numId="9">
    <w:abstractNumId w:val="28"/>
  </w:num>
  <w:num w:numId="10">
    <w:abstractNumId w:val="22"/>
  </w:num>
  <w:num w:numId="11">
    <w:abstractNumId w:val="9"/>
  </w:num>
  <w:num w:numId="12">
    <w:abstractNumId w:val="27"/>
  </w:num>
  <w:num w:numId="13">
    <w:abstractNumId w:val="23"/>
  </w:num>
  <w:num w:numId="14">
    <w:abstractNumId w:val="25"/>
  </w:num>
  <w:num w:numId="15">
    <w:abstractNumId w:val="7"/>
  </w:num>
  <w:num w:numId="16">
    <w:abstractNumId w:val="0"/>
  </w:num>
  <w:num w:numId="17">
    <w:abstractNumId w:val="1"/>
  </w:num>
  <w:num w:numId="18">
    <w:abstractNumId w:val="18"/>
  </w:num>
  <w:num w:numId="19">
    <w:abstractNumId w:val="38"/>
  </w:num>
  <w:num w:numId="20">
    <w:abstractNumId w:val="34"/>
  </w:num>
  <w:num w:numId="21">
    <w:abstractNumId w:val="21"/>
  </w:num>
  <w:num w:numId="22">
    <w:abstractNumId w:val="42"/>
  </w:num>
  <w:num w:numId="23">
    <w:abstractNumId w:val="32"/>
  </w:num>
  <w:num w:numId="24">
    <w:abstractNumId w:val="33"/>
  </w:num>
  <w:num w:numId="25">
    <w:abstractNumId w:val="45"/>
  </w:num>
  <w:num w:numId="26">
    <w:abstractNumId w:val="41"/>
  </w:num>
  <w:num w:numId="27">
    <w:abstractNumId w:val="3"/>
  </w:num>
  <w:num w:numId="28">
    <w:abstractNumId w:val="19"/>
  </w:num>
  <w:num w:numId="29">
    <w:abstractNumId w:val="44"/>
  </w:num>
  <w:num w:numId="30">
    <w:abstractNumId w:val="40"/>
  </w:num>
  <w:num w:numId="31">
    <w:abstractNumId w:val="35"/>
  </w:num>
  <w:num w:numId="32">
    <w:abstractNumId w:val="11"/>
  </w:num>
  <w:num w:numId="33">
    <w:abstractNumId w:val="2"/>
  </w:num>
  <w:num w:numId="34">
    <w:abstractNumId w:val="29"/>
  </w:num>
  <w:num w:numId="35">
    <w:abstractNumId w:val="14"/>
  </w:num>
  <w:num w:numId="36">
    <w:abstractNumId w:val="13"/>
  </w:num>
  <w:num w:numId="37">
    <w:abstractNumId w:val="16"/>
  </w:num>
  <w:num w:numId="38">
    <w:abstractNumId w:val="4"/>
  </w:num>
  <w:num w:numId="39">
    <w:abstractNumId w:val="31"/>
  </w:num>
  <w:num w:numId="40">
    <w:abstractNumId w:val="6"/>
  </w:num>
  <w:num w:numId="41">
    <w:abstractNumId w:val="30"/>
  </w:num>
  <w:num w:numId="42">
    <w:abstractNumId w:val="26"/>
  </w:num>
  <w:num w:numId="43">
    <w:abstractNumId w:val="5"/>
  </w:num>
  <w:num w:numId="44">
    <w:abstractNumId w:val="15"/>
  </w:num>
  <w:num w:numId="45">
    <w:abstractNumId w:val="8"/>
  </w:num>
  <w:num w:numId="46">
    <w:abstractNumId w:val="12"/>
  </w:num>
  <w:num w:numId="47">
    <w:abstractNumId w:val="3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02F"/>
    <w:rsid w:val="00015505"/>
    <w:rsid w:val="000229A3"/>
    <w:rsid w:val="000236FE"/>
    <w:rsid w:val="00026480"/>
    <w:rsid w:val="00040354"/>
    <w:rsid w:val="0004429B"/>
    <w:rsid w:val="00074009"/>
    <w:rsid w:val="000952BA"/>
    <w:rsid w:val="00097937"/>
    <w:rsid w:val="000B7002"/>
    <w:rsid w:val="000D0E83"/>
    <w:rsid w:val="000D319A"/>
    <w:rsid w:val="000E47EA"/>
    <w:rsid w:val="000F436B"/>
    <w:rsid w:val="000F49A9"/>
    <w:rsid w:val="0010557F"/>
    <w:rsid w:val="0011635E"/>
    <w:rsid w:val="001223B1"/>
    <w:rsid w:val="001252DF"/>
    <w:rsid w:val="00125838"/>
    <w:rsid w:val="001325B2"/>
    <w:rsid w:val="00137294"/>
    <w:rsid w:val="00150934"/>
    <w:rsid w:val="0016044E"/>
    <w:rsid w:val="0016712E"/>
    <w:rsid w:val="0017091F"/>
    <w:rsid w:val="001777B5"/>
    <w:rsid w:val="00177889"/>
    <w:rsid w:val="00181191"/>
    <w:rsid w:val="001920C3"/>
    <w:rsid w:val="001A20B5"/>
    <w:rsid w:val="001A2E09"/>
    <w:rsid w:val="001C677D"/>
    <w:rsid w:val="001C7885"/>
    <w:rsid w:val="001D3966"/>
    <w:rsid w:val="001D4856"/>
    <w:rsid w:val="001D641D"/>
    <w:rsid w:val="001D7215"/>
    <w:rsid w:val="001E02D5"/>
    <w:rsid w:val="001F5EA9"/>
    <w:rsid w:val="00200AC4"/>
    <w:rsid w:val="00207E39"/>
    <w:rsid w:val="00210C07"/>
    <w:rsid w:val="002118B4"/>
    <w:rsid w:val="002235C4"/>
    <w:rsid w:val="00235050"/>
    <w:rsid w:val="00235A92"/>
    <w:rsid w:val="0024454F"/>
    <w:rsid w:val="00260800"/>
    <w:rsid w:val="002640E7"/>
    <w:rsid w:val="00276F57"/>
    <w:rsid w:val="00281960"/>
    <w:rsid w:val="002879F3"/>
    <w:rsid w:val="00293853"/>
    <w:rsid w:val="002961D2"/>
    <w:rsid w:val="002A06A3"/>
    <w:rsid w:val="002B3B32"/>
    <w:rsid w:val="002C058B"/>
    <w:rsid w:val="002D0C74"/>
    <w:rsid w:val="002E1475"/>
    <w:rsid w:val="002E1D55"/>
    <w:rsid w:val="002E7A02"/>
    <w:rsid w:val="002F6AFF"/>
    <w:rsid w:val="002F6D23"/>
    <w:rsid w:val="0030410C"/>
    <w:rsid w:val="00314CBA"/>
    <w:rsid w:val="00322313"/>
    <w:rsid w:val="00322CB0"/>
    <w:rsid w:val="00326E20"/>
    <w:rsid w:val="00340FA9"/>
    <w:rsid w:val="00342FD5"/>
    <w:rsid w:val="00347B05"/>
    <w:rsid w:val="003758A1"/>
    <w:rsid w:val="00375CA7"/>
    <w:rsid w:val="00380234"/>
    <w:rsid w:val="00381BE6"/>
    <w:rsid w:val="00391E16"/>
    <w:rsid w:val="00391FE9"/>
    <w:rsid w:val="003A1EE6"/>
    <w:rsid w:val="003B2F93"/>
    <w:rsid w:val="003C03F3"/>
    <w:rsid w:val="003D23B1"/>
    <w:rsid w:val="00401F5F"/>
    <w:rsid w:val="004029AA"/>
    <w:rsid w:val="00402C4C"/>
    <w:rsid w:val="00405538"/>
    <w:rsid w:val="004217E8"/>
    <w:rsid w:val="00423AFE"/>
    <w:rsid w:val="004257ED"/>
    <w:rsid w:val="00437205"/>
    <w:rsid w:val="00445F82"/>
    <w:rsid w:val="0045167C"/>
    <w:rsid w:val="004552CC"/>
    <w:rsid w:val="0047277B"/>
    <w:rsid w:val="00472847"/>
    <w:rsid w:val="004746CA"/>
    <w:rsid w:val="00475A56"/>
    <w:rsid w:val="00475F9B"/>
    <w:rsid w:val="00477CE9"/>
    <w:rsid w:val="00480F23"/>
    <w:rsid w:val="00486399"/>
    <w:rsid w:val="00490720"/>
    <w:rsid w:val="00490DFA"/>
    <w:rsid w:val="00490FEB"/>
    <w:rsid w:val="004B262D"/>
    <w:rsid w:val="004C6E18"/>
    <w:rsid w:val="004D1A70"/>
    <w:rsid w:val="004D336B"/>
    <w:rsid w:val="004D43D4"/>
    <w:rsid w:val="004E0B27"/>
    <w:rsid w:val="004E5AA0"/>
    <w:rsid w:val="004E687D"/>
    <w:rsid w:val="00500A76"/>
    <w:rsid w:val="005034CA"/>
    <w:rsid w:val="00503BAB"/>
    <w:rsid w:val="005061C9"/>
    <w:rsid w:val="00507827"/>
    <w:rsid w:val="0052025F"/>
    <w:rsid w:val="00533D47"/>
    <w:rsid w:val="00535FC6"/>
    <w:rsid w:val="0054280C"/>
    <w:rsid w:val="00543BE3"/>
    <w:rsid w:val="005547A6"/>
    <w:rsid w:val="00554911"/>
    <w:rsid w:val="00557543"/>
    <w:rsid w:val="00565900"/>
    <w:rsid w:val="00571DCA"/>
    <w:rsid w:val="00575012"/>
    <w:rsid w:val="00575D15"/>
    <w:rsid w:val="005857EE"/>
    <w:rsid w:val="0058699E"/>
    <w:rsid w:val="005927A3"/>
    <w:rsid w:val="005C59A6"/>
    <w:rsid w:val="005C75A6"/>
    <w:rsid w:val="005D4046"/>
    <w:rsid w:val="005D7625"/>
    <w:rsid w:val="005E1765"/>
    <w:rsid w:val="005E7F42"/>
    <w:rsid w:val="005F1B07"/>
    <w:rsid w:val="005F59ED"/>
    <w:rsid w:val="005F5AA5"/>
    <w:rsid w:val="00603399"/>
    <w:rsid w:val="00604332"/>
    <w:rsid w:val="006066A5"/>
    <w:rsid w:val="00606F71"/>
    <w:rsid w:val="00611357"/>
    <w:rsid w:val="00614439"/>
    <w:rsid w:val="00620DD1"/>
    <w:rsid w:val="00624019"/>
    <w:rsid w:val="00625913"/>
    <w:rsid w:val="00627FFD"/>
    <w:rsid w:val="006314A8"/>
    <w:rsid w:val="00631D5B"/>
    <w:rsid w:val="00637366"/>
    <w:rsid w:val="00654A1A"/>
    <w:rsid w:val="00660516"/>
    <w:rsid w:val="0066156F"/>
    <w:rsid w:val="0066734E"/>
    <w:rsid w:val="00677EF3"/>
    <w:rsid w:val="00680D76"/>
    <w:rsid w:val="00692144"/>
    <w:rsid w:val="00692FB8"/>
    <w:rsid w:val="006A1802"/>
    <w:rsid w:val="006A5285"/>
    <w:rsid w:val="006C465B"/>
    <w:rsid w:val="006D3506"/>
    <w:rsid w:val="006D57BA"/>
    <w:rsid w:val="006E2E46"/>
    <w:rsid w:val="006E7126"/>
    <w:rsid w:val="006E726F"/>
    <w:rsid w:val="006E7623"/>
    <w:rsid w:val="006F276E"/>
    <w:rsid w:val="006F63FD"/>
    <w:rsid w:val="006F6591"/>
    <w:rsid w:val="007008DC"/>
    <w:rsid w:val="007123C7"/>
    <w:rsid w:val="00716D73"/>
    <w:rsid w:val="00726B23"/>
    <w:rsid w:val="0073011E"/>
    <w:rsid w:val="0073114C"/>
    <w:rsid w:val="00735FA3"/>
    <w:rsid w:val="00736B7B"/>
    <w:rsid w:val="0074101C"/>
    <w:rsid w:val="0075217E"/>
    <w:rsid w:val="0076274F"/>
    <w:rsid w:val="00763EBD"/>
    <w:rsid w:val="00765472"/>
    <w:rsid w:val="007673AA"/>
    <w:rsid w:val="00770292"/>
    <w:rsid w:val="00770BFE"/>
    <w:rsid w:val="00773850"/>
    <w:rsid w:val="007961DF"/>
    <w:rsid w:val="007A4172"/>
    <w:rsid w:val="007B1EA0"/>
    <w:rsid w:val="007B3AAB"/>
    <w:rsid w:val="007B3B45"/>
    <w:rsid w:val="007D404E"/>
    <w:rsid w:val="007E0064"/>
    <w:rsid w:val="007F047A"/>
    <w:rsid w:val="007F7790"/>
    <w:rsid w:val="008002AB"/>
    <w:rsid w:val="00811722"/>
    <w:rsid w:val="008238FA"/>
    <w:rsid w:val="0082391D"/>
    <w:rsid w:val="008332AE"/>
    <w:rsid w:val="0083540E"/>
    <w:rsid w:val="00845F9A"/>
    <w:rsid w:val="008660FB"/>
    <w:rsid w:val="00875336"/>
    <w:rsid w:val="008856A6"/>
    <w:rsid w:val="008874A4"/>
    <w:rsid w:val="00896C05"/>
    <w:rsid w:val="008A574E"/>
    <w:rsid w:val="008B04CA"/>
    <w:rsid w:val="008B1686"/>
    <w:rsid w:val="008C2C91"/>
    <w:rsid w:val="008D217E"/>
    <w:rsid w:val="008D2D67"/>
    <w:rsid w:val="008F1CEB"/>
    <w:rsid w:val="008F3697"/>
    <w:rsid w:val="0090013F"/>
    <w:rsid w:val="00903060"/>
    <w:rsid w:val="00922445"/>
    <w:rsid w:val="0092327B"/>
    <w:rsid w:val="00923705"/>
    <w:rsid w:val="00924CEF"/>
    <w:rsid w:val="009323D7"/>
    <w:rsid w:val="00935E77"/>
    <w:rsid w:val="00936641"/>
    <w:rsid w:val="00940AB1"/>
    <w:rsid w:val="00957057"/>
    <w:rsid w:val="009614DB"/>
    <w:rsid w:val="00972012"/>
    <w:rsid w:val="00972113"/>
    <w:rsid w:val="00984F09"/>
    <w:rsid w:val="00994FE0"/>
    <w:rsid w:val="009B3794"/>
    <w:rsid w:val="009B7E4D"/>
    <w:rsid w:val="009C2269"/>
    <w:rsid w:val="009C48AF"/>
    <w:rsid w:val="009D358D"/>
    <w:rsid w:val="009E2890"/>
    <w:rsid w:val="00A0519B"/>
    <w:rsid w:val="00A1688A"/>
    <w:rsid w:val="00A2231E"/>
    <w:rsid w:val="00A24739"/>
    <w:rsid w:val="00A502B7"/>
    <w:rsid w:val="00A51438"/>
    <w:rsid w:val="00A518B9"/>
    <w:rsid w:val="00A5373C"/>
    <w:rsid w:val="00A75E60"/>
    <w:rsid w:val="00A82AFE"/>
    <w:rsid w:val="00A913F4"/>
    <w:rsid w:val="00A92CAB"/>
    <w:rsid w:val="00A95FD6"/>
    <w:rsid w:val="00AA3661"/>
    <w:rsid w:val="00AA44BE"/>
    <w:rsid w:val="00AA49D7"/>
    <w:rsid w:val="00AC0982"/>
    <w:rsid w:val="00AC309E"/>
    <w:rsid w:val="00AD5E39"/>
    <w:rsid w:val="00AE265F"/>
    <w:rsid w:val="00AE548E"/>
    <w:rsid w:val="00AE7154"/>
    <w:rsid w:val="00B20253"/>
    <w:rsid w:val="00B20AA4"/>
    <w:rsid w:val="00B269C2"/>
    <w:rsid w:val="00B30A7C"/>
    <w:rsid w:val="00B3685B"/>
    <w:rsid w:val="00B42BA5"/>
    <w:rsid w:val="00B461D2"/>
    <w:rsid w:val="00B655C6"/>
    <w:rsid w:val="00B655D4"/>
    <w:rsid w:val="00B710A4"/>
    <w:rsid w:val="00B87C26"/>
    <w:rsid w:val="00B97EF8"/>
    <w:rsid w:val="00BA1A0C"/>
    <w:rsid w:val="00BA4323"/>
    <w:rsid w:val="00BA51C3"/>
    <w:rsid w:val="00BA5922"/>
    <w:rsid w:val="00BB05AF"/>
    <w:rsid w:val="00BB3334"/>
    <w:rsid w:val="00BB5361"/>
    <w:rsid w:val="00BC0FE8"/>
    <w:rsid w:val="00BC26FC"/>
    <w:rsid w:val="00BC3764"/>
    <w:rsid w:val="00BC7508"/>
    <w:rsid w:val="00BC7E99"/>
    <w:rsid w:val="00BD6D85"/>
    <w:rsid w:val="00BE45AE"/>
    <w:rsid w:val="00BF48EE"/>
    <w:rsid w:val="00BF7BD4"/>
    <w:rsid w:val="00C126AD"/>
    <w:rsid w:val="00C21A7A"/>
    <w:rsid w:val="00C30900"/>
    <w:rsid w:val="00C45431"/>
    <w:rsid w:val="00C74B86"/>
    <w:rsid w:val="00C8510C"/>
    <w:rsid w:val="00C86119"/>
    <w:rsid w:val="00C912C0"/>
    <w:rsid w:val="00CA3DA6"/>
    <w:rsid w:val="00CB187B"/>
    <w:rsid w:val="00CD1EF0"/>
    <w:rsid w:val="00CD36E7"/>
    <w:rsid w:val="00CD6AD1"/>
    <w:rsid w:val="00CE5AA9"/>
    <w:rsid w:val="00CF7F06"/>
    <w:rsid w:val="00D01015"/>
    <w:rsid w:val="00D02746"/>
    <w:rsid w:val="00D11CA3"/>
    <w:rsid w:val="00D12188"/>
    <w:rsid w:val="00D16D2C"/>
    <w:rsid w:val="00D245FF"/>
    <w:rsid w:val="00D2581C"/>
    <w:rsid w:val="00D32692"/>
    <w:rsid w:val="00D40687"/>
    <w:rsid w:val="00D44175"/>
    <w:rsid w:val="00D45E26"/>
    <w:rsid w:val="00D46313"/>
    <w:rsid w:val="00D56898"/>
    <w:rsid w:val="00D56CC2"/>
    <w:rsid w:val="00D7340B"/>
    <w:rsid w:val="00D74B86"/>
    <w:rsid w:val="00D7564D"/>
    <w:rsid w:val="00D7593E"/>
    <w:rsid w:val="00D830A6"/>
    <w:rsid w:val="00D9096A"/>
    <w:rsid w:val="00D92E1D"/>
    <w:rsid w:val="00D94204"/>
    <w:rsid w:val="00DA5386"/>
    <w:rsid w:val="00DB38AD"/>
    <w:rsid w:val="00DD4E16"/>
    <w:rsid w:val="00DE27DC"/>
    <w:rsid w:val="00DE3A45"/>
    <w:rsid w:val="00DF6B4E"/>
    <w:rsid w:val="00E00CEE"/>
    <w:rsid w:val="00E1022D"/>
    <w:rsid w:val="00E10E62"/>
    <w:rsid w:val="00E203FA"/>
    <w:rsid w:val="00E274AC"/>
    <w:rsid w:val="00E34A1F"/>
    <w:rsid w:val="00E3668C"/>
    <w:rsid w:val="00E41FBF"/>
    <w:rsid w:val="00E46291"/>
    <w:rsid w:val="00E55737"/>
    <w:rsid w:val="00E6151A"/>
    <w:rsid w:val="00E71EE3"/>
    <w:rsid w:val="00E734E8"/>
    <w:rsid w:val="00E7356F"/>
    <w:rsid w:val="00E84177"/>
    <w:rsid w:val="00E87554"/>
    <w:rsid w:val="00E962DB"/>
    <w:rsid w:val="00EC26A0"/>
    <w:rsid w:val="00EC38CD"/>
    <w:rsid w:val="00ED18EA"/>
    <w:rsid w:val="00EE529C"/>
    <w:rsid w:val="00EF259D"/>
    <w:rsid w:val="00EF33E6"/>
    <w:rsid w:val="00EF3407"/>
    <w:rsid w:val="00F04EB2"/>
    <w:rsid w:val="00F151FD"/>
    <w:rsid w:val="00F219AF"/>
    <w:rsid w:val="00F305E5"/>
    <w:rsid w:val="00F36656"/>
    <w:rsid w:val="00F36799"/>
    <w:rsid w:val="00F4221E"/>
    <w:rsid w:val="00F668FF"/>
    <w:rsid w:val="00F754B1"/>
    <w:rsid w:val="00F7648C"/>
    <w:rsid w:val="00F76C1A"/>
    <w:rsid w:val="00F82E83"/>
    <w:rsid w:val="00F9475F"/>
    <w:rsid w:val="00FA0B06"/>
    <w:rsid w:val="00FA41D2"/>
    <w:rsid w:val="00FA42E0"/>
    <w:rsid w:val="00FA7F7B"/>
    <w:rsid w:val="00FB508D"/>
    <w:rsid w:val="00FB54F5"/>
    <w:rsid w:val="00FB61BF"/>
    <w:rsid w:val="00FC1AD9"/>
    <w:rsid w:val="00FD1124"/>
    <w:rsid w:val="00FD32E5"/>
    <w:rsid w:val="00FE037C"/>
    <w:rsid w:val="00FE3EDB"/>
    <w:rsid w:val="00FE449E"/>
    <w:rsid w:val="00FE6C30"/>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3C"/>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04EB2"/>
    <w:rPr>
      <w:sz w:val="16"/>
      <w:szCs w:val="16"/>
    </w:rPr>
  </w:style>
  <w:style w:type="paragraph" w:styleId="CommentText">
    <w:name w:val="annotation text"/>
    <w:basedOn w:val="Normal"/>
    <w:link w:val="CommentTextChar"/>
    <w:rsid w:val="00F04EB2"/>
    <w:rPr>
      <w:szCs w:val="20"/>
    </w:rPr>
  </w:style>
  <w:style w:type="character" w:customStyle="1" w:styleId="CommentTextChar">
    <w:name w:val="Comment Text Char"/>
    <w:basedOn w:val="DefaultParagraphFont"/>
    <w:link w:val="CommentText"/>
    <w:rsid w:val="00F04EB2"/>
  </w:style>
  <w:style w:type="paragraph" w:styleId="CommentSubject">
    <w:name w:val="annotation subject"/>
    <w:basedOn w:val="CommentText"/>
    <w:next w:val="CommentText"/>
    <w:link w:val="CommentSubjectChar"/>
    <w:rsid w:val="00F04EB2"/>
    <w:rPr>
      <w:b/>
      <w:bCs/>
    </w:rPr>
  </w:style>
  <w:style w:type="character" w:customStyle="1" w:styleId="CommentSubjectChar">
    <w:name w:val="Comment Subject Char"/>
    <w:basedOn w:val="CommentTextChar"/>
    <w:link w:val="CommentSubject"/>
    <w:rsid w:val="00F04EB2"/>
    <w:rPr>
      <w:b/>
      <w:bCs/>
    </w:rPr>
  </w:style>
  <w:style w:type="character" w:styleId="FollowedHyperlink">
    <w:name w:val="FollowedHyperlink"/>
    <w:basedOn w:val="DefaultParagraphFont"/>
    <w:rsid w:val="0066734E"/>
    <w:rPr>
      <w:color w:val="800080" w:themeColor="followedHyperlink"/>
      <w:u w:val="single"/>
    </w:rPr>
  </w:style>
  <w:style w:type="character" w:customStyle="1" w:styleId="BodyTextIndentChar">
    <w:name w:val="Body Text Indent Char"/>
    <w:basedOn w:val="DefaultParagraphFont"/>
    <w:link w:val="BodyTextIndent"/>
    <w:rsid w:val="00A5373C"/>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3C"/>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04EB2"/>
    <w:rPr>
      <w:sz w:val="16"/>
      <w:szCs w:val="16"/>
    </w:rPr>
  </w:style>
  <w:style w:type="paragraph" w:styleId="CommentText">
    <w:name w:val="annotation text"/>
    <w:basedOn w:val="Normal"/>
    <w:link w:val="CommentTextChar"/>
    <w:rsid w:val="00F04EB2"/>
    <w:rPr>
      <w:szCs w:val="20"/>
    </w:rPr>
  </w:style>
  <w:style w:type="character" w:customStyle="1" w:styleId="CommentTextChar">
    <w:name w:val="Comment Text Char"/>
    <w:basedOn w:val="DefaultParagraphFont"/>
    <w:link w:val="CommentText"/>
    <w:rsid w:val="00F04EB2"/>
  </w:style>
  <w:style w:type="paragraph" w:styleId="CommentSubject">
    <w:name w:val="annotation subject"/>
    <w:basedOn w:val="CommentText"/>
    <w:next w:val="CommentText"/>
    <w:link w:val="CommentSubjectChar"/>
    <w:rsid w:val="00F04EB2"/>
    <w:rPr>
      <w:b/>
      <w:bCs/>
    </w:rPr>
  </w:style>
  <w:style w:type="character" w:customStyle="1" w:styleId="CommentSubjectChar">
    <w:name w:val="Comment Subject Char"/>
    <w:basedOn w:val="CommentTextChar"/>
    <w:link w:val="CommentSubject"/>
    <w:rsid w:val="00F04EB2"/>
    <w:rPr>
      <w:b/>
      <w:bCs/>
    </w:rPr>
  </w:style>
  <w:style w:type="character" w:styleId="FollowedHyperlink">
    <w:name w:val="FollowedHyperlink"/>
    <w:basedOn w:val="DefaultParagraphFont"/>
    <w:rsid w:val="0066734E"/>
    <w:rPr>
      <w:color w:val="800080" w:themeColor="followedHyperlink"/>
      <w:u w:val="single"/>
    </w:rPr>
  </w:style>
  <w:style w:type="character" w:customStyle="1" w:styleId="BodyTextIndentChar">
    <w:name w:val="Body Text Indent Char"/>
    <w:basedOn w:val="DefaultParagraphFont"/>
    <w:link w:val="BodyTextIndent"/>
    <w:rsid w:val="00A5373C"/>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ralcenter.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pay.org/g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1658</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11228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31</cp:revision>
  <cp:lastPrinted>2016-08-08T13:33:00Z</cp:lastPrinted>
  <dcterms:created xsi:type="dcterms:W3CDTF">2016-08-30T12:22:00Z</dcterms:created>
  <dcterms:modified xsi:type="dcterms:W3CDTF">2016-08-30T15:15:00Z</dcterms:modified>
</cp:coreProperties>
</file>