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Default="007E59B4" w:rsidP="00093E43">
      <w:pPr>
        <w:pStyle w:val="Default"/>
        <w:jc w:val="center"/>
      </w:pPr>
      <w:r>
        <w:rPr>
          <w:b/>
          <w:bCs/>
        </w:rPr>
        <w:t xml:space="preserve">MARINE </w:t>
      </w:r>
      <w:r w:rsidR="00A46A49">
        <w:rPr>
          <w:b/>
          <w:bCs/>
        </w:rPr>
        <w:t>RECREATIONAL INFORMATION PROGRAM</w:t>
      </w:r>
      <w:r>
        <w:t xml:space="preserve"> </w:t>
      </w:r>
      <w:r w:rsidR="00114E7B" w:rsidRPr="00114E7B">
        <w:rPr>
          <w:b/>
        </w:rPr>
        <w:t>FISHING EFFORT SURVEY</w:t>
      </w:r>
    </w:p>
    <w:p w:rsidR="007E59B4" w:rsidRDefault="007E59B4" w:rsidP="00093E43">
      <w:pPr>
        <w:pStyle w:val="Default"/>
        <w:jc w:val="center"/>
      </w:pPr>
      <w:proofErr w:type="gramStart"/>
      <w:r>
        <w:rPr>
          <w:b/>
          <w:bCs/>
        </w:rPr>
        <w:t>OMB CONTROL NO.</w:t>
      </w:r>
      <w:proofErr w:type="gramEnd"/>
      <w:r>
        <w:rPr>
          <w:b/>
          <w:bCs/>
        </w:rPr>
        <w:t xml:space="preserve"> </w:t>
      </w:r>
      <w:r w:rsidR="001C4A9B">
        <w:rPr>
          <w:b/>
          <w:bCs/>
        </w:rPr>
        <w:t>0648-0652</w:t>
      </w:r>
      <w:r>
        <w:t xml:space="preserve"> </w:t>
      </w:r>
    </w:p>
    <w:p w:rsidR="00EE4FD8" w:rsidRDefault="00EE4FD8" w:rsidP="00093E43">
      <w:pPr>
        <w:pStyle w:val="Default"/>
        <w:jc w:val="center"/>
        <w:rPr>
          <w:color w:val="auto"/>
        </w:rPr>
      </w:pPr>
    </w:p>
    <w:p w:rsidR="006850F5" w:rsidRDefault="006850F5" w:rsidP="006850F5">
      <w:pPr>
        <w:pStyle w:val="Default"/>
        <w:jc w:val="center"/>
        <w:rPr>
          <w:color w:val="auto"/>
        </w:rPr>
      </w:pPr>
    </w:p>
    <w:p w:rsidR="00B503CD" w:rsidRDefault="00B503CD" w:rsidP="00B503CD">
      <w:pPr>
        <w:pStyle w:val="CM23"/>
        <w:numPr>
          <w:ilvl w:val="0"/>
          <w:numId w:val="17"/>
        </w:numPr>
        <w:tabs>
          <w:tab w:val="left" w:pos="540"/>
        </w:tabs>
        <w:spacing w:after="0"/>
        <w:ind w:left="540" w:hanging="540"/>
        <w:rPr>
          <w:b/>
          <w:bCs/>
        </w:rPr>
      </w:pPr>
      <w:r>
        <w:rPr>
          <w:b/>
          <w:bCs/>
        </w:rPr>
        <w:t xml:space="preserve">COLLECTIONS OF INFORMATION EMPLOYING STATISTICAL METHODS </w:t>
      </w:r>
    </w:p>
    <w:p w:rsidR="00B503CD" w:rsidRPr="0067695B" w:rsidRDefault="00B503CD" w:rsidP="00B503CD">
      <w:pPr>
        <w:pStyle w:val="Default"/>
        <w:ind w:left="720"/>
      </w:pPr>
    </w:p>
    <w:p w:rsidR="00B503CD" w:rsidRDefault="00B503CD" w:rsidP="00B503CD">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 xml:space="preserve">(e.g.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B503CD" w:rsidRDefault="00B503CD" w:rsidP="00B503CD">
      <w:pPr>
        <w:pStyle w:val="Default"/>
      </w:pPr>
    </w:p>
    <w:p w:rsidR="00AD4443" w:rsidRDefault="00AD4443" w:rsidP="00B503CD">
      <w:pPr>
        <w:pStyle w:val="Default"/>
      </w:pPr>
      <w:r w:rsidRPr="00A87E5F">
        <w:t xml:space="preserve">The MRIP Fishing Effort Survey </w:t>
      </w:r>
      <w:r w:rsidR="00B45F8B">
        <w:t>(</w:t>
      </w:r>
      <w:r>
        <w:t xml:space="preserve">FES) </w:t>
      </w:r>
      <w:r w:rsidRPr="00A87E5F">
        <w:t xml:space="preserve">is </w:t>
      </w:r>
      <w:r w:rsidR="002130BF">
        <w:t xml:space="preserve">a </w:t>
      </w:r>
      <w:r w:rsidRPr="00A87E5F">
        <w:t>bi-monthly (wave)</w:t>
      </w:r>
      <w:r>
        <w:t>, cross-sectional</w:t>
      </w:r>
      <w:r w:rsidRPr="00A87E5F">
        <w:t xml:space="preserve"> mail survey designed to estimate the total number of individuals who participate in marine recreational fishing and the total number of private boat and shore-based recreational fishing trips taken by </w:t>
      </w:r>
      <w:r w:rsidR="00B45F8B">
        <w:t>residents of coastal states</w:t>
      </w:r>
      <w:r>
        <w:t xml:space="preserve">.  The </w:t>
      </w:r>
      <w:r w:rsidR="00B45F8B">
        <w:t>FES</w:t>
      </w:r>
      <w:r>
        <w:t xml:space="preserve"> </w:t>
      </w:r>
      <w:r w:rsidR="00B45F8B">
        <w:t>utilizes</w:t>
      </w:r>
      <w:r>
        <w:t xml:space="preserve"> address-based sample</w:t>
      </w:r>
      <w:r w:rsidR="00B45F8B">
        <w:t>s</w:t>
      </w:r>
      <w:r w:rsidR="00851414">
        <w:t xml:space="preserve"> (ABS)</w:t>
      </w:r>
      <w:r w:rsidR="00B45F8B">
        <w:t xml:space="preserve"> that cover</w:t>
      </w:r>
      <w:r>
        <w:t xml:space="preserve"> all residential addresses within the study states.  </w:t>
      </w:r>
    </w:p>
    <w:p w:rsidR="00B45F8B" w:rsidRDefault="00B45F8B" w:rsidP="00B503CD">
      <w:pPr>
        <w:pStyle w:val="Default"/>
      </w:pPr>
    </w:p>
    <w:p w:rsidR="00F30A7D" w:rsidRDefault="00812B79" w:rsidP="00B503CD">
      <w:pPr>
        <w:pStyle w:val="Default"/>
      </w:pPr>
      <w:r>
        <w:t xml:space="preserve">The sample </w:t>
      </w:r>
      <w:r w:rsidR="003C1517">
        <w:t>universe</w:t>
      </w:r>
      <w:r>
        <w:t xml:space="preserve"> for the </w:t>
      </w:r>
      <w:r w:rsidR="00B45F8B">
        <w:t>FES</w:t>
      </w:r>
      <w:r>
        <w:t xml:space="preserve"> </w:t>
      </w:r>
      <w:r w:rsidR="003C1517">
        <w:t>includes</w:t>
      </w:r>
      <w:r>
        <w:t xml:space="preserve"> all residential addresses </w:t>
      </w:r>
      <w:r w:rsidR="003C1517">
        <w:t xml:space="preserve">within the study area </w:t>
      </w:r>
      <w:r w:rsidR="0091634E">
        <w:t>that are serviced by the United States Postal Service (USPS)</w:t>
      </w:r>
      <w:r>
        <w:t xml:space="preserve">.  Sampling is stratified by </w:t>
      </w:r>
      <w:r w:rsidR="003C1517">
        <w:t xml:space="preserve">coastal </w:t>
      </w:r>
      <w:r>
        <w:t>state and geographic proximity to the coast</w:t>
      </w:r>
      <w:r w:rsidR="003C1517">
        <w:t xml:space="preserve"> within each state</w:t>
      </w:r>
      <w:r>
        <w:t>.  Specifically, counties with any border that is within 25 miles of the coast are in the coastal stratum, and all other counties are in the non-coastal stratum</w:t>
      </w:r>
      <w:r w:rsidR="00E3096B">
        <w:rPr>
          <w:rStyle w:val="FootnoteReference"/>
        </w:rPr>
        <w:footnoteReference w:id="1"/>
      </w:r>
      <w:r>
        <w:t>.</w:t>
      </w:r>
      <w:r w:rsidR="008F5145">
        <w:t xml:space="preserve">  </w:t>
      </w:r>
      <w:r w:rsidR="00026C06">
        <w:t xml:space="preserve">Geographic </w:t>
      </w:r>
      <w:r>
        <w:t xml:space="preserve">stratification </w:t>
      </w:r>
      <w:r w:rsidR="003C1517">
        <w:t xml:space="preserve">within states </w:t>
      </w:r>
      <w:r w:rsidR="0049766B">
        <w:t>provides an opportunity to sample different segments of the population at different rates</w:t>
      </w:r>
      <w:r w:rsidR="009C5344">
        <w:t>, thereby increasing</w:t>
      </w:r>
      <w:r w:rsidR="006F6C8C">
        <w:t xml:space="preserve"> the efficiency of data collection</w:t>
      </w:r>
      <w:r w:rsidR="00C40A99">
        <w:t>.  For example,</w:t>
      </w:r>
      <w:r w:rsidR="00DB3184">
        <w:t xml:space="preserve"> historical estimates from the Marine Recreational Fisheries Statistics Survey (MRFSS)</w:t>
      </w:r>
      <w:r w:rsidR="00F30A7D">
        <w:t xml:space="preserve"> demonstrate that 65-90% of recreational saltwater fishing trips are taken by residents of coastal counties</w:t>
      </w:r>
      <w:r w:rsidR="009E1F96">
        <w:t>.</w:t>
      </w:r>
      <w:r w:rsidR="009C5344">
        <w:t xml:space="preserve">  Subsequently, </w:t>
      </w:r>
      <w:r w:rsidR="00DC625E">
        <w:t>addresses in coastal strata are sampled at a higher rate</w:t>
      </w:r>
      <w:r w:rsidR="009C5344">
        <w:t>.</w:t>
      </w:r>
      <w:r w:rsidR="00356EAD">
        <w:t xml:space="preserve"> </w:t>
      </w:r>
    </w:p>
    <w:p w:rsidR="006F6C8C" w:rsidRDefault="006F6C8C" w:rsidP="00B503CD">
      <w:pPr>
        <w:pStyle w:val="Default"/>
      </w:pPr>
    </w:p>
    <w:p w:rsidR="0035142D" w:rsidRDefault="00C9213E" w:rsidP="00B503CD">
      <w:pPr>
        <w:pStyle w:val="Default"/>
      </w:pPr>
      <w:r>
        <w:t>Each</w:t>
      </w:r>
      <w:r w:rsidR="00812B79">
        <w:t xml:space="preserve"> wave, a </w:t>
      </w:r>
      <w:r w:rsidR="009C5344">
        <w:t xml:space="preserve">representative </w:t>
      </w:r>
      <w:r>
        <w:t xml:space="preserve">sample of addresses is selected </w:t>
      </w:r>
      <w:r w:rsidR="00777A2A">
        <w:t>for</w:t>
      </w:r>
      <w:r>
        <w:t xml:space="preserve"> each stratum</w:t>
      </w:r>
      <w:r w:rsidR="00812B79">
        <w:t xml:space="preserve"> </w:t>
      </w:r>
      <w:r w:rsidR="0002427F">
        <w:t>from the USPS Computerized Delivery Sequence File</w:t>
      </w:r>
      <w:r w:rsidR="00B45F8B">
        <w:t xml:space="preserve"> (CDS)</w:t>
      </w:r>
      <w:r w:rsidR="00812B79">
        <w:t>.</w:t>
      </w:r>
      <w:r w:rsidR="00851414">
        <w:t xml:space="preserve">  </w:t>
      </w:r>
      <w:r w:rsidR="0002427F">
        <w:t>In each state, sampled addresses</w:t>
      </w:r>
      <w:r w:rsidR="00FA2B95">
        <w:t xml:space="preserve"> </w:t>
      </w:r>
      <w:r w:rsidR="0023617C">
        <w:t>are matched</w:t>
      </w:r>
      <w:r w:rsidR="007E04D6">
        <w:t>, by address and telephone number,</w:t>
      </w:r>
      <w:r w:rsidR="0023617C">
        <w:t xml:space="preserve"> to databases of anglers </w:t>
      </w:r>
      <w:r w:rsidR="00C256B7">
        <w:t xml:space="preserve">who are </w:t>
      </w:r>
      <w:r w:rsidR="0023617C">
        <w:t>licensed to participate in saltwater fishing in th</w:t>
      </w:r>
      <w:r w:rsidR="00AE7A8E">
        <w:t>e respective</w:t>
      </w:r>
      <w:r w:rsidR="0023617C">
        <w:t xml:space="preserve"> state.</w:t>
      </w:r>
      <w:r w:rsidR="00FA2B95">
        <w:t xml:space="preserve">  </w:t>
      </w:r>
      <w:r w:rsidR="00C40A99">
        <w:t>License databases</w:t>
      </w:r>
      <w:r w:rsidR="00FA2B95">
        <w:t xml:space="preserve"> are provided to NMFS </w:t>
      </w:r>
      <w:r w:rsidR="008E1441">
        <w:t xml:space="preserve">by state natural resource agencies </w:t>
      </w:r>
      <w:r w:rsidR="009C6EF2">
        <w:t xml:space="preserve">approximately one month </w:t>
      </w:r>
      <w:r w:rsidR="00FA2B95">
        <w:t>prior to the beginning of data collection for each wave</w:t>
      </w:r>
      <w:r w:rsidR="00B45F8B">
        <w:t>.</w:t>
      </w:r>
    </w:p>
    <w:p w:rsidR="00B45F8B" w:rsidRDefault="00B45F8B" w:rsidP="00B503CD">
      <w:pPr>
        <w:pStyle w:val="Default"/>
      </w:pPr>
    </w:p>
    <w:p w:rsidR="00B34357" w:rsidRDefault="0035142D" w:rsidP="00B503CD">
      <w:pPr>
        <w:pStyle w:val="Default"/>
      </w:pPr>
      <w:r>
        <w:t>Matching addresses to license databases screens the ABS sample to identify households with (matched) and without (unmatched) licensed anglers</w:t>
      </w:r>
      <w:r w:rsidR="00E474F2">
        <w:t>, effectively stratifying the sample into matched and unmatched strata (</w:t>
      </w:r>
      <w:proofErr w:type="spellStart"/>
      <w:r w:rsidR="00E474F2">
        <w:t>Lohr</w:t>
      </w:r>
      <w:proofErr w:type="spellEnd"/>
      <w:r w:rsidR="00E474F2">
        <w:t>, 2009)</w:t>
      </w:r>
      <w:r>
        <w:t>.</w:t>
      </w:r>
      <w:r w:rsidR="00E474F2">
        <w:t xml:space="preserve">  </w:t>
      </w:r>
      <w:r w:rsidR="00587B8F">
        <w:t>Augmenting the ABS sample</w:t>
      </w:r>
      <w:r w:rsidR="00E474F2">
        <w:t xml:space="preserve"> </w:t>
      </w:r>
      <w:r w:rsidR="00587B8F">
        <w:t xml:space="preserve">in this manner </w:t>
      </w:r>
      <w:r w:rsidR="00E474F2">
        <w:t xml:space="preserve">provides an </w:t>
      </w:r>
      <w:r w:rsidR="00587B8F">
        <w:t xml:space="preserve">additional </w:t>
      </w:r>
      <w:r w:rsidR="00E474F2">
        <w:t xml:space="preserve">opportunity to optimize sampling </w:t>
      </w:r>
      <w:r w:rsidR="00CC3EC2">
        <w:t>- p</w:t>
      </w:r>
      <w:r w:rsidR="00FC6A0F">
        <w:t>revious studies (Andrews et al., 2010, Brick et al., 2012</w:t>
      </w:r>
      <w:r w:rsidR="000C7703">
        <w:t>a</w:t>
      </w:r>
      <w:r w:rsidR="00587B8F">
        <w:t xml:space="preserve">, </w:t>
      </w:r>
      <w:r w:rsidR="00B45F8B">
        <w:t>Andrews et al., 2014</w:t>
      </w:r>
      <w:r w:rsidR="00FC6A0F">
        <w:t>) have demonstrated that residents of households that match to license databases respond to fishing</w:t>
      </w:r>
      <w:r w:rsidR="00E474F2">
        <w:t xml:space="preserve"> </w:t>
      </w:r>
      <w:r w:rsidR="00A5616F">
        <w:t xml:space="preserve">surveys at a higher rate and are more likely to have </w:t>
      </w:r>
      <w:r w:rsidR="00A5616F">
        <w:lastRenderedPageBreak/>
        <w:t xml:space="preserve">fished during the reference </w:t>
      </w:r>
      <w:r w:rsidR="00C04A65">
        <w:t>wave</w:t>
      </w:r>
      <w:r w:rsidR="00A5616F">
        <w:t xml:space="preserve"> than residents of unmatched households.</w:t>
      </w:r>
      <w:r w:rsidR="001131F4">
        <w:t xml:space="preserve">  Optimum sampling allocations among matched/un-matched strata are obtained by sub-sampling </w:t>
      </w:r>
      <w:r w:rsidR="0066206C">
        <w:t>the initial ABS</w:t>
      </w:r>
      <w:r w:rsidR="001131F4">
        <w:t>.</w:t>
      </w:r>
      <w:r w:rsidR="002130BF">
        <w:t xml:space="preserve">  </w:t>
      </w:r>
      <w:r w:rsidR="008E1441">
        <w:t xml:space="preserve">  </w:t>
      </w:r>
    </w:p>
    <w:p w:rsidR="00A84678" w:rsidRDefault="00A84678" w:rsidP="00B503CD">
      <w:pPr>
        <w:pStyle w:val="Default"/>
      </w:pPr>
    </w:p>
    <w:p w:rsidR="00A84678" w:rsidRDefault="00724E2F" w:rsidP="00B503CD">
      <w:pPr>
        <w:pStyle w:val="Default"/>
      </w:pPr>
      <w:r>
        <w:t>Table 1 provides the sample univer</w:t>
      </w:r>
      <w:r w:rsidR="00323307">
        <w:t xml:space="preserve">se, </w:t>
      </w:r>
      <w:r w:rsidR="008924ED">
        <w:t xml:space="preserve">annual </w:t>
      </w:r>
      <w:r w:rsidR="00C857E9">
        <w:t>target</w:t>
      </w:r>
      <w:r w:rsidR="00057DBE">
        <w:t xml:space="preserve"> </w:t>
      </w:r>
      <w:r>
        <w:t>sample sizes</w:t>
      </w:r>
      <w:r w:rsidR="00323307">
        <w:t xml:space="preserve"> and estimated number of completed</w:t>
      </w:r>
      <w:r w:rsidR="00CC3EC2">
        <w:t xml:space="preserve"> household</w:t>
      </w:r>
      <w:r w:rsidR="00323307">
        <w:t xml:space="preserve"> interviews</w:t>
      </w:r>
      <w:r>
        <w:t xml:space="preserve"> for</w:t>
      </w:r>
      <w:r w:rsidR="00323307">
        <w:t xml:space="preserve"> each </w:t>
      </w:r>
      <w:r w:rsidR="001131F4">
        <w:t xml:space="preserve">geographic </w:t>
      </w:r>
      <w:r w:rsidR="00323307">
        <w:t xml:space="preserve">stratum.  </w:t>
      </w:r>
      <w:r w:rsidR="00EA2587">
        <w:t>Within each state, sample is optimally allocated among strata to maximize the precision of estimates of total fishing effort.</w:t>
      </w:r>
      <w:r w:rsidR="00057DBE">
        <w:t xml:space="preserve">  </w:t>
      </w:r>
      <w:r w:rsidR="00EA2587">
        <w:t>The allocation</w:t>
      </w:r>
      <w:r w:rsidR="00570768">
        <w:t xml:space="preserve"> and expected response rates</w:t>
      </w:r>
      <w:r w:rsidR="00EA2587">
        <w:t xml:space="preserve"> are based upon results of </w:t>
      </w:r>
      <w:r w:rsidR="008924ED">
        <w:t>previous FES administrations.</w:t>
      </w:r>
      <w:r w:rsidR="00EA2587">
        <w:t xml:space="preserve">  </w:t>
      </w:r>
      <w:r w:rsidR="002B21DE">
        <w:t>Target sample sizes</w:t>
      </w:r>
      <w:r w:rsidR="00D76EC2">
        <w:t xml:space="preserve"> are </w:t>
      </w:r>
      <w:r w:rsidR="00F10AA5">
        <w:t xml:space="preserve">expected to result </w:t>
      </w:r>
      <w:r w:rsidR="00D56EDA">
        <w:t xml:space="preserve">in </w:t>
      </w:r>
      <w:r w:rsidR="00775E93">
        <w:t xml:space="preserve">a </w:t>
      </w:r>
      <w:r w:rsidR="00D76EC2">
        <w:t>completed</w:t>
      </w:r>
      <w:r w:rsidR="00D56EDA">
        <w:t xml:space="preserve"> </w:t>
      </w:r>
      <w:r w:rsidR="00775E93">
        <w:t xml:space="preserve">number of </w:t>
      </w:r>
      <w:r w:rsidR="00D56EDA">
        <w:t xml:space="preserve">household </w:t>
      </w:r>
      <w:r w:rsidR="00D76EC2">
        <w:t xml:space="preserve">surveys </w:t>
      </w:r>
      <w:r w:rsidR="00C857E9">
        <w:t>that will</w:t>
      </w:r>
      <w:r w:rsidR="00D76EC2">
        <w:t xml:space="preserve"> achieve </w:t>
      </w:r>
      <w:r w:rsidR="00465C34">
        <w:t>a coefficient of variation of 20</w:t>
      </w:r>
      <w:r w:rsidR="00D76EC2">
        <w:t xml:space="preserve">% on </w:t>
      </w:r>
      <w:r w:rsidR="00465C34">
        <w:t xml:space="preserve">annual </w:t>
      </w:r>
      <w:r w:rsidR="00D76EC2">
        <w:t>estimates of total fishing effort for each state.</w:t>
      </w:r>
      <w:r w:rsidR="00A16C77">
        <w:t xml:space="preserve">  </w:t>
      </w:r>
    </w:p>
    <w:p w:rsidR="00A84678" w:rsidRDefault="00A84678">
      <w:pPr>
        <w:spacing w:after="200" w:line="276" w:lineRule="auto"/>
        <w:rPr>
          <w:color w:val="000000"/>
        </w:rPr>
      </w:pPr>
      <w:r>
        <w:br w:type="page"/>
      </w:r>
    </w:p>
    <w:p w:rsidR="00A84678" w:rsidRPr="00871E58" w:rsidRDefault="006B7606" w:rsidP="00B503CD">
      <w:pPr>
        <w:pStyle w:val="Default"/>
        <w:rPr>
          <w:sz w:val="22"/>
          <w:szCs w:val="22"/>
        </w:rPr>
      </w:pPr>
      <w:proofErr w:type="gramStart"/>
      <w:r w:rsidRPr="00871E58">
        <w:rPr>
          <w:sz w:val="22"/>
          <w:szCs w:val="22"/>
        </w:rPr>
        <w:lastRenderedPageBreak/>
        <w:t>Table 1.</w:t>
      </w:r>
      <w:proofErr w:type="gramEnd"/>
      <w:r w:rsidRPr="00871E58">
        <w:rPr>
          <w:sz w:val="22"/>
          <w:szCs w:val="22"/>
        </w:rPr>
        <w:t xml:space="preserve">  Estimated size of the sample universe, </w:t>
      </w:r>
      <w:r w:rsidR="003C2189">
        <w:rPr>
          <w:sz w:val="22"/>
          <w:szCs w:val="22"/>
        </w:rPr>
        <w:t xml:space="preserve">annual </w:t>
      </w:r>
      <w:r w:rsidR="00BB6F0F" w:rsidRPr="00871E58">
        <w:rPr>
          <w:sz w:val="22"/>
          <w:szCs w:val="22"/>
        </w:rPr>
        <w:t>target</w:t>
      </w:r>
      <w:r w:rsidRPr="00871E58">
        <w:rPr>
          <w:sz w:val="22"/>
          <w:szCs w:val="22"/>
        </w:rPr>
        <w:t xml:space="preserve"> sample sizes, expected response rates and estimated number of completed </w:t>
      </w:r>
      <w:r w:rsidR="000E23C3" w:rsidRPr="00871E58">
        <w:rPr>
          <w:sz w:val="22"/>
          <w:szCs w:val="22"/>
        </w:rPr>
        <w:t xml:space="preserve">household </w:t>
      </w:r>
      <w:r w:rsidRPr="00871E58">
        <w:rPr>
          <w:sz w:val="22"/>
          <w:szCs w:val="22"/>
        </w:rPr>
        <w:t xml:space="preserve">interviews.  </w:t>
      </w:r>
    </w:p>
    <w:tbl>
      <w:tblPr>
        <w:tblW w:w="7660" w:type="dxa"/>
        <w:tblInd w:w="93" w:type="dxa"/>
        <w:tblLook w:val="04A0" w:firstRow="1" w:lastRow="0" w:firstColumn="1" w:lastColumn="0" w:noHBand="0" w:noVBand="1"/>
      </w:tblPr>
      <w:tblGrid>
        <w:gridCol w:w="960"/>
        <w:gridCol w:w="1360"/>
        <w:gridCol w:w="1420"/>
        <w:gridCol w:w="1320"/>
        <w:gridCol w:w="1320"/>
        <w:gridCol w:w="1280"/>
      </w:tblGrid>
      <w:tr w:rsidR="00F53C9D" w:rsidRPr="00F53C9D" w:rsidTr="00F53C9D">
        <w:trPr>
          <w:trHeight w:val="900"/>
        </w:trPr>
        <w:tc>
          <w:tcPr>
            <w:tcW w:w="960" w:type="dxa"/>
            <w:tcBorders>
              <w:top w:val="single" w:sz="4" w:space="0" w:color="auto"/>
              <w:left w:val="nil"/>
              <w:bottom w:val="single" w:sz="4" w:space="0" w:color="auto"/>
              <w:right w:val="nil"/>
            </w:tcBorders>
            <w:shd w:val="clear" w:color="auto" w:fill="auto"/>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State</w:t>
            </w:r>
          </w:p>
        </w:tc>
        <w:tc>
          <w:tcPr>
            <w:tcW w:w="1360" w:type="dxa"/>
            <w:tcBorders>
              <w:top w:val="single" w:sz="4" w:space="0" w:color="auto"/>
              <w:left w:val="nil"/>
              <w:bottom w:val="single" w:sz="4" w:space="0" w:color="auto"/>
              <w:right w:val="nil"/>
            </w:tcBorders>
            <w:shd w:val="clear" w:color="auto" w:fill="auto"/>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Stratum</w:t>
            </w:r>
          </w:p>
        </w:tc>
        <w:tc>
          <w:tcPr>
            <w:tcW w:w="1420" w:type="dxa"/>
            <w:tcBorders>
              <w:top w:val="single" w:sz="4" w:space="0" w:color="auto"/>
              <w:left w:val="nil"/>
              <w:bottom w:val="single" w:sz="4" w:space="0" w:color="auto"/>
              <w:right w:val="nil"/>
            </w:tcBorders>
            <w:shd w:val="clear" w:color="auto" w:fill="auto"/>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Estimated Number of Households</w:t>
            </w:r>
          </w:p>
        </w:tc>
        <w:tc>
          <w:tcPr>
            <w:tcW w:w="1320" w:type="dxa"/>
            <w:tcBorders>
              <w:top w:val="single" w:sz="4" w:space="0" w:color="auto"/>
              <w:left w:val="nil"/>
              <w:bottom w:val="single" w:sz="4" w:space="0" w:color="auto"/>
              <w:right w:val="nil"/>
            </w:tcBorders>
            <w:shd w:val="clear" w:color="auto" w:fill="auto"/>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Target ABS Sample Size</w:t>
            </w:r>
          </w:p>
        </w:tc>
        <w:tc>
          <w:tcPr>
            <w:tcW w:w="1320" w:type="dxa"/>
            <w:tcBorders>
              <w:top w:val="single" w:sz="4" w:space="0" w:color="auto"/>
              <w:left w:val="nil"/>
              <w:bottom w:val="single" w:sz="4" w:space="0" w:color="auto"/>
              <w:right w:val="nil"/>
            </w:tcBorders>
            <w:shd w:val="clear" w:color="auto" w:fill="auto"/>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Expected Response Rate</w:t>
            </w:r>
          </w:p>
        </w:tc>
        <w:tc>
          <w:tcPr>
            <w:tcW w:w="1280" w:type="dxa"/>
            <w:tcBorders>
              <w:top w:val="single" w:sz="4" w:space="0" w:color="auto"/>
              <w:left w:val="nil"/>
              <w:bottom w:val="single" w:sz="4" w:space="0" w:color="auto"/>
              <w:right w:val="nil"/>
            </w:tcBorders>
            <w:shd w:val="clear" w:color="auto" w:fill="auto"/>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Estimated Completed Interviews</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AL</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1,661,055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8,389</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35.3</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2,961</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244,831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5,554</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32.5</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1,803</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CT</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1,376,955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18,273</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36.2</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6,618</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DE</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349,794</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13,914</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5,292</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FL</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7,631,375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5,785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36.6</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2,116</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GA</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3,447,326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19,278</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35.2</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6,791</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247,113</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10,685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35.6</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3,805</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LA</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466,705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3,799</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37</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1,406</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828,328</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5,546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30.2</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1,674</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ME</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945,732</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6,927</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46.7</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3,238</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631,148</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500</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240</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MD</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244,923</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16,637</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38.8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6,456</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1,954,989</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5,181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42.8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2,217</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MA</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97,900</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12,781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40.6</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5,192</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462,106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1,605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38.8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623</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MS</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948,126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3,691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34.1</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1,257</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180,716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16,503</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32.5</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5,365</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NH</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3,065,955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6,562</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43</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2,821</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787,088</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514</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44.8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230</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NJ</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144,104</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13,027</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34.8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4,533</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378,763</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1,046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50.5</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528</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NY</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142,908</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23,751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30.2</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7,173</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3,095,540</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2,334</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46.1</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1,076</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NC</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2,788,575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12,029</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37.1</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4,458</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4,620,155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4,362</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40.4</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1,761</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RI</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413,196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13,929</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39.2</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5,455</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SC</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1,254,690</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7,557</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42</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3,177</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598,096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7,961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38.6</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3,071</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VA</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1,744,021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17,279</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37.8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6,540</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1,393,148</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10,355</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40.8</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4,228</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TX</w:t>
            </w: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2,485,530</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15,791</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35</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5,527</w:t>
            </w:r>
          </w:p>
        </w:tc>
      </w:tr>
      <w:tr w:rsidR="00F53C9D" w:rsidRPr="00F53C9D" w:rsidTr="00F53C9D">
        <w:trPr>
          <w:trHeight w:val="300"/>
        </w:trPr>
        <w:tc>
          <w:tcPr>
            <w:tcW w:w="9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center"/>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6,633,266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6,766</w:t>
            </w:r>
          </w:p>
        </w:tc>
        <w:tc>
          <w:tcPr>
            <w:tcW w:w="132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35</w:t>
            </w:r>
          </w:p>
        </w:tc>
        <w:tc>
          <w:tcPr>
            <w:tcW w:w="1280" w:type="dxa"/>
            <w:tcBorders>
              <w:top w:val="nil"/>
              <w:left w:val="nil"/>
              <w:bottom w:val="nil"/>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2,368</w:t>
            </w:r>
          </w:p>
        </w:tc>
      </w:tr>
      <w:tr w:rsidR="00F53C9D" w:rsidRPr="00F53C9D" w:rsidTr="00F53C9D">
        <w:trPr>
          <w:trHeight w:val="300"/>
        </w:trPr>
        <w:tc>
          <w:tcPr>
            <w:tcW w:w="960" w:type="dxa"/>
            <w:tcBorders>
              <w:top w:val="nil"/>
              <w:left w:val="nil"/>
              <w:bottom w:val="single" w:sz="4" w:space="0" w:color="auto"/>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Total</w:t>
            </w:r>
          </w:p>
        </w:tc>
        <w:tc>
          <w:tcPr>
            <w:tcW w:w="1360" w:type="dxa"/>
            <w:tcBorders>
              <w:top w:val="nil"/>
              <w:left w:val="nil"/>
              <w:bottom w:val="single" w:sz="4" w:space="0" w:color="auto"/>
              <w:right w:val="nil"/>
            </w:tcBorders>
            <w:shd w:val="clear" w:color="auto" w:fill="auto"/>
            <w:noWrap/>
            <w:vAlign w:val="bottom"/>
            <w:hideMark/>
          </w:tcPr>
          <w:p w:rsidR="00F53C9D" w:rsidRPr="00F53C9D" w:rsidRDefault="00F53C9D" w:rsidP="00F53C9D">
            <w:pPr>
              <w:spacing w:line="240" w:lineRule="auto"/>
              <w:rPr>
                <w:rFonts w:ascii="Calibri" w:hAnsi="Calibri"/>
                <w:color w:val="000000"/>
                <w:sz w:val="22"/>
                <w:szCs w:val="22"/>
              </w:rPr>
            </w:pPr>
            <w:r w:rsidRPr="00F53C9D">
              <w:rPr>
                <w:rFonts w:ascii="Calibri" w:hAnsi="Calibri"/>
                <w:color w:val="000000"/>
                <w:sz w:val="22"/>
                <w:szCs w:val="22"/>
              </w:rPr>
              <w:t> </w:t>
            </w:r>
          </w:p>
        </w:tc>
        <w:tc>
          <w:tcPr>
            <w:tcW w:w="1420" w:type="dxa"/>
            <w:tcBorders>
              <w:top w:val="nil"/>
              <w:left w:val="nil"/>
              <w:bottom w:val="single" w:sz="4" w:space="0" w:color="auto"/>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51,264,157</w:t>
            </w:r>
          </w:p>
        </w:tc>
        <w:tc>
          <w:tcPr>
            <w:tcW w:w="1320" w:type="dxa"/>
            <w:tcBorders>
              <w:top w:val="nil"/>
              <w:left w:val="nil"/>
              <w:bottom w:val="single" w:sz="4" w:space="0" w:color="auto"/>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298,311</w:t>
            </w:r>
          </w:p>
        </w:tc>
        <w:tc>
          <w:tcPr>
            <w:tcW w:w="1320" w:type="dxa"/>
            <w:tcBorders>
              <w:top w:val="nil"/>
              <w:left w:val="nil"/>
              <w:bottom w:val="single" w:sz="4" w:space="0" w:color="auto"/>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36.8</w:t>
            </w:r>
          </w:p>
        </w:tc>
        <w:tc>
          <w:tcPr>
            <w:tcW w:w="1280" w:type="dxa"/>
            <w:tcBorders>
              <w:top w:val="nil"/>
              <w:left w:val="nil"/>
              <w:bottom w:val="single" w:sz="4" w:space="0" w:color="auto"/>
              <w:right w:val="nil"/>
            </w:tcBorders>
            <w:shd w:val="clear" w:color="auto" w:fill="auto"/>
            <w:noWrap/>
            <w:vAlign w:val="bottom"/>
            <w:hideMark/>
          </w:tcPr>
          <w:p w:rsidR="00F53C9D" w:rsidRPr="00F53C9D" w:rsidRDefault="00F53C9D" w:rsidP="00F53C9D">
            <w:pPr>
              <w:spacing w:line="240" w:lineRule="auto"/>
              <w:jc w:val="center"/>
              <w:rPr>
                <w:rFonts w:ascii="Calibri" w:hAnsi="Calibri"/>
                <w:color w:val="000000"/>
                <w:sz w:val="22"/>
                <w:szCs w:val="22"/>
              </w:rPr>
            </w:pPr>
            <w:r w:rsidRPr="00F53C9D">
              <w:rPr>
                <w:rFonts w:ascii="Calibri" w:hAnsi="Calibri"/>
                <w:color w:val="000000"/>
                <w:sz w:val="22"/>
                <w:szCs w:val="22"/>
              </w:rPr>
              <w:t>110,000</w:t>
            </w:r>
          </w:p>
        </w:tc>
      </w:tr>
    </w:tbl>
    <w:p w:rsidR="007863F0" w:rsidRDefault="007863F0" w:rsidP="00B503CD">
      <w:pPr>
        <w:pStyle w:val="Default"/>
      </w:pPr>
    </w:p>
    <w:p w:rsidR="008F223A" w:rsidRDefault="008F223A" w:rsidP="00156FA8">
      <w:pPr>
        <w:pStyle w:val="Default"/>
      </w:pPr>
    </w:p>
    <w:p w:rsidR="006A73AD" w:rsidRDefault="006A73AD" w:rsidP="00156FA8">
      <w:pPr>
        <w:pStyle w:val="Default"/>
      </w:pPr>
    </w:p>
    <w:p w:rsidR="003C2189" w:rsidRDefault="003C2189" w:rsidP="00156FA8">
      <w:pPr>
        <w:pStyle w:val="Default"/>
      </w:pPr>
    </w:p>
    <w:p w:rsidR="003C2189" w:rsidRDefault="003C2189" w:rsidP="00156FA8">
      <w:pPr>
        <w:pStyle w:val="Default"/>
      </w:pPr>
    </w:p>
    <w:p w:rsidR="003C2189" w:rsidRDefault="003C2189" w:rsidP="00156FA8">
      <w:pPr>
        <w:pStyle w:val="Default"/>
      </w:pPr>
    </w:p>
    <w:p w:rsidR="00B503CD" w:rsidRDefault="00B503CD" w:rsidP="00B503CD">
      <w:pPr>
        <w:pStyle w:val="CM23"/>
        <w:spacing w:after="0"/>
        <w:rPr>
          <w:b/>
          <w:bCs/>
          <w:color w:val="000000"/>
        </w:rPr>
      </w:pPr>
      <w:r>
        <w:rPr>
          <w:b/>
          <w:bCs/>
          <w:color w:val="000000"/>
        </w:rPr>
        <w:lastRenderedPageBreak/>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B503CD" w:rsidRDefault="00B503CD" w:rsidP="00B503CD">
      <w:pPr>
        <w:pStyle w:val="Default"/>
      </w:pPr>
    </w:p>
    <w:p w:rsidR="00C85D52" w:rsidRDefault="00C85D52" w:rsidP="00B503CD">
      <w:pPr>
        <w:pStyle w:val="Default"/>
      </w:pPr>
      <w:r>
        <w:t>2.1. Data Collection Procedures</w:t>
      </w:r>
    </w:p>
    <w:p w:rsidR="00C85D52" w:rsidRPr="00690C39" w:rsidRDefault="00C85D52" w:rsidP="00B503CD">
      <w:pPr>
        <w:pStyle w:val="Default"/>
      </w:pPr>
    </w:p>
    <w:p w:rsidR="00CA561A" w:rsidRDefault="003C2189" w:rsidP="00C85D52">
      <w:pPr>
        <w:spacing w:line="240" w:lineRule="auto"/>
      </w:pPr>
      <w:r>
        <w:t>The FES is a self-administered mail survey.  D</w:t>
      </w:r>
      <w:r w:rsidR="000C7703">
        <w:t>ata collection procedures</w:t>
      </w:r>
      <w:r w:rsidR="00F476AD">
        <w:t xml:space="preserve"> have been extensively tested </w:t>
      </w:r>
      <w:r>
        <w:t>through several</w:t>
      </w:r>
      <w:r w:rsidR="00F476AD">
        <w:t xml:space="preserve"> pilot studies (Andrews et al. 2010,</w:t>
      </w:r>
      <w:r>
        <w:t xml:space="preserve"> 2014</w:t>
      </w:r>
      <w:r w:rsidR="00931B0B">
        <w:t>;</w:t>
      </w:r>
      <w:r w:rsidR="00F476AD">
        <w:t xml:space="preserve"> Brick et al. 2012</w:t>
      </w:r>
      <w:r w:rsidR="000C7703">
        <w:t>a</w:t>
      </w:r>
      <w:r w:rsidR="00F476AD">
        <w:t xml:space="preserve">).  </w:t>
      </w:r>
      <w:r>
        <w:t>Each year, the survey is</w:t>
      </w:r>
      <w:r w:rsidR="00107A02">
        <w:t xml:space="preserve"> administered for six</w:t>
      </w:r>
      <w:r w:rsidR="00F476AD">
        <w:t>, two-month reference waves.  The data collection period for each wave begins one week prior to the end of the wave with an initial survey mailing.  The timing of the initial mailing is such that materials are received prior to the end of the reference wave.  The initial mailing</w:t>
      </w:r>
      <w:r w:rsidR="0099674F">
        <w:t xml:space="preserve"> is delive</w:t>
      </w:r>
      <w:r w:rsidR="002F305A">
        <w:t>red by regular first class mail and</w:t>
      </w:r>
      <w:r w:rsidR="00F476AD">
        <w:t xml:space="preserve"> includes a cover letter stating the purpose of the survey, a survey questionnaire, a post-paid return envelope and a prepaid cash incentive (as described in section A.9).</w:t>
      </w:r>
    </w:p>
    <w:p w:rsidR="00CA561A" w:rsidRDefault="00CA561A" w:rsidP="00C85D52">
      <w:pPr>
        <w:spacing w:line="240" w:lineRule="auto"/>
      </w:pPr>
    </w:p>
    <w:p w:rsidR="0099674F" w:rsidRDefault="0099674F" w:rsidP="00C85D52">
      <w:pPr>
        <w:spacing w:line="240" w:lineRule="auto"/>
      </w:pPr>
      <w:r>
        <w:t xml:space="preserve">One week following the initial mailing, a follow-up thank you/reminder contact is initiated.  For sample units with an attached landline telephone number (sample units for which a landline telephone number can be found through a lookup service), an automated voice message is delivered to remind sample units to complete and return the questionnaire. </w:t>
      </w:r>
      <w:r w:rsidR="00CA561A">
        <w:t xml:space="preserve">Previous studies </w:t>
      </w:r>
      <w:r>
        <w:t>have demonstrated that varying the delivery mechanism, for example, switching from regular first class mail to telephone or special mail, may improve re</w:t>
      </w:r>
      <w:r w:rsidR="000C7703">
        <w:t xml:space="preserve">sponse rates in mail surveys </w:t>
      </w:r>
      <w:r>
        <w:t>(</w:t>
      </w:r>
      <w:r w:rsidR="000C7703">
        <w:t xml:space="preserve">Brick et al., 2012b).  </w:t>
      </w:r>
      <w:r w:rsidR="005260E2">
        <w:t>A</w:t>
      </w:r>
      <w:r>
        <w:t xml:space="preserve"> thank you/reminder postcard is sent via regular fist class mail</w:t>
      </w:r>
      <w:r w:rsidR="005260E2">
        <w:t xml:space="preserve"> to all sample</w:t>
      </w:r>
      <w:r w:rsidR="00EB6781">
        <w:t xml:space="preserve"> units</w:t>
      </w:r>
      <w:r>
        <w:t>.</w:t>
      </w:r>
      <w:r w:rsidR="000E1758">
        <w:t xml:space="preserve">  </w:t>
      </w:r>
    </w:p>
    <w:p w:rsidR="0099674F" w:rsidRDefault="0099674F" w:rsidP="00C85D52">
      <w:pPr>
        <w:spacing w:line="240" w:lineRule="auto"/>
      </w:pPr>
    </w:p>
    <w:p w:rsidR="00C85D52" w:rsidRDefault="0099674F" w:rsidP="00C85D52">
      <w:pPr>
        <w:spacing w:line="240" w:lineRule="auto"/>
      </w:pPr>
      <w:r>
        <w:t xml:space="preserve">Three weeks after the initial survey mailing, a follow-up mailing is delivered to all sample units that have not responded to the survey.  The follow-up mailing is delivered via first class mail and includes a nonresponse conversion letter, a second questionnaire and a post-paid return envelope.    </w:t>
      </w:r>
      <w:r w:rsidR="00F476AD">
        <w:t xml:space="preserve">   </w:t>
      </w:r>
    </w:p>
    <w:p w:rsidR="00C85D52" w:rsidRDefault="00C85D52" w:rsidP="00C85D52">
      <w:pPr>
        <w:spacing w:line="240" w:lineRule="auto"/>
      </w:pPr>
    </w:p>
    <w:p w:rsidR="00C678FB" w:rsidRDefault="00C85D52" w:rsidP="00C85D52">
      <w:pPr>
        <w:spacing w:line="240" w:lineRule="auto"/>
      </w:pPr>
      <w:r>
        <w:t>2.2. Estimation</w:t>
      </w:r>
      <w:r w:rsidR="00C678FB">
        <w:t xml:space="preserve"> Procedures</w:t>
      </w:r>
    </w:p>
    <w:p w:rsidR="000005A2" w:rsidRDefault="000005A2" w:rsidP="00C85D52">
      <w:pPr>
        <w:spacing w:line="240" w:lineRule="auto"/>
      </w:pPr>
    </w:p>
    <w:p w:rsidR="007E1EC6" w:rsidRDefault="007E1EC6" w:rsidP="00C85D52">
      <w:pPr>
        <w:spacing w:line="240" w:lineRule="auto"/>
      </w:pPr>
      <w:r>
        <w:t>The FES estimates fishing effort (angler trips) by residents of sampled states.  An adjustment to account for non-resident fishing activity is derived from the MRIP Access-Point Angler Intercept Survey (APAIS, OMB Control No. 0648-0052).</w:t>
      </w:r>
    </w:p>
    <w:p w:rsidR="007E1EC6" w:rsidRDefault="007E1EC6" w:rsidP="00C85D52">
      <w:pPr>
        <w:spacing w:line="240" w:lineRule="auto"/>
      </w:pPr>
    </w:p>
    <w:p w:rsidR="000005A2" w:rsidRDefault="000005A2" w:rsidP="00C85D52">
      <w:pPr>
        <w:spacing w:line="240" w:lineRule="auto"/>
      </w:pPr>
      <w:r>
        <w:t xml:space="preserve">Final </w:t>
      </w:r>
      <w:r w:rsidR="00C8293B">
        <w:t xml:space="preserve">FES </w:t>
      </w:r>
      <w:r>
        <w:t xml:space="preserve">weights are calculated in stages.  </w:t>
      </w:r>
      <w:r w:rsidR="00B17B12">
        <w:t xml:space="preserve">In the </w:t>
      </w:r>
      <w:r w:rsidR="0074744D">
        <w:t>first stage</w:t>
      </w:r>
      <w:r>
        <w:t xml:space="preserve">, base sample weights </w:t>
      </w:r>
      <w:r w:rsidR="00B17B12">
        <w:t>within</w:t>
      </w:r>
      <w:r w:rsidR="00F01EED">
        <w:t xml:space="preserve"> </w:t>
      </w:r>
      <w:r w:rsidR="00B17B12">
        <w:t xml:space="preserve">each </w:t>
      </w:r>
      <w:r w:rsidR="00F01EED">
        <w:t xml:space="preserve">geographic </w:t>
      </w:r>
      <w:r w:rsidR="00B17B12">
        <w:t xml:space="preserve">stratum </w:t>
      </w:r>
      <w:r w:rsidR="00F01EED">
        <w:t xml:space="preserve">(state/sub-state region) </w:t>
      </w:r>
      <w:r>
        <w:t xml:space="preserve">are calculated as the inverse of the </w:t>
      </w:r>
      <w:r w:rsidR="00D63450">
        <w:t>inclusion probabilities</w:t>
      </w:r>
      <w:r w:rsidR="00CC5D6E">
        <w:t xml:space="preserve"> (</w:t>
      </w:r>
      <m:oMath>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rPr>
          <m:t xml:space="preserve">= </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m:t>
            </m:r>
            <m:r>
              <w:rPr>
                <w:rFonts w:ascii="Cambria Math"/>
              </w:rPr>
              <m:t>1</m:t>
            </m:r>
          </m:sup>
        </m:sSubSup>
      </m:oMath>
      <w:r w:rsidR="00B17B12">
        <w:t>,</w:t>
      </w:r>
      <w:r w:rsidR="00CC5D6E">
        <w:t xml:space="preserve"> where π</w:t>
      </w:r>
      <w:proofErr w:type="spellStart"/>
      <w:r w:rsidR="00CC5D6E">
        <w:rPr>
          <w:vertAlign w:val="subscript"/>
        </w:rPr>
        <w:t>i</w:t>
      </w:r>
      <w:proofErr w:type="spellEnd"/>
      <w:r w:rsidR="00CC5D6E">
        <w:rPr>
          <w:vertAlign w:val="subscript"/>
        </w:rPr>
        <w:t xml:space="preserve"> </w:t>
      </w:r>
      <w:r w:rsidR="00CC5D6E">
        <w:t xml:space="preserve">is the probability </w:t>
      </w:r>
      <w:r w:rsidR="00775D43">
        <w:t>that unit</w:t>
      </w:r>
      <w:r w:rsidR="00CC5D6E">
        <w:t xml:space="preserve"> </w:t>
      </w:r>
      <w:proofErr w:type="spellStart"/>
      <w:r w:rsidR="00CC5D6E" w:rsidRPr="00775D43">
        <w:rPr>
          <w:rFonts w:ascii="Cambria Math" w:hAnsi="Cambria Math"/>
          <w:i/>
        </w:rPr>
        <w:t>i</w:t>
      </w:r>
      <w:proofErr w:type="spellEnd"/>
      <w:r w:rsidR="00775D43">
        <w:t xml:space="preserve"> is included in the sample</w:t>
      </w:r>
      <w:r w:rsidR="00CC5D6E">
        <w:t>).</w:t>
      </w:r>
      <w:r w:rsidR="00804B1C">
        <w:t xml:space="preserve">    </w:t>
      </w:r>
      <w:r w:rsidR="00DD18AF">
        <w:t xml:space="preserve">  </w:t>
      </w:r>
    </w:p>
    <w:p w:rsidR="005D7E56" w:rsidRDefault="005D7E56" w:rsidP="00C85D52">
      <w:pPr>
        <w:spacing w:line="240" w:lineRule="auto"/>
      </w:pPr>
    </w:p>
    <w:p w:rsidR="00965C0A" w:rsidRDefault="005D7E56" w:rsidP="00C85D52">
      <w:pPr>
        <w:spacing w:line="240" w:lineRule="auto"/>
      </w:pPr>
      <w:r>
        <w:t xml:space="preserve">In the second stage, base weights are adjusted to account for nonresponse.  Specifically, the weights of nonresponding </w:t>
      </w:r>
      <w:r w:rsidR="00717AEE">
        <w:t xml:space="preserve">units are increased by the inverse of the </w:t>
      </w:r>
      <w:r w:rsidR="00173A63">
        <w:t xml:space="preserve">weighted </w:t>
      </w:r>
      <w:r w:rsidR="00717AEE">
        <w:t xml:space="preserve">response </w:t>
      </w:r>
      <w:r w:rsidR="00173A63">
        <w:t>rate</w:t>
      </w:r>
      <w:r>
        <w:t xml:space="preserve"> with</w:t>
      </w:r>
      <w:r w:rsidR="00357483">
        <w:t>in nonresponse adjustment cells</w:t>
      </w:r>
    </w:p>
    <w:p w:rsidR="00357483" w:rsidRDefault="00357483" w:rsidP="00C85D52">
      <w:pPr>
        <w:spacing w:line="240" w:lineRule="auto"/>
      </w:pPr>
    </w:p>
    <w:p w:rsidR="00E862FB" w:rsidRDefault="00895E8A" w:rsidP="00E862FB">
      <w:pPr>
        <w:spacing w:line="240" w:lineRule="auto"/>
      </w:pPr>
      <m:oMathPara>
        <m:oMath>
          <m:sSubSup>
            <m:sSubSupPr>
              <m:ctrlPr>
                <w:rPr>
                  <w:rFonts w:ascii="Cambria Math" w:hAnsi="Cambria Math"/>
                  <w:i/>
                </w:rPr>
              </m:ctrlPr>
            </m:sSubSupPr>
            <m:e>
              <m:r>
                <w:rPr>
                  <w:rFonts w:ascii="Cambria Math" w:hAnsi="Cambria Math"/>
                </w:rPr>
                <m:t>ω</m:t>
              </m:r>
            </m:e>
            <m:sub>
              <m:r>
                <w:rPr>
                  <w:rFonts w:ascii="Cambria Math" w:hAnsi="Cambria Math"/>
                </w:rPr>
                <m:t>ci</m:t>
              </m:r>
            </m:sub>
            <m:sup>
              <m:r>
                <w:rPr>
                  <w:rFonts w:ascii="Cambria Math" w:hAnsi="Cambria Math"/>
                </w:rPr>
                <m:t>*</m:t>
              </m:r>
            </m:sup>
          </m:sSub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ω</m:t>
                      </m:r>
                    </m:e>
                    <m:sub>
                      <m:r>
                        <w:rPr>
                          <w:rFonts w:ascii="Cambria Math" w:hAnsi="Cambria Math"/>
                        </w:rPr>
                        <m:t>ci</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m:t>
                          </m:r>
                        </m:e>
                      </m:acc>
                    </m:e>
                    <m:sub>
                      <m:r>
                        <w:rPr>
                          <w:rFonts w:ascii="Cambria Math" w:hAnsi="Cambria Math"/>
                        </w:rPr>
                        <m:t>c</m:t>
                      </m:r>
                    </m:sub>
                    <m:sup>
                      <m:r>
                        <w:rPr>
                          <w:rFonts w:ascii="Cambria Math" w:hAnsi="Cambria Math"/>
                        </w:rPr>
                        <m:t>-1</m:t>
                      </m:r>
                    </m:sup>
                  </m:sSubSup>
                  <m:r>
                    <w:rPr>
                      <w:rFonts w:ascii="Cambria Math" w:hAnsi="Cambria Math"/>
                    </w:rPr>
                    <m:t>,  &amp;respondents</m:t>
                  </m:r>
                </m:e>
                <m:e>
                  <m:r>
                    <w:rPr>
                      <w:rFonts w:ascii="Cambria Math" w:hAnsi="Cambria Math"/>
                    </w:rPr>
                    <m:t>0,  &amp;nonrespondents</m:t>
                  </m:r>
                </m:e>
              </m:eqArr>
            </m:e>
          </m:d>
        </m:oMath>
      </m:oMathPara>
    </w:p>
    <w:p w:rsidR="00E862FB" w:rsidRDefault="00E862FB" w:rsidP="00C85D52">
      <w:pPr>
        <w:spacing w:line="240" w:lineRule="auto"/>
      </w:pPr>
    </w:p>
    <w:p w:rsidR="00E862FB" w:rsidRDefault="00E862FB" w:rsidP="00C85D52">
      <w:pPr>
        <w:spacing w:line="240" w:lineRule="auto"/>
      </w:pPr>
    </w:p>
    <w:p w:rsidR="00E862FB" w:rsidRDefault="00E862FB" w:rsidP="00C85D52">
      <w:pPr>
        <w:spacing w:line="240" w:lineRule="auto"/>
      </w:pPr>
    </w:p>
    <w:p w:rsidR="00E862FB" w:rsidRDefault="00E862FB" w:rsidP="00C85D52">
      <w:pPr>
        <w:spacing w:line="240" w:lineRule="auto"/>
      </w:pPr>
    </w:p>
    <w:p w:rsidR="00357483" w:rsidRDefault="00357483" w:rsidP="00C85D52">
      <w:pPr>
        <w:spacing w:line="240" w:lineRule="auto"/>
      </w:pPr>
    </w:p>
    <w:p w:rsidR="00424495" w:rsidRDefault="00424495" w:rsidP="00C85D52">
      <w:pPr>
        <w:spacing w:line="240" w:lineRule="auto"/>
      </w:pPr>
      <w:r>
        <w:t>W</w:t>
      </w:r>
      <w:r w:rsidR="00357483">
        <w:t>here</w:t>
      </w:r>
    </w:p>
    <w:p w:rsidR="0093131A" w:rsidRDefault="0093131A" w:rsidP="00C85D52">
      <w:pPr>
        <w:spacing w:line="240" w:lineRule="auto"/>
      </w:pPr>
    </w:p>
    <w:p w:rsidR="0093131A" w:rsidRPr="00DA68AC" w:rsidRDefault="00895E8A" w:rsidP="00C85D52">
      <w:pPr>
        <w:spacing w:line="24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m:t>
                  </m:r>
                </m:e>
              </m:acc>
            </m:e>
            <m:sub>
              <m:r>
                <w:rPr>
                  <w:rFonts w:ascii="Cambria Math" w:hAnsi="Cambria Math"/>
                </w:rPr>
                <m:t>c</m:t>
              </m:r>
            </m:sub>
          </m:sSub>
          <m:r>
            <w:rPr>
              <w:rFonts w:ascii="Cambria Math" w:hAnsi="Cambria Math"/>
            </w:rPr>
            <m:t>=</m:t>
          </m:r>
          <m:f>
            <m:fPr>
              <m:ctrlPr>
                <w:rPr>
                  <w:rFonts w:ascii="Cambria Math" w:hAnsi="Cambria Math"/>
                  <w:i/>
                </w:rPr>
              </m:ctrlPr>
            </m:fPr>
            <m:num>
              <m:nary>
                <m:naryPr>
                  <m:chr m:val="∑"/>
                  <m:limLoc m:val="subSup"/>
                  <m:subHide m:val="1"/>
                  <m:supHide m:val="1"/>
                  <m:ctrlPr>
                    <w:rPr>
                      <w:rFonts w:ascii="Cambria Math" w:hAnsi="Cambria Math"/>
                      <w:i/>
                    </w:rPr>
                  </m:ctrlPr>
                </m:naryPr>
                <m:sub/>
                <m:sup/>
                <m:e>
                  <m:sSub>
                    <m:sSubPr>
                      <m:ctrlPr>
                        <w:rPr>
                          <w:rFonts w:ascii="Cambria Math" w:hAnsi="Cambria Math"/>
                          <w:i/>
                        </w:rPr>
                      </m:ctrlPr>
                    </m:sSubPr>
                    <m:e>
                      <m:sSub>
                        <m:sSubPr>
                          <m:ctrlPr>
                            <w:rPr>
                              <w:rFonts w:ascii="Cambria Math" w:hAnsi="Cambria Math"/>
                              <w:i/>
                            </w:rPr>
                          </m:ctrlPr>
                        </m:sSubPr>
                        <m:e>
                          <m:r>
                            <w:rPr>
                              <w:rFonts w:ascii="Cambria Math" w:hAnsi="Cambria Math"/>
                            </w:rPr>
                            <m:t>ω</m:t>
                          </m:r>
                        </m:e>
                        <m:sub>
                          <m:r>
                            <w:rPr>
                              <w:rFonts w:ascii="Cambria Math" w:hAnsi="Cambria Math"/>
                            </w:rPr>
                            <m:t>ci</m:t>
                          </m:r>
                        </m:sub>
                      </m:sSub>
                      <m:r>
                        <w:rPr>
                          <w:rFonts w:ascii="Cambria Math" w:hAnsi="Cambria Math"/>
                        </w:rPr>
                        <m:t>r</m:t>
                      </m:r>
                    </m:e>
                    <m:sub>
                      <m:r>
                        <w:rPr>
                          <w:rFonts w:ascii="Cambria Math" w:hAnsi="Cambria Math"/>
                        </w:rPr>
                        <m:t>ci</m:t>
                      </m:r>
                    </m:sub>
                  </m:sSub>
                </m:e>
              </m:nary>
            </m:num>
            <m:den>
              <m:nary>
                <m:naryPr>
                  <m:chr m:val="∑"/>
                  <m:limLoc m:val="subSup"/>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ω</m:t>
                      </m:r>
                    </m:e>
                    <m:sub>
                      <m:r>
                        <w:rPr>
                          <w:rFonts w:ascii="Cambria Math" w:hAnsi="Cambria Math"/>
                        </w:rPr>
                        <m:t>ci</m:t>
                      </m:r>
                    </m:sub>
                  </m:sSub>
                </m:e>
              </m:nary>
            </m:den>
          </m:f>
        </m:oMath>
      </m:oMathPara>
    </w:p>
    <w:p w:rsidR="00DA68AC" w:rsidRDefault="00DA68AC" w:rsidP="00C85D52">
      <w:pPr>
        <w:spacing w:line="240" w:lineRule="auto"/>
      </w:pPr>
    </w:p>
    <w:p w:rsidR="00DA68AC" w:rsidRDefault="00DA68AC" w:rsidP="00DA68AC">
      <w:pPr>
        <w:spacing w:line="300" w:lineRule="atLeast"/>
      </w:pPr>
    </w:p>
    <w:p w:rsidR="00DA68AC" w:rsidRDefault="00895E8A" w:rsidP="00DA68AC">
      <w:pPr>
        <w:spacing w:line="240" w:lineRule="auto"/>
      </w:pPr>
      <m:oMathPara>
        <m:oMath>
          <m:sSub>
            <m:sSubPr>
              <m:ctrlPr>
                <w:rPr>
                  <w:rFonts w:ascii="Cambria Math" w:hAnsi="Cambria Math" w:cs="Arial"/>
                  <w:i/>
                  <w:color w:val="000000"/>
                  <w:sz w:val="20"/>
                  <w:szCs w:val="20"/>
                </w:rPr>
              </m:ctrlPr>
            </m:sSubPr>
            <m:e>
              <m:r>
                <w:rPr>
                  <w:rFonts w:ascii="Cambria Math" w:hAnsi="Cambria Math" w:cs="Arial"/>
                  <w:color w:val="000000"/>
                  <w:sz w:val="20"/>
                  <w:szCs w:val="20"/>
                </w:rPr>
                <m:t>r</m:t>
              </m:r>
            </m:e>
            <m:sub>
              <m:r>
                <w:rPr>
                  <w:rFonts w:ascii="Cambria Math" w:hAnsi="Cambria Math" w:cs="Arial"/>
                  <w:color w:val="000000"/>
                  <w:sz w:val="20"/>
                  <w:szCs w:val="20"/>
                </w:rPr>
                <m:t>ci</m:t>
              </m:r>
            </m:sub>
          </m:sSub>
          <m:r>
            <w:rPr>
              <w:rFonts w:ascii="Cambria Math" w:hAnsi="Cambria Math" w:cs="Arial"/>
              <w:color w:val="000000"/>
              <w:sz w:val="20"/>
              <w:szCs w:val="20"/>
            </w:rPr>
            <m:t>=</m:t>
          </m:r>
          <m:d>
            <m:dPr>
              <m:begChr m:val="{"/>
              <m:endChr m:val=""/>
              <m:ctrlPr>
                <w:rPr>
                  <w:rFonts w:ascii="Cambria Math" w:hAnsi="Cambria Math" w:cs="Arial"/>
                  <w:i/>
                  <w:color w:val="000000"/>
                  <w:sz w:val="20"/>
                  <w:szCs w:val="20"/>
                </w:rPr>
              </m:ctrlPr>
            </m:dPr>
            <m:e>
              <m:eqArr>
                <m:eqArrPr>
                  <m:ctrlPr>
                    <w:rPr>
                      <w:rFonts w:ascii="Cambria Math" w:hAnsi="Cambria Math" w:cs="Arial"/>
                      <w:i/>
                      <w:color w:val="000000"/>
                      <w:sz w:val="20"/>
                      <w:szCs w:val="20"/>
                    </w:rPr>
                  </m:ctrlPr>
                </m:eqArrPr>
                <m:e>
                  <m:r>
                    <w:rPr>
                      <w:rFonts w:ascii="Cambria Math" w:hAnsi="Cambria Math" w:cs="Arial"/>
                      <w:color w:val="000000"/>
                      <w:sz w:val="20"/>
                      <w:szCs w:val="20"/>
                    </w:rPr>
                    <m:t>1,                 respondents</m:t>
                  </m:r>
                </m:e>
                <m:e>
                  <m:r>
                    <w:rPr>
                      <w:rFonts w:ascii="Cambria Math" w:hAnsi="Cambria Math" w:cs="Arial"/>
                      <w:color w:val="000000"/>
                      <w:sz w:val="20"/>
                      <w:szCs w:val="20"/>
                    </w:rPr>
                    <m:t>0,  nonrespondents</m:t>
                  </m:r>
                </m:e>
              </m:eqArr>
            </m:e>
          </m:d>
        </m:oMath>
      </m:oMathPara>
    </w:p>
    <w:p w:rsidR="00424495" w:rsidRDefault="00424495" w:rsidP="00C85D52">
      <w:pPr>
        <w:spacing w:line="240" w:lineRule="auto"/>
      </w:pPr>
    </w:p>
    <w:p w:rsidR="00357483" w:rsidRDefault="00357483" w:rsidP="00C85D52">
      <w:pPr>
        <w:spacing w:line="240" w:lineRule="auto"/>
      </w:pPr>
      <w:bookmarkStart w:id="0" w:name="_GoBack"/>
      <w:bookmarkEnd w:id="0"/>
    </w:p>
    <w:p w:rsidR="00965C0A" w:rsidRDefault="00895E8A" w:rsidP="00C85D52">
      <w:pPr>
        <w:spacing w:line="240" w:lineRule="auto"/>
      </w:pPr>
      <m:oMath>
        <m:sSub>
          <m:sSubPr>
            <m:ctrlPr>
              <w:rPr>
                <w:rFonts w:ascii="Cambria Math" w:hAnsi="Cambria Math"/>
                <w:i/>
              </w:rPr>
            </m:ctrlPr>
          </m:sSubPr>
          <m:e>
            <m:r>
              <w:rPr>
                <w:rFonts w:ascii="Cambria Math" w:hAnsi="Cambria Math"/>
              </w:rPr>
              <m:t>r</m:t>
            </m:r>
          </m:e>
          <m:sub>
            <m:r>
              <w:rPr>
                <w:rFonts w:ascii="Cambria Math" w:hAnsi="Cambria Math"/>
              </w:rPr>
              <m:t>ci</m:t>
            </m:r>
          </m:sub>
        </m:sSub>
      </m:oMath>
      <w:r w:rsidR="00B1620A">
        <w:t xml:space="preserve"> </w:t>
      </w:r>
      <w:proofErr w:type="gramStart"/>
      <w:r w:rsidR="00B1620A">
        <w:t>is</w:t>
      </w:r>
      <w:proofErr w:type="gramEnd"/>
      <w:r w:rsidR="00B1620A">
        <w:t xml:space="preserve"> a categorical variable indicating response and </w:t>
      </w:r>
      <m:oMath>
        <m:nary>
          <m:naryPr>
            <m:chr m:val="∑"/>
            <m:limLoc m:val="subSup"/>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ω</m:t>
                </m:r>
              </m:e>
              <m:sub>
                <m:r>
                  <w:rPr>
                    <w:rFonts w:ascii="Cambria Math" w:hAnsi="Cambria Math"/>
                  </w:rPr>
                  <m:t>ci</m:t>
                </m:r>
              </m:sub>
            </m:sSub>
          </m:e>
        </m:nary>
      </m:oMath>
      <w:r w:rsidR="00B1620A">
        <w:t xml:space="preserve"> is the sum</w:t>
      </w:r>
      <w:r w:rsidR="006D37E0">
        <w:t xml:space="preserve"> of base weights </w:t>
      </w:r>
      <w:r w:rsidR="00FE1A4B">
        <w:t>within nonresponse adjustment</w:t>
      </w:r>
      <w:r w:rsidR="000D03CB">
        <w:t xml:space="preserve"> cell </w:t>
      </w:r>
      <w:r w:rsidR="000D03CB" w:rsidRPr="000D03CB">
        <w:rPr>
          <w:i/>
        </w:rPr>
        <w:t>c</w:t>
      </w:r>
      <w:r w:rsidR="000D03CB">
        <w:t>.</w:t>
      </w:r>
      <w:r w:rsidR="00BD14BD">
        <w:t xml:space="preserve">  </w:t>
      </w:r>
    </w:p>
    <w:p w:rsidR="002E3D76" w:rsidRDefault="002E3D76" w:rsidP="00C85D52">
      <w:pPr>
        <w:spacing w:line="240" w:lineRule="auto"/>
      </w:pPr>
    </w:p>
    <w:p w:rsidR="00742991" w:rsidRDefault="00E0441D" w:rsidP="00C85D52">
      <w:pPr>
        <w:spacing w:line="240" w:lineRule="auto"/>
      </w:pPr>
      <w:r>
        <w:t>Nonresponse adjustment cells are</w:t>
      </w:r>
      <w:r w:rsidR="005D7E56">
        <w:t xml:space="preserve"> defined by state</w:t>
      </w:r>
      <w:r w:rsidR="00673481">
        <w:t xml:space="preserve"> of</w:t>
      </w:r>
      <w:r w:rsidR="00173A63">
        <w:t xml:space="preserve"> residence</w:t>
      </w:r>
      <w:r w:rsidR="00EE16AE">
        <w:t xml:space="preserve"> x </w:t>
      </w:r>
      <w:r>
        <w:t>sub-state region</w:t>
      </w:r>
      <w:r w:rsidR="00EE16AE">
        <w:t xml:space="preserve"> (coastal vs. non-coastal) x license match (matched vs. unmatched) x matching telephone status</w:t>
      </w:r>
      <w:r w:rsidR="005D7E56">
        <w:t xml:space="preserve"> </w:t>
      </w:r>
      <w:r w:rsidR="00673481">
        <w:t>(</w:t>
      </w:r>
      <w:r w:rsidR="005D7E56">
        <w:t xml:space="preserve">whether or not the </w:t>
      </w:r>
      <w:r w:rsidR="00EE16AE">
        <w:t xml:space="preserve">sampled </w:t>
      </w:r>
      <w:r w:rsidR="005D7E56">
        <w:t xml:space="preserve">address </w:t>
      </w:r>
      <w:r w:rsidR="00EE16AE">
        <w:t>could be</w:t>
      </w:r>
      <w:r w:rsidR="005D7E56">
        <w:t xml:space="preserve"> matched to a landline telephone number</w:t>
      </w:r>
      <w:r w:rsidR="00EE16AE">
        <w:t>)</w:t>
      </w:r>
      <w:r w:rsidR="005D7E56">
        <w:t>.</w:t>
      </w:r>
      <w:r w:rsidR="008A191B">
        <w:t xml:space="preserve">  Other potential criteria for defining nonresponse adjustment cells </w:t>
      </w:r>
      <w:r w:rsidR="0074744D">
        <w:t xml:space="preserve">will </w:t>
      </w:r>
      <w:r w:rsidR="008A191B">
        <w:t>be examined aft</w:t>
      </w:r>
      <w:r w:rsidR="00061530">
        <w:t>er each wave of data collection.</w:t>
      </w:r>
    </w:p>
    <w:p w:rsidR="00EB6EF7" w:rsidRDefault="00EB6EF7" w:rsidP="00C85D52">
      <w:pPr>
        <w:spacing w:line="240" w:lineRule="auto"/>
      </w:pPr>
    </w:p>
    <w:p w:rsidR="0074744D" w:rsidRDefault="00EB6EF7" w:rsidP="00C85D52">
      <w:pPr>
        <w:spacing w:line="240" w:lineRule="auto"/>
      </w:pPr>
      <w:r>
        <w:t xml:space="preserve">In the final </w:t>
      </w:r>
      <w:r w:rsidR="00673481">
        <w:t xml:space="preserve">weighting </w:t>
      </w:r>
      <w:r>
        <w:t xml:space="preserve">stage, </w:t>
      </w:r>
      <w:r w:rsidR="000B7BBE">
        <w:t xml:space="preserve">non-response adjusted weights are </w:t>
      </w:r>
      <w:r w:rsidR="00E62202" w:rsidRPr="00E62202">
        <w:t>post-stratified to</w:t>
      </w:r>
      <w:r w:rsidR="00E62202">
        <w:t xml:space="preserve"> </w:t>
      </w:r>
      <w:r w:rsidR="00106F1D">
        <w:t xml:space="preserve">control </w:t>
      </w:r>
      <w:r w:rsidR="00E62202">
        <w:t xml:space="preserve">totals within each </w:t>
      </w:r>
      <w:r w:rsidR="00106F1D">
        <w:t>state x sub-state</w:t>
      </w:r>
      <w:r w:rsidR="00E62202">
        <w:t xml:space="preserve"> stratum.  Control totals for the number of households</w:t>
      </w:r>
      <w:r w:rsidR="00E62202" w:rsidRPr="00E62202">
        <w:t xml:space="preserve"> </w:t>
      </w:r>
      <w:r w:rsidR="00E62202">
        <w:t>are</w:t>
      </w:r>
      <w:r w:rsidR="00E62202" w:rsidRPr="00E62202">
        <w:t xml:space="preserve"> estimated from the most recent reliable data available from the American Community Survey</w:t>
      </w:r>
      <w:r w:rsidR="007307A0">
        <w:t>.</w:t>
      </w:r>
      <w:r w:rsidR="00E62202" w:rsidRPr="00E62202">
        <w:t xml:space="preserve"> </w:t>
      </w:r>
    </w:p>
    <w:p w:rsidR="00E62202" w:rsidRDefault="00E62202" w:rsidP="00C85D52">
      <w:pPr>
        <w:spacing w:line="240" w:lineRule="auto"/>
      </w:pPr>
    </w:p>
    <w:p w:rsidR="00753798" w:rsidRDefault="00742991" w:rsidP="00C85D52">
      <w:pPr>
        <w:spacing w:line="240" w:lineRule="auto"/>
      </w:pPr>
      <w:r>
        <w:t xml:space="preserve">Estimates of </w:t>
      </w:r>
      <w:r w:rsidR="00C773BE">
        <w:t>fishing effort by residents of coastal states</w:t>
      </w:r>
      <w:r w:rsidR="00EA74D4">
        <w:t xml:space="preserve">, </w:t>
      </w:r>
      <w:r w:rsidR="00541CDB">
        <w:t>as well as associated estimates of variance,</w:t>
      </w:r>
      <w:r>
        <w:t xml:space="preserve"> a</w:t>
      </w:r>
      <w:r w:rsidR="002E3D76">
        <w:t>re calculated in SAS Version 9.4</w:t>
      </w:r>
      <w:r>
        <w:t xml:space="preserve"> using the </w:t>
      </w:r>
      <w:proofErr w:type="spellStart"/>
      <w:r>
        <w:t>surveymeans</w:t>
      </w:r>
      <w:proofErr w:type="spellEnd"/>
      <w:r>
        <w:t xml:space="preserve"> procedure.</w:t>
      </w:r>
      <w:r w:rsidR="00BB2AC4">
        <w:t xml:space="preserve">  </w:t>
      </w:r>
      <w:r w:rsidR="000005A2">
        <w:t xml:space="preserve">For </w:t>
      </w:r>
      <w:r w:rsidR="002E3D76">
        <w:t>each state and wave</w:t>
      </w:r>
      <w:r w:rsidR="00CF305E">
        <w:t xml:space="preserve">, total resident effort </w:t>
      </w:r>
      <w:r w:rsidR="000005A2">
        <w:t xml:space="preserve">is </w:t>
      </w:r>
      <w:r w:rsidR="00AD140C">
        <w:t xml:space="preserve">calculated as </w:t>
      </w:r>
      <w:r w:rsidR="00794175">
        <w:t>a weighted sum</w:t>
      </w:r>
      <w:r w:rsidR="00DF617E">
        <w:t xml:space="preserve"> over the sample</w:t>
      </w:r>
    </w:p>
    <w:p w:rsidR="00F1285D" w:rsidRDefault="00BB2AC4" w:rsidP="00F1285D">
      <w:pPr>
        <w:spacing w:line="240" w:lineRule="auto"/>
        <w:jc w:val="center"/>
        <w:rPr>
          <w:vertAlign w:val="subscript"/>
        </w:rPr>
      </w:pPr>
      <w:r>
        <w:rPr>
          <w:vertAlign w:val="subscript"/>
        </w:rPr>
        <w:tab/>
      </w:r>
    </w:p>
    <w:p w:rsidR="00BB2AC4" w:rsidRDefault="00895E8A" w:rsidP="00F1285D">
      <w:pPr>
        <w:spacing w:line="240" w:lineRule="auto"/>
        <w:jc w:val="center"/>
        <w:rPr>
          <w:vertAlign w:val="subscript"/>
        </w:rP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vertAlign w:val="subscript"/>
            </w:rPr>
            <m:t>=</m:t>
          </m:r>
          <m:nary>
            <m:naryPr>
              <m:chr m:val="∑"/>
              <m:limLoc m:val="undOvr"/>
              <m:supHide m:val="1"/>
              <m:ctrlPr>
                <w:rPr>
                  <w:rFonts w:ascii="Cambria Math" w:hAnsi="Cambria Math"/>
                  <w:i/>
                  <w:vertAlign w:val="subscript"/>
                </w:rPr>
              </m:ctrlPr>
            </m:naryPr>
            <m:sub>
              <m:r>
                <w:rPr>
                  <w:rFonts w:ascii="Cambria Math" w:hAnsi="Cambria Math"/>
                  <w:vertAlign w:val="subscript"/>
                </w:rPr>
                <m:t>h</m:t>
              </m:r>
            </m:sub>
            <m:sup/>
            <m:e>
              <m:nary>
                <m:naryPr>
                  <m:chr m:val="∑"/>
                  <m:limLoc m:val="undOvr"/>
                  <m:supHide m:val="1"/>
                  <m:ctrlPr>
                    <w:rPr>
                      <w:rFonts w:ascii="Cambria Math" w:hAnsi="Cambria Math"/>
                      <w:i/>
                      <w:vertAlign w:val="subscript"/>
                    </w:rPr>
                  </m:ctrlPr>
                </m:naryPr>
                <m:sub>
                  <m:r>
                    <w:rPr>
                      <w:rFonts w:ascii="Cambria Math" w:hAnsi="Cambria Math"/>
                      <w:vertAlign w:val="subscript"/>
                    </w:rPr>
                    <m:t>j</m:t>
                  </m:r>
                </m: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hj</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hj</m:t>
                      </m:r>
                    </m:sub>
                  </m:sSub>
                </m:e>
              </m:nary>
            </m:e>
          </m:nary>
        </m:oMath>
      </m:oMathPara>
    </w:p>
    <w:p w:rsidR="00BB2AC4" w:rsidRDefault="00BB2AC4" w:rsidP="00C85D52">
      <w:pPr>
        <w:spacing w:line="240" w:lineRule="auto"/>
        <w:rPr>
          <w:vertAlign w:val="subscript"/>
        </w:rPr>
      </w:pPr>
    </w:p>
    <w:p w:rsidR="005908B6" w:rsidRPr="005908B6" w:rsidRDefault="005908B6" w:rsidP="005908B6">
      <w:pPr>
        <w:spacing w:line="240" w:lineRule="auto"/>
      </w:pPr>
      <w:proofErr w:type="gramStart"/>
      <w:r>
        <w:t>where</w:t>
      </w:r>
      <w:proofErr w:type="gramEnd"/>
      <w:r>
        <w:t xml:space="preserve"> </w:t>
      </w:r>
      <m:oMath>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hj</m:t>
            </m:r>
          </m:sub>
          <m:sup>
            <m:r>
              <w:rPr>
                <w:rFonts w:ascii="Cambria Math" w:hAnsi="Cambria Math"/>
                <w:vertAlign w:val="subscript"/>
              </w:rPr>
              <m:t>*</m:t>
            </m:r>
          </m:sup>
        </m:sSubSup>
      </m:oMath>
      <w:r>
        <w:rPr>
          <w:vertAlign w:val="subscript"/>
        </w:rPr>
        <w:t xml:space="preserve"> </w:t>
      </w:r>
      <w:r>
        <w:t xml:space="preserve">and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hj</m:t>
            </m:r>
          </m:sub>
        </m:sSub>
      </m:oMath>
      <w:r>
        <w:rPr>
          <w:vertAlign w:val="subscript"/>
        </w:rPr>
        <w:t xml:space="preserve"> </w:t>
      </w:r>
      <w:r>
        <w:t>are the final weight and reported number of recreational fishing trips</w:t>
      </w:r>
      <w:r w:rsidR="007B7976">
        <w:t>, respectfully,</w:t>
      </w:r>
      <w:r>
        <w:t xml:space="preserve"> </w:t>
      </w:r>
      <w:r w:rsidR="00F1285D">
        <w:t xml:space="preserve">for </w:t>
      </w:r>
      <w:r w:rsidR="002E026A">
        <w:t>address</w:t>
      </w:r>
      <w:r>
        <w:t xml:space="preserve"> </w:t>
      </w:r>
      <w:r w:rsidR="00DD36D4" w:rsidRPr="00DD36D4">
        <w:rPr>
          <w:i/>
        </w:rPr>
        <w:t>j</w:t>
      </w:r>
      <w:r>
        <w:t xml:space="preserve"> </w:t>
      </w:r>
      <w:r w:rsidR="00CF305E">
        <w:t>in</w:t>
      </w:r>
      <w:r>
        <w:t xml:space="preserve"> stratum </w:t>
      </w:r>
      <w:r w:rsidRPr="007B7976">
        <w:rPr>
          <w:i/>
        </w:rPr>
        <w:t>h</w:t>
      </w:r>
      <w:r>
        <w:t>.</w:t>
      </w:r>
    </w:p>
    <w:p w:rsidR="005908B6" w:rsidRDefault="005908B6" w:rsidP="00C85D52">
      <w:pPr>
        <w:spacing w:line="240" w:lineRule="auto"/>
        <w:rPr>
          <w:vertAlign w:val="subscript"/>
        </w:rPr>
      </w:pPr>
    </w:p>
    <w:p w:rsidR="009A2775" w:rsidRDefault="00EA74D4" w:rsidP="00C85D52">
      <w:pPr>
        <w:spacing w:line="240" w:lineRule="auto"/>
      </w:pPr>
      <w:r>
        <w:t xml:space="preserve">Variance is estimated using the Taylor </w:t>
      </w:r>
      <w:r w:rsidR="00992E02">
        <w:t>s</w:t>
      </w:r>
      <w:r>
        <w:t xml:space="preserve">eries </w:t>
      </w:r>
      <w:r w:rsidR="00F7181B">
        <w:t>linearization</w:t>
      </w:r>
      <w:r>
        <w:t xml:space="preserve"> </w:t>
      </w:r>
    </w:p>
    <w:p w:rsidR="00125816" w:rsidRDefault="00125816" w:rsidP="00C85D52">
      <w:pPr>
        <w:spacing w:line="240" w:lineRule="auto"/>
      </w:pPr>
    </w:p>
    <w:p w:rsidR="00125816" w:rsidRDefault="00125816" w:rsidP="00C85D52">
      <w:pPr>
        <w:spacing w:line="240" w:lineRule="auto"/>
      </w:pPr>
    </w:p>
    <w:p w:rsidR="00C63171" w:rsidRDefault="00895E8A" w:rsidP="00C63171">
      <w:pPr>
        <w:spacing w:line="240" w:lineRule="auto"/>
        <w:jc w:val="center"/>
        <w:rPr>
          <w:vertAlign w:val="subscript"/>
        </w:rPr>
      </w:pPr>
      <m:oMathPara>
        <m:oMath>
          <m:acc>
            <m:accPr>
              <m:ctrlPr>
                <w:rPr>
                  <w:rFonts w:ascii="Cambria Math" w:hAnsi="Cambria Math"/>
                  <w:i/>
                </w:rPr>
              </m:ctrlPr>
            </m:accPr>
            <m:e>
              <m:r>
                <w:rPr>
                  <w:rFonts w:ascii="Cambria Math" w:hAnsi="Cambria Math"/>
                </w:rPr>
                <m:t>V</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r>
            <w:rPr>
              <w:rFonts w:ascii="Cambria Math" w:hAnsi="Cambria Math"/>
              <w:vertAlign w:val="subscript"/>
            </w:rPr>
            <m:t>=</m:t>
          </m:r>
          <m:nary>
            <m:naryPr>
              <m:chr m:val="∑"/>
              <m:limLoc m:val="undOvr"/>
              <m:supHide m:val="1"/>
              <m:ctrlPr>
                <w:rPr>
                  <w:rFonts w:ascii="Cambria Math" w:eastAsiaTheme="minorHAnsi" w:hAnsi="Cambria Math" w:cstheme="minorBidi"/>
                  <w:i/>
                  <w:sz w:val="22"/>
                  <w:szCs w:val="22"/>
                  <w:vertAlign w:val="subscript"/>
                </w:rPr>
              </m:ctrlPr>
            </m:naryPr>
            <m:sub>
              <m:r>
                <w:rPr>
                  <w:rFonts w:ascii="Cambria Math" w:hAnsi="Cambria Math"/>
                  <w:vertAlign w:val="subscript"/>
                </w:rPr>
                <m:t>h</m:t>
              </m:r>
            </m:sub>
            <m:sup/>
            <m:e>
              <m:f>
                <m:fPr>
                  <m:ctrlPr>
                    <w:rPr>
                      <w:rFonts w:ascii="Cambria Math" w:eastAsiaTheme="minorHAnsi" w:hAnsi="Cambria Math" w:cstheme="minorBidi"/>
                      <w:i/>
                      <w:sz w:val="22"/>
                      <w:szCs w:val="22"/>
                      <w:vertAlign w:val="subscript"/>
                    </w:rPr>
                  </m:ctrlPr>
                </m:fPr>
                <m:num>
                  <m:sSub>
                    <m:sSubPr>
                      <m:ctrlPr>
                        <w:rPr>
                          <w:rFonts w:ascii="Cambria Math" w:eastAsiaTheme="minorHAnsi" w:hAnsi="Cambria Math"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num>
                <m:den>
                  <m:sSub>
                    <m:sSubPr>
                      <m:ctrlPr>
                        <w:rPr>
                          <w:rFonts w:ascii="Cambria Math" w:eastAsiaTheme="minorHAnsi" w:hAnsi="Cambria Math"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r>
                    <w:rPr>
                      <w:rFonts w:ascii="Cambria Math" w:hAnsi="Cambria Math"/>
                      <w:vertAlign w:val="subscript"/>
                    </w:rPr>
                    <m:t>-1</m:t>
                  </m:r>
                </m:den>
              </m:f>
              <m:sSup>
                <m:sSupPr>
                  <m:ctrlPr>
                    <w:rPr>
                      <w:rFonts w:ascii="Cambria Math" w:eastAsiaTheme="minorHAnsi" w:hAnsi="Cambria Math" w:cstheme="minorBidi"/>
                      <w:i/>
                      <w:sz w:val="22"/>
                      <w:szCs w:val="22"/>
                      <w:vertAlign w:val="subscript"/>
                    </w:rPr>
                  </m:ctrlPr>
                </m:sSupPr>
                <m:e>
                  <m:d>
                    <m:dPr>
                      <m:ctrlPr>
                        <w:rPr>
                          <w:rFonts w:ascii="Cambria Math" w:eastAsiaTheme="minorHAnsi" w:hAnsi="Cambria Math" w:cstheme="minorBidi"/>
                          <w:i/>
                          <w:sz w:val="22"/>
                          <w:szCs w:val="22"/>
                          <w:vertAlign w:val="subscript"/>
                        </w:rPr>
                      </m:ctrlPr>
                    </m:dPr>
                    <m:e>
                      <m:nary>
                        <m:naryPr>
                          <m:chr m:val="∑"/>
                          <m:limLoc m:val="undOvr"/>
                          <m:supHide m:val="1"/>
                          <m:ctrlPr>
                            <w:rPr>
                              <w:rFonts w:ascii="Cambria Math" w:eastAsiaTheme="minorHAnsi" w:hAnsi="Cambria Math" w:cstheme="minorBidi"/>
                              <w:i/>
                              <w:sz w:val="22"/>
                              <w:szCs w:val="22"/>
                              <w:vertAlign w:val="subscript"/>
                            </w:rPr>
                          </m:ctrlPr>
                        </m:naryPr>
                        <m:sub>
                          <m:r>
                            <w:rPr>
                              <w:rFonts w:ascii="Cambria Math" w:hAnsi="Cambria Math"/>
                              <w:vertAlign w:val="subscript"/>
                            </w:rPr>
                            <m:t>j</m:t>
                          </m:r>
                        </m:sub>
                        <m:sup/>
                        <m:e>
                          <m:sSubSup>
                            <m:sSubSupPr>
                              <m:ctrlPr>
                                <w:rPr>
                                  <w:rFonts w:ascii="Cambria Math" w:eastAsiaTheme="minorHAnsi" w:hAnsi="Cambria Math" w:cstheme="minorBidi"/>
                                  <w:i/>
                                  <w:sz w:val="22"/>
                                  <w:szCs w:val="22"/>
                                  <w:vertAlign w:val="subscript"/>
                                </w:rPr>
                              </m:ctrlPr>
                            </m:sSubSupPr>
                            <m:e>
                              <m:r>
                                <w:rPr>
                                  <w:rFonts w:ascii="Cambria Math" w:hAnsi="Cambria Math"/>
                                  <w:vertAlign w:val="subscript"/>
                                </w:rPr>
                                <m:t>w</m:t>
                              </m:r>
                            </m:e>
                            <m:sub>
                              <m:r>
                                <w:rPr>
                                  <w:rFonts w:ascii="Cambria Math" w:hAnsi="Cambria Math"/>
                                  <w:vertAlign w:val="subscript"/>
                                </w:rPr>
                                <m:t>hj</m:t>
                              </m:r>
                            </m:sub>
                            <m:sup>
                              <m:r>
                                <w:rPr>
                                  <w:rFonts w:ascii="Cambria Math" w:hAnsi="Cambria Math"/>
                                  <w:vertAlign w:val="subscript"/>
                                </w:rPr>
                                <m:t>*</m:t>
                              </m:r>
                            </m:sup>
                          </m:sSubSup>
                          <m:sSub>
                            <m:sSubPr>
                              <m:ctrlPr>
                                <w:rPr>
                                  <w:rFonts w:ascii="Cambria Math" w:eastAsiaTheme="minorHAnsi" w:hAnsi="Cambria Math" w:cstheme="minorBidi"/>
                                  <w:i/>
                                  <w:sz w:val="22"/>
                                  <w:szCs w:val="22"/>
                                  <w:vertAlign w:val="subscript"/>
                                </w:rPr>
                              </m:ctrlPr>
                            </m:sSubPr>
                            <m:e>
                              <m:r>
                                <w:rPr>
                                  <w:rFonts w:ascii="Cambria Math" w:hAnsi="Cambria Math"/>
                                  <w:vertAlign w:val="subscript"/>
                                </w:rPr>
                                <m:t>y</m:t>
                              </m:r>
                            </m:e>
                            <m:sub>
                              <m:r>
                                <w:rPr>
                                  <w:rFonts w:ascii="Cambria Math" w:hAnsi="Cambria Math"/>
                                  <w:vertAlign w:val="subscript"/>
                                </w:rPr>
                                <m:t>hj</m:t>
                              </m:r>
                            </m:sub>
                          </m:sSub>
                          <m:r>
                            <w:rPr>
                              <w:rFonts w:ascii="Cambria Math" w:hAnsi="Cambria Math"/>
                              <w:vertAlign w:val="subscript"/>
                            </w:rPr>
                            <m:t>-</m:t>
                          </m:r>
                          <m:f>
                            <m:fPr>
                              <m:ctrlPr>
                                <w:rPr>
                                  <w:rFonts w:ascii="Cambria Math" w:eastAsiaTheme="minorHAnsi" w:hAnsi="Cambria Math" w:cstheme="minorBidi"/>
                                  <w:i/>
                                  <w:sz w:val="22"/>
                                  <w:szCs w:val="22"/>
                                  <w:vertAlign w:val="subscript"/>
                                </w:rPr>
                              </m:ctrlPr>
                            </m:fPr>
                            <m:num>
                              <m:r>
                                <w:rPr>
                                  <w:rFonts w:ascii="Cambria Math" w:hAnsi="Cambria Math"/>
                                  <w:vertAlign w:val="subscript"/>
                                </w:rPr>
                                <m:t>1</m:t>
                              </m:r>
                            </m:num>
                            <m:den>
                              <m:sSub>
                                <m:sSubPr>
                                  <m:ctrlPr>
                                    <w:rPr>
                                      <w:rFonts w:ascii="Cambria Math" w:eastAsiaTheme="minorHAnsi" w:hAnsi="Cambria Math"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den>
                          </m:f>
                          <m:nary>
                            <m:naryPr>
                              <m:chr m:val="∑"/>
                              <m:limLoc m:val="undOvr"/>
                              <m:supHide m:val="1"/>
                              <m:ctrlPr>
                                <w:rPr>
                                  <w:rFonts w:ascii="Cambria Math" w:eastAsiaTheme="minorHAnsi" w:hAnsi="Cambria Math" w:cstheme="minorBidi"/>
                                  <w:i/>
                                  <w:sz w:val="22"/>
                                  <w:szCs w:val="22"/>
                                  <w:vertAlign w:val="subscript"/>
                                </w:rPr>
                              </m:ctrlPr>
                            </m:naryPr>
                            <m:sub>
                              <m:r>
                                <w:rPr>
                                  <w:rFonts w:ascii="Cambria Math" w:hAnsi="Cambria Math"/>
                                  <w:vertAlign w:val="subscript"/>
                                </w:rPr>
                                <m:t>j</m:t>
                              </m:r>
                            </m:sub>
                            <m:sup/>
                            <m:e>
                              <m:sSubSup>
                                <m:sSubSupPr>
                                  <m:ctrlPr>
                                    <w:rPr>
                                      <w:rFonts w:ascii="Cambria Math" w:eastAsiaTheme="minorHAnsi" w:hAnsi="Cambria Math" w:cstheme="minorBidi"/>
                                      <w:i/>
                                      <w:sz w:val="22"/>
                                      <w:szCs w:val="22"/>
                                      <w:vertAlign w:val="subscript"/>
                                    </w:rPr>
                                  </m:ctrlPr>
                                </m:sSubSupPr>
                                <m:e>
                                  <m:r>
                                    <w:rPr>
                                      <w:rFonts w:ascii="Cambria Math" w:hAnsi="Cambria Math"/>
                                      <w:vertAlign w:val="subscript"/>
                                    </w:rPr>
                                    <m:t>w</m:t>
                                  </m:r>
                                </m:e>
                                <m:sub>
                                  <m:r>
                                    <w:rPr>
                                      <w:rFonts w:ascii="Cambria Math" w:hAnsi="Cambria Math"/>
                                      <w:vertAlign w:val="subscript"/>
                                    </w:rPr>
                                    <m:t>hj</m:t>
                                  </m:r>
                                </m:sub>
                                <m:sup>
                                  <m:r>
                                    <w:rPr>
                                      <w:rFonts w:ascii="Cambria Math" w:hAnsi="Cambria Math"/>
                                      <w:vertAlign w:val="subscript"/>
                                    </w:rPr>
                                    <m:t>*</m:t>
                                  </m:r>
                                </m:sup>
                              </m:sSubSup>
                              <m:sSub>
                                <m:sSubPr>
                                  <m:ctrlPr>
                                    <w:rPr>
                                      <w:rFonts w:ascii="Cambria Math" w:eastAsiaTheme="minorHAnsi" w:hAnsi="Cambria Math" w:cstheme="minorBidi"/>
                                      <w:i/>
                                      <w:sz w:val="22"/>
                                      <w:szCs w:val="22"/>
                                      <w:vertAlign w:val="subscript"/>
                                    </w:rPr>
                                  </m:ctrlPr>
                                </m:sSubPr>
                                <m:e>
                                  <m:r>
                                    <w:rPr>
                                      <w:rFonts w:ascii="Cambria Math" w:hAnsi="Cambria Math"/>
                                      <w:vertAlign w:val="subscript"/>
                                    </w:rPr>
                                    <m:t>y</m:t>
                                  </m:r>
                                </m:e>
                                <m:sub>
                                  <m:r>
                                    <w:rPr>
                                      <w:rFonts w:ascii="Cambria Math" w:hAnsi="Cambria Math"/>
                                      <w:vertAlign w:val="subscript"/>
                                    </w:rPr>
                                    <m:t>hj</m:t>
                                  </m:r>
                                </m:sub>
                              </m:sSub>
                            </m:e>
                          </m:nary>
                        </m:e>
                      </m:nary>
                    </m:e>
                  </m:d>
                </m:e>
                <m:sup>
                  <m:r>
                    <w:rPr>
                      <w:rFonts w:ascii="Cambria Math" w:hAnsi="Cambria Math"/>
                      <w:vertAlign w:val="subscript"/>
                    </w:rPr>
                    <m:t>2</m:t>
                  </m:r>
                </m:sup>
              </m:sSup>
            </m:e>
          </m:nary>
        </m:oMath>
      </m:oMathPara>
    </w:p>
    <w:p w:rsidR="00EA74D4" w:rsidRDefault="00EA74D4" w:rsidP="00C85D52">
      <w:pPr>
        <w:spacing w:line="240" w:lineRule="auto"/>
      </w:pPr>
    </w:p>
    <w:p w:rsidR="00051231" w:rsidRDefault="00051231" w:rsidP="00C85D52">
      <w:pPr>
        <w:spacing w:line="240" w:lineRule="auto"/>
      </w:pPr>
    </w:p>
    <w:p w:rsidR="00F11B28" w:rsidRDefault="00F11B28" w:rsidP="00C85D52">
      <w:pPr>
        <w:spacing w:line="240" w:lineRule="auto"/>
      </w:pPr>
    </w:p>
    <w:p w:rsidR="00467AB4" w:rsidRDefault="00FE7E66" w:rsidP="00C85D52">
      <w:pPr>
        <w:spacing w:line="240" w:lineRule="auto"/>
      </w:pPr>
      <w:r>
        <w:lastRenderedPageBreak/>
        <w:t>Adjustments to account for fishing activity by non-resident anglers are estimated from the APAIS</w:t>
      </w:r>
      <w:r w:rsidR="00814476">
        <w:t xml:space="preserve">.  </w:t>
      </w:r>
      <w:r w:rsidR="005F11A8">
        <w:t xml:space="preserve">For each coastal state and wave, resident effort is adjusted by the </w:t>
      </w:r>
      <w:r w:rsidR="001B731E">
        <w:t>inverse of the estimated proportion of fishing trips taken by resident anglers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oMath>
      <w:r w:rsidR="001B731E">
        <w:t>)</w:t>
      </w:r>
      <w:r w:rsidR="0088108A">
        <w:t xml:space="preserve"> to estimate total effort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m:t>
        </m:r>
      </m:oMath>
    </w:p>
    <w:p w:rsidR="008B5F90" w:rsidRDefault="001B731E" w:rsidP="00C85D52">
      <w:pPr>
        <w:spacing w:line="240" w:lineRule="auto"/>
      </w:pPr>
      <w:r>
        <w:t xml:space="preserve">   </w:t>
      </w:r>
      <w:r w:rsidR="005F11A8">
        <w:t xml:space="preserve"> </w:t>
      </w:r>
    </w:p>
    <w:p w:rsidR="005D1157" w:rsidRDefault="00895E8A" w:rsidP="00527D1E">
      <w:pPr>
        <w:spacing w:line="240" w:lineRule="auto"/>
        <w:jc w:val="cente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r</m:t>
              </m:r>
            </m:sub>
            <m:sup>
              <m:r>
                <w:rPr>
                  <w:rFonts w:ascii="Cambria Math" w:hAnsi="Cambria Math"/>
                </w:rPr>
                <m:t>-1</m:t>
              </m:r>
            </m:sup>
          </m:sSubSup>
          <m:r>
            <w:rPr>
              <w:rFonts w:ascii="Cambria Math" w:hAnsi="Cambria Math"/>
            </w:rPr>
            <m:t xml:space="preserve">  </m:t>
          </m:r>
        </m:oMath>
      </m:oMathPara>
    </w:p>
    <w:p w:rsidR="005D1157" w:rsidRDefault="005D1157" w:rsidP="00C85D52">
      <w:pPr>
        <w:spacing w:line="240" w:lineRule="auto"/>
      </w:pPr>
    </w:p>
    <w:p w:rsidR="002B5CB6" w:rsidRDefault="009A0EA9" w:rsidP="002B5CB6">
      <w:pPr>
        <w:spacing w:line="240" w:lineRule="auto"/>
      </w:pPr>
      <w:proofErr w:type="gramStart"/>
      <w:r>
        <w:t>a</w:t>
      </w:r>
      <w:r w:rsidR="002B5CB6">
        <w:t>nd</w:t>
      </w:r>
      <w:proofErr w:type="gramEnd"/>
    </w:p>
    <w:p w:rsidR="00BD3FE9" w:rsidRDefault="00BD3FE9" w:rsidP="002B5CB6">
      <w:pPr>
        <w:spacing w:line="240" w:lineRule="auto"/>
      </w:pPr>
    </w:p>
    <w:p w:rsidR="00BD3FE9" w:rsidRPr="00A12E42" w:rsidRDefault="00895E8A" w:rsidP="00BD3FE9">
      <w:pPr>
        <w:spacing w:line="240" w:lineRule="auto"/>
      </w:pPr>
      <m:oMathPara>
        <m:oMath>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e>
          </m:d>
          <m:r>
            <w:rPr>
              <w:rFonts w:ascii="Cambria Math" w:hAnsi="Cambria Math"/>
            </w:rPr>
            <m:t>=</m:t>
          </m:r>
          <m:f>
            <m:fPr>
              <m:ctrlPr>
                <w:rPr>
                  <w:rFonts w:ascii="Cambria Math" w:hAnsi="Cambria Math"/>
                  <w:i/>
                </w:rPr>
              </m:ctrlPr>
            </m:fPr>
            <m:num>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e>
              </m:d>
            </m:num>
            <m:den>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sup>
                  <m:r>
                    <w:rPr>
                      <w:rFonts w:ascii="Cambria Math" w:hAnsi="Cambria Math"/>
                    </w:rPr>
                    <m:t>2</m:t>
                  </m:r>
                </m:sup>
              </m:sSup>
            </m:den>
          </m:f>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Y</m:t>
                      </m:r>
                    </m:e>
                  </m:acc>
                </m:e>
                <m:sub>
                  <m:r>
                    <w:rPr>
                      <w:rFonts w:ascii="Cambria Math" w:hAnsi="Cambria Math"/>
                    </w:rPr>
                    <m:t>r</m:t>
                  </m:r>
                </m:sub>
                <m:sup>
                  <m:r>
                    <w:rPr>
                      <w:rFonts w:ascii="Cambria Math" w:hAnsi="Cambria Math"/>
                    </w:rPr>
                    <m:t xml:space="preserve"> 2</m:t>
                  </m:r>
                </m:sup>
              </m:sSubSup>
            </m:num>
            <m:den>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r</m:t>
                  </m:r>
                </m:sub>
                <m:sup>
                  <m:r>
                    <w:rPr>
                      <w:rFonts w:ascii="Cambria Math" w:hAnsi="Cambria Math"/>
                    </w:rPr>
                    <m:t xml:space="preserve"> 4</m:t>
                  </m:r>
                </m:sup>
              </m:sSubSup>
            </m:den>
          </m:f>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oMath>
      </m:oMathPara>
    </w:p>
    <w:p w:rsidR="00BD3FE9" w:rsidRDefault="00BD3FE9" w:rsidP="002B5CB6">
      <w:pPr>
        <w:spacing w:line="240" w:lineRule="auto"/>
      </w:pPr>
    </w:p>
    <w:p w:rsidR="0093131A" w:rsidRDefault="0047739F" w:rsidP="00DC1783">
      <w:pPr>
        <w:spacing w:line="300" w:lineRule="atLeast"/>
      </w:pPr>
      <w:proofErr w:type="gramStart"/>
      <w:r>
        <w:t>w</w:t>
      </w:r>
      <w:r w:rsidR="00F7181B">
        <w:t>here</w:t>
      </w:r>
      <w:proofErr w:type="gramEnd"/>
      <w:r w:rsidR="00F7181B">
        <w:t xml:space="preserve"> </w:t>
      </w:r>
      <w:r w:rsidR="006B0979">
        <w:t>the proportio</w:t>
      </w:r>
      <w:r w:rsidR="00644AF7">
        <w:t xml:space="preserve">n is estimated </w:t>
      </w:r>
      <w:r w:rsidR="000E6A04">
        <w:t xml:space="preserve">from APAIS data </w:t>
      </w:r>
      <w:r w:rsidR="00644AF7">
        <w:t xml:space="preserve">as the </w:t>
      </w:r>
      <w:r w:rsidR="00527DDE">
        <w:t xml:space="preserve">weighted </w:t>
      </w:r>
      <w:r w:rsidR="000E6A04">
        <w:t>mean of an indicator variable.</w:t>
      </w:r>
    </w:p>
    <w:p w:rsidR="000E6A04" w:rsidRDefault="000E6A04" w:rsidP="00DC1783">
      <w:pPr>
        <w:spacing w:line="300" w:lineRule="atLeast"/>
      </w:pPr>
    </w:p>
    <w:p w:rsidR="0093131A" w:rsidRDefault="00895E8A" w:rsidP="00DC1783">
      <w:pPr>
        <w:spacing w:line="300" w:lineRule="atLeast"/>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r>
            <w:rPr>
              <w:rFonts w:ascii="Cambria Math" w:hAnsi="Cambria Math"/>
            </w:rPr>
            <m:t>=</m:t>
          </m:r>
          <m:f>
            <m:fPr>
              <m:ctrlPr>
                <w:rPr>
                  <w:rFonts w:ascii="Cambria Math" w:hAnsi="Cambria Math"/>
                  <w:i/>
                </w:rPr>
              </m:ctrlPr>
            </m:fPr>
            <m:num>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sSub>
                                <m:sSubPr>
                                  <m:ctrlPr>
                                    <w:rPr>
                                      <w:rFonts w:ascii="Cambria Math" w:hAnsi="Cambria Math"/>
                                      <w:i/>
                                    </w:rPr>
                                  </m:ctrlPr>
                                </m:sSubPr>
                                <m:e>
                                  <m:r>
                                    <w:rPr>
                                      <w:rFonts w:ascii="Cambria Math" w:hAnsi="Cambria Math"/>
                                    </w:rPr>
                                    <m:t>p</m:t>
                                  </m:r>
                                </m:e>
                                <m:sub>
                                  <m:r>
                                    <w:rPr>
                                      <w:rFonts w:ascii="Cambria Math" w:hAnsi="Cambria Math"/>
                                    </w:rPr>
                                    <m:t>hij</m:t>
                                  </m:r>
                                </m:sub>
                              </m:sSub>
                            </m:e>
                          </m:nary>
                        </m:e>
                      </m:nary>
                    </m:e>
                  </m:nary>
                </m:e>
              </m:d>
            </m:num>
            <m:den>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e>
                      </m:nary>
                    </m:e>
                  </m:nary>
                </m:e>
              </m:nary>
            </m:den>
          </m:f>
        </m:oMath>
      </m:oMathPara>
    </w:p>
    <w:p w:rsidR="009A5891" w:rsidRDefault="009A5891" w:rsidP="00DC1783">
      <w:pPr>
        <w:spacing w:line="300" w:lineRule="atLeast"/>
      </w:pPr>
    </w:p>
    <w:p w:rsidR="009A5891" w:rsidRDefault="009A5891" w:rsidP="00DC1783">
      <w:pPr>
        <w:spacing w:line="300" w:lineRule="atLeast"/>
      </w:pPr>
    </w:p>
    <w:p w:rsidR="00E674FF" w:rsidRDefault="00895E8A" w:rsidP="00E674FF">
      <w:pPr>
        <w:spacing w:line="300" w:lineRule="atLeast"/>
      </w:pPr>
      <m:oMathPara>
        <m:oMath>
          <m:sSub>
            <m:sSubPr>
              <m:ctrlPr>
                <w:rPr>
                  <w:rFonts w:ascii="Cambria Math" w:hAnsi="Cambria Math" w:cs="Arial"/>
                  <w:i/>
                  <w:color w:val="000000"/>
                  <w:sz w:val="20"/>
                  <w:szCs w:val="20"/>
                </w:rPr>
              </m:ctrlPr>
            </m:sSubPr>
            <m:e>
              <m:r>
                <w:rPr>
                  <w:rFonts w:ascii="Cambria Math" w:hAnsi="Cambria Math" w:cs="Arial"/>
                  <w:color w:val="000000"/>
                  <w:sz w:val="20"/>
                  <w:szCs w:val="20"/>
                </w:rPr>
                <m:t>p</m:t>
              </m:r>
            </m:e>
            <m:sub>
              <m:r>
                <w:rPr>
                  <w:rFonts w:ascii="Cambria Math" w:hAnsi="Cambria Math" w:cs="Arial"/>
                  <w:color w:val="000000"/>
                  <w:sz w:val="20"/>
                  <w:szCs w:val="20"/>
                </w:rPr>
                <m:t>hij</m:t>
              </m:r>
            </m:sub>
          </m:sSub>
          <m:r>
            <w:rPr>
              <w:rFonts w:ascii="Cambria Math" w:hAnsi="Cambria Math" w:cs="Arial"/>
              <w:color w:val="000000"/>
              <w:sz w:val="20"/>
              <w:szCs w:val="20"/>
            </w:rPr>
            <m:t>=</m:t>
          </m:r>
          <m:d>
            <m:dPr>
              <m:begChr m:val="{"/>
              <m:endChr m:val=""/>
              <m:ctrlPr>
                <w:rPr>
                  <w:rFonts w:ascii="Cambria Math" w:hAnsi="Cambria Math" w:cs="Arial"/>
                  <w:i/>
                  <w:color w:val="000000"/>
                  <w:sz w:val="20"/>
                  <w:szCs w:val="20"/>
                </w:rPr>
              </m:ctrlPr>
            </m:dPr>
            <m:e>
              <m:eqArr>
                <m:eqArrPr>
                  <m:ctrlPr>
                    <w:rPr>
                      <w:rFonts w:ascii="Cambria Math" w:hAnsi="Cambria Math" w:cs="Arial"/>
                      <w:i/>
                      <w:color w:val="000000"/>
                      <w:sz w:val="20"/>
                      <w:szCs w:val="20"/>
                    </w:rPr>
                  </m:ctrlPr>
                </m:eqArrPr>
                <m:e>
                  <m:r>
                    <w:rPr>
                      <w:rFonts w:ascii="Cambria Math" w:hAnsi="Cambria Math" w:cs="Arial"/>
                      <w:color w:val="000000"/>
                      <w:sz w:val="20"/>
                      <w:szCs w:val="20"/>
                    </w:rPr>
                    <m:t>1,                      resident intercept</m:t>
                  </m:r>
                </m:e>
                <m:e>
                  <m:r>
                    <w:rPr>
                      <w:rFonts w:ascii="Cambria Math" w:hAnsi="Cambria Math" w:cs="Arial"/>
                      <w:color w:val="000000"/>
                      <w:sz w:val="20"/>
                      <w:szCs w:val="20"/>
                    </w:rPr>
                    <m:t>0,  non-resident intercept</m:t>
                  </m:r>
                </m:e>
              </m:eqArr>
            </m:e>
          </m:d>
          <m:r>
            <m:rPr>
              <m:sty m:val="p"/>
            </m:rPr>
            <w:rPr>
              <w:rFonts w:ascii="Arial" w:hAnsi="Arial" w:cs="Arial"/>
              <w:color w:val="000000"/>
              <w:sz w:val="20"/>
              <w:szCs w:val="20"/>
            </w:rPr>
            <w:br/>
          </m:r>
        </m:oMath>
      </m:oMathPara>
    </w:p>
    <w:p w:rsidR="00F7181B" w:rsidRDefault="00E674FF" w:rsidP="00E674FF">
      <w:pPr>
        <w:spacing w:line="300" w:lineRule="atLeast"/>
      </w:pPr>
      <w:proofErr w:type="gramStart"/>
      <w:r>
        <w:t>and</w:t>
      </w:r>
      <w:proofErr w:type="gramEnd"/>
    </w:p>
    <w:p w:rsidR="00BD3FE9" w:rsidRDefault="00BD3FE9" w:rsidP="002B5CB6">
      <w:pPr>
        <w:spacing w:line="240" w:lineRule="auto"/>
      </w:pPr>
    </w:p>
    <w:p w:rsidR="002B5CB6" w:rsidRDefault="002B5CB6" w:rsidP="002B5CB6">
      <w:pPr>
        <w:spacing w:line="240" w:lineRule="auto"/>
      </w:pPr>
    </w:p>
    <w:p w:rsidR="00E674FF" w:rsidRDefault="00E674FF" w:rsidP="002B5CB6">
      <w:pPr>
        <w:spacing w:line="240" w:lineRule="auto"/>
      </w:pPr>
    </w:p>
    <w:p w:rsidR="007277C9" w:rsidRDefault="00895E8A" w:rsidP="007277C9">
      <w:pPr>
        <w:spacing w:line="240" w:lineRule="auto"/>
        <w:jc w:val="center"/>
        <w:rPr>
          <w:vertAlign w:val="subscript"/>
        </w:rPr>
      </w:pPr>
      <m:oMathPara>
        <m:oMath>
          <m:acc>
            <m:accPr>
              <m:ctrlPr>
                <w:rPr>
                  <w:rFonts w:ascii="Cambria Math" w:hAnsi="Cambria Math"/>
                  <w:i/>
                </w:rPr>
              </m:ctrlPr>
            </m:accPr>
            <m:e>
              <m:r>
                <w:rPr>
                  <w:rFonts w:ascii="Cambria Math" w:hAnsi="Cambria Math"/>
                </w:rPr>
                <m:t>V</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r>
            <w:rPr>
              <w:rFonts w:ascii="Cambria Math" w:hAnsi="Cambria Math"/>
            </w:rPr>
            <m:t>)</m:t>
          </m:r>
          <m:r>
            <w:rPr>
              <w:rFonts w:ascii="Cambria Math" w:hAnsi="Cambria Math"/>
              <w:vertAlign w:val="subscript"/>
            </w:rPr>
            <m:t>=</m:t>
          </m:r>
          <m:nary>
            <m:naryPr>
              <m:chr m:val="∑"/>
              <m:limLoc m:val="undOvr"/>
              <m:supHide m:val="1"/>
              <m:ctrlPr>
                <w:rPr>
                  <w:rFonts w:ascii="Cambria Math" w:eastAsiaTheme="minorHAnsi" w:hAnsi="Cambria Math" w:cstheme="minorBidi"/>
                  <w:i/>
                  <w:sz w:val="22"/>
                  <w:szCs w:val="22"/>
                  <w:vertAlign w:val="subscript"/>
                </w:rPr>
              </m:ctrlPr>
            </m:naryPr>
            <m:sub>
              <m:r>
                <w:rPr>
                  <w:rFonts w:ascii="Cambria Math" w:eastAsiaTheme="minorHAnsi" w:hAnsi="Cambria Math" w:cstheme="minorBidi"/>
                  <w:sz w:val="22"/>
                  <w:szCs w:val="22"/>
                  <w:vertAlign w:val="subscript"/>
                </w:rPr>
                <m:t>h</m:t>
              </m:r>
            </m:sub>
            <m:sup/>
            <m:e>
              <m:f>
                <m:fPr>
                  <m:ctrlPr>
                    <w:rPr>
                      <w:rFonts w:ascii="Cambria Math" w:eastAsiaTheme="minorHAnsi" w:hAnsi="Cambria Math" w:cstheme="minorBidi"/>
                      <w:i/>
                      <w:sz w:val="22"/>
                      <w:szCs w:val="22"/>
                      <w:vertAlign w:val="subscript"/>
                    </w:rPr>
                  </m:ctrlPr>
                </m:fPr>
                <m:num>
                  <m:sSub>
                    <m:sSubPr>
                      <m:ctrlPr>
                        <w:rPr>
                          <w:rFonts w:ascii="Cambria Math" w:eastAsiaTheme="minorHAnsi" w:hAnsi="Cambria Math"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num>
                <m:den>
                  <m:sSub>
                    <m:sSubPr>
                      <m:ctrlPr>
                        <w:rPr>
                          <w:rFonts w:ascii="Cambria Math" w:eastAsiaTheme="minorHAnsi" w:hAnsi="Cambria Math"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r>
                    <w:rPr>
                      <w:rFonts w:ascii="Cambria Math" w:hAnsi="Cambria Math"/>
                      <w:vertAlign w:val="subscript"/>
                    </w:rPr>
                    <m:t>-1</m:t>
                  </m:r>
                </m:den>
              </m:f>
              <m:sSup>
                <m:sSupPr>
                  <m:ctrlPr>
                    <w:rPr>
                      <w:rFonts w:ascii="Cambria Math" w:eastAsiaTheme="minorHAnsi" w:hAnsi="Cambria Math" w:cstheme="minorBidi"/>
                      <w:i/>
                      <w:sz w:val="22"/>
                      <w:szCs w:val="22"/>
                      <w:vertAlign w:val="subscript"/>
                    </w:rPr>
                  </m:ctrlPr>
                </m:sSupPr>
                <m:e>
                  <m:nary>
                    <m:naryPr>
                      <m:chr m:val="∑"/>
                      <m:limLoc m:val="undOvr"/>
                      <m:supHide m:val="1"/>
                      <m:ctrlPr>
                        <w:rPr>
                          <w:rFonts w:ascii="Cambria Math" w:eastAsiaTheme="minorHAnsi" w:hAnsi="Cambria Math" w:cstheme="minorBidi"/>
                          <w:i/>
                          <w:sz w:val="22"/>
                          <w:szCs w:val="22"/>
                          <w:vertAlign w:val="subscript"/>
                        </w:rPr>
                      </m:ctrlPr>
                    </m:naryPr>
                    <m:sub>
                      <m:r>
                        <w:rPr>
                          <w:rFonts w:ascii="Cambria Math" w:eastAsiaTheme="minorHAnsi" w:hAnsi="Cambria Math" w:cstheme="minorBidi"/>
                          <w:sz w:val="22"/>
                          <w:szCs w:val="22"/>
                          <w:vertAlign w:val="subscript"/>
                        </w:rPr>
                        <m:t>i</m:t>
                      </m:r>
                    </m:sub>
                    <m:sup/>
                    <m:e>
                      <m:d>
                        <m:dPr>
                          <m:ctrlPr>
                            <w:rPr>
                              <w:rFonts w:ascii="Cambria Math" w:eastAsiaTheme="minorHAnsi" w:hAnsi="Cambria Math" w:cstheme="minorBidi"/>
                              <w:i/>
                              <w:sz w:val="22"/>
                              <w:szCs w:val="22"/>
                              <w:vertAlign w:val="subscript"/>
                            </w:rPr>
                          </m:ctrlPr>
                        </m:dPr>
                        <m:e>
                          <m:f>
                            <m:fPr>
                              <m:ctrlPr>
                                <w:rPr>
                                  <w:rFonts w:ascii="Cambria Math" w:eastAsiaTheme="minorHAnsi" w:hAnsi="Cambria Math" w:cstheme="minorBidi"/>
                                  <w:i/>
                                  <w:sz w:val="22"/>
                                  <w:szCs w:val="22"/>
                                  <w:vertAlign w:val="subscript"/>
                                </w:rPr>
                              </m:ctrlPr>
                            </m:fPr>
                            <m:num>
                              <m:d>
                                <m:dPr>
                                  <m:ctrlPr>
                                    <w:rPr>
                                      <w:rFonts w:ascii="Cambria Math" w:eastAsiaTheme="minorHAnsi" w:hAnsi="Cambria Math" w:cstheme="minorBidi"/>
                                      <w:i/>
                                      <w:sz w:val="22"/>
                                      <w:szCs w:val="22"/>
                                      <w:vertAlign w:val="subscript"/>
                                    </w:rPr>
                                  </m:ctrlPr>
                                </m:dPr>
                                <m:e>
                                  <m:nary>
                                    <m:naryPr>
                                      <m:chr m:val="∑"/>
                                      <m:limLoc m:val="undOvr"/>
                                      <m:supHide m:val="1"/>
                                      <m:ctrlPr>
                                        <w:rPr>
                                          <w:rFonts w:ascii="Cambria Math" w:eastAsiaTheme="minorHAnsi" w:hAnsi="Cambria Math" w:cstheme="minorBidi"/>
                                          <w:i/>
                                          <w:sz w:val="22"/>
                                          <w:szCs w:val="22"/>
                                          <w:vertAlign w:val="subscript"/>
                                        </w:rPr>
                                      </m:ctrlPr>
                                    </m:naryPr>
                                    <m:sub>
                                      <m:r>
                                        <w:rPr>
                                          <w:rFonts w:ascii="Cambria Math" w:eastAsiaTheme="minorHAnsi" w:hAnsi="Cambria Math" w:cstheme="minorBidi"/>
                                          <w:sz w:val="22"/>
                                          <w:szCs w:val="22"/>
                                          <w:vertAlign w:val="subscript"/>
                                        </w:rPr>
                                        <m:t>j</m:t>
                                      </m:r>
                                    </m:sub>
                                    <m:sup/>
                                    <m:e>
                                      <m:sSub>
                                        <m:sSubPr>
                                          <m:ctrlPr>
                                            <w:rPr>
                                              <w:rFonts w:ascii="Cambria Math" w:eastAsiaTheme="minorHAnsi" w:hAnsi="Cambria Math" w:cstheme="minorBidi"/>
                                              <w:i/>
                                              <w:sz w:val="22"/>
                                              <w:szCs w:val="22"/>
                                              <w:vertAlign w:val="subscript"/>
                                            </w:rPr>
                                          </m:ctrlPr>
                                        </m:sSubPr>
                                        <m:e>
                                          <m:r>
                                            <w:rPr>
                                              <w:rFonts w:ascii="Cambria Math" w:eastAsiaTheme="minorHAnsi" w:hAnsi="Cambria Math" w:cstheme="minorBidi"/>
                                              <w:sz w:val="22"/>
                                              <w:szCs w:val="22"/>
                                              <w:vertAlign w:val="subscript"/>
                                            </w:rPr>
                                            <m:t>w</m:t>
                                          </m:r>
                                        </m:e>
                                        <m:sub>
                                          <m:r>
                                            <w:rPr>
                                              <w:rFonts w:ascii="Cambria Math" w:eastAsiaTheme="minorHAnsi" w:hAnsi="Cambria Math" w:cstheme="minorBidi"/>
                                              <w:sz w:val="22"/>
                                              <w:szCs w:val="22"/>
                                              <w:vertAlign w:val="subscript"/>
                                            </w:rPr>
                                            <m:t>hij</m:t>
                                          </m:r>
                                        </m:sub>
                                      </m:sSub>
                                    </m:e>
                                  </m:nary>
                                  <m:d>
                                    <m:dPr>
                                      <m:ctrlPr>
                                        <w:rPr>
                                          <w:rFonts w:ascii="Cambria Math" w:eastAsiaTheme="minorHAnsi" w:hAnsi="Cambria Math" w:cstheme="minorBidi"/>
                                          <w:i/>
                                          <w:sz w:val="22"/>
                                          <w:szCs w:val="22"/>
                                          <w:vertAlign w:val="subscript"/>
                                        </w:rPr>
                                      </m:ctrlPr>
                                    </m:dPr>
                                    <m:e>
                                      <m:sSub>
                                        <m:sSubPr>
                                          <m:ctrlPr>
                                            <w:rPr>
                                              <w:rFonts w:ascii="Cambria Math" w:eastAsiaTheme="minorHAnsi" w:hAnsi="Cambria Math" w:cstheme="minorBidi"/>
                                              <w:i/>
                                              <w:sz w:val="22"/>
                                              <w:szCs w:val="22"/>
                                              <w:vertAlign w:val="subscript"/>
                                            </w:rPr>
                                          </m:ctrlPr>
                                        </m:sSubPr>
                                        <m:e>
                                          <m:r>
                                            <w:rPr>
                                              <w:rFonts w:ascii="Cambria Math" w:eastAsiaTheme="minorHAnsi" w:hAnsi="Cambria Math" w:cstheme="minorBidi"/>
                                              <w:sz w:val="22"/>
                                              <w:szCs w:val="22"/>
                                              <w:vertAlign w:val="subscript"/>
                                            </w:rPr>
                                            <m:t>p</m:t>
                                          </m:r>
                                        </m:e>
                                        <m:sub>
                                          <m:r>
                                            <w:rPr>
                                              <w:rFonts w:ascii="Cambria Math" w:eastAsiaTheme="minorHAnsi" w:hAnsi="Cambria Math" w:cstheme="minorBidi"/>
                                              <w:sz w:val="22"/>
                                              <w:szCs w:val="22"/>
                                              <w:vertAlign w:val="subscript"/>
                                            </w:rPr>
                                            <m:t>hij</m:t>
                                          </m:r>
                                        </m:sub>
                                      </m:sSub>
                                      <m:r>
                                        <w:rPr>
                                          <w:rFonts w:ascii="Cambria Math" w:eastAsiaTheme="minorHAnsi" w:hAnsi="Cambria Math" w:cstheme="minorBidi"/>
                                          <w:sz w:val="22"/>
                                          <w:szCs w:val="22"/>
                                          <w:vertAlign w:val="subscript"/>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e>
                              </m:d>
                            </m:num>
                            <m:den>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e>
                                      </m:nary>
                                    </m:e>
                                  </m:nary>
                                </m:e>
                              </m:nary>
                            </m:den>
                          </m:f>
                          <m:r>
                            <w:rPr>
                              <w:rFonts w:ascii="Cambria Math" w:eastAsiaTheme="minorHAnsi" w:hAnsi="Cambria Math" w:cstheme="minorBidi"/>
                              <w:sz w:val="22"/>
                              <w:szCs w:val="22"/>
                              <w:vertAlign w:val="subscript"/>
                            </w:rPr>
                            <m:t>-</m:t>
                          </m:r>
                          <m:nary>
                            <m:naryPr>
                              <m:chr m:val="∑"/>
                              <m:limLoc m:val="undOvr"/>
                              <m:supHide m:val="1"/>
                              <m:ctrlPr>
                                <w:rPr>
                                  <w:rFonts w:ascii="Cambria Math" w:eastAsiaTheme="minorHAnsi" w:hAnsi="Cambria Math" w:cstheme="minorBidi"/>
                                  <w:i/>
                                  <w:sz w:val="22"/>
                                  <w:szCs w:val="22"/>
                                  <w:vertAlign w:val="subscript"/>
                                </w:rPr>
                              </m:ctrlPr>
                            </m:naryPr>
                            <m:sub>
                              <m:r>
                                <w:rPr>
                                  <w:rFonts w:ascii="Cambria Math" w:eastAsiaTheme="minorHAnsi" w:hAnsi="Cambria Math" w:cstheme="minorBidi"/>
                                  <w:sz w:val="22"/>
                                  <w:szCs w:val="22"/>
                                  <w:vertAlign w:val="subscript"/>
                                </w:rPr>
                                <m:t>i</m:t>
                              </m:r>
                            </m:sub>
                            <m:sup/>
                            <m:e>
                              <m:f>
                                <m:fPr>
                                  <m:ctrlPr>
                                    <w:rPr>
                                      <w:rFonts w:ascii="Cambria Math" w:eastAsiaTheme="minorHAnsi" w:hAnsi="Cambria Math" w:cstheme="minorBidi"/>
                                      <w:i/>
                                      <w:sz w:val="22"/>
                                      <w:szCs w:val="22"/>
                                      <w:vertAlign w:val="subscript"/>
                                    </w:rPr>
                                  </m:ctrlPr>
                                </m:fPr>
                                <m:num>
                                  <m:d>
                                    <m:dPr>
                                      <m:ctrlPr>
                                        <w:rPr>
                                          <w:rFonts w:ascii="Cambria Math" w:eastAsiaTheme="minorHAnsi" w:hAnsi="Cambria Math" w:cstheme="minorBidi"/>
                                          <w:i/>
                                          <w:sz w:val="22"/>
                                          <w:szCs w:val="22"/>
                                          <w:vertAlign w:val="subscript"/>
                                        </w:rPr>
                                      </m:ctrlPr>
                                    </m:dPr>
                                    <m:e>
                                      <m:f>
                                        <m:fPr>
                                          <m:ctrlPr>
                                            <w:rPr>
                                              <w:rFonts w:ascii="Cambria Math" w:eastAsiaTheme="minorHAnsi" w:hAnsi="Cambria Math" w:cstheme="minorBidi"/>
                                              <w:i/>
                                              <w:sz w:val="22"/>
                                              <w:szCs w:val="22"/>
                                              <w:vertAlign w:val="subscript"/>
                                            </w:rPr>
                                          </m:ctrlPr>
                                        </m:fPr>
                                        <m:num>
                                          <m:d>
                                            <m:dPr>
                                              <m:ctrlPr>
                                                <w:rPr>
                                                  <w:rFonts w:ascii="Cambria Math" w:eastAsiaTheme="minorHAnsi" w:hAnsi="Cambria Math" w:cstheme="minorBidi"/>
                                                  <w:i/>
                                                  <w:sz w:val="22"/>
                                                  <w:szCs w:val="22"/>
                                                  <w:vertAlign w:val="subscript"/>
                                                </w:rPr>
                                              </m:ctrlPr>
                                            </m:dPr>
                                            <m:e>
                                              <m:nary>
                                                <m:naryPr>
                                                  <m:chr m:val="∑"/>
                                                  <m:limLoc m:val="subSup"/>
                                                  <m:supHide m:val="1"/>
                                                  <m:ctrlPr>
                                                    <w:rPr>
                                                      <w:rFonts w:ascii="Cambria Math" w:eastAsiaTheme="minorHAnsi" w:hAnsi="Cambria Math" w:cstheme="minorBidi"/>
                                                      <w:i/>
                                                      <w:sz w:val="22"/>
                                                      <w:szCs w:val="22"/>
                                                      <w:vertAlign w:val="subscript"/>
                                                    </w:rPr>
                                                  </m:ctrlPr>
                                                </m:naryPr>
                                                <m:sub>
                                                  <m:r>
                                                    <w:rPr>
                                                      <w:rFonts w:ascii="Cambria Math" w:eastAsiaTheme="minorHAnsi" w:hAnsi="Cambria Math" w:cstheme="minorBidi"/>
                                                      <w:sz w:val="22"/>
                                                      <w:szCs w:val="22"/>
                                                      <w:vertAlign w:val="subscript"/>
                                                    </w:rPr>
                                                    <m:t>j</m:t>
                                                  </m:r>
                                                </m:sub>
                                                <m:sup/>
                                                <m:e>
                                                  <m:sSub>
                                                    <m:sSubPr>
                                                      <m:ctrlPr>
                                                        <w:rPr>
                                                          <w:rFonts w:ascii="Cambria Math" w:eastAsiaTheme="minorHAnsi" w:hAnsi="Cambria Math" w:cstheme="minorBidi"/>
                                                          <w:i/>
                                                          <w:sz w:val="22"/>
                                                          <w:szCs w:val="22"/>
                                                          <w:vertAlign w:val="subscript"/>
                                                        </w:rPr>
                                                      </m:ctrlPr>
                                                    </m:sSubPr>
                                                    <m:e>
                                                      <m:r>
                                                        <w:rPr>
                                                          <w:rFonts w:ascii="Cambria Math" w:eastAsiaTheme="minorHAnsi" w:hAnsi="Cambria Math" w:cstheme="minorBidi"/>
                                                          <w:sz w:val="22"/>
                                                          <w:szCs w:val="22"/>
                                                          <w:vertAlign w:val="subscript"/>
                                                        </w:rPr>
                                                        <m:t>w</m:t>
                                                      </m:r>
                                                    </m:e>
                                                    <m:sub>
                                                      <m:r>
                                                        <w:rPr>
                                                          <w:rFonts w:ascii="Cambria Math" w:eastAsiaTheme="minorHAnsi" w:hAnsi="Cambria Math" w:cstheme="minorBidi"/>
                                                          <w:sz w:val="22"/>
                                                          <w:szCs w:val="22"/>
                                                          <w:vertAlign w:val="subscript"/>
                                                        </w:rPr>
                                                        <m:t>hij</m:t>
                                                      </m:r>
                                                    </m:sub>
                                                  </m:sSub>
                                                </m:e>
                                              </m:nary>
                                              <m:d>
                                                <m:dPr>
                                                  <m:ctrlPr>
                                                    <w:rPr>
                                                      <w:rFonts w:ascii="Cambria Math" w:eastAsiaTheme="minorHAnsi" w:hAnsi="Cambria Math" w:cstheme="minorBidi"/>
                                                      <w:i/>
                                                      <w:sz w:val="22"/>
                                                      <w:szCs w:val="22"/>
                                                      <w:vertAlign w:val="subscript"/>
                                                    </w:rPr>
                                                  </m:ctrlPr>
                                                </m:dPr>
                                                <m:e>
                                                  <m:sSub>
                                                    <m:sSubPr>
                                                      <m:ctrlPr>
                                                        <w:rPr>
                                                          <w:rFonts w:ascii="Cambria Math" w:eastAsiaTheme="minorHAnsi" w:hAnsi="Cambria Math" w:cstheme="minorBidi"/>
                                                          <w:i/>
                                                          <w:sz w:val="22"/>
                                                          <w:szCs w:val="22"/>
                                                          <w:vertAlign w:val="subscript"/>
                                                        </w:rPr>
                                                      </m:ctrlPr>
                                                    </m:sSubPr>
                                                    <m:e>
                                                      <m:r>
                                                        <w:rPr>
                                                          <w:rFonts w:ascii="Cambria Math" w:eastAsiaTheme="minorHAnsi" w:hAnsi="Cambria Math" w:cstheme="minorBidi"/>
                                                          <w:sz w:val="22"/>
                                                          <w:szCs w:val="22"/>
                                                          <w:vertAlign w:val="subscript"/>
                                                        </w:rPr>
                                                        <m:t>p</m:t>
                                                      </m:r>
                                                    </m:e>
                                                    <m:sub>
                                                      <m:r>
                                                        <w:rPr>
                                                          <w:rFonts w:ascii="Cambria Math" w:eastAsiaTheme="minorHAnsi" w:hAnsi="Cambria Math" w:cstheme="minorBidi"/>
                                                          <w:sz w:val="22"/>
                                                          <w:szCs w:val="22"/>
                                                          <w:vertAlign w:val="subscript"/>
                                                        </w:rPr>
                                                        <m:t>hij</m:t>
                                                      </m:r>
                                                    </m:sub>
                                                  </m:sSub>
                                                  <m:r>
                                                    <w:rPr>
                                                      <w:rFonts w:ascii="Cambria Math" w:eastAsiaTheme="minorHAnsi" w:hAnsi="Cambria Math" w:cstheme="minorBidi"/>
                                                      <w:sz w:val="22"/>
                                                      <w:szCs w:val="22"/>
                                                      <w:vertAlign w:val="subscript"/>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e>
                                          </m:d>
                                        </m:num>
                                        <m:den>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e>
                                                  </m:nary>
                                                </m:e>
                                              </m:nary>
                                            </m:e>
                                          </m:nary>
                                        </m:den>
                                      </m:f>
                                    </m:e>
                                  </m:d>
                                </m:num>
                                <m:den>
                                  <m:sSub>
                                    <m:sSubPr>
                                      <m:ctrlPr>
                                        <w:rPr>
                                          <w:rFonts w:ascii="Cambria Math" w:eastAsiaTheme="minorHAnsi" w:hAnsi="Cambria Math" w:cstheme="minorBidi"/>
                                          <w:i/>
                                          <w:sz w:val="22"/>
                                          <w:szCs w:val="22"/>
                                          <w:vertAlign w:val="subscript"/>
                                        </w:rPr>
                                      </m:ctrlPr>
                                    </m:sSubPr>
                                    <m:e>
                                      <m:r>
                                        <w:rPr>
                                          <w:rFonts w:ascii="Cambria Math" w:eastAsiaTheme="minorHAnsi" w:hAnsi="Cambria Math" w:cstheme="minorBidi"/>
                                          <w:sz w:val="22"/>
                                          <w:szCs w:val="22"/>
                                          <w:vertAlign w:val="subscript"/>
                                        </w:rPr>
                                        <m:t>n</m:t>
                                      </m:r>
                                    </m:e>
                                    <m:sub>
                                      <m:r>
                                        <w:rPr>
                                          <w:rFonts w:ascii="Cambria Math" w:eastAsiaTheme="minorHAnsi" w:hAnsi="Cambria Math" w:cstheme="minorBidi"/>
                                          <w:sz w:val="22"/>
                                          <w:szCs w:val="22"/>
                                          <w:vertAlign w:val="subscript"/>
                                        </w:rPr>
                                        <m:t>h</m:t>
                                      </m:r>
                                    </m:sub>
                                  </m:sSub>
                                </m:den>
                              </m:f>
                            </m:e>
                          </m:nary>
                        </m:e>
                      </m:d>
                    </m:e>
                  </m:nary>
                </m:e>
                <m:sup>
                  <m:r>
                    <w:rPr>
                      <w:rFonts w:ascii="Cambria Math" w:hAnsi="Cambria Math"/>
                      <w:vertAlign w:val="subscript"/>
                    </w:rPr>
                    <m:t>2</m:t>
                  </m:r>
                </m:sup>
              </m:sSup>
            </m:e>
          </m:nary>
        </m:oMath>
      </m:oMathPara>
    </w:p>
    <w:p w:rsidR="000E6A04" w:rsidRDefault="000E6A04" w:rsidP="00B503CD">
      <w:pPr>
        <w:pStyle w:val="CM2"/>
        <w:spacing w:line="240" w:lineRule="auto"/>
        <w:ind w:right="130"/>
        <w:rPr>
          <w:b/>
          <w:bCs/>
          <w:color w:val="000000"/>
        </w:rPr>
      </w:pPr>
    </w:p>
    <w:p w:rsidR="00B503CD" w:rsidRDefault="00B503CD" w:rsidP="00B503CD">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B503CD" w:rsidRPr="0091579D" w:rsidRDefault="00B503CD" w:rsidP="00B503CD">
      <w:pPr>
        <w:pStyle w:val="Default"/>
      </w:pPr>
    </w:p>
    <w:p w:rsidR="00FB39B6" w:rsidRDefault="0054590D" w:rsidP="00FB39B6">
      <w:pPr>
        <w:pStyle w:val="L1-FlLSp12"/>
        <w:spacing w:line="240" w:lineRule="auto"/>
        <w:rPr>
          <w:rFonts w:ascii="Times New Roman" w:hAnsi="Times New Roman"/>
        </w:rPr>
      </w:pPr>
      <w:r>
        <w:rPr>
          <w:rFonts w:ascii="Times New Roman" w:hAnsi="Times New Roman"/>
        </w:rPr>
        <w:t>Previous administrations of the FES resulted in response rates ranging from 30-50%.</w:t>
      </w:r>
      <w:r w:rsidR="002F5105">
        <w:rPr>
          <w:rFonts w:ascii="Times New Roman" w:hAnsi="Times New Roman"/>
        </w:rPr>
        <w:t xml:space="preserve">  We expect similar response for </w:t>
      </w:r>
      <w:r>
        <w:rPr>
          <w:rFonts w:ascii="Times New Roman" w:hAnsi="Times New Roman"/>
        </w:rPr>
        <w:t>future administrations of the survey</w:t>
      </w:r>
      <w:r w:rsidR="002F5105">
        <w:rPr>
          <w:rFonts w:ascii="Times New Roman" w:hAnsi="Times New Roman"/>
        </w:rPr>
        <w:t>.</w:t>
      </w:r>
    </w:p>
    <w:p w:rsidR="00FB39B6" w:rsidRDefault="00FB39B6" w:rsidP="00FB39B6">
      <w:pPr>
        <w:pStyle w:val="L1-FlLSp12"/>
        <w:spacing w:line="240" w:lineRule="auto"/>
        <w:rPr>
          <w:rFonts w:ascii="Times New Roman" w:hAnsi="Times New Roman"/>
        </w:rPr>
      </w:pPr>
    </w:p>
    <w:p w:rsidR="00E1509B" w:rsidRDefault="00FB39B6" w:rsidP="00FB39B6">
      <w:pPr>
        <w:pStyle w:val="L1-FlLSp12"/>
        <w:spacing w:line="240" w:lineRule="auto"/>
        <w:rPr>
          <w:rFonts w:ascii="Times New Roman" w:hAnsi="Times New Roman"/>
        </w:rPr>
      </w:pPr>
      <w:r>
        <w:rPr>
          <w:rFonts w:ascii="Times New Roman" w:hAnsi="Times New Roman"/>
        </w:rPr>
        <w:t>The expected response rates will be achieved by using s</w:t>
      </w:r>
      <w:r w:rsidR="00B503CD" w:rsidRPr="00FB39B6">
        <w:rPr>
          <w:rFonts w:ascii="Times New Roman" w:hAnsi="Times New Roman"/>
        </w:rPr>
        <w:t>tandard mail survey protocol</w:t>
      </w:r>
      <w:r w:rsidR="00FE7A62">
        <w:rPr>
          <w:rFonts w:ascii="Times New Roman" w:hAnsi="Times New Roman"/>
        </w:rPr>
        <w:t>s</w:t>
      </w:r>
      <w:r w:rsidR="00B503CD" w:rsidRPr="00FB39B6">
        <w:rPr>
          <w:rFonts w:ascii="Times New Roman" w:hAnsi="Times New Roman"/>
        </w:rPr>
        <w:t xml:space="preserve"> (</w:t>
      </w:r>
      <w:proofErr w:type="spellStart"/>
      <w:r w:rsidR="00B503CD" w:rsidRPr="00FB39B6">
        <w:rPr>
          <w:rFonts w:ascii="Times New Roman" w:hAnsi="Times New Roman"/>
        </w:rPr>
        <w:t>Dillman</w:t>
      </w:r>
      <w:proofErr w:type="spellEnd"/>
      <w:r w:rsidR="00B503CD" w:rsidRPr="00FB39B6">
        <w:rPr>
          <w:rFonts w:ascii="Times New Roman" w:hAnsi="Times New Roman"/>
        </w:rPr>
        <w:t xml:space="preserve"> et al, 2008).  An initial mailing will include an introductory letter stating the purpose of the survey, the survey questionnaire, a business reply envelope, and a prepaid</w:t>
      </w:r>
      <w:r w:rsidR="002F5105">
        <w:rPr>
          <w:rFonts w:ascii="Times New Roman" w:hAnsi="Times New Roman"/>
        </w:rPr>
        <w:t>, $2.00</w:t>
      </w:r>
      <w:r w:rsidR="00B503CD" w:rsidRPr="00FB39B6">
        <w:rPr>
          <w:rFonts w:ascii="Times New Roman" w:hAnsi="Times New Roman"/>
        </w:rPr>
        <w:t xml:space="preserve"> cash incentive.  </w:t>
      </w:r>
      <w:r w:rsidR="002F5105">
        <w:rPr>
          <w:rFonts w:ascii="Times New Roman" w:hAnsi="Times New Roman"/>
        </w:rPr>
        <w:lastRenderedPageBreak/>
        <w:t xml:space="preserve">During </w:t>
      </w:r>
      <w:r w:rsidR="001A6668">
        <w:rPr>
          <w:rFonts w:ascii="Times New Roman" w:hAnsi="Times New Roman"/>
        </w:rPr>
        <w:t>testing of the FES design</w:t>
      </w:r>
      <w:r w:rsidR="002F5105">
        <w:rPr>
          <w:rFonts w:ascii="Times New Roman" w:hAnsi="Times New Roman"/>
        </w:rPr>
        <w:t xml:space="preserve">, a $2.00 incentive was found to be optimal in terms of maximizing response and </w:t>
      </w:r>
      <w:r w:rsidR="008318FC">
        <w:rPr>
          <w:rFonts w:ascii="Times New Roman" w:hAnsi="Times New Roman"/>
        </w:rPr>
        <w:t>minimizing data collection costs</w:t>
      </w:r>
      <w:r w:rsidR="002F5105">
        <w:rPr>
          <w:rFonts w:ascii="Times New Roman" w:hAnsi="Times New Roman"/>
        </w:rPr>
        <w:t xml:space="preserve">.  </w:t>
      </w:r>
      <w:r w:rsidR="00767D81">
        <w:rPr>
          <w:rFonts w:ascii="Times New Roman" w:hAnsi="Times New Roman"/>
        </w:rPr>
        <w:t>A</w:t>
      </w:r>
      <w:r w:rsidR="002B61F6" w:rsidRPr="00FB39B6">
        <w:rPr>
          <w:rFonts w:ascii="Times New Roman" w:hAnsi="Times New Roman"/>
        </w:rPr>
        <w:t xml:space="preserve"> </w:t>
      </w:r>
      <w:r w:rsidR="00B503CD" w:rsidRPr="00FB39B6">
        <w:rPr>
          <w:rFonts w:ascii="Times New Roman" w:hAnsi="Times New Roman"/>
        </w:rPr>
        <w:t xml:space="preserve">thank-you/reminder postcard </w:t>
      </w:r>
      <w:r w:rsidR="00767D81">
        <w:rPr>
          <w:rFonts w:ascii="Times New Roman" w:hAnsi="Times New Roman"/>
        </w:rPr>
        <w:t>and/</w:t>
      </w:r>
      <w:r w:rsidR="002B61F6" w:rsidRPr="00FB39B6">
        <w:rPr>
          <w:rFonts w:ascii="Times New Roman" w:hAnsi="Times New Roman"/>
        </w:rPr>
        <w:t>or automated voice message will</w:t>
      </w:r>
      <w:r w:rsidR="00B503CD" w:rsidRPr="00FB39B6">
        <w:rPr>
          <w:rFonts w:ascii="Times New Roman" w:hAnsi="Times New Roman"/>
        </w:rPr>
        <w:t xml:space="preserve"> be </w:t>
      </w:r>
      <w:r w:rsidR="002B61F6" w:rsidRPr="00FB39B6">
        <w:rPr>
          <w:rFonts w:ascii="Times New Roman" w:hAnsi="Times New Roman"/>
        </w:rPr>
        <w:t>administered</w:t>
      </w:r>
      <w:r w:rsidR="00B503CD" w:rsidRPr="00FB39B6">
        <w:rPr>
          <w:rFonts w:ascii="Times New Roman" w:hAnsi="Times New Roman"/>
        </w:rPr>
        <w:t xml:space="preserve"> to all sample units one week following the initial mailing.  A final mailing, including a second questionnaire, a nonresponse conversion letter, and a business reply envelope will be sent to all </w:t>
      </w:r>
      <w:proofErr w:type="spellStart"/>
      <w:r w:rsidR="00B503CD" w:rsidRPr="00FB39B6">
        <w:rPr>
          <w:rFonts w:ascii="Times New Roman" w:hAnsi="Times New Roman"/>
        </w:rPr>
        <w:t>nonrespondents</w:t>
      </w:r>
      <w:proofErr w:type="spellEnd"/>
      <w:r w:rsidR="00B503CD" w:rsidRPr="00FB39B6">
        <w:rPr>
          <w:rFonts w:ascii="Times New Roman" w:hAnsi="Times New Roman"/>
        </w:rPr>
        <w:t xml:space="preserve"> three weeks after the initial mailing.  </w:t>
      </w:r>
    </w:p>
    <w:p w:rsidR="00E1509B" w:rsidRDefault="00E1509B" w:rsidP="00FB39B6">
      <w:pPr>
        <w:pStyle w:val="L1-FlLSp12"/>
        <w:spacing w:line="240" w:lineRule="auto"/>
        <w:rPr>
          <w:rFonts w:ascii="Times New Roman" w:hAnsi="Times New Roman"/>
        </w:rPr>
      </w:pPr>
    </w:p>
    <w:p w:rsidR="00A633E7" w:rsidRDefault="00A633E7" w:rsidP="00FB39B6">
      <w:pPr>
        <w:pStyle w:val="L1-FlLSp12"/>
        <w:spacing w:line="240" w:lineRule="auto"/>
        <w:rPr>
          <w:rFonts w:ascii="Times New Roman" w:hAnsi="Times New Roman"/>
        </w:rPr>
      </w:pPr>
      <w:r>
        <w:rPr>
          <w:rFonts w:ascii="Times New Roman" w:hAnsi="Times New Roman"/>
        </w:rPr>
        <w:t xml:space="preserve">We </w:t>
      </w:r>
      <w:r w:rsidR="00831BB3">
        <w:rPr>
          <w:rFonts w:ascii="Times New Roman" w:hAnsi="Times New Roman"/>
        </w:rPr>
        <w:t xml:space="preserve">will </w:t>
      </w:r>
      <w:r>
        <w:rPr>
          <w:rFonts w:ascii="Times New Roman" w:hAnsi="Times New Roman"/>
        </w:rPr>
        <w:t>minimize</w:t>
      </w:r>
      <w:r w:rsidR="009551A8">
        <w:rPr>
          <w:rFonts w:ascii="Times New Roman" w:hAnsi="Times New Roman"/>
        </w:rPr>
        <w:t xml:space="preserve"> </w:t>
      </w:r>
      <w:r>
        <w:rPr>
          <w:rFonts w:ascii="Times New Roman" w:hAnsi="Times New Roman"/>
        </w:rPr>
        <w:t>nonresponse bias by using a questionnaire that maximizes responses by the entire sample population</w:t>
      </w:r>
      <w:r w:rsidR="009551A8">
        <w:rPr>
          <w:rFonts w:ascii="Times New Roman" w:hAnsi="Times New Roman"/>
        </w:rPr>
        <w:t>, including both anglers and non-anglers</w:t>
      </w:r>
      <w:r>
        <w:rPr>
          <w:rFonts w:ascii="Times New Roman" w:hAnsi="Times New Roman"/>
        </w:rPr>
        <w:t xml:space="preserve">.  </w:t>
      </w:r>
      <w:r w:rsidR="00767D81">
        <w:rPr>
          <w:rFonts w:ascii="Times New Roman" w:hAnsi="Times New Roman"/>
        </w:rPr>
        <w:t xml:space="preserve">Testing of the FES design included </w:t>
      </w:r>
      <w:r w:rsidR="002F5105">
        <w:rPr>
          <w:rFonts w:ascii="Times New Roman" w:hAnsi="Times New Roman"/>
        </w:rPr>
        <w:t xml:space="preserve">two versions of the survey </w:t>
      </w:r>
      <w:r w:rsidR="00767D81">
        <w:rPr>
          <w:rFonts w:ascii="Times New Roman" w:hAnsi="Times New Roman"/>
        </w:rPr>
        <w:t xml:space="preserve">instrument, a fishing-specific version and a more general version that included non-fishing questions.  The </w:t>
      </w:r>
      <w:r w:rsidR="002F5105">
        <w:rPr>
          <w:rFonts w:ascii="Times New Roman" w:hAnsi="Times New Roman"/>
        </w:rPr>
        <w:t>FES will utilize the</w:t>
      </w:r>
      <w:r w:rsidR="00767D81">
        <w:rPr>
          <w:rFonts w:ascii="Times New Roman" w:hAnsi="Times New Roman"/>
        </w:rPr>
        <w:t xml:space="preserve"> more general</w:t>
      </w:r>
      <w:r w:rsidR="002F5105">
        <w:rPr>
          <w:rFonts w:ascii="Times New Roman" w:hAnsi="Times New Roman"/>
        </w:rPr>
        <w:t xml:space="preserve"> </w:t>
      </w:r>
      <w:r w:rsidR="00300FD4">
        <w:rPr>
          <w:rFonts w:ascii="Times New Roman" w:hAnsi="Times New Roman"/>
        </w:rPr>
        <w:t>“Weather and Outdoor Activity Survey” instrument, which provided the most representative sample of the general population</w:t>
      </w:r>
      <w:r w:rsidR="007D348B">
        <w:rPr>
          <w:rFonts w:ascii="Times New Roman" w:hAnsi="Times New Roman"/>
        </w:rPr>
        <w:t xml:space="preserve"> </w:t>
      </w:r>
      <w:r w:rsidR="00767D81">
        <w:rPr>
          <w:rFonts w:ascii="Times New Roman" w:hAnsi="Times New Roman"/>
        </w:rPr>
        <w:t>during testing</w:t>
      </w:r>
      <w:r w:rsidR="00300FD4">
        <w:rPr>
          <w:rFonts w:ascii="Times New Roman" w:hAnsi="Times New Roman"/>
        </w:rPr>
        <w:t>.</w:t>
      </w:r>
    </w:p>
    <w:p w:rsidR="008318FC" w:rsidRDefault="008318FC" w:rsidP="00FB39B6">
      <w:pPr>
        <w:pStyle w:val="L1-FlLSp12"/>
        <w:spacing w:line="240" w:lineRule="auto"/>
        <w:rPr>
          <w:rFonts w:ascii="Times New Roman" w:hAnsi="Times New Roman"/>
        </w:rPr>
      </w:pPr>
    </w:p>
    <w:p w:rsidR="008318FC" w:rsidRDefault="00FA2944" w:rsidP="008318FC">
      <w:pPr>
        <w:pStyle w:val="L1-FlLSp12"/>
        <w:spacing w:line="240" w:lineRule="auto"/>
        <w:rPr>
          <w:rFonts w:ascii="Times New Roman" w:hAnsi="Times New Roman"/>
        </w:rPr>
      </w:pPr>
      <w:r>
        <w:rPr>
          <w:rFonts w:ascii="Times New Roman" w:hAnsi="Times New Roman"/>
        </w:rPr>
        <w:t>FES testing</w:t>
      </w:r>
      <w:r w:rsidR="008318FC">
        <w:rPr>
          <w:rFonts w:ascii="Times New Roman" w:hAnsi="Times New Roman"/>
        </w:rPr>
        <w:t xml:space="preserve"> include</w:t>
      </w:r>
      <w:r w:rsidR="00616B5A">
        <w:rPr>
          <w:rFonts w:ascii="Times New Roman" w:hAnsi="Times New Roman"/>
        </w:rPr>
        <w:t>d</w:t>
      </w:r>
      <w:r w:rsidR="008318FC">
        <w:rPr>
          <w:rFonts w:ascii="Times New Roman" w:hAnsi="Times New Roman"/>
        </w:rPr>
        <w:t xml:space="preserve"> a nonresponse follow-up study to assess nonresponse bias in the data collection design.  Each wave, 400 </w:t>
      </w:r>
      <w:proofErr w:type="spellStart"/>
      <w:r w:rsidR="008318FC">
        <w:rPr>
          <w:rFonts w:ascii="Times New Roman" w:hAnsi="Times New Roman"/>
        </w:rPr>
        <w:t>nonrespondents</w:t>
      </w:r>
      <w:proofErr w:type="spellEnd"/>
      <w:r w:rsidR="008318FC">
        <w:rPr>
          <w:rFonts w:ascii="Times New Roman" w:hAnsi="Times New Roman"/>
        </w:rPr>
        <w:t xml:space="preserve"> </w:t>
      </w:r>
      <w:r w:rsidR="00616B5A">
        <w:rPr>
          <w:rFonts w:ascii="Times New Roman" w:hAnsi="Times New Roman"/>
        </w:rPr>
        <w:t xml:space="preserve">were </w:t>
      </w:r>
      <w:r w:rsidR="008318FC">
        <w:rPr>
          <w:rFonts w:ascii="Times New Roman" w:hAnsi="Times New Roman"/>
        </w:rPr>
        <w:t xml:space="preserve">sampled for the follow-up study.  Data collection for the nonresponse study </w:t>
      </w:r>
      <w:r w:rsidR="00616B5A">
        <w:rPr>
          <w:rFonts w:ascii="Times New Roman" w:hAnsi="Times New Roman"/>
        </w:rPr>
        <w:t xml:space="preserve">was </w:t>
      </w:r>
      <w:r w:rsidR="008318FC">
        <w:rPr>
          <w:rFonts w:ascii="Times New Roman" w:hAnsi="Times New Roman"/>
        </w:rPr>
        <w:t xml:space="preserve">initiated six weeks after the final contact for the </w:t>
      </w:r>
      <w:r>
        <w:rPr>
          <w:rFonts w:ascii="Times New Roman" w:hAnsi="Times New Roman"/>
        </w:rPr>
        <w:t>FES</w:t>
      </w:r>
      <w:r w:rsidR="008318FC">
        <w:rPr>
          <w:rFonts w:ascii="Times New Roman" w:hAnsi="Times New Roman"/>
        </w:rPr>
        <w:t xml:space="preserve"> with the delivery of an advanc</w:t>
      </w:r>
      <w:r>
        <w:rPr>
          <w:rFonts w:ascii="Times New Roman" w:hAnsi="Times New Roman"/>
        </w:rPr>
        <w:t>ed</w:t>
      </w:r>
      <w:r w:rsidR="008318FC">
        <w:rPr>
          <w:rFonts w:ascii="Times New Roman" w:hAnsi="Times New Roman"/>
        </w:rPr>
        <w:t xml:space="preserve"> letter via regular first-class mail.  Five days later, a survey packet, including a cover letter, questionnaire (the same questionnaire used in </w:t>
      </w:r>
      <w:r>
        <w:rPr>
          <w:rFonts w:ascii="Times New Roman" w:hAnsi="Times New Roman"/>
        </w:rPr>
        <w:t>the FES</w:t>
      </w:r>
      <w:r w:rsidR="008318FC">
        <w:rPr>
          <w:rFonts w:ascii="Times New Roman" w:hAnsi="Times New Roman"/>
        </w:rPr>
        <w:t xml:space="preserve">), post-paid return envelope and a $5.00 cash incentive </w:t>
      </w:r>
      <w:r w:rsidR="00616B5A">
        <w:rPr>
          <w:rFonts w:ascii="Times New Roman" w:hAnsi="Times New Roman"/>
        </w:rPr>
        <w:t xml:space="preserve">was </w:t>
      </w:r>
      <w:r w:rsidR="008318FC">
        <w:rPr>
          <w:rFonts w:ascii="Times New Roman" w:hAnsi="Times New Roman"/>
        </w:rPr>
        <w:t xml:space="preserve">delivered via FedEx (USPS Priority Mail </w:t>
      </w:r>
      <w:r w:rsidR="00616B5A">
        <w:rPr>
          <w:rFonts w:ascii="Times New Roman" w:hAnsi="Times New Roman"/>
        </w:rPr>
        <w:t>was</w:t>
      </w:r>
      <w:r w:rsidR="00EB6781">
        <w:rPr>
          <w:rFonts w:ascii="Times New Roman" w:hAnsi="Times New Roman"/>
        </w:rPr>
        <w:t xml:space="preserve"> used where FedEx</w:t>
      </w:r>
      <w:r w:rsidR="008318FC">
        <w:rPr>
          <w:rFonts w:ascii="Times New Roman" w:hAnsi="Times New Roman"/>
        </w:rPr>
        <w:t xml:space="preserve"> is unavailable).  A thank you/reminder postcard </w:t>
      </w:r>
      <w:r w:rsidR="00616B5A">
        <w:rPr>
          <w:rFonts w:ascii="Times New Roman" w:hAnsi="Times New Roman"/>
        </w:rPr>
        <w:t xml:space="preserve">was </w:t>
      </w:r>
      <w:r w:rsidR="008318FC">
        <w:rPr>
          <w:rFonts w:ascii="Times New Roman" w:hAnsi="Times New Roman"/>
        </w:rPr>
        <w:t xml:space="preserve">delivered eight days after the FedEx. </w:t>
      </w:r>
    </w:p>
    <w:p w:rsidR="008318FC" w:rsidRDefault="008318FC" w:rsidP="008318FC">
      <w:pPr>
        <w:pStyle w:val="L1-FlLSp12"/>
        <w:spacing w:line="240" w:lineRule="auto"/>
        <w:rPr>
          <w:rFonts w:ascii="Times New Roman" w:hAnsi="Times New Roman"/>
        </w:rPr>
      </w:pPr>
    </w:p>
    <w:p w:rsidR="008318FC" w:rsidRDefault="00FA2944" w:rsidP="008318FC">
      <w:pPr>
        <w:pStyle w:val="L1-FlLSp12"/>
        <w:spacing w:line="240" w:lineRule="auto"/>
      </w:pPr>
      <w:r>
        <w:rPr>
          <w:rFonts w:ascii="Times New Roman" w:hAnsi="Times New Roman"/>
        </w:rPr>
        <w:t xml:space="preserve">The </w:t>
      </w:r>
      <w:r w:rsidR="008318FC">
        <w:rPr>
          <w:rFonts w:ascii="Times New Roman" w:hAnsi="Times New Roman"/>
        </w:rPr>
        <w:t xml:space="preserve">nonresponse follow-up study achieved a 40% response rate, and respondents to the nonresponse follow-up study </w:t>
      </w:r>
      <w:r>
        <w:rPr>
          <w:rFonts w:ascii="Times New Roman" w:hAnsi="Times New Roman"/>
        </w:rPr>
        <w:t>were</w:t>
      </w:r>
      <w:r w:rsidR="008318FC">
        <w:rPr>
          <w:rFonts w:ascii="Times New Roman" w:hAnsi="Times New Roman"/>
        </w:rPr>
        <w:t xml:space="preserve"> not significantly different from </w:t>
      </w:r>
      <w:r>
        <w:rPr>
          <w:rFonts w:ascii="Times New Roman" w:hAnsi="Times New Roman"/>
        </w:rPr>
        <w:t>FES</w:t>
      </w:r>
      <w:r w:rsidR="008318FC">
        <w:rPr>
          <w:rFonts w:ascii="Times New Roman" w:hAnsi="Times New Roman"/>
        </w:rPr>
        <w:t xml:space="preserve"> respondents in terms of recreational fishing activity.  These findings suggest that nonresponse bias in the </w:t>
      </w:r>
      <w:r>
        <w:rPr>
          <w:rFonts w:ascii="Times New Roman" w:hAnsi="Times New Roman"/>
        </w:rPr>
        <w:t>FES</w:t>
      </w:r>
      <w:r w:rsidR="008318FC">
        <w:rPr>
          <w:rFonts w:ascii="Times New Roman" w:hAnsi="Times New Roman"/>
        </w:rPr>
        <w:t xml:space="preserve"> is minimal. </w:t>
      </w:r>
    </w:p>
    <w:p w:rsidR="00A633E7" w:rsidRDefault="00A633E7" w:rsidP="00FB39B6">
      <w:pPr>
        <w:pStyle w:val="L1-FlLSp12"/>
        <w:spacing w:line="240" w:lineRule="auto"/>
        <w:rPr>
          <w:rFonts w:ascii="Times New Roman" w:hAnsi="Times New Roman"/>
        </w:rPr>
      </w:pPr>
    </w:p>
    <w:p w:rsidR="00461B6C" w:rsidRDefault="008318FC" w:rsidP="00FB39B6">
      <w:pPr>
        <w:pStyle w:val="L1-FlLSp12"/>
        <w:spacing w:line="240" w:lineRule="auto"/>
        <w:rPr>
          <w:rFonts w:ascii="Times New Roman" w:hAnsi="Times New Roman"/>
        </w:rPr>
      </w:pPr>
      <w:r>
        <w:rPr>
          <w:rFonts w:ascii="Times New Roman" w:hAnsi="Times New Roman"/>
        </w:rPr>
        <w:t xml:space="preserve">We will continue to assess nonresponse bias </w:t>
      </w:r>
      <w:r w:rsidR="00FA2944">
        <w:rPr>
          <w:rFonts w:ascii="Times New Roman" w:hAnsi="Times New Roman"/>
        </w:rPr>
        <w:t>in future administrations of the FES</w:t>
      </w:r>
      <w:r w:rsidR="00461B6C">
        <w:rPr>
          <w:rFonts w:ascii="Times New Roman" w:hAnsi="Times New Roman"/>
        </w:rPr>
        <w:t xml:space="preserve">.  First, </w:t>
      </w:r>
      <w:r w:rsidR="00CA4795">
        <w:rPr>
          <w:rFonts w:ascii="Times New Roman" w:hAnsi="Times New Roman"/>
        </w:rPr>
        <w:t>we will compare early and late responders with respect to reported fishing activity.  This analysis will identify differences in respondents based upon the level of effort required to solicit a response.  Previous studies (Brick et al.</w:t>
      </w:r>
      <w:r w:rsidR="0091634E">
        <w:rPr>
          <w:rFonts w:ascii="Times New Roman" w:hAnsi="Times New Roman"/>
        </w:rPr>
        <w:t>,</w:t>
      </w:r>
      <w:r w:rsidR="00CA4795">
        <w:rPr>
          <w:rFonts w:ascii="Times New Roman" w:hAnsi="Times New Roman"/>
        </w:rPr>
        <w:t xml:space="preserve"> 2012</w:t>
      </w:r>
      <w:r w:rsidR="00406479">
        <w:rPr>
          <w:rFonts w:ascii="Times New Roman" w:hAnsi="Times New Roman"/>
        </w:rPr>
        <w:t>, FES pilot study</w:t>
      </w:r>
      <w:r w:rsidR="00CA4795">
        <w:rPr>
          <w:rFonts w:ascii="Times New Roman" w:hAnsi="Times New Roman"/>
        </w:rPr>
        <w:t xml:space="preserve">) demonstrated that early and late responders </w:t>
      </w:r>
      <w:r w:rsidR="00023DE9">
        <w:rPr>
          <w:rFonts w:ascii="Times New Roman" w:hAnsi="Times New Roman"/>
        </w:rPr>
        <w:t>are</w:t>
      </w:r>
      <w:r w:rsidR="00CA4795">
        <w:rPr>
          <w:rFonts w:ascii="Times New Roman" w:hAnsi="Times New Roman"/>
        </w:rPr>
        <w:t xml:space="preserve"> similar in terms of reported recreational fishing activity.</w:t>
      </w:r>
    </w:p>
    <w:p w:rsidR="006F4C46" w:rsidRDefault="006F4C46" w:rsidP="00FB39B6">
      <w:pPr>
        <w:pStyle w:val="L1-FlLSp12"/>
        <w:spacing w:line="240" w:lineRule="auto"/>
        <w:rPr>
          <w:rFonts w:ascii="Times New Roman" w:hAnsi="Times New Roman"/>
        </w:rPr>
      </w:pPr>
    </w:p>
    <w:p w:rsidR="006F4C46" w:rsidRDefault="008318FC" w:rsidP="00FB39B6">
      <w:pPr>
        <w:pStyle w:val="L1-FlLSp12"/>
        <w:spacing w:line="240" w:lineRule="auto"/>
        <w:rPr>
          <w:rFonts w:ascii="Times New Roman" w:hAnsi="Times New Roman"/>
        </w:rPr>
      </w:pPr>
      <w:r>
        <w:rPr>
          <w:rFonts w:ascii="Times New Roman" w:hAnsi="Times New Roman"/>
        </w:rPr>
        <w:t>We will also</w:t>
      </w:r>
      <w:r w:rsidR="006F4C46">
        <w:rPr>
          <w:rFonts w:ascii="Times New Roman" w:hAnsi="Times New Roman"/>
        </w:rPr>
        <w:t xml:space="preserve"> utilize information from </w:t>
      </w:r>
      <w:r w:rsidR="00B11734">
        <w:rPr>
          <w:rFonts w:ascii="Times New Roman" w:hAnsi="Times New Roman"/>
        </w:rPr>
        <w:t>sample frame</w:t>
      </w:r>
      <w:r>
        <w:rPr>
          <w:rFonts w:ascii="Times New Roman" w:hAnsi="Times New Roman"/>
        </w:rPr>
        <w:t>s</w:t>
      </w:r>
      <w:r w:rsidR="006F4C46">
        <w:rPr>
          <w:rFonts w:ascii="Times New Roman" w:hAnsi="Times New Roman"/>
        </w:rPr>
        <w:t xml:space="preserve"> to define weighting classes for post</w:t>
      </w:r>
      <w:r w:rsidR="00FA2944">
        <w:rPr>
          <w:rFonts w:ascii="Times New Roman" w:hAnsi="Times New Roman"/>
        </w:rPr>
        <w:t>-</w:t>
      </w:r>
      <w:r w:rsidR="006F4C46">
        <w:rPr>
          <w:rFonts w:ascii="Times New Roman" w:hAnsi="Times New Roman"/>
        </w:rPr>
        <w:t xml:space="preserve">survey weighting adjustments.  Weighting classes will be defined such that response rates and fishing activity are similar within classes.  Nonresponse bias will be measured by comparing unadjusted estimates </w:t>
      </w:r>
      <w:r w:rsidR="00831BC6">
        <w:rPr>
          <w:rFonts w:ascii="Times New Roman" w:hAnsi="Times New Roman"/>
        </w:rPr>
        <w:t xml:space="preserve">to estimates that have been adjusted to account for differential </w:t>
      </w:r>
      <w:r w:rsidR="00E93D42">
        <w:rPr>
          <w:rFonts w:ascii="Times New Roman" w:hAnsi="Times New Roman"/>
        </w:rPr>
        <w:t>non</w:t>
      </w:r>
      <w:r w:rsidR="00831BC6">
        <w:rPr>
          <w:rFonts w:ascii="Times New Roman" w:hAnsi="Times New Roman"/>
        </w:rPr>
        <w:t>response</w:t>
      </w:r>
      <w:r w:rsidR="00B11734">
        <w:rPr>
          <w:rFonts w:ascii="Times New Roman" w:hAnsi="Times New Roman"/>
        </w:rPr>
        <w:t xml:space="preserve"> among weighting classes</w:t>
      </w:r>
      <w:r w:rsidR="00831BC6">
        <w:rPr>
          <w:rFonts w:ascii="Times New Roman" w:hAnsi="Times New Roman"/>
        </w:rPr>
        <w:t>.</w:t>
      </w:r>
      <w:r w:rsidR="00080C5A">
        <w:rPr>
          <w:rFonts w:ascii="Times New Roman" w:hAnsi="Times New Roman"/>
        </w:rPr>
        <w:t xml:space="preserve">  Previous studies identified differential nonresponse </w:t>
      </w:r>
      <w:r w:rsidR="00D02500">
        <w:rPr>
          <w:rFonts w:ascii="Times New Roman" w:hAnsi="Times New Roman"/>
        </w:rPr>
        <w:t xml:space="preserve">and </w:t>
      </w:r>
      <w:r w:rsidR="00B646E9">
        <w:rPr>
          <w:rFonts w:ascii="Times New Roman" w:hAnsi="Times New Roman"/>
        </w:rPr>
        <w:t xml:space="preserve">reported </w:t>
      </w:r>
      <w:r w:rsidR="00D02500">
        <w:rPr>
          <w:rFonts w:ascii="Times New Roman" w:hAnsi="Times New Roman"/>
        </w:rPr>
        <w:t xml:space="preserve">fishing activity </w:t>
      </w:r>
      <w:r w:rsidR="00080C5A">
        <w:rPr>
          <w:rFonts w:ascii="Times New Roman" w:hAnsi="Times New Roman"/>
        </w:rPr>
        <w:t>between</w:t>
      </w:r>
      <w:r w:rsidR="00D02500">
        <w:rPr>
          <w:rFonts w:ascii="Times New Roman" w:hAnsi="Times New Roman"/>
        </w:rPr>
        <w:t xml:space="preserve"> households with and without licensed anglers</w:t>
      </w:r>
      <w:r w:rsidR="00B646E9">
        <w:rPr>
          <w:rFonts w:ascii="Times New Roman" w:hAnsi="Times New Roman"/>
        </w:rPr>
        <w:t xml:space="preserve"> and demonstrated that n</w:t>
      </w:r>
      <w:r w:rsidR="00D02500">
        <w:rPr>
          <w:rFonts w:ascii="Times New Roman" w:hAnsi="Times New Roman"/>
        </w:rPr>
        <w:t xml:space="preserve">onresponse weighting adjustment decreased estimates of fishing effort by 25% </w:t>
      </w:r>
      <w:r w:rsidR="00B646E9">
        <w:rPr>
          <w:rFonts w:ascii="Times New Roman" w:hAnsi="Times New Roman"/>
        </w:rPr>
        <w:t>over unadjusted estimates (Andrews et al., 2010)</w:t>
      </w:r>
      <w:r w:rsidR="00D02500">
        <w:rPr>
          <w:rFonts w:ascii="Times New Roman" w:hAnsi="Times New Roman"/>
        </w:rPr>
        <w:t xml:space="preserve">.   </w:t>
      </w:r>
      <w:r w:rsidR="00831BC6">
        <w:rPr>
          <w:rFonts w:ascii="Times New Roman" w:hAnsi="Times New Roman"/>
        </w:rPr>
        <w:t xml:space="preserve">  </w:t>
      </w:r>
      <w:r w:rsidR="006F4C46">
        <w:rPr>
          <w:rFonts w:ascii="Times New Roman" w:hAnsi="Times New Roman"/>
        </w:rPr>
        <w:t xml:space="preserve"> </w:t>
      </w:r>
    </w:p>
    <w:p w:rsidR="00E93D42" w:rsidRDefault="00E93D42" w:rsidP="00FB39B6">
      <w:pPr>
        <w:pStyle w:val="L1-FlLSp12"/>
        <w:spacing w:line="240" w:lineRule="auto"/>
        <w:rPr>
          <w:rFonts w:ascii="Times New Roman" w:hAnsi="Times New Roman"/>
        </w:rPr>
      </w:pPr>
    </w:p>
    <w:p w:rsidR="00B503CD" w:rsidRDefault="00B503CD" w:rsidP="00B503CD">
      <w:pPr>
        <w:pStyle w:val="Default"/>
        <w:ind w:right="183"/>
        <w:rPr>
          <w:b/>
          <w:bCs/>
        </w:rPr>
      </w:pPr>
      <w:r>
        <w:rPr>
          <w:b/>
          <w:bCs/>
        </w:rPr>
        <w:t>4. Describe any tests of procedures or methods to be undertaken. Tests are encouraged as effective means to refine collections, but if ten or more test respondents are involved OMB must give prior approval.</w:t>
      </w:r>
    </w:p>
    <w:p w:rsidR="00B503CD" w:rsidRDefault="00B503CD" w:rsidP="00B503CD">
      <w:pPr>
        <w:pStyle w:val="Default"/>
        <w:ind w:right="183"/>
        <w:rPr>
          <w:b/>
          <w:bCs/>
        </w:rPr>
      </w:pPr>
    </w:p>
    <w:p w:rsidR="00B503CD" w:rsidRDefault="00B503CD" w:rsidP="00B503CD">
      <w:pPr>
        <w:pStyle w:val="Default"/>
        <w:ind w:right="183"/>
      </w:pPr>
      <w:r>
        <w:rPr>
          <w:bCs/>
        </w:rPr>
        <w:t>No additional testing is planned.</w:t>
      </w:r>
      <w:r>
        <w:rPr>
          <w:b/>
          <w:bCs/>
        </w:rPr>
        <w:t xml:space="preserve"> </w:t>
      </w:r>
    </w:p>
    <w:p w:rsidR="00B503CD" w:rsidRDefault="00B503CD" w:rsidP="00B503CD">
      <w:pPr>
        <w:pStyle w:val="CM22"/>
        <w:spacing w:after="0"/>
        <w:ind w:right="375"/>
        <w:rPr>
          <w:color w:val="000000"/>
        </w:rPr>
      </w:pPr>
    </w:p>
    <w:p w:rsidR="00B503CD" w:rsidRDefault="00B503CD" w:rsidP="00B503CD">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B503CD" w:rsidRDefault="00B503CD" w:rsidP="00B503CD">
      <w:pPr>
        <w:pStyle w:val="Default"/>
      </w:pPr>
    </w:p>
    <w:p w:rsidR="00B503CD" w:rsidRDefault="00B503CD" w:rsidP="00B503CD">
      <w:pPr>
        <w:pStyle w:val="Default"/>
      </w:pPr>
      <w:r>
        <w:t>Statistical support was provided by the following:</w:t>
      </w:r>
    </w:p>
    <w:p w:rsidR="00B503CD" w:rsidRDefault="00B503CD" w:rsidP="00B503CD">
      <w:pPr>
        <w:pStyle w:val="Default"/>
      </w:pPr>
      <w:r>
        <w:t xml:space="preserve">Dr. J. Michael Brick, </w:t>
      </w:r>
      <w:proofErr w:type="spellStart"/>
      <w:r>
        <w:t>Westat</w:t>
      </w:r>
      <w:proofErr w:type="spellEnd"/>
      <w:r>
        <w:t>, 301-294-2004</w:t>
      </w:r>
    </w:p>
    <w:p w:rsidR="00B503CD" w:rsidRDefault="00B503CD" w:rsidP="00B503CD">
      <w:pPr>
        <w:pStyle w:val="Default"/>
      </w:pPr>
      <w:r>
        <w:t xml:space="preserve">Dr. Nancy A. </w:t>
      </w:r>
      <w:proofErr w:type="spellStart"/>
      <w:r>
        <w:t>Mathiowetz</w:t>
      </w:r>
      <w:proofErr w:type="spellEnd"/>
      <w:r>
        <w:t>, University of Wisconsin-Milwaukee, 414-229-2216</w:t>
      </w:r>
    </w:p>
    <w:p w:rsidR="00B503CD" w:rsidRDefault="00B503CD" w:rsidP="00B503CD">
      <w:pPr>
        <w:pStyle w:val="Default"/>
      </w:pPr>
    </w:p>
    <w:p w:rsidR="00B503CD" w:rsidRPr="009A7516" w:rsidRDefault="00B503CD" w:rsidP="00B503CD">
      <w:pPr>
        <w:pStyle w:val="CM23"/>
        <w:spacing w:line="280" w:lineRule="atLeast"/>
      </w:pPr>
      <w:r>
        <w:t>Rob Andrews, Fisheries Biologist, NOAA Fisheries Service, Office of Science and Technology, 301-427-8105 is the point-of-contact for the Agency.</w:t>
      </w:r>
    </w:p>
    <w:p w:rsidR="00B503CD" w:rsidRDefault="00B503CD" w:rsidP="00113646"/>
    <w:p w:rsidR="000C7703" w:rsidRDefault="000C7703">
      <w:pPr>
        <w:spacing w:after="200" w:line="276" w:lineRule="auto"/>
        <w:rPr>
          <w:color w:val="000000"/>
        </w:rPr>
      </w:pPr>
      <w:r>
        <w:br w:type="page"/>
      </w:r>
    </w:p>
    <w:p w:rsidR="00B503CD" w:rsidRDefault="000C7703" w:rsidP="0067695B">
      <w:pPr>
        <w:pStyle w:val="Default"/>
      </w:pPr>
      <w:r>
        <w:lastRenderedPageBreak/>
        <w:t>References</w:t>
      </w:r>
    </w:p>
    <w:p w:rsidR="00EE4FD8" w:rsidRDefault="00EE4FD8" w:rsidP="0067695B">
      <w:pPr>
        <w:pStyle w:val="Default"/>
      </w:pPr>
    </w:p>
    <w:p w:rsidR="001C7E18" w:rsidRDefault="001C7E18" w:rsidP="00C15CA2">
      <w:pPr>
        <w:spacing w:line="240" w:lineRule="auto"/>
      </w:pPr>
      <w:proofErr w:type="gramStart"/>
      <w:r>
        <w:t xml:space="preserve">Andrews, W.R., J.M. Brick, and N.M. </w:t>
      </w:r>
      <w:proofErr w:type="spellStart"/>
      <w:r>
        <w:t>Mathiowetz</w:t>
      </w:r>
      <w:proofErr w:type="spellEnd"/>
      <w:r>
        <w:t xml:space="preserve"> (2014).</w:t>
      </w:r>
      <w:proofErr w:type="gramEnd"/>
      <w:r>
        <w:t xml:space="preserve">  Development and Testing of Recreational Fishing Effort Surveys:  Testing a Mail Survey Design.  </w:t>
      </w:r>
      <w:proofErr w:type="gramStart"/>
      <w:r>
        <w:t xml:space="preserve">Retrieved from </w:t>
      </w:r>
      <w:r w:rsidRPr="001C7E18">
        <w:t>http://www.st.nmfs.noaa.gov/Assets/recreational/pdf/2012-FES_w_review_and_comments_FINAL.pdf</w:t>
      </w:r>
      <w:r>
        <w:t>.</w:t>
      </w:r>
      <w:proofErr w:type="gramEnd"/>
    </w:p>
    <w:p w:rsidR="001C7E18" w:rsidRDefault="001C7E18" w:rsidP="00C15CA2">
      <w:pPr>
        <w:spacing w:line="240" w:lineRule="auto"/>
      </w:pPr>
    </w:p>
    <w:p w:rsidR="00C15CA2" w:rsidRDefault="00C15CA2" w:rsidP="00C15CA2">
      <w:pPr>
        <w:spacing w:line="240" w:lineRule="auto"/>
      </w:pPr>
      <w:proofErr w:type="gramStart"/>
      <w:r w:rsidRPr="000F699F">
        <w:t xml:space="preserve">Andrews, W.R., J.M. Brick, N.M. </w:t>
      </w:r>
      <w:proofErr w:type="spellStart"/>
      <w:r w:rsidRPr="000F699F">
        <w:t>Mathiowetz</w:t>
      </w:r>
      <w:proofErr w:type="spellEnd"/>
      <w:r w:rsidRPr="000F699F">
        <w:t>, and L. Stokes (2010).</w:t>
      </w:r>
      <w:proofErr w:type="gramEnd"/>
      <w:r w:rsidRPr="000F699F">
        <w:t xml:space="preserve">  </w:t>
      </w:r>
      <w:proofErr w:type="gramStart"/>
      <w:r w:rsidRPr="000F699F">
        <w:t>Pilot Test of a Dual Frame Two-Phase Mail Survey of Anglers in North Carolina.</w:t>
      </w:r>
      <w:proofErr w:type="gramEnd"/>
      <w:r w:rsidRPr="000F699F">
        <w:t xml:space="preserve">  </w:t>
      </w:r>
      <w:proofErr w:type="gramStart"/>
      <w:r w:rsidRPr="000F699F">
        <w:t xml:space="preserve">Retrieved from </w:t>
      </w:r>
      <w:hyperlink r:id="rId9" w:history="1">
        <w:r w:rsidRPr="000F699F">
          <w:rPr>
            <w:rStyle w:val="Hyperlink"/>
          </w:rPr>
          <w:t>http://www.countmyfish.noaa.gov/projects/downloads/Final_Report%20NC%202009%20Dual%20Frame%20Two%20Phase%20Experiment.pdf</w:t>
        </w:r>
      </w:hyperlink>
      <w:r w:rsidRPr="000F699F">
        <w:t>.</w:t>
      </w:r>
      <w:proofErr w:type="gramEnd"/>
    </w:p>
    <w:p w:rsidR="00C15CA2" w:rsidRDefault="00C15CA2" w:rsidP="00C15CA2">
      <w:pPr>
        <w:spacing w:line="240" w:lineRule="auto"/>
      </w:pPr>
    </w:p>
    <w:p w:rsidR="00C15CA2" w:rsidRDefault="007F5AE8" w:rsidP="00C15CA2">
      <w:pPr>
        <w:spacing w:line="240" w:lineRule="auto"/>
      </w:pPr>
      <w:proofErr w:type="gramStart"/>
      <w:r w:rsidRPr="000F699F">
        <w:t>Brick.</w:t>
      </w:r>
      <w:proofErr w:type="gramEnd"/>
      <w:r w:rsidRPr="000F699F">
        <w:t xml:space="preserve"> </w:t>
      </w:r>
      <w:proofErr w:type="gramStart"/>
      <w:r w:rsidRPr="000F699F">
        <w:t xml:space="preserve">J.M., W.R. Andrews, </w:t>
      </w:r>
      <w:r>
        <w:t xml:space="preserve">and </w:t>
      </w:r>
      <w:r w:rsidRPr="000F699F">
        <w:t xml:space="preserve">N.M. </w:t>
      </w:r>
      <w:proofErr w:type="spellStart"/>
      <w:r w:rsidRPr="000F699F">
        <w:t>Mathiowetz</w:t>
      </w:r>
      <w:proofErr w:type="spellEnd"/>
      <w:r w:rsidRPr="000F699F">
        <w:t xml:space="preserve"> (2012</w:t>
      </w:r>
      <w:r>
        <w:t>a</w:t>
      </w:r>
      <w:r w:rsidRPr="000F699F">
        <w:t>).</w:t>
      </w:r>
      <w:proofErr w:type="gramEnd"/>
      <w:r w:rsidRPr="000F699F">
        <w:t xml:space="preserve">  </w:t>
      </w:r>
      <w:proofErr w:type="gramStart"/>
      <w:r w:rsidRPr="000F699F">
        <w:t>A Comparison of Recreational Fishing Effort Survey Designs.</w:t>
      </w:r>
      <w:proofErr w:type="gramEnd"/>
      <w:r w:rsidRPr="000F699F">
        <w:t xml:space="preserve">  </w:t>
      </w:r>
      <w:proofErr w:type="gramStart"/>
      <w:r w:rsidRPr="000F699F">
        <w:t>Retrieved from https://www.st.nmfs.noaa.gov/mdms/doc/08A_Comparison_of_Fishing_Effort_Surveys_Report_FINAL.pdf.</w:t>
      </w:r>
      <w:proofErr w:type="gramEnd"/>
    </w:p>
    <w:p w:rsidR="007F5AE8" w:rsidRDefault="007F5AE8" w:rsidP="007F5AE8">
      <w:pPr>
        <w:spacing w:before="100" w:beforeAutospacing="1" w:after="100" w:afterAutospacing="1" w:line="240" w:lineRule="auto"/>
      </w:pPr>
      <w:proofErr w:type="gramStart"/>
      <w:r>
        <w:t xml:space="preserve">Brick, J.M., W.R. Andrews, P.D. Brick, H. King, and N.M. </w:t>
      </w:r>
      <w:proofErr w:type="spellStart"/>
      <w:r>
        <w:t>Mathiowetz</w:t>
      </w:r>
      <w:proofErr w:type="spellEnd"/>
      <w:r>
        <w:t xml:space="preserve"> (2012b).</w:t>
      </w:r>
      <w:proofErr w:type="gramEnd"/>
      <w:r>
        <w:t xml:space="preserve">  </w:t>
      </w:r>
      <w:proofErr w:type="gramStart"/>
      <w:r>
        <w:t>Methods for Improving Response Rates in Two-Phase Mail Surveys.</w:t>
      </w:r>
      <w:proofErr w:type="gramEnd"/>
      <w:r>
        <w:t xml:space="preserve">  </w:t>
      </w:r>
      <w:proofErr w:type="gramStart"/>
      <w:r>
        <w:t>Survey Practice 5(4).</w:t>
      </w:r>
      <w:proofErr w:type="gramEnd"/>
    </w:p>
    <w:p w:rsidR="0026581E" w:rsidRPr="004E0AB8" w:rsidRDefault="0026581E" w:rsidP="0026581E">
      <w:pPr>
        <w:autoSpaceDE w:val="0"/>
        <w:autoSpaceDN w:val="0"/>
        <w:adjustRightInd w:val="0"/>
        <w:spacing w:line="240" w:lineRule="auto"/>
      </w:pPr>
      <w:proofErr w:type="spellStart"/>
      <w:proofErr w:type="gramStart"/>
      <w:r>
        <w:rPr>
          <w:rFonts w:ascii="AdvOT3c2d9f11" w:hAnsi="AdvOT3c2d9f11" w:cs="AdvOT3c2d9f11"/>
        </w:rPr>
        <w:t>Dillman</w:t>
      </w:r>
      <w:proofErr w:type="spellEnd"/>
      <w:r>
        <w:rPr>
          <w:rFonts w:ascii="AdvOT3c2d9f11" w:hAnsi="AdvOT3c2d9f11" w:cs="AdvOT3c2d9f11"/>
        </w:rPr>
        <w:t>, D.</w:t>
      </w:r>
      <w:r w:rsidRPr="004E0AB8">
        <w:rPr>
          <w:rFonts w:ascii="AdvOT3c2d9f11" w:hAnsi="AdvOT3c2d9f11" w:cs="AdvOT3c2d9f11"/>
        </w:rPr>
        <w:t xml:space="preserve">A., </w:t>
      </w:r>
      <w:r>
        <w:rPr>
          <w:rFonts w:ascii="AdvOT3c2d9f11" w:hAnsi="AdvOT3c2d9f11" w:cs="AdvOT3c2d9f11"/>
        </w:rPr>
        <w:t>J.D. Smyth, and L.M. Christian (</w:t>
      </w:r>
      <w:r w:rsidRPr="004E0AB8">
        <w:rPr>
          <w:rFonts w:ascii="AdvOT3c2d9f11" w:hAnsi="AdvOT3c2d9f11" w:cs="AdvOT3c2d9f11"/>
        </w:rPr>
        <w:t>2009</w:t>
      </w:r>
      <w:r>
        <w:rPr>
          <w:rFonts w:ascii="AdvOT3c2d9f11" w:hAnsi="AdvOT3c2d9f11" w:cs="AdvOT3c2d9f11"/>
        </w:rPr>
        <w:t>)</w:t>
      </w:r>
      <w:r w:rsidRPr="004E0AB8">
        <w:rPr>
          <w:rFonts w:ascii="AdvOT3c2d9f11" w:hAnsi="AdvOT3c2d9f11" w:cs="AdvOT3c2d9f11"/>
        </w:rPr>
        <w:t>.</w:t>
      </w:r>
      <w:proofErr w:type="gramEnd"/>
      <w:r w:rsidRPr="004E0AB8">
        <w:rPr>
          <w:rFonts w:ascii="AdvOT3c2d9f11" w:hAnsi="AdvOT3c2d9f11" w:cs="AdvOT3c2d9f11"/>
        </w:rPr>
        <w:t xml:space="preserve"> </w:t>
      </w:r>
      <w:r w:rsidRPr="00C950E8">
        <w:rPr>
          <w:rFonts w:ascii="AdvOT21bf1298.I" w:hAnsi="AdvOT21bf1298.I" w:cs="AdvOT21bf1298.I"/>
          <w:i/>
        </w:rPr>
        <w:t>Internet, Mail, and Mixed-Mode Surveys: The Tailored Design Method</w:t>
      </w:r>
      <w:r w:rsidRPr="004E0AB8">
        <w:rPr>
          <w:rFonts w:ascii="AdvOT21bf1298.I" w:hAnsi="AdvOT21bf1298.I" w:cs="AdvOT21bf1298.I"/>
        </w:rPr>
        <w:t xml:space="preserve">. </w:t>
      </w:r>
      <w:r w:rsidRPr="004E0AB8">
        <w:rPr>
          <w:rFonts w:ascii="AdvOT3c2d9f11" w:hAnsi="AdvOT3c2d9f11" w:cs="AdvOT3c2d9f11"/>
        </w:rPr>
        <w:t>New York: Wiley and Sons.</w:t>
      </w:r>
    </w:p>
    <w:p w:rsidR="0026581E" w:rsidRDefault="0026581E" w:rsidP="0026581E">
      <w:pPr>
        <w:pStyle w:val="Default"/>
        <w:rPr>
          <w:rFonts w:ascii="Calibri" w:hAnsi="Calibri" w:cs="Calibri"/>
          <w:b/>
          <w:bCs/>
        </w:rPr>
      </w:pPr>
      <w:proofErr w:type="spellStart"/>
      <w:proofErr w:type="gramStart"/>
      <w:r w:rsidRPr="00AD4658">
        <w:t>Lohr</w:t>
      </w:r>
      <w:proofErr w:type="spellEnd"/>
      <w:r w:rsidRPr="00AD4658">
        <w:t>, S. (2009).</w:t>
      </w:r>
      <w:proofErr w:type="gramEnd"/>
      <w:r w:rsidRPr="00AD4658">
        <w:t xml:space="preserve"> </w:t>
      </w:r>
      <w:proofErr w:type="gramStart"/>
      <w:r w:rsidRPr="00AD4658">
        <w:t>Multiple Frame Surveys.</w:t>
      </w:r>
      <w:proofErr w:type="gramEnd"/>
      <w:r w:rsidRPr="00AD4658">
        <w:t xml:space="preserve"> Chapter 4 in </w:t>
      </w:r>
      <w:proofErr w:type="spellStart"/>
      <w:r w:rsidRPr="00AD4658">
        <w:t>Pfeffermann</w:t>
      </w:r>
      <w:proofErr w:type="spellEnd"/>
      <w:r w:rsidRPr="00AD4658">
        <w:t xml:space="preserve">, D. (Ed.) </w:t>
      </w:r>
      <w:r w:rsidRPr="00C950E8">
        <w:rPr>
          <w:i/>
          <w:iCs/>
        </w:rPr>
        <w:t>Handbook of Statistics: Sample Surveys Design, Methods and Applications</w:t>
      </w:r>
      <w:r w:rsidRPr="00AD4658">
        <w:rPr>
          <w:iCs/>
        </w:rPr>
        <w:t xml:space="preserve"> </w:t>
      </w:r>
      <w:r w:rsidRPr="00AD4658">
        <w:t>(vol. 29A). Elsevier, Amsterdam</w:t>
      </w:r>
      <w:r w:rsidRPr="00AD4658">
        <w:rPr>
          <w:rFonts w:ascii="Calibri" w:hAnsi="Calibri" w:cs="Calibri"/>
          <w:b/>
          <w:bCs/>
        </w:rPr>
        <w:t>.</w:t>
      </w:r>
    </w:p>
    <w:p w:rsidR="0026581E" w:rsidRPr="007F5AE8" w:rsidRDefault="0026581E" w:rsidP="007F5AE8">
      <w:pPr>
        <w:spacing w:before="100" w:beforeAutospacing="1" w:after="100" w:afterAutospacing="1" w:line="240" w:lineRule="auto"/>
      </w:pPr>
    </w:p>
    <w:sectPr w:rsidR="0026581E" w:rsidRPr="007F5AE8" w:rsidSect="0076412D">
      <w:footerReference w:type="default" r:id="rId10"/>
      <w:type w:val="continuous"/>
      <w:pgSz w:w="12240" w:h="15840"/>
      <w:pgMar w:top="1152"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5E" w:rsidRDefault="00CF305E" w:rsidP="00113646">
      <w:r>
        <w:separator/>
      </w:r>
    </w:p>
  </w:endnote>
  <w:endnote w:type="continuationSeparator" w:id="0">
    <w:p w:rsidR="00CF305E" w:rsidRDefault="00CF305E"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dvOT3c2d9f11">
    <w:panose1 w:val="00000000000000000000"/>
    <w:charset w:val="00"/>
    <w:family w:val="roman"/>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CF305E" w:rsidRDefault="00CF305E" w:rsidP="00113646">
        <w:pPr>
          <w:pStyle w:val="Footer"/>
        </w:pPr>
        <w:r>
          <w:fldChar w:fldCharType="begin"/>
        </w:r>
        <w:r>
          <w:instrText xml:space="preserve"> PAGE   \* MERGEFORMAT </w:instrText>
        </w:r>
        <w:r>
          <w:fldChar w:fldCharType="separate"/>
        </w:r>
        <w:r w:rsidR="00895E8A">
          <w:rPr>
            <w:noProof/>
          </w:rPr>
          <w:t>5</w:t>
        </w:r>
        <w:r>
          <w:rPr>
            <w:noProof/>
          </w:rPr>
          <w:fldChar w:fldCharType="end"/>
        </w:r>
      </w:p>
    </w:sdtContent>
  </w:sdt>
  <w:p w:rsidR="00CF305E" w:rsidRDefault="00CF305E"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5E" w:rsidRDefault="00CF305E" w:rsidP="00113646">
      <w:r>
        <w:separator/>
      </w:r>
    </w:p>
  </w:footnote>
  <w:footnote w:type="continuationSeparator" w:id="0">
    <w:p w:rsidR="00CF305E" w:rsidRDefault="00CF305E" w:rsidP="00113646">
      <w:r>
        <w:continuationSeparator/>
      </w:r>
    </w:p>
  </w:footnote>
  <w:footnote w:id="1">
    <w:p w:rsidR="00CF305E" w:rsidRDefault="00CF305E" w:rsidP="004568C8">
      <w:pPr>
        <w:pStyle w:val="FootnoteText"/>
        <w:spacing w:line="240" w:lineRule="auto"/>
      </w:pPr>
      <w:r>
        <w:rPr>
          <w:rStyle w:val="FootnoteReference"/>
        </w:rPr>
        <w:footnoteRef/>
      </w:r>
      <w:r>
        <w:t xml:space="preserve"> Florida is not stratified due to the relatively high rate of fishing across the state, and Connecticut, Delaware, and Rhode Island are not stratified due to the small geographic areas of the states.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6"/>
  </w:num>
  <w:num w:numId="12">
    <w:abstractNumId w:val="9"/>
  </w:num>
  <w:num w:numId="13">
    <w:abstractNumId w:val="14"/>
  </w:num>
  <w:num w:numId="14">
    <w:abstractNumId w:val="17"/>
  </w:num>
  <w:num w:numId="15">
    <w:abstractNumId w:val="12"/>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05A2"/>
    <w:rsid w:val="00005AA2"/>
    <w:rsid w:val="000062CD"/>
    <w:rsid w:val="000071AB"/>
    <w:rsid w:val="00023DE9"/>
    <w:rsid w:val="0002427F"/>
    <w:rsid w:val="00026C06"/>
    <w:rsid w:val="0003021F"/>
    <w:rsid w:val="00031684"/>
    <w:rsid w:val="000317CA"/>
    <w:rsid w:val="00034F4C"/>
    <w:rsid w:val="0003571E"/>
    <w:rsid w:val="00035B71"/>
    <w:rsid w:val="00036C03"/>
    <w:rsid w:val="00037201"/>
    <w:rsid w:val="00037EDA"/>
    <w:rsid w:val="0004003B"/>
    <w:rsid w:val="0004436D"/>
    <w:rsid w:val="000469C1"/>
    <w:rsid w:val="00051231"/>
    <w:rsid w:val="0005404E"/>
    <w:rsid w:val="000550B2"/>
    <w:rsid w:val="00055B09"/>
    <w:rsid w:val="00057DBE"/>
    <w:rsid w:val="000604CE"/>
    <w:rsid w:val="00061530"/>
    <w:rsid w:val="00070722"/>
    <w:rsid w:val="0007190B"/>
    <w:rsid w:val="00071C03"/>
    <w:rsid w:val="000720C8"/>
    <w:rsid w:val="00073029"/>
    <w:rsid w:val="000740E5"/>
    <w:rsid w:val="00077AA7"/>
    <w:rsid w:val="00080C5A"/>
    <w:rsid w:val="00085800"/>
    <w:rsid w:val="00085FA8"/>
    <w:rsid w:val="0008691A"/>
    <w:rsid w:val="0008695B"/>
    <w:rsid w:val="00090987"/>
    <w:rsid w:val="00093E43"/>
    <w:rsid w:val="00096438"/>
    <w:rsid w:val="000972D5"/>
    <w:rsid w:val="000A09F2"/>
    <w:rsid w:val="000A2E75"/>
    <w:rsid w:val="000A44F9"/>
    <w:rsid w:val="000A5BB4"/>
    <w:rsid w:val="000A70DE"/>
    <w:rsid w:val="000B0DAE"/>
    <w:rsid w:val="000B1501"/>
    <w:rsid w:val="000B3134"/>
    <w:rsid w:val="000B3D86"/>
    <w:rsid w:val="000B54A1"/>
    <w:rsid w:val="000B5636"/>
    <w:rsid w:val="000B6A0F"/>
    <w:rsid w:val="000B7BBE"/>
    <w:rsid w:val="000C0771"/>
    <w:rsid w:val="000C1733"/>
    <w:rsid w:val="000C18DA"/>
    <w:rsid w:val="000C1C68"/>
    <w:rsid w:val="000C21C2"/>
    <w:rsid w:val="000C4887"/>
    <w:rsid w:val="000C5703"/>
    <w:rsid w:val="000C7703"/>
    <w:rsid w:val="000D03CB"/>
    <w:rsid w:val="000D0B11"/>
    <w:rsid w:val="000D1559"/>
    <w:rsid w:val="000D2404"/>
    <w:rsid w:val="000D3A23"/>
    <w:rsid w:val="000D498B"/>
    <w:rsid w:val="000D6336"/>
    <w:rsid w:val="000D6395"/>
    <w:rsid w:val="000D7B4F"/>
    <w:rsid w:val="000E1037"/>
    <w:rsid w:val="000E139A"/>
    <w:rsid w:val="000E1758"/>
    <w:rsid w:val="000E23C3"/>
    <w:rsid w:val="000E6A04"/>
    <w:rsid w:val="000E7024"/>
    <w:rsid w:val="000F12E7"/>
    <w:rsid w:val="000F43A7"/>
    <w:rsid w:val="00101680"/>
    <w:rsid w:val="001018FF"/>
    <w:rsid w:val="001028F2"/>
    <w:rsid w:val="00106752"/>
    <w:rsid w:val="00106F1D"/>
    <w:rsid w:val="00107A02"/>
    <w:rsid w:val="001107A8"/>
    <w:rsid w:val="00112F7D"/>
    <w:rsid w:val="001131F4"/>
    <w:rsid w:val="00113482"/>
    <w:rsid w:val="00113646"/>
    <w:rsid w:val="00114E7B"/>
    <w:rsid w:val="001158A9"/>
    <w:rsid w:val="0012002A"/>
    <w:rsid w:val="001219E7"/>
    <w:rsid w:val="00125816"/>
    <w:rsid w:val="001311AA"/>
    <w:rsid w:val="00133448"/>
    <w:rsid w:val="00134B26"/>
    <w:rsid w:val="00140BF3"/>
    <w:rsid w:val="0014484A"/>
    <w:rsid w:val="00146058"/>
    <w:rsid w:val="001463B5"/>
    <w:rsid w:val="00152130"/>
    <w:rsid w:val="0015273E"/>
    <w:rsid w:val="00155680"/>
    <w:rsid w:val="00155EBD"/>
    <w:rsid w:val="00156E3E"/>
    <w:rsid w:val="00156FA8"/>
    <w:rsid w:val="00160BC3"/>
    <w:rsid w:val="00165BAC"/>
    <w:rsid w:val="00167E58"/>
    <w:rsid w:val="00172F48"/>
    <w:rsid w:val="00173A63"/>
    <w:rsid w:val="00173F93"/>
    <w:rsid w:val="00174172"/>
    <w:rsid w:val="00176D16"/>
    <w:rsid w:val="00182B98"/>
    <w:rsid w:val="0018522F"/>
    <w:rsid w:val="0018704B"/>
    <w:rsid w:val="001870BE"/>
    <w:rsid w:val="0019338A"/>
    <w:rsid w:val="0019613F"/>
    <w:rsid w:val="0019620B"/>
    <w:rsid w:val="001A4948"/>
    <w:rsid w:val="001A4B34"/>
    <w:rsid w:val="001A5818"/>
    <w:rsid w:val="001A6668"/>
    <w:rsid w:val="001A7075"/>
    <w:rsid w:val="001A7165"/>
    <w:rsid w:val="001B3141"/>
    <w:rsid w:val="001B731E"/>
    <w:rsid w:val="001B7DDF"/>
    <w:rsid w:val="001C0B5B"/>
    <w:rsid w:val="001C4A9B"/>
    <w:rsid w:val="001C7544"/>
    <w:rsid w:val="001C7E18"/>
    <w:rsid w:val="001D1F90"/>
    <w:rsid w:val="001D70C6"/>
    <w:rsid w:val="001E06E6"/>
    <w:rsid w:val="001E1BE2"/>
    <w:rsid w:val="001E2542"/>
    <w:rsid w:val="001E28FF"/>
    <w:rsid w:val="001E2CE9"/>
    <w:rsid w:val="001E747E"/>
    <w:rsid w:val="001E7891"/>
    <w:rsid w:val="001E7A7D"/>
    <w:rsid w:val="001F1D64"/>
    <w:rsid w:val="001F53E3"/>
    <w:rsid w:val="001F58A9"/>
    <w:rsid w:val="001F60E9"/>
    <w:rsid w:val="00201D8C"/>
    <w:rsid w:val="002047C1"/>
    <w:rsid w:val="00205701"/>
    <w:rsid w:val="00207405"/>
    <w:rsid w:val="00207CA9"/>
    <w:rsid w:val="00210CAC"/>
    <w:rsid w:val="002130BF"/>
    <w:rsid w:val="00214B19"/>
    <w:rsid w:val="002168E6"/>
    <w:rsid w:val="00217FBD"/>
    <w:rsid w:val="002247A4"/>
    <w:rsid w:val="002247D7"/>
    <w:rsid w:val="00227F4B"/>
    <w:rsid w:val="00230A4C"/>
    <w:rsid w:val="00232455"/>
    <w:rsid w:val="00234477"/>
    <w:rsid w:val="00234EE8"/>
    <w:rsid w:val="0023617C"/>
    <w:rsid w:val="00237423"/>
    <w:rsid w:val="00240A96"/>
    <w:rsid w:val="00241FB7"/>
    <w:rsid w:val="00243590"/>
    <w:rsid w:val="00243E4B"/>
    <w:rsid w:val="00245C87"/>
    <w:rsid w:val="002462F5"/>
    <w:rsid w:val="00251A5B"/>
    <w:rsid w:val="002524A0"/>
    <w:rsid w:val="00256391"/>
    <w:rsid w:val="00263B66"/>
    <w:rsid w:val="0026581E"/>
    <w:rsid w:val="00270DD1"/>
    <w:rsid w:val="00272912"/>
    <w:rsid w:val="00273D4F"/>
    <w:rsid w:val="00275C65"/>
    <w:rsid w:val="00276817"/>
    <w:rsid w:val="00277DE0"/>
    <w:rsid w:val="00280D30"/>
    <w:rsid w:val="002823A4"/>
    <w:rsid w:val="002830A9"/>
    <w:rsid w:val="002860A4"/>
    <w:rsid w:val="002905CE"/>
    <w:rsid w:val="00291AF3"/>
    <w:rsid w:val="00293BB4"/>
    <w:rsid w:val="00294B83"/>
    <w:rsid w:val="0029593C"/>
    <w:rsid w:val="00296715"/>
    <w:rsid w:val="00296F21"/>
    <w:rsid w:val="002A0601"/>
    <w:rsid w:val="002A120D"/>
    <w:rsid w:val="002A2154"/>
    <w:rsid w:val="002A261B"/>
    <w:rsid w:val="002A3F35"/>
    <w:rsid w:val="002A4167"/>
    <w:rsid w:val="002A4C1B"/>
    <w:rsid w:val="002B0B7E"/>
    <w:rsid w:val="002B169D"/>
    <w:rsid w:val="002B182A"/>
    <w:rsid w:val="002B21DE"/>
    <w:rsid w:val="002B258B"/>
    <w:rsid w:val="002B5CB6"/>
    <w:rsid w:val="002B6042"/>
    <w:rsid w:val="002B61F6"/>
    <w:rsid w:val="002B72A1"/>
    <w:rsid w:val="002C6900"/>
    <w:rsid w:val="002D527D"/>
    <w:rsid w:val="002D5FAD"/>
    <w:rsid w:val="002D7601"/>
    <w:rsid w:val="002D7C55"/>
    <w:rsid w:val="002E026A"/>
    <w:rsid w:val="002E0939"/>
    <w:rsid w:val="002E191E"/>
    <w:rsid w:val="002E1D70"/>
    <w:rsid w:val="002E1EE7"/>
    <w:rsid w:val="002E3081"/>
    <w:rsid w:val="002E3D76"/>
    <w:rsid w:val="002E4D41"/>
    <w:rsid w:val="002E6295"/>
    <w:rsid w:val="002E69D8"/>
    <w:rsid w:val="002E7126"/>
    <w:rsid w:val="002E722C"/>
    <w:rsid w:val="002F1D40"/>
    <w:rsid w:val="002F305A"/>
    <w:rsid w:val="002F5105"/>
    <w:rsid w:val="002F70EC"/>
    <w:rsid w:val="00300690"/>
    <w:rsid w:val="00300FD4"/>
    <w:rsid w:val="00301228"/>
    <w:rsid w:val="00304F1D"/>
    <w:rsid w:val="00305643"/>
    <w:rsid w:val="003065F9"/>
    <w:rsid w:val="00311434"/>
    <w:rsid w:val="0031258C"/>
    <w:rsid w:val="0031309B"/>
    <w:rsid w:val="0031320F"/>
    <w:rsid w:val="003141DB"/>
    <w:rsid w:val="00314635"/>
    <w:rsid w:val="00315C76"/>
    <w:rsid w:val="003217DB"/>
    <w:rsid w:val="00323307"/>
    <w:rsid w:val="00324D2A"/>
    <w:rsid w:val="00327919"/>
    <w:rsid w:val="003316D4"/>
    <w:rsid w:val="003320DD"/>
    <w:rsid w:val="00332DF5"/>
    <w:rsid w:val="003343C2"/>
    <w:rsid w:val="00336322"/>
    <w:rsid w:val="00337F5B"/>
    <w:rsid w:val="00340226"/>
    <w:rsid w:val="00340CAC"/>
    <w:rsid w:val="00341063"/>
    <w:rsid w:val="00341F44"/>
    <w:rsid w:val="00343EC7"/>
    <w:rsid w:val="00344492"/>
    <w:rsid w:val="00347BB4"/>
    <w:rsid w:val="003505D2"/>
    <w:rsid w:val="0035142D"/>
    <w:rsid w:val="00355C30"/>
    <w:rsid w:val="00356DAE"/>
    <w:rsid w:val="00356EAD"/>
    <w:rsid w:val="003571EF"/>
    <w:rsid w:val="00357483"/>
    <w:rsid w:val="00357F1E"/>
    <w:rsid w:val="00362D11"/>
    <w:rsid w:val="00363254"/>
    <w:rsid w:val="00363449"/>
    <w:rsid w:val="003638C0"/>
    <w:rsid w:val="0036406F"/>
    <w:rsid w:val="00366D16"/>
    <w:rsid w:val="00371B4F"/>
    <w:rsid w:val="003776C5"/>
    <w:rsid w:val="00380C86"/>
    <w:rsid w:val="00384306"/>
    <w:rsid w:val="003875BC"/>
    <w:rsid w:val="003906CE"/>
    <w:rsid w:val="00393488"/>
    <w:rsid w:val="00395F44"/>
    <w:rsid w:val="00396763"/>
    <w:rsid w:val="003974A4"/>
    <w:rsid w:val="003A3ECB"/>
    <w:rsid w:val="003A5B61"/>
    <w:rsid w:val="003B00CB"/>
    <w:rsid w:val="003B0392"/>
    <w:rsid w:val="003B0EB6"/>
    <w:rsid w:val="003B180C"/>
    <w:rsid w:val="003B4604"/>
    <w:rsid w:val="003B52FD"/>
    <w:rsid w:val="003C1517"/>
    <w:rsid w:val="003C2189"/>
    <w:rsid w:val="003C4F3D"/>
    <w:rsid w:val="003C5C3B"/>
    <w:rsid w:val="003C5C4F"/>
    <w:rsid w:val="003C6185"/>
    <w:rsid w:val="003C619B"/>
    <w:rsid w:val="003C75FB"/>
    <w:rsid w:val="003C76DD"/>
    <w:rsid w:val="003D1CB8"/>
    <w:rsid w:val="003D1E5A"/>
    <w:rsid w:val="003D3119"/>
    <w:rsid w:val="003D5324"/>
    <w:rsid w:val="003D603E"/>
    <w:rsid w:val="003D6CC6"/>
    <w:rsid w:val="003D6DF7"/>
    <w:rsid w:val="003E075E"/>
    <w:rsid w:val="003E333E"/>
    <w:rsid w:val="003E6B31"/>
    <w:rsid w:val="003E6D9B"/>
    <w:rsid w:val="003E79D8"/>
    <w:rsid w:val="003F1DAF"/>
    <w:rsid w:val="003F320D"/>
    <w:rsid w:val="003F3807"/>
    <w:rsid w:val="003F3DB8"/>
    <w:rsid w:val="003F3FA6"/>
    <w:rsid w:val="003F4D3E"/>
    <w:rsid w:val="003F5B4C"/>
    <w:rsid w:val="003F65FD"/>
    <w:rsid w:val="003F6663"/>
    <w:rsid w:val="003F6838"/>
    <w:rsid w:val="00401EF4"/>
    <w:rsid w:val="004029AF"/>
    <w:rsid w:val="00404003"/>
    <w:rsid w:val="00404324"/>
    <w:rsid w:val="00406479"/>
    <w:rsid w:val="004066D2"/>
    <w:rsid w:val="004075FF"/>
    <w:rsid w:val="00412AFB"/>
    <w:rsid w:val="0041398B"/>
    <w:rsid w:val="004174CF"/>
    <w:rsid w:val="004217B8"/>
    <w:rsid w:val="004241AC"/>
    <w:rsid w:val="00424495"/>
    <w:rsid w:val="00425897"/>
    <w:rsid w:val="004261E3"/>
    <w:rsid w:val="00427B97"/>
    <w:rsid w:val="004300A5"/>
    <w:rsid w:val="00430499"/>
    <w:rsid w:val="00430790"/>
    <w:rsid w:val="00431543"/>
    <w:rsid w:val="004352D0"/>
    <w:rsid w:val="0044117E"/>
    <w:rsid w:val="004419A9"/>
    <w:rsid w:val="00441F12"/>
    <w:rsid w:val="00442981"/>
    <w:rsid w:val="004449FA"/>
    <w:rsid w:val="00445317"/>
    <w:rsid w:val="00445F2C"/>
    <w:rsid w:val="0045034F"/>
    <w:rsid w:val="004525D1"/>
    <w:rsid w:val="00453A07"/>
    <w:rsid w:val="00455068"/>
    <w:rsid w:val="004568C8"/>
    <w:rsid w:val="00456CD7"/>
    <w:rsid w:val="00457C5A"/>
    <w:rsid w:val="00461B6C"/>
    <w:rsid w:val="004621AE"/>
    <w:rsid w:val="0046451F"/>
    <w:rsid w:val="00464FDB"/>
    <w:rsid w:val="00465C34"/>
    <w:rsid w:val="00467AB4"/>
    <w:rsid w:val="00470478"/>
    <w:rsid w:val="00470E33"/>
    <w:rsid w:val="004717DD"/>
    <w:rsid w:val="00472FF3"/>
    <w:rsid w:val="00475EC2"/>
    <w:rsid w:val="0047739F"/>
    <w:rsid w:val="00480147"/>
    <w:rsid w:val="004806B5"/>
    <w:rsid w:val="00483AC7"/>
    <w:rsid w:val="00487FF5"/>
    <w:rsid w:val="0049053E"/>
    <w:rsid w:val="004929E1"/>
    <w:rsid w:val="0049766B"/>
    <w:rsid w:val="004A15B1"/>
    <w:rsid w:val="004A36C7"/>
    <w:rsid w:val="004A61E1"/>
    <w:rsid w:val="004A67A2"/>
    <w:rsid w:val="004A6C87"/>
    <w:rsid w:val="004B1AC2"/>
    <w:rsid w:val="004B65B5"/>
    <w:rsid w:val="004B71B9"/>
    <w:rsid w:val="004C1372"/>
    <w:rsid w:val="004C1DF3"/>
    <w:rsid w:val="004C277F"/>
    <w:rsid w:val="004C3223"/>
    <w:rsid w:val="004C4395"/>
    <w:rsid w:val="004C6AA9"/>
    <w:rsid w:val="004D09D9"/>
    <w:rsid w:val="004D0E29"/>
    <w:rsid w:val="004D290F"/>
    <w:rsid w:val="004D52A3"/>
    <w:rsid w:val="004D59BD"/>
    <w:rsid w:val="004D6794"/>
    <w:rsid w:val="004E0138"/>
    <w:rsid w:val="004E0A4F"/>
    <w:rsid w:val="004E0E5E"/>
    <w:rsid w:val="004E34D8"/>
    <w:rsid w:val="004E5749"/>
    <w:rsid w:val="004E6A18"/>
    <w:rsid w:val="004F4B07"/>
    <w:rsid w:val="004F7559"/>
    <w:rsid w:val="005003AC"/>
    <w:rsid w:val="00502CBD"/>
    <w:rsid w:val="00506FB1"/>
    <w:rsid w:val="005122FF"/>
    <w:rsid w:val="00513413"/>
    <w:rsid w:val="0051709E"/>
    <w:rsid w:val="005177F3"/>
    <w:rsid w:val="00524B90"/>
    <w:rsid w:val="005260E2"/>
    <w:rsid w:val="00527D1E"/>
    <w:rsid w:val="00527DDE"/>
    <w:rsid w:val="00532841"/>
    <w:rsid w:val="005335FF"/>
    <w:rsid w:val="00534694"/>
    <w:rsid w:val="00537CAD"/>
    <w:rsid w:val="00541CDB"/>
    <w:rsid w:val="00543FC0"/>
    <w:rsid w:val="0054432C"/>
    <w:rsid w:val="0054590D"/>
    <w:rsid w:val="00546488"/>
    <w:rsid w:val="005531AA"/>
    <w:rsid w:val="00556ACD"/>
    <w:rsid w:val="00557FE0"/>
    <w:rsid w:val="00565DE9"/>
    <w:rsid w:val="00566D64"/>
    <w:rsid w:val="00567973"/>
    <w:rsid w:val="00570768"/>
    <w:rsid w:val="00571157"/>
    <w:rsid w:val="00573C8E"/>
    <w:rsid w:val="00574181"/>
    <w:rsid w:val="00574453"/>
    <w:rsid w:val="00574D59"/>
    <w:rsid w:val="00580122"/>
    <w:rsid w:val="0058410C"/>
    <w:rsid w:val="00584E96"/>
    <w:rsid w:val="00585EB8"/>
    <w:rsid w:val="00585F8C"/>
    <w:rsid w:val="00587B8F"/>
    <w:rsid w:val="005908B6"/>
    <w:rsid w:val="00593336"/>
    <w:rsid w:val="005934D2"/>
    <w:rsid w:val="00594576"/>
    <w:rsid w:val="00594669"/>
    <w:rsid w:val="005949F7"/>
    <w:rsid w:val="0059687E"/>
    <w:rsid w:val="00596A94"/>
    <w:rsid w:val="005A2F0B"/>
    <w:rsid w:val="005A5894"/>
    <w:rsid w:val="005A6BA7"/>
    <w:rsid w:val="005B038A"/>
    <w:rsid w:val="005B2836"/>
    <w:rsid w:val="005B45A6"/>
    <w:rsid w:val="005B6AB0"/>
    <w:rsid w:val="005B729E"/>
    <w:rsid w:val="005C1887"/>
    <w:rsid w:val="005C20C1"/>
    <w:rsid w:val="005C2228"/>
    <w:rsid w:val="005C3764"/>
    <w:rsid w:val="005C645B"/>
    <w:rsid w:val="005C659A"/>
    <w:rsid w:val="005C725D"/>
    <w:rsid w:val="005C7315"/>
    <w:rsid w:val="005C74EB"/>
    <w:rsid w:val="005D0B8D"/>
    <w:rsid w:val="005D1157"/>
    <w:rsid w:val="005D2DEA"/>
    <w:rsid w:val="005D35AB"/>
    <w:rsid w:val="005D4E16"/>
    <w:rsid w:val="005D7772"/>
    <w:rsid w:val="005D7E56"/>
    <w:rsid w:val="005E070A"/>
    <w:rsid w:val="005E3790"/>
    <w:rsid w:val="005E723D"/>
    <w:rsid w:val="005E7704"/>
    <w:rsid w:val="005F07D3"/>
    <w:rsid w:val="005F11A8"/>
    <w:rsid w:val="005F1C93"/>
    <w:rsid w:val="005F1D33"/>
    <w:rsid w:val="005F2171"/>
    <w:rsid w:val="005F3569"/>
    <w:rsid w:val="0060321F"/>
    <w:rsid w:val="0060504E"/>
    <w:rsid w:val="0061116B"/>
    <w:rsid w:val="00613B51"/>
    <w:rsid w:val="00615799"/>
    <w:rsid w:val="00616369"/>
    <w:rsid w:val="00616B5A"/>
    <w:rsid w:val="00617D6B"/>
    <w:rsid w:val="00622E9D"/>
    <w:rsid w:val="006263F0"/>
    <w:rsid w:val="00630C93"/>
    <w:rsid w:val="006316EA"/>
    <w:rsid w:val="00633DF1"/>
    <w:rsid w:val="006354BE"/>
    <w:rsid w:val="00637759"/>
    <w:rsid w:val="00637BDD"/>
    <w:rsid w:val="00644AF7"/>
    <w:rsid w:val="00644FE4"/>
    <w:rsid w:val="00650668"/>
    <w:rsid w:val="00651656"/>
    <w:rsid w:val="00654C4B"/>
    <w:rsid w:val="00654F42"/>
    <w:rsid w:val="006560E0"/>
    <w:rsid w:val="00656BDB"/>
    <w:rsid w:val="006575C7"/>
    <w:rsid w:val="00660577"/>
    <w:rsid w:val="00660D4E"/>
    <w:rsid w:val="0066136B"/>
    <w:rsid w:val="0066206C"/>
    <w:rsid w:val="006657AE"/>
    <w:rsid w:val="00670EC2"/>
    <w:rsid w:val="00673481"/>
    <w:rsid w:val="00673C65"/>
    <w:rsid w:val="0067432E"/>
    <w:rsid w:val="0067436E"/>
    <w:rsid w:val="00675141"/>
    <w:rsid w:val="0067695B"/>
    <w:rsid w:val="006810D0"/>
    <w:rsid w:val="006813B1"/>
    <w:rsid w:val="00682914"/>
    <w:rsid w:val="0068368E"/>
    <w:rsid w:val="00684A5E"/>
    <w:rsid w:val="006850F5"/>
    <w:rsid w:val="00690982"/>
    <w:rsid w:val="00690C39"/>
    <w:rsid w:val="00693399"/>
    <w:rsid w:val="00697A22"/>
    <w:rsid w:val="006A1838"/>
    <w:rsid w:val="006A1904"/>
    <w:rsid w:val="006A5306"/>
    <w:rsid w:val="006A5738"/>
    <w:rsid w:val="006A5E4F"/>
    <w:rsid w:val="006A73AD"/>
    <w:rsid w:val="006B0979"/>
    <w:rsid w:val="006B09BC"/>
    <w:rsid w:val="006B11C2"/>
    <w:rsid w:val="006B313C"/>
    <w:rsid w:val="006B6EE5"/>
    <w:rsid w:val="006B7606"/>
    <w:rsid w:val="006C4B1F"/>
    <w:rsid w:val="006C4DFF"/>
    <w:rsid w:val="006D2F7F"/>
    <w:rsid w:val="006D37E0"/>
    <w:rsid w:val="006D5166"/>
    <w:rsid w:val="006D517B"/>
    <w:rsid w:val="006D560F"/>
    <w:rsid w:val="006E07EE"/>
    <w:rsid w:val="006E1D63"/>
    <w:rsid w:val="006E6D07"/>
    <w:rsid w:val="006E6DB9"/>
    <w:rsid w:val="006F020C"/>
    <w:rsid w:val="006F4860"/>
    <w:rsid w:val="006F4A8B"/>
    <w:rsid w:val="006F4C46"/>
    <w:rsid w:val="006F5C04"/>
    <w:rsid w:val="006F6C8C"/>
    <w:rsid w:val="006F7014"/>
    <w:rsid w:val="00701EE7"/>
    <w:rsid w:val="00702483"/>
    <w:rsid w:val="00703623"/>
    <w:rsid w:val="00707C3B"/>
    <w:rsid w:val="00710845"/>
    <w:rsid w:val="00712A25"/>
    <w:rsid w:val="00713CE0"/>
    <w:rsid w:val="00714A39"/>
    <w:rsid w:val="00717AEE"/>
    <w:rsid w:val="00717E76"/>
    <w:rsid w:val="00724BE4"/>
    <w:rsid w:val="00724E2F"/>
    <w:rsid w:val="00725CBA"/>
    <w:rsid w:val="007277C9"/>
    <w:rsid w:val="007307A0"/>
    <w:rsid w:val="007320E9"/>
    <w:rsid w:val="00733E8C"/>
    <w:rsid w:val="00734039"/>
    <w:rsid w:val="007343F0"/>
    <w:rsid w:val="00741C2E"/>
    <w:rsid w:val="00742991"/>
    <w:rsid w:val="007471CE"/>
    <w:rsid w:val="0074744D"/>
    <w:rsid w:val="00751F83"/>
    <w:rsid w:val="00753798"/>
    <w:rsid w:val="00753E71"/>
    <w:rsid w:val="00754D4A"/>
    <w:rsid w:val="007562BF"/>
    <w:rsid w:val="00757FCF"/>
    <w:rsid w:val="00763DE2"/>
    <w:rsid w:val="0076412D"/>
    <w:rsid w:val="00765182"/>
    <w:rsid w:val="0076557F"/>
    <w:rsid w:val="0076672E"/>
    <w:rsid w:val="007669FB"/>
    <w:rsid w:val="00767D81"/>
    <w:rsid w:val="00770FDA"/>
    <w:rsid w:val="007713B3"/>
    <w:rsid w:val="00772BA5"/>
    <w:rsid w:val="00775C66"/>
    <w:rsid w:val="00775D43"/>
    <w:rsid w:val="00775E93"/>
    <w:rsid w:val="0077668C"/>
    <w:rsid w:val="00777928"/>
    <w:rsid w:val="00777964"/>
    <w:rsid w:val="00777A2A"/>
    <w:rsid w:val="00780263"/>
    <w:rsid w:val="00780276"/>
    <w:rsid w:val="0078093C"/>
    <w:rsid w:val="00782EA7"/>
    <w:rsid w:val="00785EBF"/>
    <w:rsid w:val="007863F0"/>
    <w:rsid w:val="007900D7"/>
    <w:rsid w:val="0079141A"/>
    <w:rsid w:val="0079366B"/>
    <w:rsid w:val="00794175"/>
    <w:rsid w:val="00794B36"/>
    <w:rsid w:val="00796858"/>
    <w:rsid w:val="0079740C"/>
    <w:rsid w:val="007A0276"/>
    <w:rsid w:val="007A1614"/>
    <w:rsid w:val="007A299E"/>
    <w:rsid w:val="007A2BD3"/>
    <w:rsid w:val="007A4D25"/>
    <w:rsid w:val="007A7794"/>
    <w:rsid w:val="007B0EB1"/>
    <w:rsid w:val="007B12BD"/>
    <w:rsid w:val="007B2826"/>
    <w:rsid w:val="007B3877"/>
    <w:rsid w:val="007B5917"/>
    <w:rsid w:val="007B6A4C"/>
    <w:rsid w:val="007B7976"/>
    <w:rsid w:val="007B7BDD"/>
    <w:rsid w:val="007B7D44"/>
    <w:rsid w:val="007C1156"/>
    <w:rsid w:val="007C3D4D"/>
    <w:rsid w:val="007C3D95"/>
    <w:rsid w:val="007C44EA"/>
    <w:rsid w:val="007C557F"/>
    <w:rsid w:val="007C6B19"/>
    <w:rsid w:val="007C6FE9"/>
    <w:rsid w:val="007D19E3"/>
    <w:rsid w:val="007D1B89"/>
    <w:rsid w:val="007D348B"/>
    <w:rsid w:val="007D3EAC"/>
    <w:rsid w:val="007D6134"/>
    <w:rsid w:val="007D6176"/>
    <w:rsid w:val="007E04D6"/>
    <w:rsid w:val="007E1EC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4B1C"/>
    <w:rsid w:val="0080710A"/>
    <w:rsid w:val="00810237"/>
    <w:rsid w:val="00810884"/>
    <w:rsid w:val="00810DB7"/>
    <w:rsid w:val="00811BC7"/>
    <w:rsid w:val="00812B79"/>
    <w:rsid w:val="00812D31"/>
    <w:rsid w:val="00813209"/>
    <w:rsid w:val="00814476"/>
    <w:rsid w:val="00816384"/>
    <w:rsid w:val="00817464"/>
    <w:rsid w:val="00823882"/>
    <w:rsid w:val="00825E20"/>
    <w:rsid w:val="008276D4"/>
    <w:rsid w:val="008318FC"/>
    <w:rsid w:val="00831BB3"/>
    <w:rsid w:val="00831BC6"/>
    <w:rsid w:val="00834BBF"/>
    <w:rsid w:val="008367F3"/>
    <w:rsid w:val="00840BE8"/>
    <w:rsid w:val="00841DEB"/>
    <w:rsid w:val="00843995"/>
    <w:rsid w:val="00843ED4"/>
    <w:rsid w:val="00847178"/>
    <w:rsid w:val="00850B0A"/>
    <w:rsid w:val="00851414"/>
    <w:rsid w:val="00851E6F"/>
    <w:rsid w:val="008553B9"/>
    <w:rsid w:val="00856940"/>
    <w:rsid w:val="00857E70"/>
    <w:rsid w:val="0086087E"/>
    <w:rsid w:val="00861A53"/>
    <w:rsid w:val="00862DDF"/>
    <w:rsid w:val="008677AD"/>
    <w:rsid w:val="00871E58"/>
    <w:rsid w:val="00873A30"/>
    <w:rsid w:val="00875824"/>
    <w:rsid w:val="0088108A"/>
    <w:rsid w:val="00882EBA"/>
    <w:rsid w:val="0088410E"/>
    <w:rsid w:val="00884F11"/>
    <w:rsid w:val="0088613C"/>
    <w:rsid w:val="00886FB9"/>
    <w:rsid w:val="00890E5E"/>
    <w:rsid w:val="00892451"/>
    <w:rsid w:val="008924ED"/>
    <w:rsid w:val="00895C4A"/>
    <w:rsid w:val="00895E8A"/>
    <w:rsid w:val="0089605E"/>
    <w:rsid w:val="0089621D"/>
    <w:rsid w:val="0089691D"/>
    <w:rsid w:val="008A191B"/>
    <w:rsid w:val="008A1A9B"/>
    <w:rsid w:val="008A1D0F"/>
    <w:rsid w:val="008A2F1C"/>
    <w:rsid w:val="008A4806"/>
    <w:rsid w:val="008A53AE"/>
    <w:rsid w:val="008A5AF9"/>
    <w:rsid w:val="008A755C"/>
    <w:rsid w:val="008B0E3C"/>
    <w:rsid w:val="008B2BCE"/>
    <w:rsid w:val="008B4A80"/>
    <w:rsid w:val="008B5F90"/>
    <w:rsid w:val="008B6811"/>
    <w:rsid w:val="008C0BF0"/>
    <w:rsid w:val="008C0CDB"/>
    <w:rsid w:val="008C0ED1"/>
    <w:rsid w:val="008C3B4B"/>
    <w:rsid w:val="008C4CEA"/>
    <w:rsid w:val="008C5965"/>
    <w:rsid w:val="008C5E3E"/>
    <w:rsid w:val="008C7618"/>
    <w:rsid w:val="008D5C4A"/>
    <w:rsid w:val="008E1441"/>
    <w:rsid w:val="008E22E3"/>
    <w:rsid w:val="008E3D22"/>
    <w:rsid w:val="008E5A07"/>
    <w:rsid w:val="008E7140"/>
    <w:rsid w:val="008F223A"/>
    <w:rsid w:val="008F39D1"/>
    <w:rsid w:val="008F3C91"/>
    <w:rsid w:val="008F4979"/>
    <w:rsid w:val="008F4CF4"/>
    <w:rsid w:val="008F5145"/>
    <w:rsid w:val="008F6F36"/>
    <w:rsid w:val="009007D6"/>
    <w:rsid w:val="009008EA"/>
    <w:rsid w:val="009056A3"/>
    <w:rsid w:val="00911155"/>
    <w:rsid w:val="009151BB"/>
    <w:rsid w:val="0091579D"/>
    <w:rsid w:val="0091634E"/>
    <w:rsid w:val="00916CE0"/>
    <w:rsid w:val="009211FA"/>
    <w:rsid w:val="00921B32"/>
    <w:rsid w:val="00922543"/>
    <w:rsid w:val="00923B92"/>
    <w:rsid w:val="0093131A"/>
    <w:rsid w:val="00931B0B"/>
    <w:rsid w:val="00933120"/>
    <w:rsid w:val="00934AC1"/>
    <w:rsid w:val="00935839"/>
    <w:rsid w:val="009364D7"/>
    <w:rsid w:val="00936A25"/>
    <w:rsid w:val="0094262E"/>
    <w:rsid w:val="00942F84"/>
    <w:rsid w:val="00944671"/>
    <w:rsid w:val="00952659"/>
    <w:rsid w:val="0095361F"/>
    <w:rsid w:val="009551A8"/>
    <w:rsid w:val="009600E5"/>
    <w:rsid w:val="00961A00"/>
    <w:rsid w:val="00962A75"/>
    <w:rsid w:val="00963183"/>
    <w:rsid w:val="0096508C"/>
    <w:rsid w:val="00965C0A"/>
    <w:rsid w:val="0097164A"/>
    <w:rsid w:val="0097223C"/>
    <w:rsid w:val="00976E53"/>
    <w:rsid w:val="00977748"/>
    <w:rsid w:val="00977BA2"/>
    <w:rsid w:val="009832E5"/>
    <w:rsid w:val="00983DB7"/>
    <w:rsid w:val="00985C56"/>
    <w:rsid w:val="00990892"/>
    <w:rsid w:val="009919A9"/>
    <w:rsid w:val="00991A65"/>
    <w:rsid w:val="00992CED"/>
    <w:rsid w:val="00992E02"/>
    <w:rsid w:val="0099674F"/>
    <w:rsid w:val="009A0EA9"/>
    <w:rsid w:val="009A2775"/>
    <w:rsid w:val="009A31F1"/>
    <w:rsid w:val="009A5891"/>
    <w:rsid w:val="009A7516"/>
    <w:rsid w:val="009A7B0B"/>
    <w:rsid w:val="009B0507"/>
    <w:rsid w:val="009B0C95"/>
    <w:rsid w:val="009B14BF"/>
    <w:rsid w:val="009B15E9"/>
    <w:rsid w:val="009B1F10"/>
    <w:rsid w:val="009B21A5"/>
    <w:rsid w:val="009B30B8"/>
    <w:rsid w:val="009B693B"/>
    <w:rsid w:val="009B7406"/>
    <w:rsid w:val="009C0493"/>
    <w:rsid w:val="009C1B9A"/>
    <w:rsid w:val="009C1CD0"/>
    <w:rsid w:val="009C375F"/>
    <w:rsid w:val="009C49DC"/>
    <w:rsid w:val="009C5344"/>
    <w:rsid w:val="009C58D2"/>
    <w:rsid w:val="009C6EF2"/>
    <w:rsid w:val="009C7207"/>
    <w:rsid w:val="009C7F78"/>
    <w:rsid w:val="009D032E"/>
    <w:rsid w:val="009D19EF"/>
    <w:rsid w:val="009D5BE2"/>
    <w:rsid w:val="009E0285"/>
    <w:rsid w:val="009E1F96"/>
    <w:rsid w:val="009E349E"/>
    <w:rsid w:val="009E36FD"/>
    <w:rsid w:val="009E4751"/>
    <w:rsid w:val="009E4D89"/>
    <w:rsid w:val="009E5C7E"/>
    <w:rsid w:val="009E62C3"/>
    <w:rsid w:val="009E7675"/>
    <w:rsid w:val="009E769B"/>
    <w:rsid w:val="009F0DA9"/>
    <w:rsid w:val="009F3B8B"/>
    <w:rsid w:val="009F7A88"/>
    <w:rsid w:val="009F7DE9"/>
    <w:rsid w:val="00A01ABB"/>
    <w:rsid w:val="00A02BEE"/>
    <w:rsid w:val="00A0453C"/>
    <w:rsid w:val="00A05B7D"/>
    <w:rsid w:val="00A07C4F"/>
    <w:rsid w:val="00A12E42"/>
    <w:rsid w:val="00A1320E"/>
    <w:rsid w:val="00A136B2"/>
    <w:rsid w:val="00A158D3"/>
    <w:rsid w:val="00A160C7"/>
    <w:rsid w:val="00A16C77"/>
    <w:rsid w:val="00A172D3"/>
    <w:rsid w:val="00A226E3"/>
    <w:rsid w:val="00A25B41"/>
    <w:rsid w:val="00A26B77"/>
    <w:rsid w:val="00A26CC9"/>
    <w:rsid w:val="00A277A2"/>
    <w:rsid w:val="00A30D9B"/>
    <w:rsid w:val="00A31882"/>
    <w:rsid w:val="00A3257B"/>
    <w:rsid w:val="00A32A64"/>
    <w:rsid w:val="00A3398F"/>
    <w:rsid w:val="00A363D1"/>
    <w:rsid w:val="00A36988"/>
    <w:rsid w:val="00A41FCD"/>
    <w:rsid w:val="00A4258C"/>
    <w:rsid w:val="00A4338E"/>
    <w:rsid w:val="00A4497E"/>
    <w:rsid w:val="00A46A49"/>
    <w:rsid w:val="00A47A69"/>
    <w:rsid w:val="00A50362"/>
    <w:rsid w:val="00A523CE"/>
    <w:rsid w:val="00A52544"/>
    <w:rsid w:val="00A5330B"/>
    <w:rsid w:val="00A53B11"/>
    <w:rsid w:val="00A5616F"/>
    <w:rsid w:val="00A569AE"/>
    <w:rsid w:val="00A609C2"/>
    <w:rsid w:val="00A6239A"/>
    <w:rsid w:val="00A633E7"/>
    <w:rsid w:val="00A64C65"/>
    <w:rsid w:val="00A707B7"/>
    <w:rsid w:val="00A721F9"/>
    <w:rsid w:val="00A74D6E"/>
    <w:rsid w:val="00A75131"/>
    <w:rsid w:val="00A75575"/>
    <w:rsid w:val="00A760C6"/>
    <w:rsid w:val="00A76FF3"/>
    <w:rsid w:val="00A807BF"/>
    <w:rsid w:val="00A82A1F"/>
    <w:rsid w:val="00A84678"/>
    <w:rsid w:val="00A905FC"/>
    <w:rsid w:val="00A90DA3"/>
    <w:rsid w:val="00A938C7"/>
    <w:rsid w:val="00A93F02"/>
    <w:rsid w:val="00A978F9"/>
    <w:rsid w:val="00AA5FB1"/>
    <w:rsid w:val="00AA6CC9"/>
    <w:rsid w:val="00AA7658"/>
    <w:rsid w:val="00AB13B2"/>
    <w:rsid w:val="00AB1D47"/>
    <w:rsid w:val="00AB3252"/>
    <w:rsid w:val="00AC0672"/>
    <w:rsid w:val="00AC0DA2"/>
    <w:rsid w:val="00AC468C"/>
    <w:rsid w:val="00AC6541"/>
    <w:rsid w:val="00AC7DC6"/>
    <w:rsid w:val="00AD140C"/>
    <w:rsid w:val="00AD146B"/>
    <w:rsid w:val="00AD2AB9"/>
    <w:rsid w:val="00AD330A"/>
    <w:rsid w:val="00AD43EC"/>
    <w:rsid w:val="00AD4443"/>
    <w:rsid w:val="00AD7460"/>
    <w:rsid w:val="00AD7BFB"/>
    <w:rsid w:val="00AE1C45"/>
    <w:rsid w:val="00AE5BAB"/>
    <w:rsid w:val="00AE7795"/>
    <w:rsid w:val="00AE7A8E"/>
    <w:rsid w:val="00AE7C1E"/>
    <w:rsid w:val="00AF1336"/>
    <w:rsid w:val="00AF1AE3"/>
    <w:rsid w:val="00AF214D"/>
    <w:rsid w:val="00AF284A"/>
    <w:rsid w:val="00AF662A"/>
    <w:rsid w:val="00AF7CA4"/>
    <w:rsid w:val="00B00220"/>
    <w:rsid w:val="00B005E6"/>
    <w:rsid w:val="00B01837"/>
    <w:rsid w:val="00B037EE"/>
    <w:rsid w:val="00B03931"/>
    <w:rsid w:val="00B04835"/>
    <w:rsid w:val="00B05CE3"/>
    <w:rsid w:val="00B06E47"/>
    <w:rsid w:val="00B0799B"/>
    <w:rsid w:val="00B11734"/>
    <w:rsid w:val="00B119CD"/>
    <w:rsid w:val="00B11BD4"/>
    <w:rsid w:val="00B11FC0"/>
    <w:rsid w:val="00B12707"/>
    <w:rsid w:val="00B1620A"/>
    <w:rsid w:val="00B17A23"/>
    <w:rsid w:val="00B17B12"/>
    <w:rsid w:val="00B20F50"/>
    <w:rsid w:val="00B22EA2"/>
    <w:rsid w:val="00B23051"/>
    <w:rsid w:val="00B231C3"/>
    <w:rsid w:val="00B23FD0"/>
    <w:rsid w:val="00B243B6"/>
    <w:rsid w:val="00B245A9"/>
    <w:rsid w:val="00B25F35"/>
    <w:rsid w:val="00B2658C"/>
    <w:rsid w:val="00B26F0F"/>
    <w:rsid w:val="00B27785"/>
    <w:rsid w:val="00B30F66"/>
    <w:rsid w:val="00B311B4"/>
    <w:rsid w:val="00B34357"/>
    <w:rsid w:val="00B354EF"/>
    <w:rsid w:val="00B37723"/>
    <w:rsid w:val="00B40470"/>
    <w:rsid w:val="00B4100A"/>
    <w:rsid w:val="00B41393"/>
    <w:rsid w:val="00B4268D"/>
    <w:rsid w:val="00B42F76"/>
    <w:rsid w:val="00B45DAC"/>
    <w:rsid w:val="00B45EA7"/>
    <w:rsid w:val="00B45F8B"/>
    <w:rsid w:val="00B47519"/>
    <w:rsid w:val="00B503CD"/>
    <w:rsid w:val="00B50600"/>
    <w:rsid w:val="00B52BDB"/>
    <w:rsid w:val="00B53F5B"/>
    <w:rsid w:val="00B566A0"/>
    <w:rsid w:val="00B5777D"/>
    <w:rsid w:val="00B61062"/>
    <w:rsid w:val="00B6167C"/>
    <w:rsid w:val="00B62209"/>
    <w:rsid w:val="00B63A24"/>
    <w:rsid w:val="00B644D2"/>
    <w:rsid w:val="00B646E9"/>
    <w:rsid w:val="00B66B09"/>
    <w:rsid w:val="00B70979"/>
    <w:rsid w:val="00B71A6C"/>
    <w:rsid w:val="00B722FB"/>
    <w:rsid w:val="00B72BDA"/>
    <w:rsid w:val="00B74257"/>
    <w:rsid w:val="00B7635F"/>
    <w:rsid w:val="00B763A7"/>
    <w:rsid w:val="00B8514B"/>
    <w:rsid w:val="00B8588C"/>
    <w:rsid w:val="00B928F9"/>
    <w:rsid w:val="00BA10D3"/>
    <w:rsid w:val="00BA11DD"/>
    <w:rsid w:val="00BA1D1D"/>
    <w:rsid w:val="00BA45FD"/>
    <w:rsid w:val="00BA589D"/>
    <w:rsid w:val="00BB26BF"/>
    <w:rsid w:val="00BB2AC4"/>
    <w:rsid w:val="00BB2B73"/>
    <w:rsid w:val="00BB2BF0"/>
    <w:rsid w:val="00BB46F3"/>
    <w:rsid w:val="00BB4BA0"/>
    <w:rsid w:val="00BB6F0F"/>
    <w:rsid w:val="00BC1870"/>
    <w:rsid w:val="00BC2278"/>
    <w:rsid w:val="00BC4023"/>
    <w:rsid w:val="00BC45AB"/>
    <w:rsid w:val="00BC58C2"/>
    <w:rsid w:val="00BC5996"/>
    <w:rsid w:val="00BD1297"/>
    <w:rsid w:val="00BD14BD"/>
    <w:rsid w:val="00BD14DF"/>
    <w:rsid w:val="00BD3FE9"/>
    <w:rsid w:val="00BD450D"/>
    <w:rsid w:val="00BD70A6"/>
    <w:rsid w:val="00BE0057"/>
    <w:rsid w:val="00BE0AA0"/>
    <w:rsid w:val="00BE0F3A"/>
    <w:rsid w:val="00BE1625"/>
    <w:rsid w:val="00BE1A54"/>
    <w:rsid w:val="00BF17A7"/>
    <w:rsid w:val="00BF1CC7"/>
    <w:rsid w:val="00BF1E87"/>
    <w:rsid w:val="00BF3AD1"/>
    <w:rsid w:val="00BF7756"/>
    <w:rsid w:val="00C00EF7"/>
    <w:rsid w:val="00C03949"/>
    <w:rsid w:val="00C04A65"/>
    <w:rsid w:val="00C04BF0"/>
    <w:rsid w:val="00C05A35"/>
    <w:rsid w:val="00C0714A"/>
    <w:rsid w:val="00C10414"/>
    <w:rsid w:val="00C13FB7"/>
    <w:rsid w:val="00C14D2B"/>
    <w:rsid w:val="00C1575C"/>
    <w:rsid w:val="00C15CA2"/>
    <w:rsid w:val="00C20CF5"/>
    <w:rsid w:val="00C2186F"/>
    <w:rsid w:val="00C21E0F"/>
    <w:rsid w:val="00C2249E"/>
    <w:rsid w:val="00C248EF"/>
    <w:rsid w:val="00C256B7"/>
    <w:rsid w:val="00C261A9"/>
    <w:rsid w:val="00C26231"/>
    <w:rsid w:val="00C269C5"/>
    <w:rsid w:val="00C304CC"/>
    <w:rsid w:val="00C3061D"/>
    <w:rsid w:val="00C31952"/>
    <w:rsid w:val="00C33655"/>
    <w:rsid w:val="00C33E3D"/>
    <w:rsid w:val="00C34C07"/>
    <w:rsid w:val="00C34EFE"/>
    <w:rsid w:val="00C35DF2"/>
    <w:rsid w:val="00C36A8E"/>
    <w:rsid w:val="00C40A99"/>
    <w:rsid w:val="00C429C3"/>
    <w:rsid w:val="00C432B6"/>
    <w:rsid w:val="00C4560A"/>
    <w:rsid w:val="00C535C8"/>
    <w:rsid w:val="00C5410E"/>
    <w:rsid w:val="00C60827"/>
    <w:rsid w:val="00C60A3E"/>
    <w:rsid w:val="00C63171"/>
    <w:rsid w:val="00C653C0"/>
    <w:rsid w:val="00C65CCC"/>
    <w:rsid w:val="00C678FB"/>
    <w:rsid w:val="00C70232"/>
    <w:rsid w:val="00C7072D"/>
    <w:rsid w:val="00C725AF"/>
    <w:rsid w:val="00C72946"/>
    <w:rsid w:val="00C74DBF"/>
    <w:rsid w:val="00C74EA2"/>
    <w:rsid w:val="00C773BE"/>
    <w:rsid w:val="00C77A25"/>
    <w:rsid w:val="00C81D26"/>
    <w:rsid w:val="00C8293B"/>
    <w:rsid w:val="00C857E9"/>
    <w:rsid w:val="00C85D52"/>
    <w:rsid w:val="00C86CA8"/>
    <w:rsid w:val="00C9094B"/>
    <w:rsid w:val="00C91D49"/>
    <w:rsid w:val="00C9213E"/>
    <w:rsid w:val="00C92987"/>
    <w:rsid w:val="00C92C24"/>
    <w:rsid w:val="00C9539C"/>
    <w:rsid w:val="00C96C7E"/>
    <w:rsid w:val="00C978ED"/>
    <w:rsid w:val="00C97DA2"/>
    <w:rsid w:val="00CA0AB1"/>
    <w:rsid w:val="00CA4795"/>
    <w:rsid w:val="00CA4E26"/>
    <w:rsid w:val="00CA561A"/>
    <w:rsid w:val="00CA5FA3"/>
    <w:rsid w:val="00CB2F86"/>
    <w:rsid w:val="00CB4CC0"/>
    <w:rsid w:val="00CC189F"/>
    <w:rsid w:val="00CC3EC2"/>
    <w:rsid w:val="00CC5D6E"/>
    <w:rsid w:val="00CC6959"/>
    <w:rsid w:val="00CD2DA0"/>
    <w:rsid w:val="00CD3D2F"/>
    <w:rsid w:val="00CD4B53"/>
    <w:rsid w:val="00CD76DA"/>
    <w:rsid w:val="00CE06A8"/>
    <w:rsid w:val="00CE33F4"/>
    <w:rsid w:val="00CE3B9E"/>
    <w:rsid w:val="00CE6302"/>
    <w:rsid w:val="00CE6663"/>
    <w:rsid w:val="00CF0449"/>
    <w:rsid w:val="00CF107F"/>
    <w:rsid w:val="00CF305E"/>
    <w:rsid w:val="00CF5AED"/>
    <w:rsid w:val="00CF5C33"/>
    <w:rsid w:val="00D007A6"/>
    <w:rsid w:val="00D01A61"/>
    <w:rsid w:val="00D02500"/>
    <w:rsid w:val="00D026D1"/>
    <w:rsid w:val="00D038B6"/>
    <w:rsid w:val="00D039CA"/>
    <w:rsid w:val="00D04CE7"/>
    <w:rsid w:val="00D10398"/>
    <w:rsid w:val="00D11989"/>
    <w:rsid w:val="00D13FF7"/>
    <w:rsid w:val="00D15227"/>
    <w:rsid w:val="00D22F05"/>
    <w:rsid w:val="00D25280"/>
    <w:rsid w:val="00D268AF"/>
    <w:rsid w:val="00D27B89"/>
    <w:rsid w:val="00D335E6"/>
    <w:rsid w:val="00D347BA"/>
    <w:rsid w:val="00D40955"/>
    <w:rsid w:val="00D40CE1"/>
    <w:rsid w:val="00D434CB"/>
    <w:rsid w:val="00D47228"/>
    <w:rsid w:val="00D503B5"/>
    <w:rsid w:val="00D528C1"/>
    <w:rsid w:val="00D538A6"/>
    <w:rsid w:val="00D54285"/>
    <w:rsid w:val="00D55658"/>
    <w:rsid w:val="00D55D4E"/>
    <w:rsid w:val="00D56EDA"/>
    <w:rsid w:val="00D61D8F"/>
    <w:rsid w:val="00D62350"/>
    <w:rsid w:val="00D63450"/>
    <w:rsid w:val="00D65DBE"/>
    <w:rsid w:val="00D712B8"/>
    <w:rsid w:val="00D72ED0"/>
    <w:rsid w:val="00D73147"/>
    <w:rsid w:val="00D73A32"/>
    <w:rsid w:val="00D76EC2"/>
    <w:rsid w:val="00D82AD1"/>
    <w:rsid w:val="00D833E6"/>
    <w:rsid w:val="00D834C5"/>
    <w:rsid w:val="00D83E91"/>
    <w:rsid w:val="00D842F4"/>
    <w:rsid w:val="00D84970"/>
    <w:rsid w:val="00D8556E"/>
    <w:rsid w:val="00D920E2"/>
    <w:rsid w:val="00D97D67"/>
    <w:rsid w:val="00DA15F1"/>
    <w:rsid w:val="00DA2FA6"/>
    <w:rsid w:val="00DA307C"/>
    <w:rsid w:val="00DA4430"/>
    <w:rsid w:val="00DA55EC"/>
    <w:rsid w:val="00DA68AC"/>
    <w:rsid w:val="00DA7CD2"/>
    <w:rsid w:val="00DB0030"/>
    <w:rsid w:val="00DB18EB"/>
    <w:rsid w:val="00DB3184"/>
    <w:rsid w:val="00DB5DA6"/>
    <w:rsid w:val="00DC05A1"/>
    <w:rsid w:val="00DC1783"/>
    <w:rsid w:val="00DC18EF"/>
    <w:rsid w:val="00DC3702"/>
    <w:rsid w:val="00DC4632"/>
    <w:rsid w:val="00DC625E"/>
    <w:rsid w:val="00DD1729"/>
    <w:rsid w:val="00DD18AF"/>
    <w:rsid w:val="00DD2EF1"/>
    <w:rsid w:val="00DD36D4"/>
    <w:rsid w:val="00DD7D5A"/>
    <w:rsid w:val="00DE1394"/>
    <w:rsid w:val="00DE563E"/>
    <w:rsid w:val="00DE58FA"/>
    <w:rsid w:val="00DF02F6"/>
    <w:rsid w:val="00DF3A63"/>
    <w:rsid w:val="00DF4625"/>
    <w:rsid w:val="00DF53B1"/>
    <w:rsid w:val="00DF547C"/>
    <w:rsid w:val="00DF5ED0"/>
    <w:rsid w:val="00DF617E"/>
    <w:rsid w:val="00DF6DA4"/>
    <w:rsid w:val="00DF6FBE"/>
    <w:rsid w:val="00DF70F9"/>
    <w:rsid w:val="00E02917"/>
    <w:rsid w:val="00E0314E"/>
    <w:rsid w:val="00E03D4F"/>
    <w:rsid w:val="00E042A8"/>
    <w:rsid w:val="00E0441D"/>
    <w:rsid w:val="00E05F86"/>
    <w:rsid w:val="00E1231B"/>
    <w:rsid w:val="00E1509B"/>
    <w:rsid w:val="00E16ABA"/>
    <w:rsid w:val="00E17A0A"/>
    <w:rsid w:val="00E17D30"/>
    <w:rsid w:val="00E17FED"/>
    <w:rsid w:val="00E22315"/>
    <w:rsid w:val="00E22EDF"/>
    <w:rsid w:val="00E23AB7"/>
    <w:rsid w:val="00E23CED"/>
    <w:rsid w:val="00E26CEB"/>
    <w:rsid w:val="00E27F04"/>
    <w:rsid w:val="00E3074A"/>
    <w:rsid w:val="00E3096B"/>
    <w:rsid w:val="00E31F98"/>
    <w:rsid w:val="00E32F28"/>
    <w:rsid w:val="00E3310B"/>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57497"/>
    <w:rsid w:val="00E62202"/>
    <w:rsid w:val="00E631B6"/>
    <w:rsid w:val="00E63EE6"/>
    <w:rsid w:val="00E64530"/>
    <w:rsid w:val="00E64F2A"/>
    <w:rsid w:val="00E66658"/>
    <w:rsid w:val="00E674FF"/>
    <w:rsid w:val="00E70E2B"/>
    <w:rsid w:val="00E711F9"/>
    <w:rsid w:val="00E753F5"/>
    <w:rsid w:val="00E75C9D"/>
    <w:rsid w:val="00E81BDD"/>
    <w:rsid w:val="00E862FB"/>
    <w:rsid w:val="00E86808"/>
    <w:rsid w:val="00E87599"/>
    <w:rsid w:val="00E928CF"/>
    <w:rsid w:val="00E93D42"/>
    <w:rsid w:val="00E940DE"/>
    <w:rsid w:val="00E940ED"/>
    <w:rsid w:val="00E94B8B"/>
    <w:rsid w:val="00E95589"/>
    <w:rsid w:val="00E96EB2"/>
    <w:rsid w:val="00E97EC3"/>
    <w:rsid w:val="00EA0FEB"/>
    <w:rsid w:val="00EA2587"/>
    <w:rsid w:val="00EA2B3C"/>
    <w:rsid w:val="00EA51E5"/>
    <w:rsid w:val="00EA74D4"/>
    <w:rsid w:val="00EB6781"/>
    <w:rsid w:val="00EB6EF7"/>
    <w:rsid w:val="00EC09BA"/>
    <w:rsid w:val="00EC2096"/>
    <w:rsid w:val="00EC4023"/>
    <w:rsid w:val="00EC7933"/>
    <w:rsid w:val="00ED2780"/>
    <w:rsid w:val="00ED3C3C"/>
    <w:rsid w:val="00ED5201"/>
    <w:rsid w:val="00ED58B1"/>
    <w:rsid w:val="00EE16AE"/>
    <w:rsid w:val="00EE4698"/>
    <w:rsid w:val="00EE4FD8"/>
    <w:rsid w:val="00EE5C7A"/>
    <w:rsid w:val="00EE6114"/>
    <w:rsid w:val="00EE629B"/>
    <w:rsid w:val="00EF35C3"/>
    <w:rsid w:val="00EF7589"/>
    <w:rsid w:val="00F0008B"/>
    <w:rsid w:val="00F00BE3"/>
    <w:rsid w:val="00F0165A"/>
    <w:rsid w:val="00F01EED"/>
    <w:rsid w:val="00F02EFE"/>
    <w:rsid w:val="00F05DCA"/>
    <w:rsid w:val="00F0692E"/>
    <w:rsid w:val="00F10AA5"/>
    <w:rsid w:val="00F1128C"/>
    <w:rsid w:val="00F11AFA"/>
    <w:rsid w:val="00F11B28"/>
    <w:rsid w:val="00F1285D"/>
    <w:rsid w:val="00F13E8C"/>
    <w:rsid w:val="00F16005"/>
    <w:rsid w:val="00F1601C"/>
    <w:rsid w:val="00F161CD"/>
    <w:rsid w:val="00F226E1"/>
    <w:rsid w:val="00F23C93"/>
    <w:rsid w:val="00F30A7D"/>
    <w:rsid w:val="00F36F85"/>
    <w:rsid w:val="00F37419"/>
    <w:rsid w:val="00F41850"/>
    <w:rsid w:val="00F4540C"/>
    <w:rsid w:val="00F46EB7"/>
    <w:rsid w:val="00F47612"/>
    <w:rsid w:val="00F476AD"/>
    <w:rsid w:val="00F47E9E"/>
    <w:rsid w:val="00F51140"/>
    <w:rsid w:val="00F52F53"/>
    <w:rsid w:val="00F53C9D"/>
    <w:rsid w:val="00F605DB"/>
    <w:rsid w:val="00F61AB7"/>
    <w:rsid w:val="00F634E9"/>
    <w:rsid w:val="00F6677A"/>
    <w:rsid w:val="00F70C3C"/>
    <w:rsid w:val="00F71741"/>
    <w:rsid w:val="00F7179A"/>
    <w:rsid w:val="00F7181B"/>
    <w:rsid w:val="00F72D7F"/>
    <w:rsid w:val="00F74DF5"/>
    <w:rsid w:val="00F765A2"/>
    <w:rsid w:val="00F807A4"/>
    <w:rsid w:val="00F807CC"/>
    <w:rsid w:val="00F80EF6"/>
    <w:rsid w:val="00F83343"/>
    <w:rsid w:val="00F86001"/>
    <w:rsid w:val="00F87035"/>
    <w:rsid w:val="00F87226"/>
    <w:rsid w:val="00F87424"/>
    <w:rsid w:val="00F90008"/>
    <w:rsid w:val="00F91B3A"/>
    <w:rsid w:val="00F92C6A"/>
    <w:rsid w:val="00F94479"/>
    <w:rsid w:val="00FA11DD"/>
    <w:rsid w:val="00FA2944"/>
    <w:rsid w:val="00FA2B95"/>
    <w:rsid w:val="00FA7280"/>
    <w:rsid w:val="00FB01E6"/>
    <w:rsid w:val="00FB2106"/>
    <w:rsid w:val="00FB39B6"/>
    <w:rsid w:val="00FB493B"/>
    <w:rsid w:val="00FB4FA6"/>
    <w:rsid w:val="00FB5F1A"/>
    <w:rsid w:val="00FB7072"/>
    <w:rsid w:val="00FC09B2"/>
    <w:rsid w:val="00FC1A83"/>
    <w:rsid w:val="00FC3294"/>
    <w:rsid w:val="00FC3EEC"/>
    <w:rsid w:val="00FC62C2"/>
    <w:rsid w:val="00FC6A0F"/>
    <w:rsid w:val="00FC6C51"/>
    <w:rsid w:val="00FC6D73"/>
    <w:rsid w:val="00FD0E68"/>
    <w:rsid w:val="00FD282E"/>
    <w:rsid w:val="00FD4542"/>
    <w:rsid w:val="00FD467D"/>
    <w:rsid w:val="00FD56AA"/>
    <w:rsid w:val="00FD5B7A"/>
    <w:rsid w:val="00FE1A4B"/>
    <w:rsid w:val="00FE34CF"/>
    <w:rsid w:val="00FE4BE3"/>
    <w:rsid w:val="00FE7A62"/>
    <w:rsid w:val="00FE7E66"/>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18">
      <w:bodyDiv w:val="1"/>
      <w:marLeft w:val="0"/>
      <w:marRight w:val="0"/>
      <w:marTop w:val="0"/>
      <w:marBottom w:val="0"/>
      <w:divBdr>
        <w:top w:val="none" w:sz="0" w:space="0" w:color="auto"/>
        <w:left w:val="none" w:sz="0" w:space="0" w:color="auto"/>
        <w:bottom w:val="none" w:sz="0" w:space="0" w:color="auto"/>
        <w:right w:val="none" w:sz="0" w:space="0" w:color="auto"/>
      </w:divBdr>
    </w:div>
    <w:div w:id="102113577">
      <w:bodyDiv w:val="1"/>
      <w:marLeft w:val="0"/>
      <w:marRight w:val="0"/>
      <w:marTop w:val="0"/>
      <w:marBottom w:val="0"/>
      <w:divBdr>
        <w:top w:val="none" w:sz="0" w:space="0" w:color="auto"/>
        <w:left w:val="none" w:sz="0" w:space="0" w:color="auto"/>
        <w:bottom w:val="none" w:sz="0" w:space="0" w:color="auto"/>
        <w:right w:val="none" w:sz="0" w:space="0" w:color="auto"/>
      </w:divBdr>
    </w:div>
    <w:div w:id="153641665">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69897905">
      <w:bodyDiv w:val="1"/>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388192489">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701633244">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908878247">
      <w:bodyDiv w:val="1"/>
      <w:marLeft w:val="0"/>
      <w:marRight w:val="0"/>
      <w:marTop w:val="0"/>
      <w:marBottom w:val="0"/>
      <w:divBdr>
        <w:top w:val="none" w:sz="0" w:space="0" w:color="auto"/>
        <w:left w:val="none" w:sz="0" w:space="0" w:color="auto"/>
        <w:bottom w:val="none" w:sz="0" w:space="0" w:color="auto"/>
        <w:right w:val="none" w:sz="0" w:space="0" w:color="auto"/>
      </w:divBdr>
    </w:div>
    <w:div w:id="1074164271">
      <w:bodyDiv w:val="1"/>
      <w:marLeft w:val="0"/>
      <w:marRight w:val="0"/>
      <w:marTop w:val="0"/>
      <w:marBottom w:val="0"/>
      <w:divBdr>
        <w:top w:val="none" w:sz="0" w:space="0" w:color="auto"/>
        <w:left w:val="none" w:sz="0" w:space="0" w:color="auto"/>
        <w:bottom w:val="none" w:sz="0" w:space="0" w:color="auto"/>
        <w:right w:val="none" w:sz="0" w:space="0" w:color="auto"/>
      </w:divBdr>
    </w:div>
    <w:div w:id="1165196509">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43258232">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543665684">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03553067">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748990719">
      <w:bodyDiv w:val="1"/>
      <w:marLeft w:val="0"/>
      <w:marRight w:val="0"/>
      <w:marTop w:val="0"/>
      <w:marBottom w:val="0"/>
      <w:divBdr>
        <w:top w:val="none" w:sz="0" w:space="0" w:color="auto"/>
        <w:left w:val="none" w:sz="0" w:space="0" w:color="auto"/>
        <w:bottom w:val="none" w:sz="0" w:space="0" w:color="auto"/>
        <w:right w:val="none" w:sz="0" w:space="0" w:color="auto"/>
      </w:divBdr>
    </w:div>
    <w:div w:id="1788112590">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079397158">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untmyfish.noaa.gov/projects/downloads/Final_Report%20NC%202009%20Dual%20Frame%20Two%20Phase%20Experi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F0C6C-E522-4125-B84A-169D421A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2309</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Rob_Andrews</cp:lastModifiedBy>
  <cp:revision>38</cp:revision>
  <cp:lastPrinted>2012-09-26T13:13:00Z</cp:lastPrinted>
  <dcterms:created xsi:type="dcterms:W3CDTF">2016-06-06T19:07:00Z</dcterms:created>
  <dcterms:modified xsi:type="dcterms:W3CDTF">2016-06-16T14:29:00Z</dcterms:modified>
</cp:coreProperties>
</file>