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CBBFF" w14:textId="6CE7EBCD" w:rsidR="002701C0" w:rsidRPr="002927F4" w:rsidRDefault="002927F4" w:rsidP="002927F4">
      <w:pPr>
        <w:pStyle w:val="Title"/>
        <w:rPr>
          <w:b/>
          <w:bCs/>
          <w:szCs w:val="24"/>
          <w:u w:val="none"/>
        </w:rPr>
      </w:pPr>
      <w:r>
        <w:rPr>
          <w:b/>
          <w:bCs/>
          <w:szCs w:val="24"/>
          <w:u w:val="none"/>
        </w:rPr>
        <w:t xml:space="preserve">SUPPORTING STATEMENT </w:t>
      </w:r>
      <w:r w:rsidR="00B53B3E" w:rsidRPr="00D93407">
        <w:rPr>
          <w:b/>
          <w:bCs/>
          <w:szCs w:val="24"/>
          <w:u w:val="none"/>
        </w:rPr>
        <w:t>for the Pape</w:t>
      </w:r>
      <w:r>
        <w:rPr>
          <w:b/>
          <w:bCs/>
          <w:szCs w:val="24"/>
          <w:u w:val="none"/>
        </w:rPr>
        <w:t xml:space="preserve">rwork Reduction Act Information </w:t>
      </w:r>
      <w:r w:rsidR="00B53B3E" w:rsidRPr="00D93407">
        <w:rPr>
          <w:b/>
          <w:bCs/>
          <w:szCs w:val="24"/>
          <w:u w:val="none"/>
        </w:rPr>
        <w:t>Collection Submission for</w:t>
      </w:r>
      <w:r>
        <w:rPr>
          <w:b/>
          <w:bCs/>
          <w:szCs w:val="24"/>
          <w:u w:val="none"/>
        </w:rPr>
        <w:t xml:space="preserve"> </w:t>
      </w:r>
      <w:r w:rsidR="002701C0">
        <w:rPr>
          <w:b/>
          <w:bCs/>
          <w:szCs w:val="24"/>
          <w:u w:val="none"/>
        </w:rPr>
        <w:t>Proposed Rules 303.1 to 303.13</w:t>
      </w:r>
    </w:p>
    <w:p w14:paraId="710D63D6" w14:textId="77777777" w:rsidR="00D114D6" w:rsidRPr="00D93407" w:rsidRDefault="00D114D6">
      <w:pPr>
        <w:rPr>
          <w:sz w:val="24"/>
          <w:szCs w:val="24"/>
        </w:rPr>
      </w:pPr>
    </w:p>
    <w:p w14:paraId="0AB79E63" w14:textId="17D02C32" w:rsidR="002927F4" w:rsidRPr="002927F4" w:rsidRDefault="002927F4">
      <w:pPr>
        <w:rPr>
          <w:sz w:val="24"/>
          <w:szCs w:val="24"/>
        </w:rPr>
      </w:pPr>
      <w:r w:rsidRPr="002927F4">
        <w:rPr>
          <w:sz w:val="24"/>
          <w:szCs w:val="24"/>
        </w:rPr>
        <w:t>This submission is being made pursuant to the Paperwork Reduction Act of 1995, 44 U.S.C. Section 3501 et seq.</w:t>
      </w:r>
    </w:p>
    <w:p w14:paraId="4143FC1B" w14:textId="77777777" w:rsidR="002927F4" w:rsidRDefault="002927F4">
      <w:pPr>
        <w:rPr>
          <w:sz w:val="24"/>
          <w:szCs w:val="24"/>
          <w:u w:val="single"/>
        </w:rPr>
      </w:pPr>
    </w:p>
    <w:p w14:paraId="710D63D7" w14:textId="77777777" w:rsidR="00D114D6" w:rsidRPr="002927F4" w:rsidRDefault="00D114D6">
      <w:pPr>
        <w:rPr>
          <w:b/>
          <w:sz w:val="24"/>
          <w:szCs w:val="24"/>
        </w:rPr>
      </w:pPr>
      <w:r w:rsidRPr="002927F4">
        <w:rPr>
          <w:b/>
          <w:sz w:val="24"/>
          <w:szCs w:val="24"/>
        </w:rPr>
        <w:t>A.</w:t>
      </w:r>
      <w:r w:rsidRPr="002927F4">
        <w:rPr>
          <w:b/>
          <w:sz w:val="24"/>
          <w:szCs w:val="24"/>
        </w:rPr>
        <w:tab/>
        <w:t>Justification</w:t>
      </w:r>
    </w:p>
    <w:p w14:paraId="710D63D8" w14:textId="77777777" w:rsidR="00D114D6" w:rsidRPr="00D93407" w:rsidRDefault="00D114D6">
      <w:pPr>
        <w:rPr>
          <w:sz w:val="24"/>
          <w:szCs w:val="24"/>
        </w:rPr>
      </w:pPr>
    </w:p>
    <w:p w14:paraId="710D63D9" w14:textId="77777777" w:rsidR="00D114D6" w:rsidRPr="00D93407" w:rsidRDefault="00D114D6">
      <w:pPr>
        <w:rPr>
          <w:sz w:val="24"/>
          <w:szCs w:val="24"/>
        </w:rPr>
      </w:pPr>
      <w:r w:rsidRPr="00D93407">
        <w:rPr>
          <w:sz w:val="24"/>
          <w:szCs w:val="24"/>
        </w:rPr>
        <w:tab/>
      </w:r>
      <w:r w:rsidRPr="002927F4">
        <w:rPr>
          <w:b/>
          <w:sz w:val="24"/>
          <w:szCs w:val="24"/>
        </w:rPr>
        <w:t>1.</w:t>
      </w:r>
      <w:r w:rsidRPr="00D93407">
        <w:rPr>
          <w:sz w:val="24"/>
          <w:szCs w:val="24"/>
        </w:rPr>
        <w:tab/>
      </w:r>
      <w:r w:rsidRPr="002927F4">
        <w:rPr>
          <w:b/>
          <w:sz w:val="24"/>
          <w:szCs w:val="24"/>
        </w:rPr>
        <w:t>Necessity of Information Collection</w:t>
      </w:r>
    </w:p>
    <w:p w14:paraId="710D63DA" w14:textId="77777777" w:rsidR="00D114D6" w:rsidRPr="00D93407" w:rsidRDefault="00D114D6">
      <w:pPr>
        <w:rPr>
          <w:sz w:val="24"/>
          <w:szCs w:val="24"/>
        </w:rPr>
      </w:pPr>
    </w:p>
    <w:p w14:paraId="7E0E4EE5" w14:textId="2DFCF353" w:rsidR="00850843" w:rsidRPr="00D93407" w:rsidRDefault="00850843" w:rsidP="00850843">
      <w:pPr>
        <w:ind w:firstLine="720"/>
        <w:rPr>
          <w:sz w:val="24"/>
          <w:szCs w:val="24"/>
        </w:rPr>
      </w:pPr>
      <w:r w:rsidRPr="00D93407">
        <w:rPr>
          <w:sz w:val="24"/>
          <w:szCs w:val="24"/>
        </w:rPr>
        <w:t>Section 956(e) of the Dodd- Frank Act</w:t>
      </w:r>
      <w:r w:rsidR="00127874" w:rsidRPr="00D93407">
        <w:rPr>
          <w:rStyle w:val="FootnoteReference"/>
          <w:sz w:val="24"/>
          <w:szCs w:val="24"/>
        </w:rPr>
        <w:footnoteReference w:id="1"/>
      </w:r>
      <w:r w:rsidRPr="00D93407">
        <w:rPr>
          <w:sz w:val="24"/>
          <w:szCs w:val="24"/>
        </w:rPr>
        <w:t xml:space="preserve"> requires that the Commission, jointly with the Board of Governors of the Federal Reserve System, the Office of the Comptroller of the Currency, the Federal Deposit Insurance Corporation, the National Credit Union Administration, and the Federal Housing Finance Agency (together the “Agencies”), </w:t>
      </w:r>
      <w:r w:rsidRPr="00D93407">
        <w:rPr>
          <w:spacing w:val="-3"/>
          <w:sz w:val="24"/>
          <w:szCs w:val="24"/>
        </w:rPr>
        <w:t xml:space="preserve">prescribe regulations or guidelines that prohibit any type of incentive-based payment arrangement, or any feature of such arrangement, that the Agencies determine encourages inappropriate risks by covered financial institutions (i) by providing an executive officer, employee, director or principal shareholder of the covered financial institution with excessive compensation, fees or benefits or (ii) that could lead to material financial loss to the covered financial institution.  </w:t>
      </w:r>
      <w:r w:rsidRPr="00D93407">
        <w:rPr>
          <w:sz w:val="24"/>
          <w:szCs w:val="24"/>
        </w:rPr>
        <w:t>Under Section 956 of the Dodd-Frank Act, a covered financial institution also must disclose to its appropriate Federal regulator the structure of its incentive-based compensation arrangements sufficient to determine whether</w:t>
      </w:r>
      <w:r w:rsidR="002701C0">
        <w:rPr>
          <w:sz w:val="24"/>
          <w:szCs w:val="24"/>
        </w:rPr>
        <w:t xml:space="preserve"> the structure provides </w:t>
      </w:r>
      <w:r w:rsidRPr="00D93407">
        <w:rPr>
          <w:sz w:val="24"/>
          <w:szCs w:val="24"/>
        </w:rPr>
        <w:t xml:space="preserve">excessive compensation, fees, or benefits or could lead to material financial loss to the </w:t>
      </w:r>
      <w:r w:rsidR="00250274" w:rsidRPr="00D93407">
        <w:rPr>
          <w:sz w:val="24"/>
          <w:szCs w:val="24"/>
        </w:rPr>
        <w:t xml:space="preserve">institution. </w:t>
      </w:r>
      <w:r w:rsidR="002701C0">
        <w:rPr>
          <w:sz w:val="24"/>
          <w:szCs w:val="24"/>
        </w:rPr>
        <w:t xml:space="preserve"> </w:t>
      </w:r>
      <w:r w:rsidR="00A94B88">
        <w:rPr>
          <w:sz w:val="24"/>
          <w:szCs w:val="24"/>
        </w:rPr>
        <w:t>Section 956 of t</w:t>
      </w:r>
      <w:r w:rsidR="00250274" w:rsidRPr="00D93407">
        <w:rPr>
          <w:sz w:val="24"/>
          <w:szCs w:val="24"/>
        </w:rPr>
        <w:t xml:space="preserve">he Dodd-Frank Act </w:t>
      </w:r>
      <w:r w:rsidRPr="00D93407">
        <w:rPr>
          <w:sz w:val="24"/>
          <w:szCs w:val="24"/>
        </w:rPr>
        <w:t>does not require a covered financial institution to disclose compensation of individuals as part of this requirement.</w:t>
      </w:r>
    </w:p>
    <w:p w14:paraId="05F5AF7D" w14:textId="77777777" w:rsidR="00850843" w:rsidRPr="00D93407" w:rsidRDefault="00850843" w:rsidP="00850843">
      <w:pPr>
        <w:ind w:firstLine="720"/>
        <w:rPr>
          <w:sz w:val="24"/>
          <w:szCs w:val="24"/>
        </w:rPr>
      </w:pPr>
    </w:p>
    <w:p w14:paraId="50595725" w14:textId="249F5F98" w:rsidR="00126CDB" w:rsidRPr="00D93407" w:rsidRDefault="00850843" w:rsidP="00850843">
      <w:pPr>
        <w:rPr>
          <w:spacing w:val="-3"/>
          <w:sz w:val="24"/>
          <w:szCs w:val="24"/>
        </w:rPr>
      </w:pPr>
      <w:r w:rsidRPr="00D93407">
        <w:rPr>
          <w:spacing w:val="-3"/>
          <w:sz w:val="24"/>
          <w:szCs w:val="24"/>
        </w:rPr>
        <w:tab/>
        <w:t xml:space="preserve">The Agencies have jointly proposed rules to implement </w:t>
      </w:r>
      <w:r w:rsidR="00126CDB" w:rsidRPr="00D93407">
        <w:rPr>
          <w:spacing w:val="-3"/>
          <w:sz w:val="24"/>
          <w:szCs w:val="24"/>
        </w:rPr>
        <w:t>Section 956</w:t>
      </w:r>
      <w:r w:rsidRPr="00D93407">
        <w:rPr>
          <w:spacing w:val="-3"/>
          <w:sz w:val="24"/>
          <w:szCs w:val="24"/>
        </w:rPr>
        <w:t>.  The Commission proposed the</w:t>
      </w:r>
      <w:r w:rsidR="00AC57C2">
        <w:rPr>
          <w:spacing w:val="-3"/>
          <w:sz w:val="24"/>
          <w:szCs w:val="24"/>
        </w:rPr>
        <w:t>m</w:t>
      </w:r>
      <w:r w:rsidRPr="00D93407">
        <w:rPr>
          <w:spacing w:val="-3"/>
          <w:sz w:val="24"/>
          <w:szCs w:val="24"/>
        </w:rPr>
        <w:t xml:space="preserve"> as </w:t>
      </w:r>
      <w:r w:rsidR="00AC57C2">
        <w:rPr>
          <w:spacing w:val="-3"/>
          <w:sz w:val="24"/>
          <w:szCs w:val="24"/>
        </w:rPr>
        <w:t xml:space="preserve">rules </w:t>
      </w:r>
      <w:r w:rsidRPr="00D93407">
        <w:rPr>
          <w:spacing w:val="-3"/>
          <w:sz w:val="24"/>
          <w:szCs w:val="24"/>
        </w:rPr>
        <w:t>303.1 through 303.13 (the “Proposed Rules”)</w:t>
      </w:r>
      <w:r w:rsidR="002701C0">
        <w:rPr>
          <w:spacing w:val="-3"/>
          <w:sz w:val="24"/>
          <w:szCs w:val="24"/>
        </w:rPr>
        <w:t>.</w:t>
      </w:r>
      <w:r w:rsidR="00205333" w:rsidRPr="00D93407">
        <w:rPr>
          <w:rStyle w:val="FootnoteReference"/>
          <w:sz w:val="24"/>
          <w:szCs w:val="24"/>
        </w:rPr>
        <w:footnoteReference w:id="2"/>
      </w:r>
      <w:r w:rsidR="00205333" w:rsidRPr="00D93407">
        <w:rPr>
          <w:sz w:val="24"/>
          <w:szCs w:val="24"/>
        </w:rPr>
        <w:t xml:space="preserve"> </w:t>
      </w:r>
      <w:r w:rsidR="00126CDB" w:rsidRPr="00D93407">
        <w:rPr>
          <w:spacing w:val="-3"/>
          <w:sz w:val="24"/>
          <w:szCs w:val="24"/>
        </w:rPr>
        <w:t xml:space="preserve">  </w:t>
      </w:r>
    </w:p>
    <w:p w14:paraId="20163C7A" w14:textId="77777777" w:rsidR="00126CDB" w:rsidRPr="00D93407" w:rsidRDefault="00126CDB" w:rsidP="00850843">
      <w:pPr>
        <w:rPr>
          <w:spacing w:val="-3"/>
          <w:sz w:val="24"/>
          <w:szCs w:val="24"/>
        </w:rPr>
      </w:pPr>
    </w:p>
    <w:p w14:paraId="479848E0" w14:textId="7F927538" w:rsidR="00850843" w:rsidRPr="00D93407" w:rsidRDefault="00126CDB" w:rsidP="00126CDB">
      <w:pPr>
        <w:ind w:firstLine="720"/>
        <w:rPr>
          <w:sz w:val="24"/>
          <w:szCs w:val="24"/>
        </w:rPr>
      </w:pPr>
      <w:r w:rsidRPr="00D93407">
        <w:rPr>
          <w:spacing w:val="-3"/>
          <w:sz w:val="24"/>
          <w:szCs w:val="24"/>
        </w:rPr>
        <w:t xml:space="preserve">Proposed Rule 303.4(f) </w:t>
      </w:r>
      <w:r w:rsidRPr="00D93407">
        <w:rPr>
          <w:sz w:val="24"/>
          <w:szCs w:val="24"/>
        </w:rPr>
        <w:t xml:space="preserve">would </w:t>
      </w:r>
      <w:r w:rsidR="0022114B" w:rsidRPr="00D93407">
        <w:rPr>
          <w:sz w:val="24"/>
          <w:szCs w:val="24"/>
        </w:rPr>
        <w:t>require broker-dealers</w:t>
      </w:r>
      <w:r w:rsidR="00BB5575">
        <w:rPr>
          <w:sz w:val="24"/>
          <w:szCs w:val="24"/>
        </w:rPr>
        <w:t xml:space="preserve"> </w:t>
      </w:r>
      <w:r w:rsidR="00BB5575" w:rsidRPr="00BB5575">
        <w:rPr>
          <w:sz w:val="24"/>
          <w:szCs w:val="24"/>
        </w:rPr>
        <w:t>registered under section 15 of the Securities Exchange Act of 1934 (15 U.S.C. 78o)</w:t>
      </w:r>
      <w:r w:rsidR="0022114B" w:rsidRPr="00D93407">
        <w:rPr>
          <w:sz w:val="24"/>
          <w:szCs w:val="24"/>
        </w:rPr>
        <w:t xml:space="preserve"> and investment advisers </w:t>
      </w:r>
      <w:r w:rsidR="00BB5575" w:rsidRPr="00BB5575">
        <w:rPr>
          <w:sz w:val="24"/>
          <w:szCs w:val="24"/>
        </w:rPr>
        <w:t>as such term is defined in section 202(a)(11) of the Investment Advisers Act of 1940 (15 U.S.C. 80b-2(a)(11))</w:t>
      </w:r>
      <w:r w:rsidR="00BB5575">
        <w:rPr>
          <w:sz w:val="24"/>
          <w:szCs w:val="24"/>
        </w:rPr>
        <w:t xml:space="preserve">, in each case, </w:t>
      </w:r>
      <w:r w:rsidR="0022114B" w:rsidRPr="00D93407">
        <w:rPr>
          <w:sz w:val="24"/>
          <w:szCs w:val="24"/>
        </w:rPr>
        <w:t>with assets of at least $1 billion (“</w:t>
      </w:r>
      <w:r w:rsidR="002701C0">
        <w:rPr>
          <w:sz w:val="24"/>
          <w:szCs w:val="24"/>
        </w:rPr>
        <w:t>C</w:t>
      </w:r>
      <w:r w:rsidR="0022114B" w:rsidRPr="00D93407">
        <w:rPr>
          <w:sz w:val="24"/>
          <w:szCs w:val="24"/>
        </w:rPr>
        <w:t xml:space="preserve">overed </w:t>
      </w:r>
      <w:r w:rsidR="002701C0">
        <w:rPr>
          <w:sz w:val="24"/>
          <w:szCs w:val="24"/>
        </w:rPr>
        <w:t>I</w:t>
      </w:r>
      <w:r w:rsidR="00B13709" w:rsidRPr="00D93407">
        <w:rPr>
          <w:sz w:val="24"/>
          <w:szCs w:val="24"/>
        </w:rPr>
        <w:t>nstitution</w:t>
      </w:r>
      <w:r w:rsidR="0022114B" w:rsidRPr="00D93407">
        <w:rPr>
          <w:sz w:val="24"/>
          <w:szCs w:val="24"/>
        </w:rPr>
        <w:t>s”)</w:t>
      </w:r>
      <w:r w:rsidRPr="00D93407">
        <w:rPr>
          <w:sz w:val="24"/>
          <w:szCs w:val="24"/>
        </w:rPr>
        <w:t xml:space="preserve"> to create annually and maintain for a period of at least seven years records that document the structure of all</w:t>
      </w:r>
      <w:r w:rsidR="006B77B5">
        <w:rPr>
          <w:sz w:val="24"/>
          <w:szCs w:val="24"/>
        </w:rPr>
        <w:t xml:space="preserve"> of</w:t>
      </w:r>
      <w:r w:rsidRPr="00D93407">
        <w:rPr>
          <w:sz w:val="24"/>
          <w:szCs w:val="24"/>
        </w:rPr>
        <w:t xml:space="preserve"> </w:t>
      </w:r>
      <w:r w:rsidR="002701C0">
        <w:rPr>
          <w:sz w:val="24"/>
          <w:szCs w:val="24"/>
        </w:rPr>
        <w:t>their</w:t>
      </w:r>
      <w:r w:rsidRPr="00D93407">
        <w:rPr>
          <w:sz w:val="24"/>
          <w:szCs w:val="24"/>
        </w:rPr>
        <w:t xml:space="preserve"> incentive-based compensation arrangements and </w:t>
      </w:r>
      <w:r w:rsidR="002701C0">
        <w:rPr>
          <w:sz w:val="24"/>
          <w:szCs w:val="24"/>
        </w:rPr>
        <w:t xml:space="preserve">that </w:t>
      </w:r>
      <w:r w:rsidRPr="00D93407">
        <w:rPr>
          <w:sz w:val="24"/>
          <w:szCs w:val="24"/>
        </w:rPr>
        <w:t xml:space="preserve">demonstrate compliance with </w:t>
      </w:r>
      <w:r w:rsidR="002701C0">
        <w:rPr>
          <w:sz w:val="24"/>
          <w:szCs w:val="24"/>
        </w:rPr>
        <w:t>the Proposed Rules</w:t>
      </w:r>
      <w:r w:rsidRPr="00D93407">
        <w:rPr>
          <w:sz w:val="24"/>
          <w:szCs w:val="24"/>
        </w:rPr>
        <w:t xml:space="preserve">.  </w:t>
      </w:r>
      <w:r w:rsidR="0022114B" w:rsidRPr="00D93407">
        <w:rPr>
          <w:sz w:val="24"/>
          <w:szCs w:val="24"/>
        </w:rPr>
        <w:t>C</w:t>
      </w:r>
      <w:r w:rsidRPr="00D93407">
        <w:rPr>
          <w:sz w:val="24"/>
          <w:szCs w:val="24"/>
        </w:rPr>
        <w:t xml:space="preserve">overed </w:t>
      </w:r>
      <w:r w:rsidR="00B13709" w:rsidRPr="00D93407">
        <w:rPr>
          <w:sz w:val="24"/>
          <w:szCs w:val="24"/>
        </w:rPr>
        <w:t>Institutions</w:t>
      </w:r>
      <w:r w:rsidRPr="00D93407">
        <w:rPr>
          <w:sz w:val="24"/>
          <w:szCs w:val="24"/>
        </w:rPr>
        <w:t xml:space="preserve"> must disclose the records to the Commission upon request.  At a minimum, the records must include copies of all incentive-based compensation plans, a record of who is subject to each plan, and a description of how the incentive-based compensation program is compatible with effective risk management and controls.</w:t>
      </w:r>
      <w:r w:rsidR="00250274" w:rsidRPr="00D93407">
        <w:rPr>
          <w:sz w:val="24"/>
          <w:szCs w:val="24"/>
        </w:rPr>
        <w:t xml:space="preserve">  A </w:t>
      </w:r>
      <w:r w:rsidR="002701C0">
        <w:rPr>
          <w:sz w:val="24"/>
          <w:szCs w:val="24"/>
        </w:rPr>
        <w:t>C</w:t>
      </w:r>
      <w:r w:rsidR="00250274" w:rsidRPr="00D93407">
        <w:rPr>
          <w:sz w:val="24"/>
          <w:szCs w:val="24"/>
        </w:rPr>
        <w:t xml:space="preserve">overed </w:t>
      </w:r>
      <w:r w:rsidR="002701C0">
        <w:rPr>
          <w:sz w:val="24"/>
          <w:szCs w:val="24"/>
        </w:rPr>
        <w:t>I</w:t>
      </w:r>
      <w:r w:rsidR="00250274" w:rsidRPr="00D93407">
        <w:rPr>
          <w:sz w:val="24"/>
          <w:szCs w:val="24"/>
        </w:rPr>
        <w:t>nstitution would not be required to report the actual amount of compensation, fees, or benefits of individual covered persons as part of this requirement.</w:t>
      </w:r>
      <w:r w:rsidR="00850843" w:rsidRPr="00D93407">
        <w:rPr>
          <w:spacing w:val="-3"/>
          <w:sz w:val="24"/>
          <w:szCs w:val="24"/>
        </w:rPr>
        <w:t xml:space="preserve"> </w:t>
      </w:r>
      <w:r w:rsidR="00850843" w:rsidRPr="00D93407">
        <w:rPr>
          <w:sz w:val="24"/>
          <w:szCs w:val="24"/>
        </w:rPr>
        <w:t xml:space="preserve">   </w:t>
      </w:r>
    </w:p>
    <w:p w14:paraId="101ADBF4" w14:textId="77777777" w:rsidR="00126CDB" w:rsidRPr="00D93407" w:rsidRDefault="00126CDB" w:rsidP="00126CDB">
      <w:pPr>
        <w:ind w:firstLine="720"/>
        <w:rPr>
          <w:sz w:val="24"/>
          <w:szCs w:val="24"/>
        </w:rPr>
      </w:pPr>
    </w:p>
    <w:p w14:paraId="7174EBFD" w14:textId="07717DB5" w:rsidR="00126CDB" w:rsidRPr="00D93407" w:rsidRDefault="00126CDB" w:rsidP="00126CDB">
      <w:pPr>
        <w:ind w:firstLine="720"/>
        <w:rPr>
          <w:sz w:val="24"/>
          <w:szCs w:val="24"/>
        </w:rPr>
      </w:pPr>
      <w:r w:rsidRPr="00D93407">
        <w:rPr>
          <w:sz w:val="24"/>
          <w:szCs w:val="24"/>
        </w:rPr>
        <w:lastRenderedPageBreak/>
        <w:t xml:space="preserve">Proposed Rule 303.5 would </w:t>
      </w:r>
      <w:r w:rsidR="002701C0">
        <w:rPr>
          <w:sz w:val="24"/>
          <w:szCs w:val="24"/>
        </w:rPr>
        <w:t xml:space="preserve">apply to a subset of Covered Institutions.  Proposed Rule 303.5 would </w:t>
      </w:r>
      <w:r w:rsidR="0022114B" w:rsidRPr="00D93407">
        <w:rPr>
          <w:sz w:val="24"/>
          <w:szCs w:val="24"/>
        </w:rPr>
        <w:t>require broker-dealers and investment advisers with assets of at least $50 billion (“Level 1 and Level 2 C</w:t>
      </w:r>
      <w:r w:rsidR="00B13709" w:rsidRPr="00D93407">
        <w:rPr>
          <w:sz w:val="24"/>
          <w:szCs w:val="24"/>
        </w:rPr>
        <w:t>overed Institutions</w:t>
      </w:r>
      <w:r w:rsidR="0022114B" w:rsidRPr="00D93407">
        <w:rPr>
          <w:sz w:val="24"/>
          <w:szCs w:val="24"/>
        </w:rPr>
        <w:t>”)</w:t>
      </w:r>
      <w:r w:rsidRPr="00D93407">
        <w:rPr>
          <w:sz w:val="24"/>
          <w:szCs w:val="24"/>
        </w:rPr>
        <w:t xml:space="preserve"> to create annually and maintain for a period of at least seven years</w:t>
      </w:r>
      <w:r w:rsidR="007839FF">
        <w:rPr>
          <w:sz w:val="24"/>
          <w:szCs w:val="24"/>
        </w:rPr>
        <w:t xml:space="preserve"> records that document: (1) their </w:t>
      </w:r>
      <w:r w:rsidRPr="00D93407">
        <w:rPr>
          <w:sz w:val="24"/>
          <w:szCs w:val="24"/>
        </w:rPr>
        <w:t>senior executive officers and significant risk-takers, listed by legal entity, job function, organizational hierarchy, and line of business; (2) the incentive-based compensation arrangements for senior executive officers and significant risk-takers, including information on percentage of incentive-based compensation deferred and form of award; (3) any forfeiture and downward adjustment or clawback reviews and decisions for senior executive officers and significant risk-takers; and (4) any mate</w:t>
      </w:r>
      <w:r w:rsidR="007839FF">
        <w:rPr>
          <w:sz w:val="24"/>
          <w:szCs w:val="24"/>
        </w:rPr>
        <w:t xml:space="preserve">rial changes to their </w:t>
      </w:r>
      <w:r w:rsidRPr="00D93407">
        <w:rPr>
          <w:sz w:val="24"/>
          <w:szCs w:val="24"/>
        </w:rPr>
        <w:t xml:space="preserve">incentive-based compensation arrangements and policies.  A Level 1 or Level 2 </w:t>
      </w:r>
      <w:r w:rsidR="00B13709" w:rsidRPr="00D93407">
        <w:rPr>
          <w:sz w:val="24"/>
          <w:szCs w:val="24"/>
        </w:rPr>
        <w:t>Covered Institution</w:t>
      </w:r>
      <w:r w:rsidRPr="00D93407">
        <w:rPr>
          <w:sz w:val="24"/>
          <w:szCs w:val="24"/>
        </w:rPr>
        <w:t xml:space="preserve"> must create and maintain records in a manner that allows for an independent audit of incentive-based compensation arrangements, policies, and procedures, including, those required under Proposed Rule 303.11.  A Level 1 or Level 2 </w:t>
      </w:r>
      <w:r w:rsidR="00B13709" w:rsidRPr="00D93407">
        <w:rPr>
          <w:sz w:val="24"/>
          <w:szCs w:val="24"/>
        </w:rPr>
        <w:t>C</w:t>
      </w:r>
      <w:r w:rsidRPr="00D93407">
        <w:rPr>
          <w:sz w:val="24"/>
          <w:szCs w:val="24"/>
        </w:rPr>
        <w:t xml:space="preserve">overed </w:t>
      </w:r>
      <w:r w:rsidR="00B13709" w:rsidRPr="00D93407">
        <w:rPr>
          <w:sz w:val="24"/>
          <w:szCs w:val="24"/>
        </w:rPr>
        <w:t>I</w:t>
      </w:r>
      <w:r w:rsidRPr="00D93407">
        <w:rPr>
          <w:sz w:val="24"/>
          <w:szCs w:val="24"/>
        </w:rPr>
        <w:t>nstitution must provide the records to the Commission in such form and with such frequency as requested by the Commission.</w:t>
      </w:r>
    </w:p>
    <w:p w14:paraId="7FEB45BE" w14:textId="77777777" w:rsidR="00127874" w:rsidRPr="00D93407" w:rsidRDefault="00127874" w:rsidP="00126CDB">
      <w:pPr>
        <w:ind w:firstLine="720"/>
        <w:rPr>
          <w:sz w:val="24"/>
          <w:szCs w:val="24"/>
        </w:rPr>
      </w:pPr>
    </w:p>
    <w:p w14:paraId="3F4BF9C9" w14:textId="17517382" w:rsidR="00A75ED3" w:rsidRPr="00D93407" w:rsidRDefault="00A75ED3" w:rsidP="00126CDB">
      <w:pPr>
        <w:ind w:firstLine="720"/>
        <w:rPr>
          <w:sz w:val="24"/>
          <w:szCs w:val="24"/>
        </w:rPr>
      </w:pPr>
      <w:r w:rsidRPr="00D93407">
        <w:rPr>
          <w:sz w:val="24"/>
          <w:szCs w:val="24"/>
        </w:rPr>
        <w:t>Proposed Rule 303.11 would</w:t>
      </w:r>
      <w:r w:rsidR="002701C0">
        <w:rPr>
          <w:sz w:val="24"/>
          <w:szCs w:val="24"/>
        </w:rPr>
        <w:t xml:space="preserve"> apply to the same subset of Covered Institutions as Proposed Rule 303.5.  Proposed Rule 303.11 would</w:t>
      </w:r>
      <w:r w:rsidRPr="00D93407">
        <w:rPr>
          <w:sz w:val="24"/>
          <w:szCs w:val="24"/>
        </w:rPr>
        <w:t xml:space="preserve"> require a Level 1 or Level 2 </w:t>
      </w:r>
      <w:r w:rsidR="00B13709" w:rsidRPr="00D93407">
        <w:rPr>
          <w:sz w:val="24"/>
          <w:szCs w:val="24"/>
        </w:rPr>
        <w:t>C</w:t>
      </w:r>
      <w:r w:rsidRPr="00D93407">
        <w:rPr>
          <w:sz w:val="24"/>
          <w:szCs w:val="24"/>
        </w:rPr>
        <w:t xml:space="preserve">overed </w:t>
      </w:r>
      <w:r w:rsidR="00B13709" w:rsidRPr="00D93407">
        <w:rPr>
          <w:sz w:val="24"/>
          <w:szCs w:val="24"/>
        </w:rPr>
        <w:t>I</w:t>
      </w:r>
      <w:r w:rsidRPr="00D93407">
        <w:rPr>
          <w:sz w:val="24"/>
          <w:szCs w:val="24"/>
        </w:rPr>
        <w:t xml:space="preserve">nstitution to develop and implement policies and procedures for its incentive-based compensation program that meet certain minimum requirements. </w:t>
      </w:r>
    </w:p>
    <w:p w14:paraId="3BE28743" w14:textId="77777777" w:rsidR="00850843" w:rsidRPr="00D93407" w:rsidRDefault="00850843" w:rsidP="00850843">
      <w:pPr>
        <w:rPr>
          <w:sz w:val="24"/>
          <w:szCs w:val="24"/>
        </w:rPr>
      </w:pPr>
    </w:p>
    <w:p w14:paraId="2CD66A24" w14:textId="6F3A0878" w:rsidR="00850843" w:rsidRPr="00D93407" w:rsidRDefault="00850843" w:rsidP="00850843">
      <w:pPr>
        <w:ind w:firstLine="720"/>
        <w:rPr>
          <w:sz w:val="24"/>
          <w:szCs w:val="24"/>
        </w:rPr>
      </w:pPr>
      <w:r w:rsidRPr="00D93407">
        <w:rPr>
          <w:sz w:val="24"/>
          <w:szCs w:val="24"/>
        </w:rPr>
        <w:t>The</w:t>
      </w:r>
      <w:r w:rsidR="00A75ED3" w:rsidRPr="00D93407">
        <w:rPr>
          <w:sz w:val="24"/>
          <w:szCs w:val="24"/>
        </w:rPr>
        <w:t xml:space="preserve"> </w:t>
      </w:r>
      <w:r w:rsidRPr="00D93407">
        <w:rPr>
          <w:sz w:val="24"/>
          <w:szCs w:val="24"/>
        </w:rPr>
        <w:t>collection</w:t>
      </w:r>
      <w:r w:rsidR="00A75ED3" w:rsidRPr="00D93407">
        <w:rPr>
          <w:sz w:val="24"/>
          <w:szCs w:val="24"/>
        </w:rPr>
        <w:t xml:space="preserve"> of information of </w:t>
      </w:r>
      <w:r w:rsidRPr="00D93407">
        <w:rPr>
          <w:sz w:val="24"/>
          <w:szCs w:val="24"/>
        </w:rPr>
        <w:t xml:space="preserve">Proposed Rules </w:t>
      </w:r>
      <w:r w:rsidR="00A75ED3" w:rsidRPr="00D93407">
        <w:rPr>
          <w:sz w:val="24"/>
          <w:szCs w:val="24"/>
        </w:rPr>
        <w:t>303.4(f), 303.5, and 303.11 is</w:t>
      </w:r>
      <w:r w:rsidRPr="00D93407">
        <w:rPr>
          <w:sz w:val="24"/>
          <w:szCs w:val="24"/>
        </w:rPr>
        <w:t xml:space="preserve"> necessary to carry out Section 956</w:t>
      </w:r>
      <w:r w:rsidR="00A75ED3" w:rsidRPr="00D93407">
        <w:rPr>
          <w:sz w:val="24"/>
          <w:szCs w:val="24"/>
        </w:rPr>
        <w:t xml:space="preserve"> of the Dodd-Frank Act and to allow Commission</w:t>
      </w:r>
      <w:r w:rsidR="00B13709" w:rsidRPr="00D93407">
        <w:rPr>
          <w:sz w:val="24"/>
          <w:szCs w:val="24"/>
        </w:rPr>
        <w:t xml:space="preserve"> staff</w:t>
      </w:r>
      <w:r w:rsidR="00A75ED3" w:rsidRPr="00D93407">
        <w:rPr>
          <w:sz w:val="24"/>
          <w:szCs w:val="24"/>
        </w:rPr>
        <w:t xml:space="preserve"> to determine compliance with</w:t>
      </w:r>
      <w:r w:rsidR="00B13709" w:rsidRPr="00D93407">
        <w:rPr>
          <w:sz w:val="24"/>
          <w:szCs w:val="24"/>
        </w:rPr>
        <w:t xml:space="preserve"> Section 956 and</w:t>
      </w:r>
      <w:r w:rsidR="00A75ED3" w:rsidRPr="00D93407">
        <w:rPr>
          <w:sz w:val="24"/>
          <w:szCs w:val="24"/>
        </w:rPr>
        <w:t xml:space="preserve"> the Proposed Rules. </w:t>
      </w:r>
    </w:p>
    <w:p w14:paraId="61CBB7D8" w14:textId="77777777" w:rsidR="00850843" w:rsidRPr="00D93407" w:rsidRDefault="00850843" w:rsidP="00850843">
      <w:pPr>
        <w:rPr>
          <w:sz w:val="24"/>
          <w:szCs w:val="24"/>
        </w:rPr>
      </w:pPr>
    </w:p>
    <w:p w14:paraId="710D63DF" w14:textId="77777777" w:rsidR="00D114D6" w:rsidRPr="002927F4" w:rsidRDefault="00D114D6">
      <w:pPr>
        <w:tabs>
          <w:tab w:val="left" w:pos="720"/>
        </w:tabs>
        <w:ind w:left="1440" w:hanging="1440"/>
        <w:rPr>
          <w:b/>
          <w:sz w:val="24"/>
          <w:szCs w:val="24"/>
        </w:rPr>
      </w:pPr>
      <w:r w:rsidRPr="00D93407">
        <w:rPr>
          <w:sz w:val="24"/>
          <w:szCs w:val="24"/>
        </w:rPr>
        <w:tab/>
      </w:r>
      <w:r w:rsidRPr="002927F4">
        <w:rPr>
          <w:b/>
          <w:sz w:val="24"/>
          <w:szCs w:val="24"/>
        </w:rPr>
        <w:t>2.</w:t>
      </w:r>
      <w:r w:rsidRPr="002927F4">
        <w:rPr>
          <w:b/>
          <w:sz w:val="24"/>
          <w:szCs w:val="24"/>
        </w:rPr>
        <w:tab/>
        <w:t xml:space="preserve">Purpose </w:t>
      </w:r>
      <w:r w:rsidR="00B46309" w:rsidRPr="002927F4">
        <w:rPr>
          <w:b/>
          <w:sz w:val="24"/>
          <w:szCs w:val="24"/>
        </w:rPr>
        <w:t>and Use of the Information Collection</w:t>
      </w:r>
    </w:p>
    <w:p w14:paraId="710D63E0" w14:textId="77777777" w:rsidR="00D114D6" w:rsidRPr="00D93407" w:rsidRDefault="00D114D6">
      <w:pPr>
        <w:rPr>
          <w:sz w:val="24"/>
          <w:szCs w:val="24"/>
        </w:rPr>
      </w:pPr>
    </w:p>
    <w:p w14:paraId="4C038821" w14:textId="3F60EA33" w:rsidR="00127874" w:rsidRPr="00D93407" w:rsidRDefault="00D114D6">
      <w:pPr>
        <w:rPr>
          <w:sz w:val="24"/>
          <w:szCs w:val="24"/>
        </w:rPr>
      </w:pPr>
      <w:r w:rsidRPr="00D93407">
        <w:rPr>
          <w:sz w:val="24"/>
          <w:szCs w:val="24"/>
        </w:rPr>
        <w:tab/>
      </w:r>
      <w:r w:rsidR="00127874" w:rsidRPr="00D93407">
        <w:rPr>
          <w:sz w:val="24"/>
          <w:szCs w:val="24"/>
        </w:rPr>
        <w:t>Proposed Rules 303.4(f), 303.5, and 303.11 are</w:t>
      </w:r>
      <w:r w:rsidRPr="00D93407">
        <w:rPr>
          <w:sz w:val="24"/>
          <w:szCs w:val="24"/>
        </w:rPr>
        <w:t xml:space="preserve"> part of the Commission’s </w:t>
      </w:r>
      <w:r w:rsidR="00127874" w:rsidRPr="00D93407">
        <w:rPr>
          <w:sz w:val="24"/>
          <w:szCs w:val="24"/>
        </w:rPr>
        <w:t xml:space="preserve">proposed joint implementation of Section 956 of the Dodd-Frank Act.  The Commission </w:t>
      </w:r>
      <w:r w:rsidR="007A1E09">
        <w:rPr>
          <w:sz w:val="24"/>
          <w:szCs w:val="24"/>
        </w:rPr>
        <w:t>would</w:t>
      </w:r>
      <w:r w:rsidR="00127874" w:rsidRPr="00D93407">
        <w:rPr>
          <w:sz w:val="24"/>
          <w:szCs w:val="24"/>
        </w:rPr>
        <w:t xml:space="preserve"> </w:t>
      </w:r>
      <w:r w:rsidRPr="00D93407">
        <w:rPr>
          <w:sz w:val="24"/>
          <w:szCs w:val="24"/>
        </w:rPr>
        <w:t xml:space="preserve">use the information </w:t>
      </w:r>
      <w:r w:rsidR="0022114B" w:rsidRPr="00D93407">
        <w:rPr>
          <w:sz w:val="24"/>
          <w:szCs w:val="24"/>
        </w:rPr>
        <w:t>to administer Section 956 of the Dodd-Frank Act and to determine compliance with</w:t>
      </w:r>
      <w:r w:rsidR="00B13709" w:rsidRPr="00D93407">
        <w:rPr>
          <w:sz w:val="24"/>
          <w:szCs w:val="24"/>
        </w:rPr>
        <w:t xml:space="preserve"> Section 956 and</w:t>
      </w:r>
      <w:r w:rsidR="0022114B" w:rsidRPr="00D93407">
        <w:rPr>
          <w:sz w:val="24"/>
          <w:szCs w:val="24"/>
        </w:rPr>
        <w:t xml:space="preserve"> the Proposed Rules.  The polic</w:t>
      </w:r>
      <w:r w:rsidR="007A1E09">
        <w:rPr>
          <w:sz w:val="24"/>
          <w:szCs w:val="24"/>
        </w:rPr>
        <w:t>i</w:t>
      </w:r>
      <w:r w:rsidR="0022114B" w:rsidRPr="00D93407">
        <w:rPr>
          <w:sz w:val="24"/>
          <w:szCs w:val="24"/>
        </w:rPr>
        <w:t>e</w:t>
      </w:r>
      <w:r w:rsidR="007A1E09">
        <w:rPr>
          <w:sz w:val="24"/>
          <w:szCs w:val="24"/>
        </w:rPr>
        <w:t>s</w:t>
      </w:r>
      <w:r w:rsidR="0022114B" w:rsidRPr="00D93407">
        <w:rPr>
          <w:sz w:val="24"/>
          <w:szCs w:val="24"/>
        </w:rPr>
        <w:t xml:space="preserve"> and procedures required by Proposed Rule 303.11 would improve the oversight of incentive-based compensation programs and promote compliance with</w:t>
      </w:r>
      <w:r w:rsidR="00B13709" w:rsidRPr="00D93407">
        <w:rPr>
          <w:sz w:val="24"/>
          <w:szCs w:val="24"/>
        </w:rPr>
        <w:t xml:space="preserve"> </w:t>
      </w:r>
      <w:r w:rsidR="0022114B" w:rsidRPr="00D93407">
        <w:rPr>
          <w:sz w:val="24"/>
          <w:szCs w:val="24"/>
        </w:rPr>
        <w:t xml:space="preserve">the Proposed Rules. </w:t>
      </w:r>
    </w:p>
    <w:p w14:paraId="710D63E2" w14:textId="77777777" w:rsidR="00D114D6" w:rsidRPr="00D93407" w:rsidRDefault="00D114D6">
      <w:pPr>
        <w:rPr>
          <w:sz w:val="24"/>
          <w:szCs w:val="24"/>
        </w:rPr>
      </w:pPr>
    </w:p>
    <w:p w14:paraId="710D63E3" w14:textId="77777777" w:rsidR="00D114D6" w:rsidRPr="002927F4" w:rsidRDefault="00D114D6">
      <w:pPr>
        <w:tabs>
          <w:tab w:val="left" w:pos="720"/>
        </w:tabs>
        <w:ind w:left="1440" w:hanging="1440"/>
        <w:rPr>
          <w:b/>
          <w:sz w:val="24"/>
          <w:szCs w:val="24"/>
        </w:rPr>
      </w:pPr>
      <w:r w:rsidRPr="00D93407">
        <w:rPr>
          <w:sz w:val="24"/>
          <w:szCs w:val="24"/>
        </w:rPr>
        <w:tab/>
      </w:r>
      <w:r w:rsidRPr="002927F4">
        <w:rPr>
          <w:b/>
          <w:sz w:val="24"/>
          <w:szCs w:val="24"/>
        </w:rPr>
        <w:t>3.</w:t>
      </w:r>
      <w:r w:rsidRPr="002927F4">
        <w:rPr>
          <w:b/>
          <w:sz w:val="24"/>
          <w:szCs w:val="24"/>
        </w:rPr>
        <w:tab/>
      </w:r>
      <w:r w:rsidR="00B46309" w:rsidRPr="002927F4">
        <w:rPr>
          <w:b/>
          <w:sz w:val="24"/>
          <w:szCs w:val="24"/>
        </w:rPr>
        <w:t>Consideration Given to Information Technology</w:t>
      </w:r>
    </w:p>
    <w:p w14:paraId="710D63E4" w14:textId="77777777" w:rsidR="00D114D6" w:rsidRPr="00D93407" w:rsidRDefault="00D114D6">
      <w:pPr>
        <w:rPr>
          <w:sz w:val="24"/>
          <w:szCs w:val="24"/>
        </w:rPr>
      </w:pPr>
    </w:p>
    <w:p w14:paraId="710D63E5" w14:textId="13B14156" w:rsidR="00D114D6" w:rsidRPr="00D93407" w:rsidRDefault="00B13709" w:rsidP="00B13709">
      <w:pPr>
        <w:pStyle w:val="Default"/>
      </w:pPr>
      <w:r w:rsidRPr="00D93407">
        <w:tab/>
        <w:t xml:space="preserve">Proposed Rules 303.4(f), 303.5, and 303.11 </w:t>
      </w:r>
      <w:r w:rsidR="007A1E09">
        <w:t>would</w:t>
      </w:r>
      <w:r w:rsidRPr="00D93407">
        <w:t xml:space="preserve"> not require any regular reporting to the Commission and </w:t>
      </w:r>
      <w:r w:rsidR="007A1E09">
        <w:t>would</w:t>
      </w:r>
      <w:r w:rsidRPr="00D93407">
        <w:t xml:space="preserve"> not involve the use of automated, electronic, mechanical, or other technological collection techniques or other forms of information technology.  Following adoption of the Proposed Rules, the Commission </w:t>
      </w:r>
      <w:r w:rsidR="007A1E09">
        <w:t>would</w:t>
      </w:r>
      <w:r w:rsidRPr="00D93407">
        <w:t xml:space="preserve"> consider whether technology may be used</w:t>
      </w:r>
      <w:r w:rsidR="00AC57C2">
        <w:t xml:space="preserve"> in other way</w:t>
      </w:r>
      <w:r w:rsidRPr="00D93407">
        <w:t xml:space="preserve"> to facilitate the collection of information of Proposed Rules 303.4(f), 303.5, and 303.11.</w:t>
      </w:r>
    </w:p>
    <w:p w14:paraId="710D63E6" w14:textId="77777777" w:rsidR="00D114D6" w:rsidRPr="00D93407" w:rsidRDefault="00D114D6">
      <w:pPr>
        <w:rPr>
          <w:sz w:val="24"/>
          <w:szCs w:val="24"/>
        </w:rPr>
      </w:pPr>
    </w:p>
    <w:p w14:paraId="710D63E7" w14:textId="77777777" w:rsidR="00D114D6" w:rsidRPr="002927F4" w:rsidRDefault="00D114D6">
      <w:pPr>
        <w:rPr>
          <w:b/>
          <w:sz w:val="24"/>
          <w:szCs w:val="24"/>
        </w:rPr>
      </w:pPr>
      <w:r w:rsidRPr="00D93407">
        <w:rPr>
          <w:sz w:val="24"/>
          <w:szCs w:val="24"/>
        </w:rPr>
        <w:tab/>
      </w:r>
      <w:r w:rsidRPr="002927F4">
        <w:rPr>
          <w:b/>
          <w:sz w:val="24"/>
          <w:szCs w:val="24"/>
        </w:rPr>
        <w:t>4.</w:t>
      </w:r>
      <w:r w:rsidRPr="002927F4">
        <w:rPr>
          <w:b/>
          <w:sz w:val="24"/>
          <w:szCs w:val="24"/>
        </w:rPr>
        <w:tab/>
        <w:t>Duplication</w:t>
      </w:r>
    </w:p>
    <w:p w14:paraId="710D63E8" w14:textId="77777777" w:rsidR="00D114D6" w:rsidRPr="00D93407" w:rsidRDefault="00D114D6">
      <w:pPr>
        <w:rPr>
          <w:sz w:val="24"/>
          <w:szCs w:val="24"/>
        </w:rPr>
      </w:pPr>
    </w:p>
    <w:p w14:paraId="710D63E9" w14:textId="12243CA3" w:rsidR="00D114D6" w:rsidRPr="00D93407" w:rsidRDefault="00D114D6">
      <w:pPr>
        <w:rPr>
          <w:sz w:val="24"/>
          <w:szCs w:val="24"/>
        </w:rPr>
      </w:pPr>
      <w:r w:rsidRPr="00D93407">
        <w:rPr>
          <w:sz w:val="24"/>
          <w:szCs w:val="24"/>
        </w:rPr>
        <w:tab/>
      </w:r>
      <w:r w:rsidR="00B13709" w:rsidRPr="00D93407">
        <w:rPr>
          <w:sz w:val="24"/>
          <w:szCs w:val="24"/>
        </w:rPr>
        <w:t xml:space="preserve">The Commission currently receives information about executive compensation from publicly traded companies, including many broker-dealers and investment advisers covered under the </w:t>
      </w:r>
      <w:r w:rsidR="007A1E09">
        <w:rPr>
          <w:sz w:val="24"/>
          <w:szCs w:val="24"/>
        </w:rPr>
        <w:t>P</w:t>
      </w:r>
      <w:r w:rsidR="00B13709" w:rsidRPr="00D93407">
        <w:rPr>
          <w:sz w:val="24"/>
          <w:szCs w:val="24"/>
        </w:rPr>
        <w:t xml:space="preserve">roposed </w:t>
      </w:r>
      <w:r w:rsidR="007A1E09">
        <w:rPr>
          <w:sz w:val="24"/>
          <w:szCs w:val="24"/>
        </w:rPr>
        <w:t>R</w:t>
      </w:r>
      <w:r w:rsidR="00B13709" w:rsidRPr="00D93407">
        <w:rPr>
          <w:sz w:val="24"/>
          <w:szCs w:val="24"/>
        </w:rPr>
        <w:t>ule</w:t>
      </w:r>
      <w:r w:rsidR="007A1E09">
        <w:rPr>
          <w:sz w:val="24"/>
          <w:szCs w:val="24"/>
        </w:rPr>
        <w:t>s</w:t>
      </w:r>
      <w:r w:rsidR="00B13709" w:rsidRPr="00D93407">
        <w:rPr>
          <w:sz w:val="24"/>
          <w:szCs w:val="24"/>
        </w:rPr>
        <w:t xml:space="preserve">.  The staff of the Commission reviewed the relevant </w:t>
      </w:r>
      <w:r w:rsidR="00B13709" w:rsidRPr="00D93407">
        <w:rPr>
          <w:sz w:val="24"/>
          <w:szCs w:val="24"/>
        </w:rPr>
        <w:lastRenderedPageBreak/>
        <w:t xml:space="preserve">SEC form, (Item 402 of Regulation S-K), in connection with the </w:t>
      </w:r>
      <w:r w:rsidR="007A1E09">
        <w:rPr>
          <w:sz w:val="24"/>
          <w:szCs w:val="24"/>
        </w:rPr>
        <w:t>Proposed Rules</w:t>
      </w:r>
      <w:r w:rsidR="00B13709" w:rsidRPr="00D93407">
        <w:rPr>
          <w:sz w:val="24"/>
          <w:szCs w:val="24"/>
        </w:rPr>
        <w:t xml:space="preserve"> to minimize duplication.  </w:t>
      </w:r>
      <w:r w:rsidR="007A1E09">
        <w:rPr>
          <w:sz w:val="24"/>
          <w:szCs w:val="24"/>
        </w:rPr>
        <w:t xml:space="preserve">Because </w:t>
      </w:r>
      <w:r w:rsidR="00B13709" w:rsidRPr="00D93407">
        <w:rPr>
          <w:sz w:val="24"/>
          <w:szCs w:val="24"/>
        </w:rPr>
        <w:t xml:space="preserve">Proposed Rules 303.4(f), 303.5, and 303.11 </w:t>
      </w:r>
      <w:r w:rsidR="007A1E09">
        <w:rPr>
          <w:sz w:val="24"/>
          <w:szCs w:val="24"/>
        </w:rPr>
        <w:t>would</w:t>
      </w:r>
      <w:r w:rsidR="00B13709" w:rsidRPr="00D93407">
        <w:rPr>
          <w:sz w:val="24"/>
          <w:szCs w:val="24"/>
        </w:rPr>
        <w:t xml:space="preserve"> not require any regular reporting</w:t>
      </w:r>
      <w:r w:rsidR="00DE6E1E" w:rsidRPr="00D93407">
        <w:rPr>
          <w:sz w:val="24"/>
          <w:szCs w:val="24"/>
        </w:rPr>
        <w:t xml:space="preserve">, </w:t>
      </w:r>
      <w:r w:rsidR="007A1E09">
        <w:rPr>
          <w:sz w:val="24"/>
          <w:szCs w:val="24"/>
        </w:rPr>
        <w:t xml:space="preserve">the Commission believes that duplication of </w:t>
      </w:r>
      <w:r w:rsidR="007A1E09" w:rsidRPr="00D93407">
        <w:rPr>
          <w:sz w:val="24"/>
          <w:szCs w:val="24"/>
        </w:rPr>
        <w:t>information about executive compensation</w:t>
      </w:r>
      <w:r w:rsidR="007A1E09">
        <w:rPr>
          <w:sz w:val="24"/>
          <w:szCs w:val="24"/>
        </w:rPr>
        <w:t xml:space="preserve"> already reported to the Commission should be minimal, if any</w:t>
      </w:r>
      <w:r w:rsidR="00DE6E1E" w:rsidRPr="00D93407">
        <w:rPr>
          <w:sz w:val="24"/>
          <w:szCs w:val="24"/>
        </w:rPr>
        <w:t>.</w:t>
      </w:r>
    </w:p>
    <w:p w14:paraId="2DEA6B11" w14:textId="77777777" w:rsidR="00DE6E1E" w:rsidRPr="00D93407" w:rsidRDefault="00DE6E1E">
      <w:pPr>
        <w:rPr>
          <w:sz w:val="24"/>
          <w:szCs w:val="24"/>
        </w:rPr>
      </w:pPr>
    </w:p>
    <w:p w14:paraId="2C3277FD" w14:textId="426B4653" w:rsidR="00DE6E1E" w:rsidRPr="00D93407" w:rsidRDefault="00DE6E1E">
      <w:pPr>
        <w:rPr>
          <w:sz w:val="24"/>
          <w:szCs w:val="24"/>
        </w:rPr>
      </w:pPr>
      <w:r w:rsidRPr="00D93407">
        <w:rPr>
          <w:sz w:val="24"/>
          <w:szCs w:val="24"/>
        </w:rPr>
        <w:tab/>
        <w:t xml:space="preserve">The records and policies and procedures </w:t>
      </w:r>
      <w:r w:rsidR="007A1E09">
        <w:rPr>
          <w:sz w:val="24"/>
          <w:szCs w:val="24"/>
        </w:rPr>
        <w:t xml:space="preserve">that would be </w:t>
      </w:r>
      <w:r w:rsidRPr="00D93407">
        <w:rPr>
          <w:sz w:val="24"/>
          <w:szCs w:val="24"/>
        </w:rPr>
        <w:t xml:space="preserve">required by Proposed Rules 303.4(f), 303.5, and 303.11 would be the same records and policies and procedures required by the other Agencies.  Some of the entities regulated by </w:t>
      </w:r>
      <w:r w:rsidR="00AC57C2">
        <w:rPr>
          <w:sz w:val="24"/>
          <w:szCs w:val="24"/>
        </w:rPr>
        <w:t xml:space="preserve">the </w:t>
      </w:r>
      <w:r w:rsidRPr="00D93407">
        <w:rPr>
          <w:sz w:val="24"/>
          <w:szCs w:val="24"/>
        </w:rPr>
        <w:t xml:space="preserve">other Agencies include bank holding companies, which often serve as the parent of broker-dealers and investment advisers covered by the Commission’s Proposed Rules.  The Commission staff anticipates that this situation may lead to certain economies in complying with the proposed rule as between broker-dealers/investment advisers and affiliated entities.  To the extent that duplicative </w:t>
      </w:r>
      <w:r w:rsidR="00AC57C2">
        <w:rPr>
          <w:sz w:val="24"/>
          <w:szCs w:val="24"/>
        </w:rPr>
        <w:t xml:space="preserve">recordkeeping requirements and </w:t>
      </w:r>
      <w:r w:rsidRPr="00D93407">
        <w:rPr>
          <w:sz w:val="24"/>
          <w:szCs w:val="24"/>
        </w:rPr>
        <w:t xml:space="preserve">policies and procedures do result, </w:t>
      </w:r>
      <w:r w:rsidR="007A1E09">
        <w:rPr>
          <w:sz w:val="24"/>
          <w:szCs w:val="24"/>
        </w:rPr>
        <w:t xml:space="preserve">however, </w:t>
      </w:r>
      <w:r w:rsidRPr="00D93407">
        <w:rPr>
          <w:sz w:val="24"/>
          <w:szCs w:val="24"/>
        </w:rPr>
        <w:t>Section 956 of the Act determined this result</w:t>
      </w:r>
      <w:r w:rsidR="007A1E09">
        <w:rPr>
          <w:sz w:val="24"/>
          <w:szCs w:val="24"/>
        </w:rPr>
        <w:t xml:space="preserve"> by requiring that the Agencies </w:t>
      </w:r>
      <w:r w:rsidR="007A1E09" w:rsidRPr="00D93407">
        <w:rPr>
          <w:spacing w:val="-3"/>
          <w:sz w:val="24"/>
          <w:szCs w:val="24"/>
        </w:rPr>
        <w:t>prescribe regulations or guidelines</w:t>
      </w:r>
      <w:r w:rsidR="007A1E09">
        <w:rPr>
          <w:spacing w:val="-3"/>
          <w:sz w:val="24"/>
          <w:szCs w:val="24"/>
        </w:rPr>
        <w:t xml:space="preserve"> jointly</w:t>
      </w:r>
      <w:r w:rsidRPr="00D93407">
        <w:rPr>
          <w:sz w:val="24"/>
          <w:szCs w:val="24"/>
        </w:rPr>
        <w:t>.</w:t>
      </w:r>
    </w:p>
    <w:p w14:paraId="710D63EA" w14:textId="77777777" w:rsidR="00D114D6" w:rsidRPr="00D93407" w:rsidRDefault="00D114D6">
      <w:pPr>
        <w:rPr>
          <w:sz w:val="24"/>
          <w:szCs w:val="24"/>
        </w:rPr>
      </w:pPr>
    </w:p>
    <w:p w14:paraId="710D63EB" w14:textId="77777777" w:rsidR="00D114D6" w:rsidRPr="002927F4" w:rsidRDefault="00D114D6">
      <w:pPr>
        <w:rPr>
          <w:b/>
          <w:sz w:val="24"/>
          <w:szCs w:val="24"/>
        </w:rPr>
      </w:pPr>
      <w:r w:rsidRPr="00D93407">
        <w:rPr>
          <w:sz w:val="24"/>
          <w:szCs w:val="24"/>
        </w:rPr>
        <w:tab/>
      </w:r>
      <w:r w:rsidRPr="002927F4">
        <w:rPr>
          <w:b/>
          <w:sz w:val="24"/>
          <w:szCs w:val="24"/>
        </w:rPr>
        <w:t>5.</w:t>
      </w:r>
      <w:r w:rsidRPr="002927F4">
        <w:rPr>
          <w:b/>
          <w:sz w:val="24"/>
          <w:szCs w:val="24"/>
        </w:rPr>
        <w:tab/>
        <w:t>Effect on Small Entities</w:t>
      </w:r>
    </w:p>
    <w:p w14:paraId="710D63EC" w14:textId="77777777" w:rsidR="00D114D6" w:rsidRPr="00D93407" w:rsidRDefault="00D114D6">
      <w:pPr>
        <w:rPr>
          <w:sz w:val="24"/>
          <w:szCs w:val="24"/>
        </w:rPr>
      </w:pPr>
    </w:p>
    <w:p w14:paraId="710D63ED" w14:textId="45741037" w:rsidR="00D114D6" w:rsidRPr="00D93407" w:rsidRDefault="00D114D6">
      <w:pPr>
        <w:rPr>
          <w:sz w:val="24"/>
          <w:szCs w:val="24"/>
        </w:rPr>
      </w:pPr>
      <w:r w:rsidRPr="00D93407">
        <w:rPr>
          <w:sz w:val="24"/>
          <w:szCs w:val="24"/>
        </w:rPr>
        <w:tab/>
      </w:r>
      <w:r w:rsidR="00FA1358" w:rsidRPr="00D93407">
        <w:rPr>
          <w:sz w:val="24"/>
          <w:szCs w:val="24"/>
        </w:rPr>
        <w:t>The Commission solicited comment on whether small entities would be affected by the Proposed Rules.  The Commission preliminarily does not believe that the Proposed Rules would impact small entities.</w:t>
      </w:r>
    </w:p>
    <w:p w14:paraId="710D63EE" w14:textId="77777777" w:rsidR="00D114D6" w:rsidRPr="00D93407" w:rsidRDefault="00D114D6">
      <w:pPr>
        <w:rPr>
          <w:sz w:val="24"/>
          <w:szCs w:val="24"/>
        </w:rPr>
      </w:pPr>
    </w:p>
    <w:p w14:paraId="710D63EF" w14:textId="77777777" w:rsidR="00D114D6" w:rsidRPr="002927F4" w:rsidRDefault="00D114D6">
      <w:pPr>
        <w:rPr>
          <w:b/>
          <w:sz w:val="24"/>
          <w:szCs w:val="24"/>
        </w:rPr>
      </w:pPr>
      <w:r w:rsidRPr="00D93407">
        <w:rPr>
          <w:sz w:val="24"/>
          <w:szCs w:val="24"/>
        </w:rPr>
        <w:tab/>
      </w:r>
      <w:r w:rsidRPr="002927F4">
        <w:rPr>
          <w:b/>
          <w:sz w:val="24"/>
          <w:szCs w:val="24"/>
        </w:rPr>
        <w:t>6.</w:t>
      </w:r>
      <w:r w:rsidRPr="002927F4">
        <w:rPr>
          <w:b/>
          <w:sz w:val="24"/>
          <w:szCs w:val="24"/>
        </w:rPr>
        <w:tab/>
        <w:t xml:space="preserve">Consequences of </w:t>
      </w:r>
      <w:r w:rsidR="00B46309" w:rsidRPr="002927F4">
        <w:rPr>
          <w:b/>
          <w:sz w:val="24"/>
          <w:szCs w:val="24"/>
        </w:rPr>
        <w:t>Not Conducting</w:t>
      </w:r>
      <w:r w:rsidRPr="002927F4">
        <w:rPr>
          <w:b/>
          <w:sz w:val="24"/>
          <w:szCs w:val="24"/>
        </w:rPr>
        <w:t xml:space="preserve"> Collection</w:t>
      </w:r>
    </w:p>
    <w:p w14:paraId="710D63F0" w14:textId="77777777" w:rsidR="00D114D6" w:rsidRPr="00D93407" w:rsidRDefault="00D114D6">
      <w:pPr>
        <w:rPr>
          <w:sz w:val="24"/>
          <w:szCs w:val="24"/>
        </w:rPr>
      </w:pPr>
    </w:p>
    <w:p w14:paraId="710D63F1" w14:textId="19B4EBDC" w:rsidR="00D114D6" w:rsidRPr="00D93407" w:rsidRDefault="00D114D6">
      <w:pPr>
        <w:rPr>
          <w:sz w:val="24"/>
          <w:szCs w:val="24"/>
        </w:rPr>
      </w:pPr>
      <w:r w:rsidRPr="00D93407">
        <w:rPr>
          <w:sz w:val="24"/>
          <w:szCs w:val="24"/>
        </w:rPr>
        <w:tab/>
      </w:r>
      <w:r w:rsidR="00FA1358" w:rsidRPr="00D93407">
        <w:rPr>
          <w:sz w:val="24"/>
          <w:szCs w:val="24"/>
        </w:rPr>
        <w:t>If the Commission does not</w:t>
      </w:r>
      <w:r w:rsidR="007E70F9" w:rsidRPr="007E70F9">
        <w:rPr>
          <w:sz w:val="24"/>
          <w:szCs w:val="24"/>
        </w:rPr>
        <w:t xml:space="preserve"> jointly prescribe rules under Section 956, which are currently being proposed in the form of Proposed Rules 303.4(f), 303.5, and 303.11, the Commission may not be in compliance with Section 956,</w:t>
      </w:r>
      <w:r w:rsidR="00FA1358" w:rsidRPr="00D93407">
        <w:rPr>
          <w:sz w:val="24"/>
          <w:szCs w:val="24"/>
        </w:rPr>
        <w:t xml:space="preserve"> which requires the Agencies to jointly </w:t>
      </w:r>
      <w:r w:rsidR="00FA1358" w:rsidRPr="00D93407">
        <w:rPr>
          <w:spacing w:val="-3"/>
          <w:sz w:val="24"/>
          <w:szCs w:val="24"/>
        </w:rPr>
        <w:t>prescribe regulations or guidelines that prohibit any types of incentive-based payment arrangement, or any feature of such arrangement, that the Agencies determine encourages inappropriate risks by covered financial institutions (i) by providing an executive officer, employee, director or principal shareholder of the covered financial institution with excessive compensation, fees or benefits or (ii) that could lead to material financial loss to the covered financial institution</w:t>
      </w:r>
      <w:r w:rsidR="00FA1358" w:rsidRPr="00D93407">
        <w:rPr>
          <w:sz w:val="24"/>
          <w:szCs w:val="24"/>
        </w:rPr>
        <w:t>.</w:t>
      </w:r>
    </w:p>
    <w:p w14:paraId="710D63F2" w14:textId="77777777" w:rsidR="00D114D6" w:rsidRPr="00D93407" w:rsidRDefault="00D114D6">
      <w:pPr>
        <w:rPr>
          <w:sz w:val="24"/>
          <w:szCs w:val="24"/>
        </w:rPr>
      </w:pPr>
    </w:p>
    <w:p w14:paraId="710D63F3" w14:textId="77777777" w:rsidR="00D114D6" w:rsidRPr="002927F4" w:rsidRDefault="00D114D6">
      <w:pPr>
        <w:rPr>
          <w:b/>
          <w:sz w:val="24"/>
          <w:szCs w:val="24"/>
        </w:rPr>
      </w:pPr>
      <w:r w:rsidRPr="00D93407">
        <w:rPr>
          <w:sz w:val="24"/>
          <w:szCs w:val="24"/>
        </w:rPr>
        <w:tab/>
      </w:r>
      <w:r w:rsidRPr="002927F4">
        <w:rPr>
          <w:b/>
          <w:sz w:val="24"/>
          <w:szCs w:val="24"/>
        </w:rPr>
        <w:t>7.</w:t>
      </w:r>
      <w:r w:rsidRPr="002927F4">
        <w:rPr>
          <w:b/>
          <w:sz w:val="24"/>
          <w:szCs w:val="24"/>
        </w:rPr>
        <w:tab/>
        <w:t>Inconsistencies with Guidelines in 5 CFR 1320.5(d)(2)</w:t>
      </w:r>
    </w:p>
    <w:p w14:paraId="710D63F4" w14:textId="77777777" w:rsidR="00D114D6" w:rsidRPr="00D93407" w:rsidRDefault="00D114D6">
      <w:pPr>
        <w:rPr>
          <w:sz w:val="24"/>
          <w:szCs w:val="24"/>
        </w:rPr>
      </w:pPr>
    </w:p>
    <w:p w14:paraId="41A95A65" w14:textId="1BEAB282" w:rsidR="00D93407" w:rsidRDefault="00D114D6">
      <w:pPr>
        <w:rPr>
          <w:sz w:val="24"/>
          <w:szCs w:val="24"/>
        </w:rPr>
      </w:pPr>
      <w:r w:rsidRPr="00D93407">
        <w:rPr>
          <w:sz w:val="24"/>
          <w:szCs w:val="24"/>
        </w:rPr>
        <w:tab/>
      </w:r>
      <w:r w:rsidR="00F23614" w:rsidRPr="00D93407">
        <w:rPr>
          <w:sz w:val="24"/>
          <w:szCs w:val="24"/>
        </w:rPr>
        <w:t>The</w:t>
      </w:r>
      <w:r w:rsidR="00250274" w:rsidRPr="00D93407">
        <w:rPr>
          <w:sz w:val="24"/>
          <w:szCs w:val="24"/>
        </w:rPr>
        <w:t xml:space="preserve"> Commission anticipates that it may receive some sensitive information as part of the records </w:t>
      </w:r>
      <w:r w:rsidR="00A94B88">
        <w:rPr>
          <w:sz w:val="24"/>
          <w:szCs w:val="24"/>
        </w:rPr>
        <w:t xml:space="preserve">that would be </w:t>
      </w:r>
      <w:r w:rsidR="00250274" w:rsidRPr="00D93407">
        <w:rPr>
          <w:sz w:val="24"/>
          <w:szCs w:val="24"/>
        </w:rPr>
        <w:t xml:space="preserve">required by Proposed Rules 303.4(f) and 303.5.  For example, </w:t>
      </w:r>
      <w:r w:rsidR="00250274" w:rsidRPr="00D93407">
        <w:rPr>
          <w:spacing w:val="-3"/>
          <w:sz w:val="24"/>
          <w:szCs w:val="24"/>
        </w:rPr>
        <w:t xml:space="preserve">Proposed Rule 303.4(f) </w:t>
      </w:r>
      <w:r w:rsidR="00250274" w:rsidRPr="00D93407">
        <w:rPr>
          <w:sz w:val="24"/>
          <w:szCs w:val="24"/>
        </w:rPr>
        <w:t xml:space="preserve">would require </w:t>
      </w:r>
      <w:r w:rsidR="006B77B5">
        <w:rPr>
          <w:sz w:val="24"/>
          <w:szCs w:val="24"/>
        </w:rPr>
        <w:t>Covered I</w:t>
      </w:r>
      <w:r w:rsidR="00250274" w:rsidRPr="00D93407">
        <w:rPr>
          <w:sz w:val="24"/>
          <w:szCs w:val="24"/>
        </w:rPr>
        <w:t xml:space="preserve">nstitutions to create annually and maintain for a period of at least seven years records that document the structure of all </w:t>
      </w:r>
      <w:r w:rsidR="006B77B5">
        <w:rPr>
          <w:sz w:val="24"/>
          <w:szCs w:val="24"/>
        </w:rPr>
        <w:t>of their</w:t>
      </w:r>
      <w:r w:rsidR="00250274" w:rsidRPr="00D93407">
        <w:rPr>
          <w:sz w:val="24"/>
          <w:szCs w:val="24"/>
        </w:rPr>
        <w:t xml:space="preserve"> incentive-based compensation arrangements and d</w:t>
      </w:r>
      <w:r w:rsidR="00A94B88">
        <w:rPr>
          <w:sz w:val="24"/>
          <w:szCs w:val="24"/>
        </w:rPr>
        <w:t>emonstrate compliance with the Proposed Rules</w:t>
      </w:r>
      <w:r w:rsidR="00250274" w:rsidRPr="00D93407">
        <w:rPr>
          <w:sz w:val="24"/>
          <w:szCs w:val="24"/>
        </w:rPr>
        <w:t xml:space="preserve">.  Moreover, Proposed Rule 303.5 would </w:t>
      </w:r>
      <w:r w:rsidR="00A94B88">
        <w:rPr>
          <w:sz w:val="24"/>
          <w:szCs w:val="24"/>
        </w:rPr>
        <w:t xml:space="preserve">require </w:t>
      </w:r>
      <w:r w:rsidR="00250274" w:rsidRPr="00D93407">
        <w:rPr>
          <w:sz w:val="24"/>
          <w:szCs w:val="24"/>
        </w:rPr>
        <w:t>Level 1 and Level 2 Covered Institutions to create annually and maintain for a period of at least seven years</w:t>
      </w:r>
      <w:r w:rsidR="007839FF">
        <w:rPr>
          <w:sz w:val="24"/>
          <w:szCs w:val="24"/>
        </w:rPr>
        <w:t xml:space="preserve"> records that document: (1) their </w:t>
      </w:r>
      <w:r w:rsidR="00250274" w:rsidRPr="00D93407">
        <w:rPr>
          <w:sz w:val="24"/>
          <w:szCs w:val="24"/>
        </w:rPr>
        <w:t xml:space="preserve">senior executive officers and significant risk-takers, listed by legal entity, job function, organizational hierarchy, and line of business; (2) the incentive-based compensation arrangements for senior executive officers and significant risk-takers, including information on percentage of incentive-based compensation deferred and form of award; (3) any forfeiture and downward adjustment or clawback </w:t>
      </w:r>
      <w:r w:rsidR="00250274" w:rsidRPr="00D93407">
        <w:rPr>
          <w:sz w:val="24"/>
          <w:szCs w:val="24"/>
        </w:rPr>
        <w:lastRenderedPageBreak/>
        <w:t xml:space="preserve">reviews and decisions for senior executive officers and significant risk-takers; and </w:t>
      </w:r>
      <w:r w:rsidR="007839FF">
        <w:rPr>
          <w:sz w:val="24"/>
          <w:szCs w:val="24"/>
        </w:rPr>
        <w:t xml:space="preserve">(4) any material changes to their </w:t>
      </w:r>
      <w:r w:rsidR="00250274" w:rsidRPr="00D93407">
        <w:rPr>
          <w:sz w:val="24"/>
          <w:szCs w:val="24"/>
        </w:rPr>
        <w:t xml:space="preserve">incentive-based compensation arrangements and policies.  </w:t>
      </w:r>
    </w:p>
    <w:p w14:paraId="55573D83" w14:textId="77777777" w:rsidR="00D93407" w:rsidRDefault="00D93407">
      <w:pPr>
        <w:rPr>
          <w:sz w:val="24"/>
          <w:szCs w:val="24"/>
        </w:rPr>
      </w:pPr>
    </w:p>
    <w:p w14:paraId="710D63F5" w14:textId="6FD7EF0E" w:rsidR="00D114D6" w:rsidRDefault="00250274" w:rsidP="00D93407">
      <w:pPr>
        <w:ind w:firstLine="720"/>
        <w:rPr>
          <w:sz w:val="24"/>
          <w:szCs w:val="24"/>
        </w:rPr>
      </w:pPr>
      <w:r w:rsidRPr="00D93407">
        <w:rPr>
          <w:sz w:val="24"/>
          <w:szCs w:val="24"/>
        </w:rPr>
        <w:t xml:space="preserve">Information about compensation is sensitive in nature and could be used by a competitor or others to disadvantage a </w:t>
      </w:r>
      <w:r w:rsidR="007839FF">
        <w:rPr>
          <w:sz w:val="24"/>
          <w:szCs w:val="24"/>
        </w:rPr>
        <w:t>Covered I</w:t>
      </w:r>
      <w:r w:rsidRPr="00D93407">
        <w:rPr>
          <w:sz w:val="24"/>
          <w:szCs w:val="24"/>
        </w:rPr>
        <w:t xml:space="preserve">nstitution.  To address these concerns, the Commission notes that Proposed Rule 303.4(g) provides that a </w:t>
      </w:r>
      <w:r w:rsidR="007839FF">
        <w:rPr>
          <w:sz w:val="24"/>
          <w:szCs w:val="24"/>
        </w:rPr>
        <w:t>Covered I</w:t>
      </w:r>
      <w:r w:rsidRPr="00D93407">
        <w:rPr>
          <w:sz w:val="24"/>
          <w:szCs w:val="24"/>
        </w:rPr>
        <w:t xml:space="preserve">nstitution would not be required to report the actual amount of compensation, fees, or benefits of individual covered persons as part of the </w:t>
      </w:r>
      <w:r w:rsidR="00A94B88">
        <w:rPr>
          <w:sz w:val="24"/>
          <w:szCs w:val="24"/>
        </w:rPr>
        <w:t>recordkeeping</w:t>
      </w:r>
      <w:r w:rsidRPr="00D93407">
        <w:rPr>
          <w:sz w:val="24"/>
          <w:szCs w:val="24"/>
        </w:rPr>
        <w:t xml:space="preserve"> requirement of Proposed Rule 303.4(f) and that gener</w:t>
      </w:r>
      <w:r w:rsidR="00A94B88">
        <w:rPr>
          <w:sz w:val="24"/>
          <w:szCs w:val="24"/>
        </w:rPr>
        <w:t>ally, Section 956</w:t>
      </w:r>
      <w:r w:rsidRPr="00D93407">
        <w:rPr>
          <w:sz w:val="24"/>
          <w:szCs w:val="24"/>
        </w:rPr>
        <w:t xml:space="preserve"> does not require a covered financial institution to disclose compensation of individuals.</w:t>
      </w:r>
      <w:r w:rsidR="001332FA">
        <w:rPr>
          <w:sz w:val="24"/>
          <w:szCs w:val="24"/>
        </w:rPr>
        <w:t xml:space="preserve">  The information, though sensitive in nature, is necessary for the Commission to </w:t>
      </w:r>
      <w:r w:rsidR="001332FA" w:rsidRPr="00D93407">
        <w:rPr>
          <w:sz w:val="24"/>
          <w:szCs w:val="24"/>
        </w:rPr>
        <w:t>administer Section 956 of the Dodd-Frank Act and to determine compliance with Section 956 and the Proposed Rules</w:t>
      </w:r>
      <w:r w:rsidR="001332FA">
        <w:rPr>
          <w:sz w:val="24"/>
          <w:szCs w:val="24"/>
        </w:rPr>
        <w:t xml:space="preserve">.  </w:t>
      </w:r>
      <w:r w:rsidR="00D93407">
        <w:rPr>
          <w:sz w:val="24"/>
          <w:szCs w:val="24"/>
        </w:rPr>
        <w:t xml:space="preserve">  </w:t>
      </w:r>
    </w:p>
    <w:p w14:paraId="200C2234" w14:textId="77777777" w:rsidR="00EE7FE3" w:rsidRDefault="00EE7FE3" w:rsidP="00D93407">
      <w:pPr>
        <w:ind w:firstLine="720"/>
        <w:rPr>
          <w:sz w:val="24"/>
          <w:szCs w:val="24"/>
        </w:rPr>
      </w:pPr>
    </w:p>
    <w:p w14:paraId="788843D4" w14:textId="7642CD7A" w:rsidR="00EE7FE3" w:rsidRPr="00D93407" w:rsidRDefault="00EE7FE3" w:rsidP="00EE7FE3">
      <w:pPr>
        <w:ind w:firstLine="720"/>
        <w:rPr>
          <w:sz w:val="24"/>
          <w:szCs w:val="24"/>
        </w:rPr>
      </w:pPr>
      <w:r>
        <w:rPr>
          <w:sz w:val="24"/>
          <w:szCs w:val="24"/>
        </w:rPr>
        <w:t xml:space="preserve">Although </w:t>
      </w:r>
      <w:r w:rsidRPr="00D93407">
        <w:rPr>
          <w:sz w:val="24"/>
          <w:szCs w:val="24"/>
        </w:rPr>
        <w:t>Proposed Rules 303.4(f), 303.5, and 303.11 do not require any reg</w:t>
      </w:r>
      <w:r>
        <w:rPr>
          <w:sz w:val="24"/>
          <w:szCs w:val="24"/>
        </w:rPr>
        <w:t xml:space="preserve">ular reporting to the Commission, the Commission may receive information in the course of examinations and reviewing the records </w:t>
      </w:r>
      <w:r w:rsidR="00A81D3E">
        <w:rPr>
          <w:sz w:val="24"/>
          <w:szCs w:val="24"/>
        </w:rPr>
        <w:t xml:space="preserve">that would be </w:t>
      </w:r>
      <w:r>
        <w:rPr>
          <w:sz w:val="24"/>
          <w:szCs w:val="24"/>
        </w:rPr>
        <w:t>required by Proposed Rules 303.4(f) and</w:t>
      </w:r>
      <w:r w:rsidRPr="00D93407">
        <w:rPr>
          <w:sz w:val="24"/>
          <w:szCs w:val="24"/>
        </w:rPr>
        <w:t xml:space="preserve"> 303.5</w:t>
      </w:r>
      <w:r>
        <w:rPr>
          <w:sz w:val="24"/>
          <w:szCs w:val="24"/>
        </w:rPr>
        <w:t xml:space="preserve">.  The Commission </w:t>
      </w:r>
      <w:r w:rsidR="00A81D3E">
        <w:rPr>
          <w:sz w:val="24"/>
          <w:szCs w:val="24"/>
        </w:rPr>
        <w:t>would</w:t>
      </w:r>
      <w:r>
        <w:rPr>
          <w:sz w:val="24"/>
          <w:szCs w:val="24"/>
        </w:rPr>
        <w:t xml:space="preserve"> keep any information collected as part of the recordkeeping requirements </w:t>
      </w:r>
      <w:r>
        <w:rPr>
          <w:sz w:val="23"/>
          <w:szCs w:val="23"/>
        </w:rPr>
        <w:t xml:space="preserve">confidential, subject to the provisions of applicable law.  </w:t>
      </w:r>
    </w:p>
    <w:p w14:paraId="3C393FED" w14:textId="77777777" w:rsidR="00250274" w:rsidRPr="00D93407" w:rsidRDefault="00250274">
      <w:pPr>
        <w:rPr>
          <w:sz w:val="24"/>
          <w:szCs w:val="24"/>
        </w:rPr>
      </w:pPr>
    </w:p>
    <w:p w14:paraId="34E10190" w14:textId="32FDA3B9" w:rsidR="00250274" w:rsidRPr="00D93407" w:rsidRDefault="00250274">
      <w:pPr>
        <w:rPr>
          <w:sz w:val="24"/>
          <w:szCs w:val="24"/>
        </w:rPr>
      </w:pPr>
      <w:r w:rsidRPr="00D93407">
        <w:rPr>
          <w:sz w:val="24"/>
          <w:szCs w:val="24"/>
        </w:rPr>
        <w:tab/>
      </w:r>
      <w:r w:rsidR="00D93407" w:rsidRPr="00D93407">
        <w:rPr>
          <w:sz w:val="24"/>
          <w:szCs w:val="24"/>
        </w:rPr>
        <w:t>Proposed Rules 303.4(f) and 303.5 would each require that Covered Institutions and Level 1 and Level 2 Covered Institutions (in the case of Proposed Rule 303.5) maintain records for a period of at least seven years.  The requirement to maintain records for at least seven years generally aligns with the clawback period described in Proposed Rule 303.7(c).</w:t>
      </w:r>
      <w:r w:rsidR="00125E57">
        <w:rPr>
          <w:sz w:val="24"/>
          <w:szCs w:val="24"/>
        </w:rPr>
        <w:t xml:space="preserve">  This collection of information therefore would allow the Commission staff to examine </w:t>
      </w:r>
      <w:r w:rsidR="00F904DA">
        <w:rPr>
          <w:sz w:val="24"/>
          <w:szCs w:val="24"/>
        </w:rPr>
        <w:t>Covered I</w:t>
      </w:r>
      <w:r w:rsidR="00125E57">
        <w:rPr>
          <w:sz w:val="24"/>
          <w:szCs w:val="24"/>
        </w:rPr>
        <w:t>nstitutions’ compliance with Section 956 and the Proposed Rules and ha</w:t>
      </w:r>
      <w:r w:rsidR="00F904DA">
        <w:rPr>
          <w:sz w:val="24"/>
          <w:szCs w:val="24"/>
        </w:rPr>
        <w:t>ve access to information about Covered I</w:t>
      </w:r>
      <w:r w:rsidR="00125E57">
        <w:rPr>
          <w:sz w:val="24"/>
          <w:szCs w:val="24"/>
        </w:rPr>
        <w:t xml:space="preserve">nstitutions’ use of clawback arrangements under Proposed Rule 303.7(c). </w:t>
      </w:r>
    </w:p>
    <w:p w14:paraId="710D63F6" w14:textId="77777777" w:rsidR="00D114D6" w:rsidRPr="00D93407" w:rsidRDefault="00D114D6">
      <w:pPr>
        <w:rPr>
          <w:sz w:val="24"/>
          <w:szCs w:val="24"/>
        </w:rPr>
      </w:pPr>
    </w:p>
    <w:p w14:paraId="710D63F7" w14:textId="77777777" w:rsidR="00D114D6" w:rsidRPr="002927F4" w:rsidRDefault="00D114D6">
      <w:pPr>
        <w:rPr>
          <w:b/>
          <w:sz w:val="24"/>
          <w:szCs w:val="24"/>
        </w:rPr>
      </w:pPr>
      <w:r w:rsidRPr="00D93407">
        <w:rPr>
          <w:sz w:val="24"/>
          <w:szCs w:val="24"/>
        </w:rPr>
        <w:tab/>
      </w:r>
      <w:r w:rsidRPr="002927F4">
        <w:rPr>
          <w:b/>
          <w:sz w:val="24"/>
          <w:szCs w:val="24"/>
        </w:rPr>
        <w:t>8.</w:t>
      </w:r>
      <w:r w:rsidRPr="002927F4">
        <w:rPr>
          <w:b/>
          <w:sz w:val="24"/>
          <w:szCs w:val="24"/>
        </w:rPr>
        <w:tab/>
        <w:t>Consultations Outside the Agency</w:t>
      </w:r>
    </w:p>
    <w:p w14:paraId="710D63F8" w14:textId="77777777" w:rsidR="00D114D6" w:rsidRPr="00D93407" w:rsidRDefault="00D114D6">
      <w:pPr>
        <w:rPr>
          <w:sz w:val="24"/>
          <w:szCs w:val="24"/>
        </w:rPr>
      </w:pPr>
    </w:p>
    <w:p w14:paraId="38FFCB96" w14:textId="283C28EC" w:rsidR="00125E57" w:rsidRPr="007E70F9" w:rsidRDefault="00D114D6" w:rsidP="00125E57">
      <w:pPr>
        <w:pStyle w:val="Default"/>
      </w:pPr>
      <w:r w:rsidRPr="00D93407">
        <w:tab/>
      </w:r>
      <w:r w:rsidR="00125E57" w:rsidRPr="007E70F9">
        <w:t>The Commission has issued a release</w:t>
      </w:r>
      <w:r w:rsidR="00291A7E" w:rsidRPr="007E70F9">
        <w:t xml:space="preserve"> soliciting comment on the new </w:t>
      </w:r>
      <w:r w:rsidR="00125E57" w:rsidRPr="007E70F9">
        <w:t>collection</w:t>
      </w:r>
      <w:r w:rsidR="00291A7E" w:rsidRPr="007E70F9">
        <w:t xml:space="preserve"> of </w:t>
      </w:r>
      <w:r w:rsidR="00125E57" w:rsidRPr="007E70F9">
        <w:t>information requirements and associated paperwork burdens.</w:t>
      </w:r>
      <w:r w:rsidR="002927F4">
        <w:rPr>
          <w:rStyle w:val="FootnoteReference"/>
        </w:rPr>
        <w:footnoteReference w:id="3"/>
      </w:r>
      <w:r w:rsidR="00125E57" w:rsidRPr="007E70F9">
        <w:t xml:space="preserve">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proposed rulemaking will be posted on the Commission’s public website, and made available through </w:t>
      </w:r>
      <w:hyperlink r:id="rId11" w:history="1">
        <w:r w:rsidR="00125E57" w:rsidRPr="007E70F9">
          <w:rPr>
            <w:rStyle w:val="Hyperlink"/>
          </w:rPr>
          <w:t>http://www.sec.gov/rules/proposed.shtml</w:t>
        </w:r>
      </w:hyperlink>
      <w:r w:rsidR="00125E57" w:rsidRPr="007E70F9">
        <w:t xml:space="preserve">.  The Commission will consider all comments received prior to publishing the final rule, and will explain in any adopting release how the final rule responds to such comments, in accordance with 5 CFR 1320.11(f). </w:t>
      </w:r>
    </w:p>
    <w:p w14:paraId="7D6E3A7A" w14:textId="77777777" w:rsidR="00125E57" w:rsidRPr="007E70F9" w:rsidRDefault="00125E57" w:rsidP="00125E57">
      <w:pPr>
        <w:pStyle w:val="Default"/>
      </w:pPr>
    </w:p>
    <w:p w14:paraId="710D63F9" w14:textId="6E0B4E3D" w:rsidR="00D114D6" w:rsidRPr="007E70F9" w:rsidRDefault="00125E57" w:rsidP="00125E57">
      <w:pPr>
        <w:pStyle w:val="Default"/>
        <w:ind w:firstLine="720"/>
      </w:pPr>
      <w:r w:rsidRPr="007E70F9">
        <w:t xml:space="preserve">Section 956 requires the Commission to </w:t>
      </w:r>
      <w:r w:rsidR="007E70F9">
        <w:t>jointly prescribe rules under Section 956 with the other Agencies, which are currently being proposed in the form of Proposed Rules 303.4(f), 303.5, and 303.11</w:t>
      </w:r>
      <w:r w:rsidR="003D2CEC">
        <w:t xml:space="preserve">.  </w:t>
      </w:r>
      <w:r w:rsidRPr="007E70F9">
        <w:t xml:space="preserve">Commission staff consulted extensively with </w:t>
      </w:r>
      <w:r w:rsidRPr="007E70F9">
        <w:lastRenderedPageBreak/>
        <w:t>representatives from the other Agencies during the process of drafting the Proposed Rules.</w:t>
      </w:r>
    </w:p>
    <w:p w14:paraId="710D63FA" w14:textId="77777777" w:rsidR="00D114D6" w:rsidRPr="00D93407" w:rsidRDefault="00D114D6">
      <w:pPr>
        <w:rPr>
          <w:sz w:val="24"/>
          <w:szCs w:val="24"/>
        </w:rPr>
      </w:pPr>
    </w:p>
    <w:p w14:paraId="710D63FB" w14:textId="77777777" w:rsidR="00D114D6" w:rsidRPr="002927F4" w:rsidRDefault="00D114D6">
      <w:pPr>
        <w:rPr>
          <w:b/>
          <w:sz w:val="24"/>
          <w:szCs w:val="24"/>
        </w:rPr>
      </w:pPr>
      <w:r w:rsidRPr="002927F4">
        <w:rPr>
          <w:b/>
          <w:sz w:val="24"/>
          <w:szCs w:val="24"/>
        </w:rPr>
        <w:tab/>
        <w:t>9.</w:t>
      </w:r>
      <w:r w:rsidRPr="002927F4">
        <w:rPr>
          <w:b/>
          <w:sz w:val="24"/>
          <w:szCs w:val="24"/>
        </w:rPr>
        <w:tab/>
        <w:t>Payment o</w:t>
      </w:r>
      <w:r w:rsidR="00B46309" w:rsidRPr="002927F4">
        <w:rPr>
          <w:b/>
          <w:sz w:val="24"/>
          <w:szCs w:val="24"/>
        </w:rPr>
        <w:t>r</w:t>
      </w:r>
      <w:r w:rsidRPr="002927F4">
        <w:rPr>
          <w:b/>
          <w:sz w:val="24"/>
          <w:szCs w:val="24"/>
        </w:rPr>
        <w:t xml:space="preserve"> Gift</w:t>
      </w:r>
    </w:p>
    <w:p w14:paraId="710D63FC" w14:textId="77777777" w:rsidR="00D114D6" w:rsidRPr="00D93407" w:rsidRDefault="00D114D6">
      <w:pPr>
        <w:rPr>
          <w:sz w:val="24"/>
          <w:szCs w:val="24"/>
        </w:rPr>
      </w:pPr>
    </w:p>
    <w:p w14:paraId="710D63FD" w14:textId="288DB4D2" w:rsidR="00D114D6" w:rsidRPr="002B563B" w:rsidRDefault="00D114D6">
      <w:pPr>
        <w:rPr>
          <w:sz w:val="24"/>
          <w:szCs w:val="24"/>
        </w:rPr>
      </w:pPr>
      <w:r w:rsidRPr="00D93407">
        <w:rPr>
          <w:sz w:val="24"/>
          <w:szCs w:val="24"/>
        </w:rPr>
        <w:tab/>
      </w:r>
      <w:r w:rsidR="00125E57" w:rsidRPr="007E70F9">
        <w:rPr>
          <w:sz w:val="24"/>
          <w:szCs w:val="24"/>
        </w:rPr>
        <w:t>The Commission did not provide any payment or gift to respondents in connection with the proposed rulemaking.</w:t>
      </w:r>
    </w:p>
    <w:p w14:paraId="710D63FE" w14:textId="77777777" w:rsidR="00D114D6" w:rsidRPr="00D93407" w:rsidRDefault="00D114D6">
      <w:pPr>
        <w:rPr>
          <w:sz w:val="24"/>
          <w:szCs w:val="24"/>
        </w:rPr>
      </w:pPr>
    </w:p>
    <w:p w14:paraId="710D63FF" w14:textId="77777777" w:rsidR="00D114D6" w:rsidRPr="002927F4" w:rsidRDefault="00D114D6">
      <w:pPr>
        <w:rPr>
          <w:b/>
          <w:sz w:val="24"/>
          <w:szCs w:val="24"/>
        </w:rPr>
      </w:pPr>
      <w:r w:rsidRPr="00D93407">
        <w:rPr>
          <w:sz w:val="24"/>
          <w:szCs w:val="24"/>
        </w:rPr>
        <w:tab/>
      </w:r>
      <w:r w:rsidRPr="002927F4">
        <w:rPr>
          <w:b/>
          <w:sz w:val="24"/>
          <w:szCs w:val="24"/>
        </w:rPr>
        <w:t>10.</w:t>
      </w:r>
      <w:r w:rsidRPr="002927F4">
        <w:rPr>
          <w:b/>
          <w:sz w:val="24"/>
          <w:szCs w:val="24"/>
        </w:rPr>
        <w:tab/>
        <w:t>Confidentiality</w:t>
      </w:r>
    </w:p>
    <w:p w14:paraId="710D6400" w14:textId="77777777" w:rsidR="00D114D6" w:rsidRPr="00D93407" w:rsidRDefault="00D114D6">
      <w:pPr>
        <w:rPr>
          <w:sz w:val="24"/>
          <w:szCs w:val="24"/>
        </w:rPr>
      </w:pPr>
    </w:p>
    <w:p w14:paraId="710D6401" w14:textId="0D2D4ED0" w:rsidR="00D114D6" w:rsidRPr="00D93407" w:rsidRDefault="00D114D6">
      <w:pPr>
        <w:rPr>
          <w:sz w:val="24"/>
          <w:szCs w:val="24"/>
        </w:rPr>
      </w:pPr>
      <w:r w:rsidRPr="00D93407">
        <w:rPr>
          <w:sz w:val="24"/>
          <w:szCs w:val="24"/>
        </w:rPr>
        <w:tab/>
      </w:r>
      <w:r w:rsidR="00125E57">
        <w:rPr>
          <w:sz w:val="24"/>
          <w:szCs w:val="24"/>
        </w:rPr>
        <w:t xml:space="preserve">The Commission </w:t>
      </w:r>
      <w:r w:rsidR="00291A7E">
        <w:rPr>
          <w:sz w:val="24"/>
          <w:szCs w:val="24"/>
        </w:rPr>
        <w:t>would</w:t>
      </w:r>
      <w:r w:rsidR="00125E57">
        <w:rPr>
          <w:sz w:val="24"/>
          <w:szCs w:val="24"/>
        </w:rPr>
        <w:t xml:space="preserve"> keep information collected </w:t>
      </w:r>
      <w:r w:rsidR="00125E57">
        <w:rPr>
          <w:sz w:val="23"/>
          <w:szCs w:val="23"/>
        </w:rPr>
        <w:t>confidential, subject to the provisions of applicable law.</w:t>
      </w:r>
    </w:p>
    <w:p w14:paraId="710D6402" w14:textId="77777777" w:rsidR="00D114D6" w:rsidRPr="00D93407" w:rsidRDefault="00D114D6">
      <w:pPr>
        <w:rPr>
          <w:sz w:val="24"/>
          <w:szCs w:val="24"/>
        </w:rPr>
      </w:pPr>
    </w:p>
    <w:p w14:paraId="710D6403" w14:textId="77777777" w:rsidR="00D114D6" w:rsidRPr="002927F4" w:rsidRDefault="00D114D6">
      <w:pPr>
        <w:rPr>
          <w:b/>
          <w:sz w:val="24"/>
          <w:szCs w:val="24"/>
        </w:rPr>
      </w:pPr>
      <w:r w:rsidRPr="002927F4">
        <w:rPr>
          <w:b/>
          <w:sz w:val="24"/>
          <w:szCs w:val="24"/>
        </w:rPr>
        <w:tab/>
        <w:t>11.</w:t>
      </w:r>
      <w:r w:rsidRPr="002927F4">
        <w:rPr>
          <w:b/>
          <w:sz w:val="24"/>
          <w:szCs w:val="24"/>
        </w:rPr>
        <w:tab/>
        <w:t>Sensitive Questions</w:t>
      </w:r>
    </w:p>
    <w:p w14:paraId="710D6404" w14:textId="77777777" w:rsidR="00D114D6" w:rsidRPr="00D93407" w:rsidRDefault="00D114D6">
      <w:pPr>
        <w:rPr>
          <w:sz w:val="24"/>
          <w:szCs w:val="24"/>
        </w:rPr>
      </w:pPr>
    </w:p>
    <w:p w14:paraId="3B04A404" w14:textId="72A5C1E9" w:rsidR="00EE7FE3" w:rsidRDefault="00D114D6" w:rsidP="00EE7FE3">
      <w:pPr>
        <w:rPr>
          <w:sz w:val="24"/>
          <w:szCs w:val="24"/>
        </w:rPr>
      </w:pPr>
      <w:r w:rsidRPr="00D93407">
        <w:rPr>
          <w:sz w:val="24"/>
          <w:szCs w:val="24"/>
        </w:rPr>
        <w:tab/>
      </w:r>
      <w:r w:rsidR="00EE7FE3" w:rsidRPr="00D93407">
        <w:rPr>
          <w:sz w:val="24"/>
          <w:szCs w:val="24"/>
        </w:rPr>
        <w:t xml:space="preserve">The Commission anticipates that it may receive some sensitive information as part of the records required by Proposed Rules 303.4(f) and 303.5.  For example, </w:t>
      </w:r>
      <w:r w:rsidR="00EE7FE3" w:rsidRPr="00D93407">
        <w:rPr>
          <w:spacing w:val="-3"/>
          <w:sz w:val="24"/>
          <w:szCs w:val="24"/>
        </w:rPr>
        <w:t xml:space="preserve">Proposed Rule 303.4(f) </w:t>
      </w:r>
      <w:r w:rsidR="00EE7FE3" w:rsidRPr="00D93407">
        <w:rPr>
          <w:sz w:val="24"/>
          <w:szCs w:val="24"/>
        </w:rPr>
        <w:t xml:space="preserve">would require </w:t>
      </w:r>
      <w:r w:rsidR="006B77B5">
        <w:rPr>
          <w:sz w:val="24"/>
          <w:szCs w:val="24"/>
        </w:rPr>
        <w:t>Covered I</w:t>
      </w:r>
      <w:r w:rsidR="00EE7FE3" w:rsidRPr="00D93407">
        <w:rPr>
          <w:sz w:val="24"/>
          <w:szCs w:val="24"/>
        </w:rPr>
        <w:t xml:space="preserve">nstitutions to create annually and maintain for a period of at least seven years records that document the structure of all </w:t>
      </w:r>
      <w:r w:rsidR="006B77B5">
        <w:rPr>
          <w:sz w:val="24"/>
          <w:szCs w:val="24"/>
        </w:rPr>
        <w:t>of their</w:t>
      </w:r>
      <w:r w:rsidR="00EE7FE3" w:rsidRPr="00D93407">
        <w:rPr>
          <w:sz w:val="24"/>
          <w:szCs w:val="24"/>
        </w:rPr>
        <w:t xml:space="preserve"> incentive-based compensation arrangements and demonstrate compliance with </w:t>
      </w:r>
      <w:r w:rsidR="009F73D9">
        <w:rPr>
          <w:sz w:val="24"/>
          <w:szCs w:val="24"/>
        </w:rPr>
        <w:t>the Proposed Rules</w:t>
      </w:r>
      <w:r w:rsidR="00EE7FE3" w:rsidRPr="00D93407">
        <w:rPr>
          <w:sz w:val="24"/>
          <w:szCs w:val="24"/>
        </w:rPr>
        <w:t>.  Moreover, Proposed Rule 303.5 would</w:t>
      </w:r>
      <w:r w:rsidR="006B77B5">
        <w:rPr>
          <w:sz w:val="24"/>
          <w:szCs w:val="24"/>
        </w:rPr>
        <w:t xml:space="preserve"> require</w:t>
      </w:r>
      <w:r w:rsidR="00EE7FE3" w:rsidRPr="00D93407">
        <w:rPr>
          <w:sz w:val="24"/>
          <w:szCs w:val="24"/>
        </w:rPr>
        <w:t xml:space="preserve"> Level 1 and Level 2 Covered Institutions to create annually and maintain for a period of at least seven years </w:t>
      </w:r>
      <w:r w:rsidR="007839FF">
        <w:rPr>
          <w:sz w:val="24"/>
          <w:szCs w:val="24"/>
        </w:rPr>
        <w:t>records that document: (1) their</w:t>
      </w:r>
      <w:r w:rsidR="00EE7FE3" w:rsidRPr="00D93407">
        <w:rPr>
          <w:sz w:val="24"/>
          <w:szCs w:val="24"/>
        </w:rPr>
        <w:t xml:space="preserve"> senior executive officers and significant risk-takers, listed by legal entity, job function, organizational hierarchy, and line of business; (2) the incentive-based compensation arrangements for senior executive officers and significant risk-takers, including information on percentage of incentive-based compensation deferred and form of award; (3) any forfeiture and downward adjustment or clawback reviews and decisions for senior executive officers and significant risk-takers; and </w:t>
      </w:r>
      <w:r w:rsidR="007839FF">
        <w:rPr>
          <w:sz w:val="24"/>
          <w:szCs w:val="24"/>
        </w:rPr>
        <w:t xml:space="preserve">(4) any material changes to their </w:t>
      </w:r>
      <w:r w:rsidR="00EE7FE3" w:rsidRPr="00D93407">
        <w:rPr>
          <w:sz w:val="24"/>
          <w:szCs w:val="24"/>
        </w:rPr>
        <w:t xml:space="preserve">incentive-based compensation arrangements and policies.  </w:t>
      </w:r>
    </w:p>
    <w:p w14:paraId="3C151036" w14:textId="77777777" w:rsidR="00EE7FE3" w:rsidRDefault="00EE7FE3" w:rsidP="00EE7FE3">
      <w:pPr>
        <w:rPr>
          <w:sz w:val="24"/>
          <w:szCs w:val="24"/>
        </w:rPr>
      </w:pPr>
    </w:p>
    <w:p w14:paraId="39248DB7" w14:textId="14AE5E97" w:rsidR="00EE7FE3" w:rsidRDefault="00EE7FE3" w:rsidP="00EE7FE3">
      <w:pPr>
        <w:ind w:firstLine="720"/>
        <w:rPr>
          <w:sz w:val="24"/>
          <w:szCs w:val="24"/>
        </w:rPr>
      </w:pPr>
      <w:r w:rsidRPr="00D93407">
        <w:rPr>
          <w:sz w:val="24"/>
          <w:szCs w:val="24"/>
        </w:rPr>
        <w:t xml:space="preserve">Information about compensation is sensitive in nature and could be used by a competitor or others to disadvantage a </w:t>
      </w:r>
      <w:r w:rsidR="00F904DA">
        <w:rPr>
          <w:sz w:val="24"/>
          <w:szCs w:val="24"/>
        </w:rPr>
        <w:t>Covered I</w:t>
      </w:r>
      <w:r w:rsidRPr="00D93407">
        <w:rPr>
          <w:sz w:val="24"/>
          <w:szCs w:val="24"/>
        </w:rPr>
        <w:t>nstitution.  To address these concerns, the Commission notes that Proposed</w:t>
      </w:r>
      <w:r w:rsidR="00F904DA">
        <w:rPr>
          <w:sz w:val="24"/>
          <w:szCs w:val="24"/>
        </w:rPr>
        <w:t xml:space="preserve"> Rule 303.4(g) provides that a C</w:t>
      </w:r>
      <w:r w:rsidRPr="00D93407">
        <w:rPr>
          <w:sz w:val="24"/>
          <w:szCs w:val="24"/>
        </w:rPr>
        <w:t xml:space="preserve">overed </w:t>
      </w:r>
      <w:r w:rsidR="00F904DA">
        <w:rPr>
          <w:sz w:val="24"/>
          <w:szCs w:val="24"/>
        </w:rPr>
        <w:t>I</w:t>
      </w:r>
      <w:r w:rsidRPr="00D93407">
        <w:rPr>
          <w:sz w:val="24"/>
          <w:szCs w:val="24"/>
        </w:rPr>
        <w:t xml:space="preserve">nstitution would not be required to report the actual amount of compensation, fees, or benefits of individual covered persons as part of the </w:t>
      </w:r>
      <w:r w:rsidR="00A94B88">
        <w:rPr>
          <w:sz w:val="24"/>
          <w:szCs w:val="24"/>
        </w:rPr>
        <w:t>recordkeeping</w:t>
      </w:r>
      <w:r w:rsidRPr="00D93407">
        <w:rPr>
          <w:sz w:val="24"/>
          <w:szCs w:val="24"/>
        </w:rPr>
        <w:t xml:space="preserve"> requirement of Proposed Rule 303.4(f) and that generally, </w:t>
      </w:r>
      <w:r w:rsidR="00A94B88">
        <w:rPr>
          <w:sz w:val="24"/>
          <w:szCs w:val="24"/>
        </w:rPr>
        <w:t>Section 956</w:t>
      </w:r>
      <w:r w:rsidRPr="00D93407">
        <w:rPr>
          <w:sz w:val="24"/>
          <w:szCs w:val="24"/>
        </w:rPr>
        <w:t xml:space="preserve"> does not require a covered financial institution to disclose compensation of individuals.</w:t>
      </w:r>
      <w:r w:rsidR="001332FA">
        <w:rPr>
          <w:sz w:val="24"/>
          <w:szCs w:val="24"/>
        </w:rPr>
        <w:t xml:space="preserve">  The information, though sensitive in nature, is necessary for the Commission to </w:t>
      </w:r>
      <w:r w:rsidR="001332FA" w:rsidRPr="00D93407">
        <w:rPr>
          <w:sz w:val="24"/>
          <w:szCs w:val="24"/>
        </w:rPr>
        <w:t>administer Section 956 of the Dodd-Frank Act and to determine compliance with Section 956 and the Proposed Rules</w:t>
      </w:r>
      <w:r w:rsidR="001332FA">
        <w:rPr>
          <w:sz w:val="24"/>
          <w:szCs w:val="24"/>
        </w:rPr>
        <w:t>.</w:t>
      </w:r>
      <w:r>
        <w:rPr>
          <w:sz w:val="24"/>
          <w:szCs w:val="24"/>
        </w:rPr>
        <w:t xml:space="preserve">  </w:t>
      </w:r>
    </w:p>
    <w:p w14:paraId="0090F6F7" w14:textId="77777777" w:rsidR="00EE7FE3" w:rsidRDefault="00EE7FE3" w:rsidP="00EE7FE3">
      <w:pPr>
        <w:ind w:firstLine="720"/>
        <w:rPr>
          <w:sz w:val="24"/>
          <w:szCs w:val="24"/>
        </w:rPr>
      </w:pPr>
    </w:p>
    <w:p w14:paraId="0F1BAA88" w14:textId="280B9FCF" w:rsidR="00EE7FE3" w:rsidRDefault="00EE7FE3" w:rsidP="00EE7FE3">
      <w:pPr>
        <w:ind w:firstLine="720"/>
        <w:rPr>
          <w:sz w:val="23"/>
          <w:szCs w:val="23"/>
        </w:rPr>
      </w:pPr>
      <w:r>
        <w:rPr>
          <w:sz w:val="24"/>
          <w:szCs w:val="24"/>
        </w:rPr>
        <w:t xml:space="preserve">Although </w:t>
      </w:r>
      <w:r w:rsidRPr="00D93407">
        <w:rPr>
          <w:sz w:val="24"/>
          <w:szCs w:val="24"/>
        </w:rPr>
        <w:t>Proposed Rules 303.4(f), 303.5, and 303.11 do not require any reg</w:t>
      </w:r>
      <w:r>
        <w:rPr>
          <w:sz w:val="24"/>
          <w:szCs w:val="24"/>
        </w:rPr>
        <w:t>ular reporting to the Commission, the Commission may receive information in the course of examinations and reviewing the records</w:t>
      </w:r>
      <w:r w:rsidR="006B77B5">
        <w:rPr>
          <w:sz w:val="24"/>
          <w:szCs w:val="24"/>
        </w:rPr>
        <w:t xml:space="preserve"> that would be</w:t>
      </w:r>
      <w:r>
        <w:rPr>
          <w:sz w:val="24"/>
          <w:szCs w:val="24"/>
        </w:rPr>
        <w:t xml:space="preserve"> required by Proposed Rules 303.4(f) and</w:t>
      </w:r>
      <w:r w:rsidRPr="00D93407">
        <w:rPr>
          <w:sz w:val="24"/>
          <w:szCs w:val="24"/>
        </w:rPr>
        <w:t xml:space="preserve"> 303.5</w:t>
      </w:r>
      <w:r>
        <w:rPr>
          <w:sz w:val="24"/>
          <w:szCs w:val="24"/>
        </w:rPr>
        <w:t xml:space="preserve">.  The Commission </w:t>
      </w:r>
      <w:r w:rsidR="006B77B5">
        <w:rPr>
          <w:sz w:val="24"/>
          <w:szCs w:val="24"/>
        </w:rPr>
        <w:t>would</w:t>
      </w:r>
      <w:r>
        <w:rPr>
          <w:sz w:val="24"/>
          <w:szCs w:val="24"/>
        </w:rPr>
        <w:t xml:space="preserve"> keep any information collected as part of the recordkeeping requirements </w:t>
      </w:r>
      <w:r>
        <w:rPr>
          <w:sz w:val="23"/>
          <w:szCs w:val="23"/>
        </w:rPr>
        <w:t xml:space="preserve">confidential, subject to the provisions of applicable law.  </w:t>
      </w:r>
    </w:p>
    <w:p w14:paraId="1013E1F8" w14:textId="77777777" w:rsidR="00D7432F" w:rsidRDefault="00D7432F" w:rsidP="00EE7FE3">
      <w:pPr>
        <w:ind w:firstLine="720"/>
        <w:rPr>
          <w:sz w:val="23"/>
          <w:szCs w:val="23"/>
        </w:rPr>
      </w:pPr>
    </w:p>
    <w:p w14:paraId="21EB58B5" w14:textId="5EE8D225" w:rsidR="00AB6C91" w:rsidRDefault="00AB6C91" w:rsidP="00AB6C91">
      <w:pPr>
        <w:overflowPunct/>
        <w:autoSpaceDE/>
        <w:autoSpaceDN/>
        <w:adjustRightInd/>
        <w:ind w:firstLine="720"/>
        <w:rPr>
          <w:sz w:val="24"/>
          <w:szCs w:val="24"/>
        </w:rPr>
      </w:pPr>
      <w:r>
        <w:rPr>
          <w:sz w:val="24"/>
          <w:szCs w:val="24"/>
        </w:rPr>
        <w:lastRenderedPageBreak/>
        <w:t>The collection of information may include Personally Identifiable Information (“PII”)</w:t>
      </w:r>
      <w:bookmarkStart w:id="0" w:name="_DV_M1"/>
      <w:bookmarkStart w:id="1" w:name="_DV_M2"/>
      <w:bookmarkEnd w:id="0"/>
      <w:bookmarkEnd w:id="1"/>
      <w:r>
        <w:rPr>
          <w:sz w:val="24"/>
          <w:szCs w:val="24"/>
        </w:rPr>
        <w:t>.</w:t>
      </w:r>
      <w:r>
        <w:rPr>
          <w:rStyle w:val="FootnoteReference"/>
          <w:sz w:val="24"/>
          <w:szCs w:val="24"/>
        </w:rPr>
        <w:footnoteReference w:id="4"/>
      </w:r>
      <w:r>
        <w:rPr>
          <w:sz w:val="24"/>
          <w:szCs w:val="24"/>
        </w:rPr>
        <w:t xml:space="preserve">  </w:t>
      </w:r>
      <w:r w:rsidRPr="00D93407">
        <w:rPr>
          <w:sz w:val="24"/>
          <w:szCs w:val="24"/>
        </w:rPr>
        <w:t xml:space="preserve">For example, </w:t>
      </w:r>
      <w:r w:rsidRPr="00D93407">
        <w:rPr>
          <w:spacing w:val="-3"/>
          <w:sz w:val="24"/>
          <w:szCs w:val="24"/>
        </w:rPr>
        <w:t xml:space="preserve">Proposed Rule 303.4(f) </w:t>
      </w:r>
      <w:r w:rsidRPr="00D93407">
        <w:rPr>
          <w:sz w:val="24"/>
          <w:szCs w:val="24"/>
        </w:rPr>
        <w:t xml:space="preserve">would require </w:t>
      </w:r>
      <w:r w:rsidR="006B77B5">
        <w:rPr>
          <w:sz w:val="24"/>
          <w:szCs w:val="24"/>
        </w:rPr>
        <w:t>Covered I</w:t>
      </w:r>
      <w:r w:rsidRPr="00D93407">
        <w:rPr>
          <w:sz w:val="24"/>
          <w:szCs w:val="24"/>
        </w:rPr>
        <w:t xml:space="preserve">nstitutions to create annually and maintain for a period of at least seven years records that document the structure of all </w:t>
      </w:r>
      <w:r w:rsidR="006B77B5">
        <w:rPr>
          <w:sz w:val="24"/>
          <w:szCs w:val="24"/>
        </w:rPr>
        <w:t>of their</w:t>
      </w:r>
      <w:r w:rsidRPr="00D93407">
        <w:rPr>
          <w:sz w:val="24"/>
          <w:szCs w:val="24"/>
        </w:rPr>
        <w:t xml:space="preserve"> incentive-based compensation arrangements and demonstrate compliance with </w:t>
      </w:r>
      <w:r w:rsidR="009F73D9">
        <w:rPr>
          <w:sz w:val="24"/>
          <w:szCs w:val="24"/>
        </w:rPr>
        <w:t>the Proposed Rules</w:t>
      </w:r>
      <w:r w:rsidRPr="00D93407">
        <w:rPr>
          <w:sz w:val="24"/>
          <w:szCs w:val="24"/>
        </w:rPr>
        <w:t xml:space="preserve">.  Moreover, Proposed Rule 303.5 would </w:t>
      </w:r>
      <w:r w:rsidR="006B77B5">
        <w:rPr>
          <w:sz w:val="24"/>
          <w:szCs w:val="24"/>
        </w:rPr>
        <w:t xml:space="preserve">require </w:t>
      </w:r>
      <w:r w:rsidRPr="00D93407">
        <w:rPr>
          <w:sz w:val="24"/>
          <w:szCs w:val="24"/>
        </w:rPr>
        <w:t>Level 1 and Level 2 Covered Institutions to create annually and maintain for a period of at least seven years</w:t>
      </w:r>
      <w:r w:rsidR="007839FF">
        <w:rPr>
          <w:sz w:val="24"/>
          <w:szCs w:val="24"/>
        </w:rPr>
        <w:t xml:space="preserve"> records that document: (1) their </w:t>
      </w:r>
      <w:r w:rsidRPr="00D93407">
        <w:rPr>
          <w:sz w:val="24"/>
          <w:szCs w:val="24"/>
        </w:rPr>
        <w:t xml:space="preserve">senior executive officers and significant risk-takers, listed by legal entity, job function, organizational hierarchy, and line of business; (2) the incentive-based compensation arrangements for senior executive officers and significant risk-takers, including information on percentage of incentive-based compensation deferred and form of award; (3) any forfeiture and downward adjustment or clawback reviews and decisions for senior executive officers and significant risk-takers; and (4) any material </w:t>
      </w:r>
      <w:r w:rsidR="007839FF">
        <w:rPr>
          <w:sz w:val="24"/>
          <w:szCs w:val="24"/>
        </w:rPr>
        <w:t xml:space="preserve">changes to their </w:t>
      </w:r>
      <w:r w:rsidRPr="00D93407">
        <w:rPr>
          <w:sz w:val="24"/>
          <w:szCs w:val="24"/>
        </w:rPr>
        <w:t>incentive-based compensation arrangements and policies.</w:t>
      </w:r>
      <w:r>
        <w:rPr>
          <w:sz w:val="24"/>
          <w:szCs w:val="24"/>
        </w:rPr>
        <w:t xml:space="preserve">  Either of these two proposed recordkeeping requirements could lead to a </w:t>
      </w:r>
      <w:r w:rsidR="00F904DA">
        <w:rPr>
          <w:sz w:val="24"/>
          <w:szCs w:val="24"/>
        </w:rPr>
        <w:t>C</w:t>
      </w:r>
      <w:r>
        <w:rPr>
          <w:sz w:val="24"/>
          <w:szCs w:val="24"/>
        </w:rPr>
        <w:t xml:space="preserve">overed </w:t>
      </w:r>
      <w:r w:rsidR="00F904DA">
        <w:rPr>
          <w:sz w:val="24"/>
          <w:szCs w:val="24"/>
        </w:rPr>
        <w:t>I</w:t>
      </w:r>
      <w:r>
        <w:rPr>
          <w:sz w:val="24"/>
          <w:szCs w:val="24"/>
        </w:rPr>
        <w:t xml:space="preserve">nstitution creating and maintaining PII.  Although Proposed Rules 303.4(f) and 303.5 </w:t>
      </w:r>
      <w:r w:rsidRPr="00D93407">
        <w:rPr>
          <w:sz w:val="24"/>
          <w:szCs w:val="24"/>
        </w:rPr>
        <w:t>do not require any reg</w:t>
      </w:r>
      <w:r>
        <w:rPr>
          <w:sz w:val="24"/>
          <w:szCs w:val="24"/>
        </w:rPr>
        <w:t>ular reporting to the Commission, the Commission may receive information in the course of examinations and reviewing the records required by Proposed Rules 303.4(f) and</w:t>
      </w:r>
      <w:r w:rsidRPr="00D93407">
        <w:rPr>
          <w:sz w:val="24"/>
          <w:szCs w:val="24"/>
        </w:rPr>
        <w:t xml:space="preserve"> 303.5</w:t>
      </w:r>
      <w:r w:rsidR="006B77B5">
        <w:rPr>
          <w:sz w:val="24"/>
          <w:szCs w:val="24"/>
        </w:rPr>
        <w:t xml:space="preserve"> and therefore could receive PII created and maintained by a </w:t>
      </w:r>
      <w:r w:rsidR="00F904DA">
        <w:rPr>
          <w:sz w:val="24"/>
          <w:szCs w:val="24"/>
        </w:rPr>
        <w:t>C</w:t>
      </w:r>
      <w:r w:rsidR="006B77B5">
        <w:rPr>
          <w:sz w:val="24"/>
          <w:szCs w:val="24"/>
        </w:rPr>
        <w:t>overed</w:t>
      </w:r>
      <w:r w:rsidR="00F904DA">
        <w:rPr>
          <w:sz w:val="24"/>
          <w:szCs w:val="24"/>
        </w:rPr>
        <w:t xml:space="preserve"> I</w:t>
      </w:r>
      <w:r w:rsidR="006B77B5">
        <w:rPr>
          <w:sz w:val="24"/>
          <w:szCs w:val="24"/>
        </w:rPr>
        <w:t>nstitution</w:t>
      </w:r>
      <w:r>
        <w:rPr>
          <w:sz w:val="24"/>
          <w:szCs w:val="24"/>
        </w:rPr>
        <w:t>.</w:t>
      </w:r>
    </w:p>
    <w:p w14:paraId="710D6406" w14:textId="01007302" w:rsidR="00D114D6" w:rsidRDefault="00D114D6" w:rsidP="00AB6C91">
      <w:pPr>
        <w:ind w:firstLine="720"/>
        <w:rPr>
          <w:sz w:val="24"/>
          <w:szCs w:val="24"/>
        </w:rPr>
      </w:pPr>
    </w:p>
    <w:p w14:paraId="42BF0CFB" w14:textId="17764A0E" w:rsidR="00AB6C91" w:rsidRDefault="00CF748E" w:rsidP="00AB6C91">
      <w:pPr>
        <w:ind w:firstLine="720"/>
        <w:rPr>
          <w:sz w:val="24"/>
          <w:szCs w:val="24"/>
        </w:rPr>
      </w:pPr>
      <w:r>
        <w:rPr>
          <w:sz w:val="24"/>
          <w:szCs w:val="24"/>
        </w:rPr>
        <w:t xml:space="preserve">The Commission is considering whether an existing Systems of Records Notice and Privacy Impact Assessment would apply to the collection of information.  The Commission will make a final determination upon adoption of the Proposed Rules. </w:t>
      </w:r>
    </w:p>
    <w:p w14:paraId="3661DF16" w14:textId="77777777" w:rsidR="00AB6C91" w:rsidRPr="00D93407" w:rsidRDefault="00AB6C91" w:rsidP="00AB6C91">
      <w:pPr>
        <w:ind w:firstLine="720"/>
        <w:rPr>
          <w:sz w:val="24"/>
          <w:szCs w:val="24"/>
        </w:rPr>
      </w:pPr>
    </w:p>
    <w:p w14:paraId="710D6407" w14:textId="77777777" w:rsidR="00D114D6" w:rsidRPr="00C54F8C" w:rsidRDefault="00D114D6">
      <w:pPr>
        <w:rPr>
          <w:b/>
          <w:sz w:val="24"/>
          <w:szCs w:val="24"/>
        </w:rPr>
      </w:pPr>
      <w:r w:rsidRPr="00C54F8C">
        <w:rPr>
          <w:b/>
          <w:sz w:val="24"/>
          <w:szCs w:val="24"/>
        </w:rPr>
        <w:tab/>
        <w:t>12.</w:t>
      </w:r>
      <w:r w:rsidRPr="00C54F8C">
        <w:rPr>
          <w:b/>
          <w:sz w:val="24"/>
          <w:szCs w:val="24"/>
        </w:rPr>
        <w:tab/>
        <w:t>Burden</w:t>
      </w:r>
      <w:r w:rsidR="00B46309" w:rsidRPr="00C54F8C">
        <w:rPr>
          <w:b/>
          <w:sz w:val="24"/>
          <w:szCs w:val="24"/>
        </w:rPr>
        <w:t xml:space="preserve"> of Information Collection</w:t>
      </w:r>
    </w:p>
    <w:p w14:paraId="710D6408" w14:textId="77777777" w:rsidR="00D114D6" w:rsidRPr="00D93407" w:rsidRDefault="00D114D6">
      <w:pPr>
        <w:rPr>
          <w:sz w:val="24"/>
          <w:szCs w:val="24"/>
        </w:rPr>
      </w:pPr>
    </w:p>
    <w:p w14:paraId="710D6409" w14:textId="1A81F2E5" w:rsidR="00D114D6" w:rsidRDefault="00D114D6">
      <w:pPr>
        <w:rPr>
          <w:sz w:val="24"/>
          <w:szCs w:val="24"/>
        </w:rPr>
      </w:pPr>
      <w:r w:rsidRPr="00D93407">
        <w:rPr>
          <w:sz w:val="24"/>
          <w:szCs w:val="24"/>
        </w:rPr>
        <w:tab/>
      </w:r>
      <w:r w:rsidR="00E64FB5">
        <w:rPr>
          <w:sz w:val="24"/>
          <w:szCs w:val="24"/>
        </w:rPr>
        <w:t xml:space="preserve">The Commission estimates that Proposed Rule 303.4(f) would impose an initial recordkeeping burden of 40 hours and </w:t>
      </w:r>
      <w:r w:rsidR="00AC57C2">
        <w:rPr>
          <w:sz w:val="24"/>
          <w:szCs w:val="24"/>
        </w:rPr>
        <w:t xml:space="preserve">an </w:t>
      </w:r>
      <w:r w:rsidR="00272900">
        <w:rPr>
          <w:sz w:val="24"/>
          <w:szCs w:val="24"/>
        </w:rPr>
        <w:t>ongoing</w:t>
      </w:r>
      <w:r w:rsidR="00E64FB5">
        <w:rPr>
          <w:sz w:val="24"/>
          <w:szCs w:val="24"/>
        </w:rPr>
        <w:t xml:space="preserve"> recordkeeping burden of 20 hours per Covered Institution.  </w:t>
      </w:r>
      <w:r w:rsidR="001332FA">
        <w:rPr>
          <w:sz w:val="24"/>
          <w:szCs w:val="24"/>
        </w:rPr>
        <w:t>The Commission estimates that 806 Covered Institutions would be subject to this recordkeeping burden</w:t>
      </w:r>
      <w:r w:rsidR="00963A67">
        <w:rPr>
          <w:sz w:val="24"/>
          <w:szCs w:val="24"/>
        </w:rPr>
        <w:t>, including 94 Level 1 and Level 2 Covered Institutions</w:t>
      </w:r>
      <w:r w:rsidR="001332FA">
        <w:rPr>
          <w:sz w:val="24"/>
          <w:szCs w:val="24"/>
        </w:rPr>
        <w:t>.  Thus, p</w:t>
      </w:r>
      <w:r w:rsidR="00E64FB5">
        <w:rPr>
          <w:sz w:val="24"/>
          <w:szCs w:val="24"/>
        </w:rPr>
        <w:t xml:space="preserve">er all Covered Institutions, the recordkeeping burden would be </w:t>
      </w:r>
      <w:r w:rsidR="00EC683A">
        <w:rPr>
          <w:sz w:val="24"/>
          <w:szCs w:val="24"/>
        </w:rPr>
        <w:t>32,240</w:t>
      </w:r>
      <w:r w:rsidR="00B82854">
        <w:rPr>
          <w:sz w:val="24"/>
          <w:szCs w:val="24"/>
        </w:rPr>
        <w:t xml:space="preserve"> hours</w:t>
      </w:r>
      <w:r w:rsidR="00E64FB5">
        <w:rPr>
          <w:sz w:val="24"/>
          <w:szCs w:val="24"/>
        </w:rPr>
        <w:t xml:space="preserve"> </w:t>
      </w:r>
      <w:r w:rsidR="00EC683A">
        <w:rPr>
          <w:sz w:val="24"/>
          <w:szCs w:val="24"/>
        </w:rPr>
        <w:t>initially</w:t>
      </w:r>
      <w:r w:rsidR="00D000CD">
        <w:rPr>
          <w:rStyle w:val="FootnoteReference"/>
          <w:sz w:val="24"/>
          <w:szCs w:val="24"/>
        </w:rPr>
        <w:footnoteReference w:id="5"/>
      </w:r>
      <w:r w:rsidR="00E64FB5">
        <w:rPr>
          <w:sz w:val="24"/>
          <w:szCs w:val="24"/>
        </w:rPr>
        <w:t xml:space="preserve"> and </w:t>
      </w:r>
      <w:r w:rsidR="00EC683A">
        <w:rPr>
          <w:sz w:val="24"/>
          <w:szCs w:val="24"/>
        </w:rPr>
        <w:t>16,120</w:t>
      </w:r>
      <w:r w:rsidR="00E64FB5">
        <w:rPr>
          <w:sz w:val="24"/>
          <w:szCs w:val="24"/>
        </w:rPr>
        <w:t xml:space="preserve"> </w:t>
      </w:r>
      <w:r w:rsidR="00B82854">
        <w:rPr>
          <w:sz w:val="24"/>
          <w:szCs w:val="24"/>
        </w:rPr>
        <w:t xml:space="preserve">hours </w:t>
      </w:r>
      <w:r w:rsidR="00EC683A">
        <w:rPr>
          <w:sz w:val="24"/>
          <w:szCs w:val="24"/>
        </w:rPr>
        <w:t>annually</w:t>
      </w:r>
      <w:r w:rsidR="00E64FB5">
        <w:rPr>
          <w:sz w:val="24"/>
          <w:szCs w:val="24"/>
        </w:rPr>
        <w:t>.</w:t>
      </w:r>
      <w:r w:rsidR="00D000CD">
        <w:rPr>
          <w:rStyle w:val="FootnoteReference"/>
          <w:sz w:val="24"/>
          <w:szCs w:val="24"/>
        </w:rPr>
        <w:footnoteReference w:id="6"/>
      </w:r>
      <w:r w:rsidR="00B82854">
        <w:rPr>
          <w:sz w:val="24"/>
          <w:szCs w:val="24"/>
        </w:rPr>
        <w:t xml:space="preserve">  Over a three year period, per all Covered Institutions, the recordkeeping burden would be </w:t>
      </w:r>
      <w:r w:rsidR="00EC683A">
        <w:rPr>
          <w:sz w:val="24"/>
          <w:szCs w:val="24"/>
        </w:rPr>
        <w:t>80,600</w:t>
      </w:r>
      <w:r w:rsidR="00B82854">
        <w:rPr>
          <w:sz w:val="24"/>
          <w:szCs w:val="24"/>
        </w:rPr>
        <w:t xml:space="preserve"> hours</w:t>
      </w:r>
      <w:r w:rsidR="00EC683A">
        <w:rPr>
          <w:rStyle w:val="FootnoteReference"/>
          <w:sz w:val="24"/>
          <w:szCs w:val="24"/>
        </w:rPr>
        <w:footnoteReference w:id="7"/>
      </w:r>
      <w:r w:rsidR="00B82854">
        <w:rPr>
          <w:sz w:val="24"/>
          <w:szCs w:val="24"/>
        </w:rPr>
        <w:t xml:space="preserve">, or about </w:t>
      </w:r>
      <w:r w:rsidR="00EC683A">
        <w:rPr>
          <w:sz w:val="24"/>
          <w:szCs w:val="24"/>
        </w:rPr>
        <w:t>26,866.67</w:t>
      </w:r>
      <w:r w:rsidR="00B82854">
        <w:rPr>
          <w:sz w:val="24"/>
          <w:szCs w:val="24"/>
        </w:rPr>
        <w:t xml:space="preserve"> hours per year when annualized.</w:t>
      </w:r>
      <w:r w:rsidR="00EC683A">
        <w:rPr>
          <w:rStyle w:val="FootnoteReference"/>
          <w:sz w:val="24"/>
          <w:szCs w:val="24"/>
        </w:rPr>
        <w:footnoteReference w:id="8"/>
      </w:r>
      <w:r w:rsidR="00E64FB5">
        <w:rPr>
          <w:sz w:val="24"/>
          <w:szCs w:val="24"/>
        </w:rPr>
        <w:t xml:space="preserve">  The Commission does not anticipate any external costs associated with Proposed Rule 303.4(f).</w:t>
      </w:r>
    </w:p>
    <w:p w14:paraId="702778C4" w14:textId="77777777" w:rsidR="00E64FB5" w:rsidRDefault="00E64FB5">
      <w:pPr>
        <w:rPr>
          <w:sz w:val="24"/>
          <w:szCs w:val="24"/>
        </w:rPr>
      </w:pPr>
    </w:p>
    <w:p w14:paraId="3550E14D" w14:textId="43A53C50" w:rsidR="00E64FB5" w:rsidRDefault="00E64FB5" w:rsidP="00E64FB5">
      <w:pPr>
        <w:ind w:firstLine="720"/>
        <w:rPr>
          <w:sz w:val="24"/>
          <w:szCs w:val="24"/>
        </w:rPr>
      </w:pPr>
      <w:r>
        <w:rPr>
          <w:sz w:val="24"/>
          <w:szCs w:val="24"/>
        </w:rPr>
        <w:lastRenderedPageBreak/>
        <w:t xml:space="preserve">The Commission estimates that Proposed Rule 303.5 would impose an initial recordkeeping burden of 20 hours and </w:t>
      </w:r>
      <w:r w:rsidR="00AC57C2">
        <w:rPr>
          <w:sz w:val="24"/>
          <w:szCs w:val="24"/>
        </w:rPr>
        <w:t xml:space="preserve">an </w:t>
      </w:r>
      <w:r w:rsidR="00272900">
        <w:rPr>
          <w:sz w:val="24"/>
          <w:szCs w:val="24"/>
        </w:rPr>
        <w:t>ongoing</w:t>
      </w:r>
      <w:r>
        <w:rPr>
          <w:sz w:val="24"/>
          <w:szCs w:val="24"/>
        </w:rPr>
        <w:t xml:space="preserve"> recordkeeping burden of 10 hours per Level 1 and Level 2 Covered Institution.  </w:t>
      </w:r>
      <w:r w:rsidR="001332FA">
        <w:rPr>
          <w:sz w:val="24"/>
          <w:szCs w:val="24"/>
        </w:rPr>
        <w:t>The Commission estimates that 94 Level 1 and Level 2 Covered Institutions would be subject to this recordkeeping burden.  Thus, p</w:t>
      </w:r>
      <w:r>
        <w:rPr>
          <w:sz w:val="24"/>
          <w:szCs w:val="24"/>
        </w:rPr>
        <w:t xml:space="preserve">er all Level 1 and Level 2 Covered Institutions, the recordkeeping burden would be </w:t>
      </w:r>
      <w:r w:rsidR="00D000CD">
        <w:rPr>
          <w:sz w:val="24"/>
          <w:szCs w:val="24"/>
        </w:rPr>
        <w:t>1,880</w:t>
      </w:r>
      <w:r>
        <w:rPr>
          <w:sz w:val="24"/>
          <w:szCs w:val="24"/>
        </w:rPr>
        <w:t xml:space="preserve"> initially</w:t>
      </w:r>
      <w:r w:rsidR="00D000CD">
        <w:rPr>
          <w:rStyle w:val="FootnoteReference"/>
          <w:sz w:val="24"/>
          <w:szCs w:val="24"/>
        </w:rPr>
        <w:footnoteReference w:id="9"/>
      </w:r>
      <w:r>
        <w:rPr>
          <w:sz w:val="24"/>
          <w:szCs w:val="24"/>
        </w:rPr>
        <w:t xml:space="preserve"> and </w:t>
      </w:r>
      <w:r w:rsidR="00D000CD">
        <w:rPr>
          <w:sz w:val="24"/>
          <w:szCs w:val="24"/>
        </w:rPr>
        <w:t>940</w:t>
      </w:r>
      <w:r>
        <w:rPr>
          <w:sz w:val="24"/>
          <w:szCs w:val="24"/>
        </w:rPr>
        <w:t xml:space="preserve"> annually.</w:t>
      </w:r>
      <w:r w:rsidR="00D000CD">
        <w:rPr>
          <w:rStyle w:val="FootnoteReference"/>
          <w:sz w:val="24"/>
          <w:szCs w:val="24"/>
        </w:rPr>
        <w:footnoteReference w:id="10"/>
      </w:r>
      <w:r>
        <w:rPr>
          <w:sz w:val="24"/>
          <w:szCs w:val="24"/>
        </w:rPr>
        <w:t xml:space="preserve">  </w:t>
      </w:r>
      <w:r w:rsidR="00EC683A">
        <w:rPr>
          <w:sz w:val="24"/>
          <w:szCs w:val="24"/>
        </w:rPr>
        <w:t>Over a three year period, per all Covered Institutions, the recordkeeping burden would be 4,700 hours</w:t>
      </w:r>
      <w:r w:rsidR="00EC683A">
        <w:rPr>
          <w:rStyle w:val="FootnoteReference"/>
          <w:sz w:val="24"/>
          <w:szCs w:val="24"/>
        </w:rPr>
        <w:footnoteReference w:id="11"/>
      </w:r>
      <w:r w:rsidR="00EC683A">
        <w:rPr>
          <w:sz w:val="24"/>
          <w:szCs w:val="24"/>
        </w:rPr>
        <w:t>, or about 1,566.67 hours per year when annualized.</w:t>
      </w:r>
      <w:r w:rsidR="00EC683A">
        <w:rPr>
          <w:rStyle w:val="FootnoteReference"/>
          <w:sz w:val="24"/>
          <w:szCs w:val="24"/>
        </w:rPr>
        <w:footnoteReference w:id="12"/>
      </w:r>
      <w:r w:rsidR="00EC683A">
        <w:rPr>
          <w:sz w:val="24"/>
          <w:szCs w:val="24"/>
        </w:rPr>
        <w:t xml:space="preserve">  </w:t>
      </w:r>
      <w:r>
        <w:rPr>
          <w:sz w:val="24"/>
          <w:szCs w:val="24"/>
        </w:rPr>
        <w:t>The Commission does not anticipate any external costs associated with Proposed Rule 303.5.</w:t>
      </w:r>
    </w:p>
    <w:p w14:paraId="2870097C" w14:textId="77777777" w:rsidR="00E64FB5" w:rsidRDefault="00E64FB5" w:rsidP="00E64FB5">
      <w:pPr>
        <w:ind w:firstLine="720"/>
        <w:rPr>
          <w:sz w:val="24"/>
          <w:szCs w:val="24"/>
        </w:rPr>
      </w:pPr>
    </w:p>
    <w:p w14:paraId="4D533F98" w14:textId="6E8D8F8C" w:rsidR="00E64FB5" w:rsidRDefault="00E64FB5" w:rsidP="00E64FB5">
      <w:pPr>
        <w:ind w:firstLine="720"/>
        <w:rPr>
          <w:sz w:val="24"/>
          <w:szCs w:val="24"/>
        </w:rPr>
      </w:pPr>
      <w:r>
        <w:rPr>
          <w:sz w:val="24"/>
          <w:szCs w:val="24"/>
        </w:rPr>
        <w:t xml:space="preserve">The Commission estimates that </w:t>
      </w:r>
      <w:r w:rsidR="00D000CD">
        <w:rPr>
          <w:sz w:val="24"/>
          <w:szCs w:val="24"/>
        </w:rPr>
        <w:t>Proposed Rule 303.</w:t>
      </w:r>
      <w:r w:rsidR="00AC57C2">
        <w:rPr>
          <w:sz w:val="24"/>
          <w:szCs w:val="24"/>
        </w:rPr>
        <w:t>11</w:t>
      </w:r>
      <w:r>
        <w:rPr>
          <w:sz w:val="24"/>
          <w:szCs w:val="24"/>
        </w:rPr>
        <w:t xml:space="preserve"> would impose an initial recordkeeping burden of 20 hours and </w:t>
      </w:r>
      <w:r w:rsidR="00AC57C2">
        <w:rPr>
          <w:sz w:val="24"/>
          <w:szCs w:val="24"/>
        </w:rPr>
        <w:t xml:space="preserve">an </w:t>
      </w:r>
      <w:r w:rsidR="00272900">
        <w:rPr>
          <w:sz w:val="24"/>
          <w:szCs w:val="24"/>
        </w:rPr>
        <w:t>ongoing</w:t>
      </w:r>
      <w:r>
        <w:rPr>
          <w:sz w:val="24"/>
          <w:szCs w:val="24"/>
        </w:rPr>
        <w:t xml:space="preserve"> recordkeeping burden of 10 hours per Level 1 and Level 2 Covered Institution.  </w:t>
      </w:r>
      <w:r w:rsidR="001332FA">
        <w:rPr>
          <w:sz w:val="24"/>
          <w:szCs w:val="24"/>
        </w:rPr>
        <w:t>The Commission estimates that 94 Level 1 and Level 2 Covered Institutions would be subject to this recordkeeping burden.  Thus, p</w:t>
      </w:r>
      <w:r>
        <w:rPr>
          <w:sz w:val="24"/>
          <w:szCs w:val="24"/>
        </w:rPr>
        <w:t xml:space="preserve">er all Level 1 and Level 2 Covered Institutions, the recordkeeping burden would be </w:t>
      </w:r>
      <w:r w:rsidR="00D000CD">
        <w:rPr>
          <w:sz w:val="24"/>
          <w:szCs w:val="24"/>
        </w:rPr>
        <w:t>1,880</w:t>
      </w:r>
      <w:r>
        <w:rPr>
          <w:sz w:val="24"/>
          <w:szCs w:val="24"/>
        </w:rPr>
        <w:t xml:space="preserve"> initially</w:t>
      </w:r>
      <w:r w:rsidR="00D000CD">
        <w:rPr>
          <w:rStyle w:val="FootnoteReference"/>
          <w:sz w:val="24"/>
          <w:szCs w:val="24"/>
        </w:rPr>
        <w:footnoteReference w:id="13"/>
      </w:r>
      <w:r>
        <w:rPr>
          <w:sz w:val="24"/>
          <w:szCs w:val="24"/>
        </w:rPr>
        <w:t xml:space="preserve"> and </w:t>
      </w:r>
      <w:r w:rsidR="00D000CD">
        <w:rPr>
          <w:sz w:val="24"/>
          <w:szCs w:val="24"/>
        </w:rPr>
        <w:t>940</w:t>
      </w:r>
      <w:r>
        <w:rPr>
          <w:sz w:val="24"/>
          <w:szCs w:val="24"/>
        </w:rPr>
        <w:t xml:space="preserve"> annually.</w:t>
      </w:r>
      <w:r w:rsidR="00D000CD">
        <w:rPr>
          <w:rStyle w:val="FootnoteReference"/>
          <w:sz w:val="24"/>
          <w:szCs w:val="24"/>
        </w:rPr>
        <w:footnoteReference w:id="14"/>
      </w:r>
      <w:r>
        <w:rPr>
          <w:sz w:val="24"/>
          <w:szCs w:val="24"/>
        </w:rPr>
        <w:t xml:space="preserve">  </w:t>
      </w:r>
      <w:r w:rsidR="00EC683A">
        <w:rPr>
          <w:sz w:val="24"/>
          <w:szCs w:val="24"/>
        </w:rPr>
        <w:t>Over a three year period, per all Covered Institutions, the recordkeeping burden would be 4,700 hours</w:t>
      </w:r>
      <w:r w:rsidR="00EC683A">
        <w:rPr>
          <w:rStyle w:val="FootnoteReference"/>
          <w:sz w:val="24"/>
          <w:szCs w:val="24"/>
        </w:rPr>
        <w:footnoteReference w:id="15"/>
      </w:r>
      <w:r w:rsidR="00EC683A">
        <w:rPr>
          <w:sz w:val="24"/>
          <w:szCs w:val="24"/>
        </w:rPr>
        <w:t>, or about 1,566.67 hours per year when annualized.</w:t>
      </w:r>
      <w:r w:rsidR="00EC683A">
        <w:rPr>
          <w:rStyle w:val="FootnoteReference"/>
          <w:sz w:val="24"/>
          <w:szCs w:val="24"/>
        </w:rPr>
        <w:footnoteReference w:id="16"/>
      </w:r>
      <w:r w:rsidR="00EC683A">
        <w:rPr>
          <w:sz w:val="24"/>
          <w:szCs w:val="24"/>
        </w:rPr>
        <w:t xml:space="preserve">  </w:t>
      </w:r>
      <w:r>
        <w:rPr>
          <w:sz w:val="24"/>
          <w:szCs w:val="24"/>
        </w:rPr>
        <w:t>The Commission does not anticipate any external costs associated with Proposed Rule 303.11.</w:t>
      </w:r>
    </w:p>
    <w:p w14:paraId="2894F272" w14:textId="77777777" w:rsidR="00D000CD" w:rsidRDefault="00D000CD" w:rsidP="00E64FB5">
      <w:pPr>
        <w:ind w:firstLine="720"/>
        <w:rPr>
          <w:sz w:val="24"/>
          <w:szCs w:val="24"/>
        </w:rPr>
      </w:pPr>
    </w:p>
    <w:p w14:paraId="5EC747C3" w14:textId="77777777" w:rsidR="00EC3A52" w:rsidRDefault="00EC3A52">
      <w:pPr>
        <w:overflowPunct/>
        <w:autoSpaceDE/>
        <w:autoSpaceDN/>
        <w:adjustRightInd/>
        <w:textAlignment w:val="auto"/>
        <w:rPr>
          <w:sz w:val="24"/>
          <w:szCs w:val="24"/>
        </w:rPr>
      </w:pPr>
      <w:r>
        <w:rPr>
          <w:sz w:val="24"/>
          <w:szCs w:val="24"/>
        </w:rPr>
        <w:br w:type="page"/>
      </w:r>
    </w:p>
    <w:p w14:paraId="7525C83E" w14:textId="13B9ED0A" w:rsidR="00D000CD" w:rsidRDefault="00D000CD" w:rsidP="00E64FB5">
      <w:pPr>
        <w:ind w:firstLine="720"/>
        <w:rPr>
          <w:sz w:val="24"/>
          <w:szCs w:val="24"/>
        </w:rPr>
      </w:pPr>
      <w:r>
        <w:rPr>
          <w:sz w:val="24"/>
          <w:szCs w:val="24"/>
        </w:rPr>
        <w:lastRenderedPageBreak/>
        <w:t>These burdens are summarized below.</w:t>
      </w:r>
    </w:p>
    <w:p w14:paraId="457FE1A4" w14:textId="77777777" w:rsidR="00D000CD" w:rsidRDefault="00D000CD" w:rsidP="00E64FB5">
      <w:pPr>
        <w:ind w:firstLine="720"/>
        <w:rPr>
          <w:sz w:val="24"/>
          <w:szCs w:val="24"/>
        </w:rPr>
      </w:pPr>
    </w:p>
    <w:tbl>
      <w:tblPr>
        <w:tblStyle w:val="TableGrid"/>
        <w:tblW w:w="0" w:type="auto"/>
        <w:tblLook w:val="04A0" w:firstRow="1" w:lastRow="0" w:firstColumn="1" w:lastColumn="0" w:noHBand="0" w:noVBand="1"/>
      </w:tblPr>
      <w:tblGrid>
        <w:gridCol w:w="2214"/>
        <w:gridCol w:w="2214"/>
        <w:gridCol w:w="2214"/>
        <w:gridCol w:w="2214"/>
      </w:tblGrid>
      <w:tr w:rsidR="00D000CD" w14:paraId="06CDD62D" w14:textId="77777777" w:rsidTr="00AE5F8E">
        <w:tc>
          <w:tcPr>
            <w:tcW w:w="2214" w:type="dxa"/>
            <w:shd w:val="clear" w:color="auto" w:fill="BFBFBF" w:themeFill="background1" w:themeFillShade="BF"/>
          </w:tcPr>
          <w:p w14:paraId="2955CE98" w14:textId="0918C5C4" w:rsidR="00D000CD" w:rsidRPr="00AE5F8E" w:rsidRDefault="00AE5F8E" w:rsidP="00E64FB5">
            <w:pPr>
              <w:rPr>
                <w:b/>
                <w:sz w:val="24"/>
                <w:szCs w:val="24"/>
              </w:rPr>
            </w:pPr>
            <w:r w:rsidRPr="00AE5F8E">
              <w:rPr>
                <w:b/>
                <w:sz w:val="24"/>
                <w:szCs w:val="24"/>
              </w:rPr>
              <w:t>Proposed Rule</w:t>
            </w:r>
          </w:p>
        </w:tc>
        <w:tc>
          <w:tcPr>
            <w:tcW w:w="2214" w:type="dxa"/>
            <w:shd w:val="clear" w:color="auto" w:fill="BFBFBF" w:themeFill="background1" w:themeFillShade="BF"/>
          </w:tcPr>
          <w:p w14:paraId="5BE35351" w14:textId="210C33AF" w:rsidR="00D000CD" w:rsidRPr="00D000CD" w:rsidRDefault="00D000CD" w:rsidP="00E64FB5">
            <w:pPr>
              <w:rPr>
                <w:b/>
                <w:sz w:val="24"/>
                <w:szCs w:val="24"/>
              </w:rPr>
            </w:pPr>
            <w:r w:rsidRPr="00D000CD">
              <w:rPr>
                <w:b/>
                <w:sz w:val="24"/>
                <w:szCs w:val="24"/>
              </w:rPr>
              <w:t>Type of Burden</w:t>
            </w:r>
          </w:p>
        </w:tc>
        <w:tc>
          <w:tcPr>
            <w:tcW w:w="2214" w:type="dxa"/>
            <w:shd w:val="clear" w:color="auto" w:fill="BFBFBF" w:themeFill="background1" w:themeFillShade="BF"/>
          </w:tcPr>
          <w:p w14:paraId="3B0029CF" w14:textId="597041DD" w:rsidR="00D000CD" w:rsidRPr="00D000CD" w:rsidRDefault="00D000CD" w:rsidP="00D000CD">
            <w:pPr>
              <w:rPr>
                <w:b/>
                <w:sz w:val="24"/>
                <w:szCs w:val="24"/>
              </w:rPr>
            </w:pPr>
            <w:r w:rsidRPr="00D000CD">
              <w:rPr>
                <w:b/>
                <w:sz w:val="24"/>
                <w:szCs w:val="24"/>
              </w:rPr>
              <w:t>Initial Burden Per Respondent (Per All Respondents)</w:t>
            </w:r>
          </w:p>
        </w:tc>
        <w:tc>
          <w:tcPr>
            <w:tcW w:w="2214" w:type="dxa"/>
            <w:shd w:val="clear" w:color="auto" w:fill="BFBFBF" w:themeFill="background1" w:themeFillShade="BF"/>
          </w:tcPr>
          <w:p w14:paraId="1050CCCF" w14:textId="15DC9990" w:rsidR="00D000CD" w:rsidRPr="00D000CD" w:rsidRDefault="00272900" w:rsidP="00D000CD">
            <w:pPr>
              <w:rPr>
                <w:b/>
                <w:sz w:val="24"/>
                <w:szCs w:val="24"/>
              </w:rPr>
            </w:pPr>
            <w:r>
              <w:rPr>
                <w:b/>
                <w:sz w:val="24"/>
                <w:szCs w:val="24"/>
              </w:rPr>
              <w:t>Ongoing</w:t>
            </w:r>
            <w:r w:rsidR="00D000CD" w:rsidRPr="00D000CD">
              <w:rPr>
                <w:b/>
                <w:sz w:val="24"/>
                <w:szCs w:val="24"/>
              </w:rPr>
              <w:t xml:space="preserve"> Burden Per Respondents (Per All Respondents)</w:t>
            </w:r>
          </w:p>
        </w:tc>
      </w:tr>
      <w:tr w:rsidR="00D000CD" w14:paraId="74AC1F5E" w14:textId="77777777" w:rsidTr="00D000CD">
        <w:tc>
          <w:tcPr>
            <w:tcW w:w="2214" w:type="dxa"/>
          </w:tcPr>
          <w:p w14:paraId="219E3FEF" w14:textId="5F5747AA" w:rsidR="00D000CD" w:rsidRDefault="00D000CD" w:rsidP="00E64FB5">
            <w:pPr>
              <w:rPr>
                <w:sz w:val="24"/>
                <w:szCs w:val="24"/>
              </w:rPr>
            </w:pPr>
            <w:r>
              <w:rPr>
                <w:sz w:val="24"/>
                <w:szCs w:val="24"/>
              </w:rPr>
              <w:t>Proposed Rule 303.4(f)</w:t>
            </w:r>
          </w:p>
        </w:tc>
        <w:tc>
          <w:tcPr>
            <w:tcW w:w="2214" w:type="dxa"/>
          </w:tcPr>
          <w:p w14:paraId="4F078785" w14:textId="5A1A9F36" w:rsidR="00D000CD" w:rsidRDefault="00D000CD" w:rsidP="00E64FB5">
            <w:pPr>
              <w:rPr>
                <w:sz w:val="24"/>
                <w:szCs w:val="24"/>
              </w:rPr>
            </w:pPr>
            <w:r>
              <w:rPr>
                <w:sz w:val="24"/>
                <w:szCs w:val="24"/>
              </w:rPr>
              <w:t>Recordkeeping</w:t>
            </w:r>
          </w:p>
        </w:tc>
        <w:tc>
          <w:tcPr>
            <w:tcW w:w="2214" w:type="dxa"/>
          </w:tcPr>
          <w:p w14:paraId="6EE6CF08" w14:textId="493869A5" w:rsidR="00D000CD" w:rsidRDefault="00D000CD" w:rsidP="00E64FB5">
            <w:pPr>
              <w:rPr>
                <w:sz w:val="24"/>
                <w:szCs w:val="24"/>
              </w:rPr>
            </w:pPr>
            <w:r>
              <w:rPr>
                <w:sz w:val="24"/>
                <w:szCs w:val="24"/>
              </w:rPr>
              <w:t>40 (32,240)</w:t>
            </w:r>
          </w:p>
        </w:tc>
        <w:tc>
          <w:tcPr>
            <w:tcW w:w="2214" w:type="dxa"/>
          </w:tcPr>
          <w:p w14:paraId="27A15E51" w14:textId="1439B8EF" w:rsidR="00D000CD" w:rsidRDefault="00D000CD" w:rsidP="00E64FB5">
            <w:pPr>
              <w:rPr>
                <w:sz w:val="24"/>
                <w:szCs w:val="24"/>
              </w:rPr>
            </w:pPr>
            <w:r>
              <w:rPr>
                <w:sz w:val="24"/>
                <w:szCs w:val="24"/>
              </w:rPr>
              <w:t>20 (16,120)</w:t>
            </w:r>
          </w:p>
        </w:tc>
      </w:tr>
      <w:tr w:rsidR="00D000CD" w14:paraId="5210F3D2" w14:textId="77777777" w:rsidTr="00D000CD">
        <w:tc>
          <w:tcPr>
            <w:tcW w:w="2214" w:type="dxa"/>
          </w:tcPr>
          <w:p w14:paraId="0A3C401B" w14:textId="24F6FC61" w:rsidR="00D000CD" w:rsidRDefault="00D000CD" w:rsidP="00E64FB5">
            <w:pPr>
              <w:rPr>
                <w:sz w:val="24"/>
                <w:szCs w:val="24"/>
              </w:rPr>
            </w:pPr>
            <w:r>
              <w:rPr>
                <w:sz w:val="24"/>
                <w:szCs w:val="24"/>
              </w:rPr>
              <w:t>Proposed Rule 303.5</w:t>
            </w:r>
          </w:p>
        </w:tc>
        <w:tc>
          <w:tcPr>
            <w:tcW w:w="2214" w:type="dxa"/>
          </w:tcPr>
          <w:p w14:paraId="4473EEF3" w14:textId="4A5AB967" w:rsidR="00D000CD" w:rsidRDefault="00D000CD" w:rsidP="00E64FB5">
            <w:pPr>
              <w:rPr>
                <w:sz w:val="24"/>
                <w:szCs w:val="24"/>
              </w:rPr>
            </w:pPr>
            <w:r>
              <w:rPr>
                <w:sz w:val="24"/>
                <w:szCs w:val="24"/>
              </w:rPr>
              <w:t>Recordkeeping</w:t>
            </w:r>
          </w:p>
        </w:tc>
        <w:tc>
          <w:tcPr>
            <w:tcW w:w="2214" w:type="dxa"/>
          </w:tcPr>
          <w:p w14:paraId="2EA2C163" w14:textId="6B38283B" w:rsidR="00D000CD" w:rsidRDefault="00D000CD" w:rsidP="00E64FB5">
            <w:pPr>
              <w:rPr>
                <w:sz w:val="24"/>
                <w:szCs w:val="24"/>
              </w:rPr>
            </w:pPr>
            <w:r>
              <w:rPr>
                <w:sz w:val="24"/>
                <w:szCs w:val="24"/>
              </w:rPr>
              <w:t>20 (1,880)</w:t>
            </w:r>
          </w:p>
        </w:tc>
        <w:tc>
          <w:tcPr>
            <w:tcW w:w="2214" w:type="dxa"/>
          </w:tcPr>
          <w:p w14:paraId="34E1B607" w14:textId="314671BE" w:rsidR="00D000CD" w:rsidRDefault="00D000CD" w:rsidP="00E64FB5">
            <w:pPr>
              <w:rPr>
                <w:sz w:val="24"/>
                <w:szCs w:val="24"/>
              </w:rPr>
            </w:pPr>
            <w:r>
              <w:rPr>
                <w:sz w:val="24"/>
                <w:szCs w:val="24"/>
              </w:rPr>
              <w:t>10 (940)</w:t>
            </w:r>
          </w:p>
        </w:tc>
      </w:tr>
      <w:tr w:rsidR="00D000CD" w14:paraId="32A93969" w14:textId="77777777" w:rsidTr="00A32FEC">
        <w:tc>
          <w:tcPr>
            <w:tcW w:w="2214" w:type="dxa"/>
            <w:tcBorders>
              <w:bottom w:val="single" w:sz="4" w:space="0" w:color="auto"/>
            </w:tcBorders>
          </w:tcPr>
          <w:p w14:paraId="6F66B1DA" w14:textId="13D612FF" w:rsidR="00D000CD" w:rsidRDefault="00D000CD" w:rsidP="00E64FB5">
            <w:pPr>
              <w:rPr>
                <w:sz w:val="24"/>
                <w:szCs w:val="24"/>
              </w:rPr>
            </w:pPr>
            <w:r>
              <w:rPr>
                <w:sz w:val="24"/>
                <w:szCs w:val="24"/>
              </w:rPr>
              <w:t>Proposed Rule 303.</w:t>
            </w:r>
            <w:r w:rsidR="00703C7C">
              <w:rPr>
                <w:sz w:val="24"/>
                <w:szCs w:val="24"/>
              </w:rPr>
              <w:t>11</w:t>
            </w:r>
          </w:p>
        </w:tc>
        <w:tc>
          <w:tcPr>
            <w:tcW w:w="2214" w:type="dxa"/>
            <w:tcBorders>
              <w:bottom w:val="single" w:sz="4" w:space="0" w:color="auto"/>
            </w:tcBorders>
          </w:tcPr>
          <w:p w14:paraId="51C1EDFB" w14:textId="158775A5" w:rsidR="00D000CD" w:rsidRDefault="00D000CD" w:rsidP="00E64FB5">
            <w:pPr>
              <w:rPr>
                <w:sz w:val="24"/>
                <w:szCs w:val="24"/>
              </w:rPr>
            </w:pPr>
            <w:r>
              <w:rPr>
                <w:sz w:val="24"/>
                <w:szCs w:val="24"/>
              </w:rPr>
              <w:t xml:space="preserve">Recordkeeping </w:t>
            </w:r>
          </w:p>
        </w:tc>
        <w:tc>
          <w:tcPr>
            <w:tcW w:w="2214" w:type="dxa"/>
            <w:tcBorders>
              <w:bottom w:val="single" w:sz="4" w:space="0" w:color="auto"/>
            </w:tcBorders>
          </w:tcPr>
          <w:p w14:paraId="17D3A4B5" w14:textId="6476812C" w:rsidR="00D000CD" w:rsidRDefault="00D000CD" w:rsidP="00E64FB5">
            <w:pPr>
              <w:rPr>
                <w:sz w:val="24"/>
                <w:szCs w:val="24"/>
              </w:rPr>
            </w:pPr>
            <w:r>
              <w:rPr>
                <w:sz w:val="24"/>
                <w:szCs w:val="24"/>
              </w:rPr>
              <w:t>20 (1,880)</w:t>
            </w:r>
          </w:p>
        </w:tc>
        <w:tc>
          <w:tcPr>
            <w:tcW w:w="2214" w:type="dxa"/>
            <w:tcBorders>
              <w:bottom w:val="single" w:sz="4" w:space="0" w:color="auto"/>
            </w:tcBorders>
          </w:tcPr>
          <w:p w14:paraId="2D626429" w14:textId="16F49C4A" w:rsidR="00D000CD" w:rsidRDefault="00D000CD" w:rsidP="00E64FB5">
            <w:pPr>
              <w:rPr>
                <w:sz w:val="24"/>
                <w:szCs w:val="24"/>
              </w:rPr>
            </w:pPr>
            <w:r>
              <w:rPr>
                <w:sz w:val="24"/>
                <w:szCs w:val="24"/>
              </w:rPr>
              <w:t>10 (940)</w:t>
            </w:r>
          </w:p>
        </w:tc>
      </w:tr>
      <w:tr w:rsidR="00D000CD" w14:paraId="35C13CB0" w14:textId="77777777" w:rsidTr="00A32FEC">
        <w:tc>
          <w:tcPr>
            <w:tcW w:w="2214" w:type="dxa"/>
            <w:shd w:val="clear" w:color="auto" w:fill="D9D9D9" w:themeFill="background1" w:themeFillShade="D9"/>
          </w:tcPr>
          <w:p w14:paraId="1A2FD623" w14:textId="2E68192A" w:rsidR="00D000CD" w:rsidRDefault="00D000CD" w:rsidP="00A32FEC">
            <w:pPr>
              <w:tabs>
                <w:tab w:val="right" w:pos="1998"/>
              </w:tabs>
              <w:rPr>
                <w:sz w:val="24"/>
                <w:szCs w:val="24"/>
              </w:rPr>
            </w:pPr>
            <w:r>
              <w:rPr>
                <w:sz w:val="24"/>
                <w:szCs w:val="24"/>
              </w:rPr>
              <w:t>Totals</w:t>
            </w:r>
            <w:r w:rsidR="00A32FEC">
              <w:rPr>
                <w:sz w:val="24"/>
                <w:szCs w:val="24"/>
              </w:rPr>
              <w:tab/>
            </w:r>
          </w:p>
        </w:tc>
        <w:tc>
          <w:tcPr>
            <w:tcW w:w="2214" w:type="dxa"/>
            <w:shd w:val="clear" w:color="auto" w:fill="D9D9D9" w:themeFill="background1" w:themeFillShade="D9"/>
          </w:tcPr>
          <w:p w14:paraId="3836B91C" w14:textId="77777777" w:rsidR="00D000CD" w:rsidRDefault="00D000CD" w:rsidP="00E64FB5">
            <w:pPr>
              <w:rPr>
                <w:sz w:val="24"/>
                <w:szCs w:val="24"/>
              </w:rPr>
            </w:pPr>
          </w:p>
        </w:tc>
        <w:tc>
          <w:tcPr>
            <w:tcW w:w="2214" w:type="dxa"/>
            <w:shd w:val="clear" w:color="auto" w:fill="D9D9D9" w:themeFill="background1" w:themeFillShade="D9"/>
          </w:tcPr>
          <w:p w14:paraId="26682A16" w14:textId="74B15F3F" w:rsidR="00D000CD" w:rsidRDefault="00D000CD" w:rsidP="00E64FB5">
            <w:pPr>
              <w:rPr>
                <w:sz w:val="24"/>
                <w:szCs w:val="24"/>
              </w:rPr>
            </w:pPr>
            <w:r>
              <w:rPr>
                <w:sz w:val="24"/>
                <w:szCs w:val="24"/>
              </w:rPr>
              <w:t>80 (36,000)</w:t>
            </w:r>
          </w:p>
        </w:tc>
        <w:tc>
          <w:tcPr>
            <w:tcW w:w="2214" w:type="dxa"/>
            <w:shd w:val="clear" w:color="auto" w:fill="D9D9D9" w:themeFill="background1" w:themeFillShade="D9"/>
          </w:tcPr>
          <w:p w14:paraId="05234957" w14:textId="39C00F66" w:rsidR="00D000CD" w:rsidRDefault="00D000CD" w:rsidP="00E64FB5">
            <w:pPr>
              <w:rPr>
                <w:sz w:val="24"/>
                <w:szCs w:val="24"/>
              </w:rPr>
            </w:pPr>
            <w:r>
              <w:rPr>
                <w:sz w:val="24"/>
                <w:szCs w:val="24"/>
              </w:rPr>
              <w:t>40 (18,000)</w:t>
            </w:r>
          </w:p>
        </w:tc>
      </w:tr>
    </w:tbl>
    <w:p w14:paraId="619003B6" w14:textId="77777777" w:rsidR="00D000CD" w:rsidRPr="00D93407" w:rsidRDefault="00D000CD" w:rsidP="00E64FB5">
      <w:pPr>
        <w:ind w:firstLine="720"/>
        <w:rPr>
          <w:sz w:val="24"/>
          <w:szCs w:val="24"/>
        </w:rPr>
      </w:pPr>
    </w:p>
    <w:p w14:paraId="4C4C1AD8" w14:textId="77777777" w:rsidR="0009041E" w:rsidRDefault="00BE28C9">
      <w:pPr>
        <w:rPr>
          <w:sz w:val="24"/>
          <w:szCs w:val="24"/>
        </w:rPr>
      </w:pPr>
      <w:r>
        <w:rPr>
          <w:sz w:val="24"/>
          <w:szCs w:val="24"/>
        </w:rPr>
        <w:tab/>
      </w:r>
    </w:p>
    <w:p w14:paraId="2BCE31B0" w14:textId="3C6FFD33" w:rsidR="00852080" w:rsidRDefault="00BE28C9" w:rsidP="00EC3A52">
      <w:pPr>
        <w:overflowPunct/>
        <w:autoSpaceDE/>
        <w:autoSpaceDN/>
        <w:adjustRightInd/>
        <w:textAlignment w:val="auto"/>
        <w:rPr>
          <w:sz w:val="24"/>
          <w:szCs w:val="24"/>
        </w:rPr>
      </w:pPr>
      <w:bookmarkStart w:id="2" w:name="_GoBack"/>
      <w:bookmarkEnd w:id="2"/>
      <w:r>
        <w:rPr>
          <w:sz w:val="24"/>
          <w:szCs w:val="24"/>
        </w:rPr>
        <w:t xml:space="preserve">When annualized over a three-year period, the burdens associated with </w:t>
      </w:r>
      <w:r w:rsidR="00D72A63">
        <w:rPr>
          <w:sz w:val="24"/>
          <w:szCs w:val="24"/>
        </w:rPr>
        <w:t>Proposed Rules 303.4(f), 303.5, and 303.11 are as follows.</w:t>
      </w:r>
    </w:p>
    <w:p w14:paraId="45099F72" w14:textId="77777777" w:rsidR="00272900" w:rsidRDefault="00272900">
      <w:pPr>
        <w:rPr>
          <w:sz w:val="24"/>
          <w:szCs w:val="24"/>
        </w:rPr>
      </w:pPr>
    </w:p>
    <w:tbl>
      <w:tblPr>
        <w:tblW w:w="10340" w:type="dxa"/>
        <w:jc w:val="center"/>
        <w:tblInd w:w="93" w:type="dxa"/>
        <w:tblLook w:val="04A0" w:firstRow="1" w:lastRow="0" w:firstColumn="1" w:lastColumn="0" w:noHBand="0" w:noVBand="1"/>
      </w:tblPr>
      <w:tblGrid>
        <w:gridCol w:w="1380"/>
        <w:gridCol w:w="960"/>
        <w:gridCol w:w="760"/>
        <w:gridCol w:w="820"/>
        <w:gridCol w:w="840"/>
        <w:gridCol w:w="1000"/>
        <w:gridCol w:w="900"/>
        <w:gridCol w:w="920"/>
        <w:gridCol w:w="940"/>
        <w:gridCol w:w="1060"/>
        <w:gridCol w:w="760"/>
      </w:tblGrid>
      <w:tr w:rsidR="00B42929" w:rsidRPr="00B42929" w14:paraId="5D87E418" w14:textId="77777777" w:rsidTr="00B42929">
        <w:trPr>
          <w:trHeight w:val="315"/>
          <w:jc w:val="center"/>
        </w:trPr>
        <w:tc>
          <w:tcPr>
            <w:tcW w:w="10340"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D272B9"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Summary of Hourly Burdens </w:t>
            </w:r>
          </w:p>
        </w:tc>
      </w:tr>
      <w:tr w:rsidR="00B42929" w:rsidRPr="00B42929" w14:paraId="282E1DE1" w14:textId="77777777" w:rsidTr="00B42929">
        <w:trPr>
          <w:trHeight w:val="300"/>
          <w:jc w:val="center"/>
        </w:trPr>
        <w:tc>
          <w:tcPr>
            <w:tcW w:w="1380" w:type="dxa"/>
            <w:tcBorders>
              <w:top w:val="nil"/>
              <w:left w:val="single" w:sz="8" w:space="0" w:color="auto"/>
              <w:bottom w:val="single" w:sz="4" w:space="0" w:color="auto"/>
              <w:right w:val="single" w:sz="4" w:space="0" w:color="auto"/>
            </w:tcBorders>
            <w:shd w:val="clear" w:color="000000" w:fill="D9D9D9"/>
            <w:noWrap/>
            <w:vAlign w:val="center"/>
            <w:hideMark/>
          </w:tcPr>
          <w:p w14:paraId="41465219"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41C859B5"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 </w:t>
            </w:r>
          </w:p>
        </w:tc>
        <w:tc>
          <w:tcPr>
            <w:tcW w:w="760" w:type="dxa"/>
            <w:tcBorders>
              <w:top w:val="nil"/>
              <w:left w:val="nil"/>
              <w:bottom w:val="single" w:sz="4" w:space="0" w:color="auto"/>
              <w:right w:val="single" w:sz="4" w:space="0" w:color="auto"/>
            </w:tcBorders>
            <w:shd w:val="clear" w:color="000000" w:fill="D9D9D9"/>
            <w:noWrap/>
            <w:vAlign w:val="bottom"/>
            <w:hideMark/>
          </w:tcPr>
          <w:p w14:paraId="3E263950"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A.</w:t>
            </w:r>
          </w:p>
        </w:tc>
        <w:tc>
          <w:tcPr>
            <w:tcW w:w="820" w:type="dxa"/>
            <w:tcBorders>
              <w:top w:val="nil"/>
              <w:left w:val="nil"/>
              <w:bottom w:val="single" w:sz="4" w:space="0" w:color="auto"/>
              <w:right w:val="single" w:sz="4" w:space="0" w:color="auto"/>
            </w:tcBorders>
            <w:shd w:val="clear" w:color="000000" w:fill="D9D9D9"/>
            <w:noWrap/>
            <w:vAlign w:val="bottom"/>
            <w:hideMark/>
          </w:tcPr>
          <w:p w14:paraId="5B71939E"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B.</w:t>
            </w:r>
          </w:p>
        </w:tc>
        <w:tc>
          <w:tcPr>
            <w:tcW w:w="840" w:type="dxa"/>
            <w:tcBorders>
              <w:top w:val="nil"/>
              <w:left w:val="nil"/>
              <w:bottom w:val="single" w:sz="4" w:space="0" w:color="auto"/>
              <w:right w:val="single" w:sz="4" w:space="0" w:color="auto"/>
            </w:tcBorders>
            <w:shd w:val="clear" w:color="000000" w:fill="D9D9D9"/>
            <w:noWrap/>
            <w:vAlign w:val="bottom"/>
            <w:hideMark/>
          </w:tcPr>
          <w:p w14:paraId="2F390145"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C.</w:t>
            </w:r>
          </w:p>
        </w:tc>
        <w:tc>
          <w:tcPr>
            <w:tcW w:w="1000" w:type="dxa"/>
            <w:tcBorders>
              <w:top w:val="nil"/>
              <w:left w:val="nil"/>
              <w:bottom w:val="single" w:sz="4" w:space="0" w:color="auto"/>
              <w:right w:val="single" w:sz="4" w:space="0" w:color="auto"/>
            </w:tcBorders>
            <w:shd w:val="clear" w:color="000000" w:fill="D9D9D9"/>
            <w:noWrap/>
            <w:vAlign w:val="bottom"/>
            <w:hideMark/>
          </w:tcPr>
          <w:p w14:paraId="38F28AFC"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xml:space="preserve">D. </w:t>
            </w:r>
          </w:p>
        </w:tc>
        <w:tc>
          <w:tcPr>
            <w:tcW w:w="900" w:type="dxa"/>
            <w:tcBorders>
              <w:top w:val="nil"/>
              <w:left w:val="nil"/>
              <w:bottom w:val="single" w:sz="4" w:space="0" w:color="auto"/>
              <w:right w:val="single" w:sz="4" w:space="0" w:color="auto"/>
            </w:tcBorders>
            <w:shd w:val="clear" w:color="000000" w:fill="D9D9D9"/>
            <w:noWrap/>
            <w:vAlign w:val="bottom"/>
            <w:hideMark/>
          </w:tcPr>
          <w:p w14:paraId="4BCAB3FF"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E.</w:t>
            </w:r>
          </w:p>
        </w:tc>
        <w:tc>
          <w:tcPr>
            <w:tcW w:w="920" w:type="dxa"/>
            <w:tcBorders>
              <w:top w:val="nil"/>
              <w:left w:val="nil"/>
              <w:bottom w:val="single" w:sz="4" w:space="0" w:color="auto"/>
              <w:right w:val="single" w:sz="4" w:space="0" w:color="auto"/>
            </w:tcBorders>
            <w:shd w:val="clear" w:color="000000" w:fill="D9D9D9"/>
            <w:noWrap/>
            <w:vAlign w:val="bottom"/>
            <w:hideMark/>
          </w:tcPr>
          <w:p w14:paraId="3A681E4B"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F.</w:t>
            </w:r>
          </w:p>
        </w:tc>
        <w:tc>
          <w:tcPr>
            <w:tcW w:w="940" w:type="dxa"/>
            <w:tcBorders>
              <w:top w:val="nil"/>
              <w:left w:val="nil"/>
              <w:bottom w:val="single" w:sz="4" w:space="0" w:color="auto"/>
              <w:right w:val="single" w:sz="4" w:space="0" w:color="auto"/>
            </w:tcBorders>
            <w:shd w:val="clear" w:color="000000" w:fill="D9D9D9"/>
            <w:noWrap/>
            <w:vAlign w:val="bottom"/>
            <w:hideMark/>
          </w:tcPr>
          <w:p w14:paraId="475F0939"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G.</w:t>
            </w:r>
          </w:p>
        </w:tc>
        <w:tc>
          <w:tcPr>
            <w:tcW w:w="1060" w:type="dxa"/>
            <w:tcBorders>
              <w:top w:val="nil"/>
              <w:left w:val="nil"/>
              <w:bottom w:val="single" w:sz="4" w:space="0" w:color="auto"/>
              <w:right w:val="single" w:sz="4" w:space="0" w:color="auto"/>
            </w:tcBorders>
            <w:shd w:val="clear" w:color="000000" w:fill="D9D9D9"/>
            <w:noWrap/>
            <w:vAlign w:val="bottom"/>
            <w:hideMark/>
          </w:tcPr>
          <w:p w14:paraId="23F1B1B7"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w:t>
            </w:r>
          </w:p>
        </w:tc>
        <w:tc>
          <w:tcPr>
            <w:tcW w:w="760" w:type="dxa"/>
            <w:tcBorders>
              <w:top w:val="nil"/>
              <w:left w:val="nil"/>
              <w:bottom w:val="single" w:sz="4" w:space="0" w:color="auto"/>
              <w:right w:val="single" w:sz="8" w:space="0" w:color="auto"/>
            </w:tcBorders>
            <w:shd w:val="clear" w:color="000000" w:fill="D9D9D9"/>
            <w:noWrap/>
            <w:vAlign w:val="bottom"/>
            <w:hideMark/>
          </w:tcPr>
          <w:p w14:paraId="0A3B8370" w14:textId="77777777" w:rsidR="00B42929" w:rsidRPr="00B42929" w:rsidRDefault="00B42929" w:rsidP="00B42929">
            <w:pPr>
              <w:overflowPunct/>
              <w:autoSpaceDE/>
              <w:autoSpaceDN/>
              <w:adjustRightInd/>
              <w:textAlignment w:val="auto"/>
              <w:rPr>
                <w:color w:val="000000"/>
                <w:sz w:val="12"/>
                <w:szCs w:val="12"/>
              </w:rPr>
            </w:pPr>
            <w:r w:rsidRPr="00B42929">
              <w:rPr>
                <w:color w:val="000000"/>
                <w:sz w:val="12"/>
                <w:szCs w:val="12"/>
              </w:rPr>
              <w:t> </w:t>
            </w:r>
          </w:p>
        </w:tc>
      </w:tr>
      <w:tr w:rsidR="00B42929" w:rsidRPr="00B42929" w14:paraId="1B368FEE" w14:textId="77777777" w:rsidTr="00B42929">
        <w:trPr>
          <w:trHeight w:val="120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14:paraId="0C3D1171"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Name of Information Collection</w:t>
            </w:r>
          </w:p>
        </w:tc>
        <w:tc>
          <w:tcPr>
            <w:tcW w:w="960" w:type="dxa"/>
            <w:tcBorders>
              <w:top w:val="nil"/>
              <w:left w:val="nil"/>
              <w:bottom w:val="single" w:sz="4" w:space="0" w:color="auto"/>
              <w:right w:val="single" w:sz="4" w:space="0" w:color="auto"/>
            </w:tcBorders>
            <w:shd w:val="clear" w:color="000000" w:fill="D9D9D9"/>
            <w:vAlign w:val="center"/>
            <w:hideMark/>
          </w:tcPr>
          <w:p w14:paraId="1DD2C138"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Type of Burden</w:t>
            </w:r>
          </w:p>
        </w:tc>
        <w:tc>
          <w:tcPr>
            <w:tcW w:w="760" w:type="dxa"/>
            <w:tcBorders>
              <w:top w:val="nil"/>
              <w:left w:val="nil"/>
              <w:bottom w:val="single" w:sz="4" w:space="0" w:color="auto"/>
              <w:right w:val="single" w:sz="4" w:space="0" w:color="auto"/>
            </w:tcBorders>
            <w:shd w:val="clear" w:color="000000" w:fill="D9D9D9"/>
            <w:vAlign w:val="center"/>
            <w:hideMark/>
          </w:tcPr>
          <w:p w14:paraId="394B386B"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Number of Entities Impacted</w:t>
            </w:r>
          </w:p>
        </w:tc>
        <w:tc>
          <w:tcPr>
            <w:tcW w:w="820" w:type="dxa"/>
            <w:tcBorders>
              <w:top w:val="nil"/>
              <w:left w:val="nil"/>
              <w:bottom w:val="single" w:sz="4" w:space="0" w:color="auto"/>
              <w:right w:val="single" w:sz="4" w:space="0" w:color="auto"/>
            </w:tcBorders>
            <w:shd w:val="clear" w:color="000000" w:fill="D9D9D9"/>
            <w:vAlign w:val="center"/>
            <w:hideMark/>
          </w:tcPr>
          <w:p w14:paraId="15C027C2"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Annual Responses per Entity</w:t>
            </w:r>
          </w:p>
        </w:tc>
        <w:tc>
          <w:tcPr>
            <w:tcW w:w="840" w:type="dxa"/>
            <w:tcBorders>
              <w:top w:val="nil"/>
              <w:left w:val="nil"/>
              <w:bottom w:val="single" w:sz="4" w:space="0" w:color="auto"/>
              <w:right w:val="single" w:sz="4" w:space="0" w:color="auto"/>
            </w:tcBorders>
            <w:shd w:val="clear" w:color="000000" w:fill="D9D9D9"/>
            <w:vAlign w:val="center"/>
            <w:hideMark/>
          </w:tcPr>
          <w:p w14:paraId="07C1EA83"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Initial Burden per Entity per Response</w:t>
            </w:r>
          </w:p>
        </w:tc>
        <w:tc>
          <w:tcPr>
            <w:tcW w:w="1000" w:type="dxa"/>
            <w:tcBorders>
              <w:top w:val="nil"/>
              <w:left w:val="nil"/>
              <w:bottom w:val="single" w:sz="4" w:space="0" w:color="auto"/>
              <w:right w:val="single" w:sz="4" w:space="0" w:color="auto"/>
            </w:tcBorders>
            <w:shd w:val="clear" w:color="000000" w:fill="D9D9D9"/>
            <w:vAlign w:val="center"/>
            <w:hideMark/>
          </w:tcPr>
          <w:p w14:paraId="354E5D6F"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Initial Burden Annualized per Entity per Response</w:t>
            </w:r>
          </w:p>
        </w:tc>
        <w:tc>
          <w:tcPr>
            <w:tcW w:w="900" w:type="dxa"/>
            <w:tcBorders>
              <w:top w:val="nil"/>
              <w:left w:val="nil"/>
              <w:bottom w:val="single" w:sz="4" w:space="0" w:color="auto"/>
              <w:right w:val="single" w:sz="4" w:space="0" w:color="auto"/>
            </w:tcBorders>
            <w:shd w:val="clear" w:color="000000" w:fill="D9D9D9"/>
            <w:vAlign w:val="center"/>
            <w:hideMark/>
          </w:tcPr>
          <w:p w14:paraId="1A634DDC"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Ongoing Burden per Entity per Response</w:t>
            </w:r>
          </w:p>
        </w:tc>
        <w:tc>
          <w:tcPr>
            <w:tcW w:w="920" w:type="dxa"/>
            <w:tcBorders>
              <w:top w:val="nil"/>
              <w:left w:val="nil"/>
              <w:bottom w:val="single" w:sz="4" w:space="0" w:color="auto"/>
              <w:right w:val="single" w:sz="4" w:space="0" w:color="auto"/>
            </w:tcBorders>
            <w:shd w:val="clear" w:color="000000" w:fill="D9D9D9"/>
            <w:vAlign w:val="center"/>
            <w:hideMark/>
          </w:tcPr>
          <w:p w14:paraId="6EAE9EED"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Annual Burden Per Entity per Response</w:t>
            </w:r>
          </w:p>
        </w:tc>
        <w:tc>
          <w:tcPr>
            <w:tcW w:w="940" w:type="dxa"/>
            <w:tcBorders>
              <w:top w:val="nil"/>
              <w:left w:val="nil"/>
              <w:bottom w:val="single" w:sz="4" w:space="0" w:color="auto"/>
              <w:right w:val="single" w:sz="4" w:space="0" w:color="auto"/>
            </w:tcBorders>
            <w:shd w:val="clear" w:color="000000" w:fill="D9D9D9"/>
            <w:vAlign w:val="center"/>
            <w:hideMark/>
          </w:tcPr>
          <w:p w14:paraId="3C13D82B"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Total Annual Burden Per Entity</w:t>
            </w:r>
          </w:p>
        </w:tc>
        <w:tc>
          <w:tcPr>
            <w:tcW w:w="1060" w:type="dxa"/>
            <w:tcBorders>
              <w:top w:val="nil"/>
              <w:left w:val="nil"/>
              <w:bottom w:val="single" w:sz="4" w:space="0" w:color="auto"/>
              <w:right w:val="single" w:sz="4" w:space="0" w:color="auto"/>
            </w:tcBorders>
            <w:shd w:val="clear" w:color="000000" w:fill="D9D9D9"/>
            <w:vAlign w:val="center"/>
            <w:hideMark/>
          </w:tcPr>
          <w:p w14:paraId="6058BD04"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 xml:space="preserve">Total Industry Burden                  </w:t>
            </w:r>
          </w:p>
        </w:tc>
        <w:tc>
          <w:tcPr>
            <w:tcW w:w="760" w:type="dxa"/>
            <w:tcBorders>
              <w:top w:val="nil"/>
              <w:left w:val="nil"/>
              <w:bottom w:val="single" w:sz="4" w:space="0" w:color="auto"/>
              <w:right w:val="single" w:sz="8" w:space="0" w:color="auto"/>
            </w:tcBorders>
            <w:shd w:val="clear" w:color="000000" w:fill="D9D9D9"/>
            <w:vAlign w:val="center"/>
            <w:hideMark/>
          </w:tcPr>
          <w:p w14:paraId="475822A9" w14:textId="77777777" w:rsidR="00B42929" w:rsidRPr="00B42929" w:rsidRDefault="00B42929" w:rsidP="00B42929">
            <w:pPr>
              <w:overflowPunct/>
              <w:autoSpaceDE/>
              <w:autoSpaceDN/>
              <w:adjustRightInd/>
              <w:jc w:val="center"/>
              <w:textAlignment w:val="auto"/>
              <w:rPr>
                <w:b/>
                <w:bCs/>
                <w:color w:val="000000"/>
                <w:sz w:val="12"/>
                <w:szCs w:val="12"/>
              </w:rPr>
            </w:pPr>
            <w:r w:rsidRPr="00B42929">
              <w:rPr>
                <w:b/>
                <w:bCs/>
                <w:color w:val="000000"/>
                <w:sz w:val="12"/>
                <w:szCs w:val="12"/>
              </w:rPr>
              <w:t xml:space="preserve"> Small Business Entities Affected</w:t>
            </w:r>
          </w:p>
        </w:tc>
      </w:tr>
      <w:tr w:rsidR="00B42929" w:rsidRPr="00B42929" w14:paraId="7BD6E5E0" w14:textId="77777777" w:rsidTr="00B42929">
        <w:trPr>
          <w:trHeight w:val="510"/>
          <w:jc w:val="center"/>
        </w:trPr>
        <w:tc>
          <w:tcPr>
            <w:tcW w:w="1380" w:type="dxa"/>
            <w:tcBorders>
              <w:top w:val="nil"/>
              <w:left w:val="single" w:sz="8" w:space="0" w:color="auto"/>
              <w:bottom w:val="single" w:sz="4" w:space="0" w:color="auto"/>
              <w:right w:val="single" w:sz="4" w:space="0" w:color="auto"/>
            </w:tcBorders>
            <w:shd w:val="clear" w:color="000000" w:fill="D9D9D9"/>
            <w:vAlign w:val="center"/>
            <w:hideMark/>
          </w:tcPr>
          <w:p w14:paraId="173C4B78"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w:t>
            </w:r>
          </w:p>
        </w:tc>
        <w:tc>
          <w:tcPr>
            <w:tcW w:w="960" w:type="dxa"/>
            <w:tcBorders>
              <w:top w:val="nil"/>
              <w:left w:val="nil"/>
              <w:bottom w:val="single" w:sz="4" w:space="0" w:color="auto"/>
              <w:right w:val="single" w:sz="4" w:space="0" w:color="auto"/>
            </w:tcBorders>
            <w:shd w:val="clear" w:color="000000" w:fill="D9D9D9"/>
            <w:vAlign w:val="center"/>
            <w:hideMark/>
          </w:tcPr>
          <w:p w14:paraId="7F28024C"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w:t>
            </w:r>
          </w:p>
        </w:tc>
        <w:tc>
          <w:tcPr>
            <w:tcW w:w="760" w:type="dxa"/>
            <w:tcBorders>
              <w:top w:val="nil"/>
              <w:left w:val="nil"/>
              <w:bottom w:val="single" w:sz="4" w:space="0" w:color="auto"/>
              <w:right w:val="single" w:sz="4" w:space="0" w:color="auto"/>
            </w:tcBorders>
            <w:shd w:val="clear" w:color="000000" w:fill="D9D9D9"/>
            <w:vAlign w:val="center"/>
            <w:hideMark/>
          </w:tcPr>
          <w:p w14:paraId="3CED174B"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w:t>
            </w:r>
          </w:p>
        </w:tc>
        <w:tc>
          <w:tcPr>
            <w:tcW w:w="820" w:type="dxa"/>
            <w:tcBorders>
              <w:top w:val="nil"/>
              <w:left w:val="nil"/>
              <w:bottom w:val="single" w:sz="4" w:space="0" w:color="auto"/>
              <w:right w:val="single" w:sz="4" w:space="0" w:color="auto"/>
            </w:tcBorders>
            <w:shd w:val="clear" w:color="000000" w:fill="D9D9D9"/>
            <w:vAlign w:val="center"/>
            <w:hideMark/>
          </w:tcPr>
          <w:p w14:paraId="6EA3717C"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w:t>
            </w:r>
          </w:p>
        </w:tc>
        <w:tc>
          <w:tcPr>
            <w:tcW w:w="840" w:type="dxa"/>
            <w:tcBorders>
              <w:top w:val="nil"/>
              <w:left w:val="nil"/>
              <w:bottom w:val="single" w:sz="4" w:space="0" w:color="auto"/>
              <w:right w:val="single" w:sz="4" w:space="0" w:color="auto"/>
            </w:tcBorders>
            <w:shd w:val="clear" w:color="000000" w:fill="D9D9D9"/>
            <w:vAlign w:val="center"/>
            <w:hideMark/>
          </w:tcPr>
          <w:p w14:paraId="0F4588B4"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w:t>
            </w:r>
          </w:p>
        </w:tc>
        <w:tc>
          <w:tcPr>
            <w:tcW w:w="1000" w:type="dxa"/>
            <w:tcBorders>
              <w:top w:val="nil"/>
              <w:left w:val="nil"/>
              <w:bottom w:val="single" w:sz="4" w:space="0" w:color="auto"/>
              <w:right w:val="single" w:sz="4" w:space="0" w:color="auto"/>
            </w:tcBorders>
            <w:shd w:val="clear" w:color="000000" w:fill="D9D9D9"/>
            <w:vAlign w:val="center"/>
            <w:hideMark/>
          </w:tcPr>
          <w:p w14:paraId="799A0F05"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[C ÷ 3 years]</w:t>
            </w:r>
          </w:p>
        </w:tc>
        <w:tc>
          <w:tcPr>
            <w:tcW w:w="900" w:type="dxa"/>
            <w:tcBorders>
              <w:top w:val="nil"/>
              <w:left w:val="nil"/>
              <w:bottom w:val="single" w:sz="4" w:space="0" w:color="auto"/>
              <w:right w:val="single" w:sz="4" w:space="0" w:color="auto"/>
            </w:tcBorders>
            <w:shd w:val="clear" w:color="000000" w:fill="D9D9D9"/>
            <w:vAlign w:val="center"/>
            <w:hideMark/>
          </w:tcPr>
          <w:p w14:paraId="263F2469"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w:t>
            </w:r>
          </w:p>
        </w:tc>
        <w:tc>
          <w:tcPr>
            <w:tcW w:w="920" w:type="dxa"/>
            <w:tcBorders>
              <w:top w:val="nil"/>
              <w:left w:val="nil"/>
              <w:bottom w:val="single" w:sz="4" w:space="0" w:color="auto"/>
              <w:right w:val="single" w:sz="4" w:space="0" w:color="auto"/>
            </w:tcBorders>
            <w:shd w:val="clear" w:color="000000" w:fill="D9D9D9"/>
            <w:vAlign w:val="center"/>
            <w:hideMark/>
          </w:tcPr>
          <w:p w14:paraId="5F6491B5"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D + E]</w:t>
            </w:r>
          </w:p>
        </w:tc>
        <w:tc>
          <w:tcPr>
            <w:tcW w:w="940" w:type="dxa"/>
            <w:tcBorders>
              <w:top w:val="nil"/>
              <w:left w:val="nil"/>
              <w:bottom w:val="single" w:sz="4" w:space="0" w:color="auto"/>
              <w:right w:val="single" w:sz="4" w:space="0" w:color="auto"/>
            </w:tcBorders>
            <w:shd w:val="clear" w:color="000000" w:fill="D9D9D9"/>
            <w:vAlign w:val="center"/>
            <w:hideMark/>
          </w:tcPr>
          <w:p w14:paraId="3036A41F"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[F * B]</w:t>
            </w:r>
          </w:p>
        </w:tc>
        <w:tc>
          <w:tcPr>
            <w:tcW w:w="1060" w:type="dxa"/>
            <w:tcBorders>
              <w:top w:val="nil"/>
              <w:left w:val="nil"/>
              <w:bottom w:val="single" w:sz="4" w:space="0" w:color="auto"/>
              <w:right w:val="single" w:sz="4" w:space="0" w:color="auto"/>
            </w:tcBorders>
            <w:shd w:val="clear" w:color="000000" w:fill="D9D9D9"/>
            <w:vAlign w:val="center"/>
            <w:hideMark/>
          </w:tcPr>
          <w:p w14:paraId="3B430B29"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 xml:space="preserve">[G * A]  </w:t>
            </w:r>
          </w:p>
        </w:tc>
        <w:tc>
          <w:tcPr>
            <w:tcW w:w="760" w:type="dxa"/>
            <w:tcBorders>
              <w:top w:val="nil"/>
              <w:left w:val="nil"/>
              <w:bottom w:val="single" w:sz="4" w:space="0" w:color="auto"/>
              <w:right w:val="single" w:sz="8" w:space="0" w:color="auto"/>
            </w:tcBorders>
            <w:shd w:val="clear" w:color="000000" w:fill="D9D9D9"/>
            <w:vAlign w:val="center"/>
            <w:hideMark/>
          </w:tcPr>
          <w:p w14:paraId="160FEBD4" w14:textId="77777777" w:rsidR="00B42929" w:rsidRPr="00B42929" w:rsidRDefault="00B42929" w:rsidP="00B42929">
            <w:pPr>
              <w:overflowPunct/>
              <w:autoSpaceDE/>
              <w:autoSpaceDN/>
              <w:adjustRightInd/>
              <w:jc w:val="center"/>
              <w:textAlignment w:val="auto"/>
              <w:rPr>
                <w:color w:val="FF0000"/>
                <w:sz w:val="12"/>
                <w:szCs w:val="12"/>
              </w:rPr>
            </w:pPr>
            <w:r w:rsidRPr="00B42929">
              <w:rPr>
                <w:color w:val="FF0000"/>
                <w:sz w:val="12"/>
                <w:szCs w:val="12"/>
              </w:rPr>
              <w:t>[A * 0 %]</w:t>
            </w:r>
          </w:p>
        </w:tc>
      </w:tr>
      <w:tr w:rsidR="00B42929" w:rsidRPr="00B42929" w14:paraId="113C7595" w14:textId="77777777" w:rsidTr="00B42929">
        <w:trPr>
          <w:trHeight w:val="33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14:paraId="7E3DB59C"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Proposed Rule 303.4(f)</w:t>
            </w:r>
          </w:p>
        </w:tc>
        <w:tc>
          <w:tcPr>
            <w:tcW w:w="960" w:type="dxa"/>
            <w:tcBorders>
              <w:top w:val="nil"/>
              <w:left w:val="nil"/>
              <w:bottom w:val="single" w:sz="4" w:space="0" w:color="auto"/>
              <w:right w:val="single" w:sz="4" w:space="0" w:color="auto"/>
            </w:tcBorders>
            <w:shd w:val="clear" w:color="auto" w:fill="auto"/>
            <w:vAlign w:val="center"/>
            <w:hideMark/>
          </w:tcPr>
          <w:p w14:paraId="206D2FD0"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14:paraId="17D00812"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806</w:t>
            </w:r>
          </w:p>
        </w:tc>
        <w:tc>
          <w:tcPr>
            <w:tcW w:w="820" w:type="dxa"/>
            <w:tcBorders>
              <w:top w:val="nil"/>
              <w:left w:val="nil"/>
              <w:bottom w:val="single" w:sz="4" w:space="0" w:color="auto"/>
              <w:right w:val="single" w:sz="4" w:space="0" w:color="auto"/>
            </w:tcBorders>
            <w:shd w:val="clear" w:color="auto" w:fill="auto"/>
            <w:vAlign w:val="center"/>
            <w:hideMark/>
          </w:tcPr>
          <w:p w14:paraId="22D25549"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14:paraId="7A1E9494"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40.00</w:t>
            </w:r>
          </w:p>
        </w:tc>
        <w:tc>
          <w:tcPr>
            <w:tcW w:w="1000" w:type="dxa"/>
            <w:tcBorders>
              <w:top w:val="nil"/>
              <w:left w:val="nil"/>
              <w:bottom w:val="single" w:sz="4" w:space="0" w:color="auto"/>
              <w:right w:val="single" w:sz="4" w:space="0" w:color="auto"/>
            </w:tcBorders>
            <w:shd w:val="clear" w:color="auto" w:fill="auto"/>
            <w:vAlign w:val="center"/>
            <w:hideMark/>
          </w:tcPr>
          <w:p w14:paraId="0236E16A"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13.33</w:t>
            </w:r>
          </w:p>
        </w:tc>
        <w:tc>
          <w:tcPr>
            <w:tcW w:w="900" w:type="dxa"/>
            <w:tcBorders>
              <w:top w:val="nil"/>
              <w:left w:val="nil"/>
              <w:bottom w:val="single" w:sz="4" w:space="0" w:color="auto"/>
              <w:right w:val="single" w:sz="4" w:space="0" w:color="auto"/>
            </w:tcBorders>
            <w:shd w:val="clear" w:color="auto" w:fill="auto"/>
            <w:vAlign w:val="center"/>
            <w:hideMark/>
          </w:tcPr>
          <w:p w14:paraId="0E72455A"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20.00</w:t>
            </w:r>
          </w:p>
        </w:tc>
        <w:tc>
          <w:tcPr>
            <w:tcW w:w="920" w:type="dxa"/>
            <w:tcBorders>
              <w:top w:val="nil"/>
              <w:left w:val="nil"/>
              <w:bottom w:val="single" w:sz="4" w:space="0" w:color="auto"/>
              <w:right w:val="single" w:sz="4" w:space="0" w:color="auto"/>
            </w:tcBorders>
            <w:shd w:val="clear" w:color="auto" w:fill="auto"/>
            <w:vAlign w:val="center"/>
            <w:hideMark/>
          </w:tcPr>
          <w:p w14:paraId="50DB36C2"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33.33</w:t>
            </w:r>
          </w:p>
        </w:tc>
        <w:tc>
          <w:tcPr>
            <w:tcW w:w="940" w:type="dxa"/>
            <w:tcBorders>
              <w:top w:val="nil"/>
              <w:left w:val="nil"/>
              <w:bottom w:val="single" w:sz="4" w:space="0" w:color="auto"/>
              <w:right w:val="single" w:sz="4" w:space="0" w:color="auto"/>
            </w:tcBorders>
            <w:shd w:val="clear" w:color="auto" w:fill="auto"/>
            <w:vAlign w:val="center"/>
            <w:hideMark/>
          </w:tcPr>
          <w:p w14:paraId="04D08FA4"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33.33</w:t>
            </w:r>
          </w:p>
        </w:tc>
        <w:tc>
          <w:tcPr>
            <w:tcW w:w="1060" w:type="dxa"/>
            <w:tcBorders>
              <w:top w:val="nil"/>
              <w:left w:val="nil"/>
              <w:bottom w:val="single" w:sz="4" w:space="0" w:color="auto"/>
              <w:right w:val="single" w:sz="4" w:space="0" w:color="auto"/>
            </w:tcBorders>
            <w:shd w:val="clear" w:color="auto" w:fill="auto"/>
            <w:vAlign w:val="center"/>
            <w:hideMark/>
          </w:tcPr>
          <w:p w14:paraId="50232DEA"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26,866.67</w:t>
            </w:r>
          </w:p>
        </w:tc>
        <w:tc>
          <w:tcPr>
            <w:tcW w:w="760" w:type="dxa"/>
            <w:tcBorders>
              <w:top w:val="nil"/>
              <w:left w:val="nil"/>
              <w:bottom w:val="single" w:sz="4" w:space="0" w:color="auto"/>
              <w:right w:val="single" w:sz="8" w:space="0" w:color="auto"/>
            </w:tcBorders>
            <w:shd w:val="clear" w:color="auto" w:fill="auto"/>
            <w:noWrap/>
            <w:vAlign w:val="center"/>
            <w:hideMark/>
          </w:tcPr>
          <w:p w14:paraId="70A551B5"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0.00</w:t>
            </w:r>
          </w:p>
        </w:tc>
      </w:tr>
      <w:tr w:rsidR="00B42929" w:rsidRPr="00B42929" w14:paraId="0C0F71CB" w14:textId="77777777" w:rsidTr="00B42929">
        <w:trPr>
          <w:trHeight w:val="30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14:paraId="57778D19"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Proposed Rule 303.5</w:t>
            </w:r>
          </w:p>
        </w:tc>
        <w:tc>
          <w:tcPr>
            <w:tcW w:w="960" w:type="dxa"/>
            <w:tcBorders>
              <w:top w:val="nil"/>
              <w:left w:val="nil"/>
              <w:bottom w:val="single" w:sz="4" w:space="0" w:color="auto"/>
              <w:right w:val="single" w:sz="4" w:space="0" w:color="auto"/>
            </w:tcBorders>
            <w:shd w:val="clear" w:color="auto" w:fill="auto"/>
            <w:vAlign w:val="center"/>
            <w:hideMark/>
          </w:tcPr>
          <w:p w14:paraId="206CEC39"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14:paraId="0DAF0F04"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94</w:t>
            </w:r>
          </w:p>
        </w:tc>
        <w:tc>
          <w:tcPr>
            <w:tcW w:w="820" w:type="dxa"/>
            <w:tcBorders>
              <w:top w:val="nil"/>
              <w:left w:val="nil"/>
              <w:bottom w:val="single" w:sz="4" w:space="0" w:color="auto"/>
              <w:right w:val="single" w:sz="4" w:space="0" w:color="auto"/>
            </w:tcBorders>
            <w:shd w:val="clear" w:color="auto" w:fill="auto"/>
            <w:vAlign w:val="center"/>
            <w:hideMark/>
          </w:tcPr>
          <w:p w14:paraId="0FDFCACC"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14:paraId="1773AC62"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20.00</w:t>
            </w:r>
          </w:p>
        </w:tc>
        <w:tc>
          <w:tcPr>
            <w:tcW w:w="1000" w:type="dxa"/>
            <w:tcBorders>
              <w:top w:val="nil"/>
              <w:left w:val="nil"/>
              <w:bottom w:val="single" w:sz="4" w:space="0" w:color="auto"/>
              <w:right w:val="single" w:sz="4" w:space="0" w:color="auto"/>
            </w:tcBorders>
            <w:shd w:val="clear" w:color="auto" w:fill="auto"/>
            <w:vAlign w:val="center"/>
            <w:hideMark/>
          </w:tcPr>
          <w:p w14:paraId="4BA8EEE3"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6.67</w:t>
            </w:r>
          </w:p>
        </w:tc>
        <w:tc>
          <w:tcPr>
            <w:tcW w:w="900" w:type="dxa"/>
            <w:tcBorders>
              <w:top w:val="nil"/>
              <w:left w:val="nil"/>
              <w:bottom w:val="single" w:sz="4" w:space="0" w:color="auto"/>
              <w:right w:val="single" w:sz="4" w:space="0" w:color="auto"/>
            </w:tcBorders>
            <w:shd w:val="clear" w:color="auto" w:fill="auto"/>
            <w:vAlign w:val="center"/>
            <w:hideMark/>
          </w:tcPr>
          <w:p w14:paraId="2AE158A7"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10.00</w:t>
            </w:r>
          </w:p>
        </w:tc>
        <w:tc>
          <w:tcPr>
            <w:tcW w:w="920" w:type="dxa"/>
            <w:tcBorders>
              <w:top w:val="nil"/>
              <w:left w:val="nil"/>
              <w:bottom w:val="single" w:sz="4" w:space="0" w:color="auto"/>
              <w:right w:val="single" w:sz="4" w:space="0" w:color="auto"/>
            </w:tcBorders>
            <w:shd w:val="clear" w:color="auto" w:fill="auto"/>
            <w:vAlign w:val="center"/>
            <w:hideMark/>
          </w:tcPr>
          <w:p w14:paraId="2212BE82"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16.67</w:t>
            </w:r>
          </w:p>
        </w:tc>
        <w:tc>
          <w:tcPr>
            <w:tcW w:w="940" w:type="dxa"/>
            <w:tcBorders>
              <w:top w:val="nil"/>
              <w:left w:val="nil"/>
              <w:bottom w:val="single" w:sz="4" w:space="0" w:color="auto"/>
              <w:right w:val="single" w:sz="4" w:space="0" w:color="auto"/>
            </w:tcBorders>
            <w:shd w:val="clear" w:color="auto" w:fill="auto"/>
            <w:vAlign w:val="center"/>
            <w:hideMark/>
          </w:tcPr>
          <w:p w14:paraId="442351C6"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16.67</w:t>
            </w:r>
          </w:p>
        </w:tc>
        <w:tc>
          <w:tcPr>
            <w:tcW w:w="1060" w:type="dxa"/>
            <w:tcBorders>
              <w:top w:val="nil"/>
              <w:left w:val="nil"/>
              <w:bottom w:val="single" w:sz="4" w:space="0" w:color="auto"/>
              <w:right w:val="single" w:sz="4" w:space="0" w:color="auto"/>
            </w:tcBorders>
            <w:shd w:val="clear" w:color="auto" w:fill="auto"/>
            <w:vAlign w:val="center"/>
            <w:hideMark/>
          </w:tcPr>
          <w:p w14:paraId="1A04FCE3"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1,566.67</w:t>
            </w:r>
          </w:p>
        </w:tc>
        <w:tc>
          <w:tcPr>
            <w:tcW w:w="760" w:type="dxa"/>
            <w:tcBorders>
              <w:top w:val="nil"/>
              <w:left w:val="nil"/>
              <w:bottom w:val="single" w:sz="4" w:space="0" w:color="auto"/>
              <w:right w:val="single" w:sz="8" w:space="0" w:color="auto"/>
            </w:tcBorders>
            <w:shd w:val="clear" w:color="auto" w:fill="auto"/>
            <w:noWrap/>
            <w:vAlign w:val="center"/>
            <w:hideMark/>
          </w:tcPr>
          <w:p w14:paraId="4C664FC7"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0.00</w:t>
            </w:r>
          </w:p>
        </w:tc>
      </w:tr>
      <w:tr w:rsidR="00B42929" w:rsidRPr="00B42929" w14:paraId="5AF56D20" w14:textId="77777777" w:rsidTr="00B42929">
        <w:trPr>
          <w:trHeight w:val="300"/>
          <w:jc w:val="center"/>
        </w:trPr>
        <w:tc>
          <w:tcPr>
            <w:tcW w:w="1380" w:type="dxa"/>
            <w:tcBorders>
              <w:top w:val="nil"/>
              <w:left w:val="single" w:sz="8" w:space="0" w:color="auto"/>
              <w:bottom w:val="single" w:sz="4" w:space="0" w:color="auto"/>
              <w:right w:val="single" w:sz="4" w:space="0" w:color="auto"/>
            </w:tcBorders>
            <w:shd w:val="clear" w:color="auto" w:fill="auto"/>
            <w:vAlign w:val="center"/>
            <w:hideMark/>
          </w:tcPr>
          <w:p w14:paraId="478D2CD2" w14:textId="1FF8D129"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Proposed Rule 303.</w:t>
            </w:r>
            <w:r w:rsidR="002F09BA">
              <w:rPr>
                <w:color w:val="000000"/>
                <w:sz w:val="12"/>
                <w:szCs w:val="12"/>
              </w:rPr>
              <w:t>11</w:t>
            </w:r>
          </w:p>
        </w:tc>
        <w:tc>
          <w:tcPr>
            <w:tcW w:w="960" w:type="dxa"/>
            <w:tcBorders>
              <w:top w:val="nil"/>
              <w:left w:val="nil"/>
              <w:bottom w:val="single" w:sz="4" w:space="0" w:color="auto"/>
              <w:right w:val="single" w:sz="4" w:space="0" w:color="auto"/>
            </w:tcBorders>
            <w:shd w:val="clear" w:color="auto" w:fill="auto"/>
            <w:vAlign w:val="center"/>
            <w:hideMark/>
          </w:tcPr>
          <w:p w14:paraId="0DFD5759"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Recordkeeping</w:t>
            </w:r>
          </w:p>
        </w:tc>
        <w:tc>
          <w:tcPr>
            <w:tcW w:w="760" w:type="dxa"/>
            <w:tcBorders>
              <w:top w:val="nil"/>
              <w:left w:val="nil"/>
              <w:bottom w:val="single" w:sz="4" w:space="0" w:color="auto"/>
              <w:right w:val="single" w:sz="4" w:space="0" w:color="auto"/>
            </w:tcBorders>
            <w:shd w:val="clear" w:color="auto" w:fill="auto"/>
            <w:vAlign w:val="center"/>
            <w:hideMark/>
          </w:tcPr>
          <w:p w14:paraId="4B0CA9C1"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94</w:t>
            </w:r>
          </w:p>
        </w:tc>
        <w:tc>
          <w:tcPr>
            <w:tcW w:w="820" w:type="dxa"/>
            <w:tcBorders>
              <w:top w:val="nil"/>
              <w:left w:val="nil"/>
              <w:bottom w:val="single" w:sz="4" w:space="0" w:color="auto"/>
              <w:right w:val="single" w:sz="4" w:space="0" w:color="auto"/>
            </w:tcBorders>
            <w:shd w:val="clear" w:color="auto" w:fill="auto"/>
            <w:vAlign w:val="center"/>
            <w:hideMark/>
          </w:tcPr>
          <w:p w14:paraId="3FD92256" w14:textId="77777777" w:rsidR="00B42929" w:rsidRPr="00B42929" w:rsidRDefault="00B42929" w:rsidP="00B42929">
            <w:pPr>
              <w:overflowPunct/>
              <w:autoSpaceDE/>
              <w:autoSpaceDN/>
              <w:adjustRightInd/>
              <w:jc w:val="center"/>
              <w:textAlignment w:val="auto"/>
              <w:rPr>
                <w:color w:val="000000"/>
                <w:sz w:val="12"/>
                <w:szCs w:val="12"/>
              </w:rPr>
            </w:pPr>
            <w:r w:rsidRPr="00B42929">
              <w:rPr>
                <w:color w:val="000000"/>
                <w:sz w:val="12"/>
                <w:szCs w:val="12"/>
              </w:rPr>
              <w:t>1</w:t>
            </w:r>
          </w:p>
        </w:tc>
        <w:tc>
          <w:tcPr>
            <w:tcW w:w="840" w:type="dxa"/>
            <w:tcBorders>
              <w:top w:val="nil"/>
              <w:left w:val="nil"/>
              <w:bottom w:val="single" w:sz="4" w:space="0" w:color="auto"/>
              <w:right w:val="single" w:sz="4" w:space="0" w:color="auto"/>
            </w:tcBorders>
            <w:shd w:val="clear" w:color="auto" w:fill="auto"/>
            <w:vAlign w:val="center"/>
            <w:hideMark/>
          </w:tcPr>
          <w:p w14:paraId="08071330"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20.00</w:t>
            </w:r>
          </w:p>
        </w:tc>
        <w:tc>
          <w:tcPr>
            <w:tcW w:w="1000" w:type="dxa"/>
            <w:tcBorders>
              <w:top w:val="nil"/>
              <w:left w:val="nil"/>
              <w:bottom w:val="single" w:sz="4" w:space="0" w:color="auto"/>
              <w:right w:val="single" w:sz="4" w:space="0" w:color="auto"/>
            </w:tcBorders>
            <w:shd w:val="clear" w:color="auto" w:fill="auto"/>
            <w:vAlign w:val="center"/>
            <w:hideMark/>
          </w:tcPr>
          <w:p w14:paraId="1277D907"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6.67</w:t>
            </w:r>
          </w:p>
        </w:tc>
        <w:tc>
          <w:tcPr>
            <w:tcW w:w="900" w:type="dxa"/>
            <w:tcBorders>
              <w:top w:val="nil"/>
              <w:left w:val="nil"/>
              <w:bottom w:val="single" w:sz="4" w:space="0" w:color="auto"/>
              <w:right w:val="single" w:sz="4" w:space="0" w:color="auto"/>
            </w:tcBorders>
            <w:shd w:val="clear" w:color="auto" w:fill="auto"/>
            <w:vAlign w:val="center"/>
            <w:hideMark/>
          </w:tcPr>
          <w:p w14:paraId="1ACDAB0D"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10.00</w:t>
            </w:r>
          </w:p>
        </w:tc>
        <w:tc>
          <w:tcPr>
            <w:tcW w:w="920" w:type="dxa"/>
            <w:tcBorders>
              <w:top w:val="nil"/>
              <w:left w:val="nil"/>
              <w:bottom w:val="single" w:sz="4" w:space="0" w:color="auto"/>
              <w:right w:val="single" w:sz="4" w:space="0" w:color="auto"/>
            </w:tcBorders>
            <w:shd w:val="clear" w:color="auto" w:fill="auto"/>
            <w:vAlign w:val="center"/>
            <w:hideMark/>
          </w:tcPr>
          <w:p w14:paraId="5F27CC77"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16.67</w:t>
            </w:r>
          </w:p>
        </w:tc>
        <w:tc>
          <w:tcPr>
            <w:tcW w:w="940" w:type="dxa"/>
            <w:tcBorders>
              <w:top w:val="nil"/>
              <w:left w:val="nil"/>
              <w:bottom w:val="single" w:sz="4" w:space="0" w:color="auto"/>
              <w:right w:val="single" w:sz="4" w:space="0" w:color="auto"/>
            </w:tcBorders>
            <w:shd w:val="clear" w:color="auto" w:fill="auto"/>
            <w:vAlign w:val="center"/>
            <w:hideMark/>
          </w:tcPr>
          <w:p w14:paraId="14DBDAA8"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16.67</w:t>
            </w:r>
          </w:p>
        </w:tc>
        <w:tc>
          <w:tcPr>
            <w:tcW w:w="1060" w:type="dxa"/>
            <w:tcBorders>
              <w:top w:val="nil"/>
              <w:left w:val="nil"/>
              <w:bottom w:val="single" w:sz="4" w:space="0" w:color="auto"/>
              <w:right w:val="single" w:sz="4" w:space="0" w:color="auto"/>
            </w:tcBorders>
            <w:shd w:val="clear" w:color="auto" w:fill="auto"/>
            <w:vAlign w:val="center"/>
            <w:hideMark/>
          </w:tcPr>
          <w:p w14:paraId="5160284F"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1,566.67</w:t>
            </w:r>
          </w:p>
        </w:tc>
        <w:tc>
          <w:tcPr>
            <w:tcW w:w="760" w:type="dxa"/>
            <w:tcBorders>
              <w:top w:val="nil"/>
              <w:left w:val="nil"/>
              <w:bottom w:val="single" w:sz="4" w:space="0" w:color="auto"/>
              <w:right w:val="single" w:sz="8" w:space="0" w:color="auto"/>
            </w:tcBorders>
            <w:shd w:val="clear" w:color="auto" w:fill="auto"/>
            <w:noWrap/>
            <w:vAlign w:val="center"/>
            <w:hideMark/>
          </w:tcPr>
          <w:p w14:paraId="70F75143" w14:textId="77777777" w:rsidR="00B42929" w:rsidRPr="00B42929" w:rsidRDefault="00B42929" w:rsidP="00B42929">
            <w:pPr>
              <w:overflowPunct/>
              <w:autoSpaceDE/>
              <w:autoSpaceDN/>
              <w:adjustRightInd/>
              <w:jc w:val="right"/>
              <w:textAlignment w:val="auto"/>
              <w:rPr>
                <w:color w:val="000000"/>
                <w:sz w:val="12"/>
                <w:szCs w:val="12"/>
              </w:rPr>
            </w:pPr>
            <w:r w:rsidRPr="00B42929">
              <w:rPr>
                <w:color w:val="000000"/>
                <w:sz w:val="12"/>
                <w:szCs w:val="12"/>
              </w:rPr>
              <w:t>0.00</w:t>
            </w:r>
          </w:p>
        </w:tc>
      </w:tr>
      <w:tr w:rsidR="00B42929" w:rsidRPr="00B42929" w14:paraId="4B5EE3E4" w14:textId="77777777" w:rsidTr="00B42929">
        <w:trPr>
          <w:trHeight w:val="315"/>
          <w:jc w:val="center"/>
        </w:trPr>
        <w:tc>
          <w:tcPr>
            <w:tcW w:w="8520" w:type="dxa"/>
            <w:gridSpan w:val="9"/>
            <w:tcBorders>
              <w:top w:val="single" w:sz="4" w:space="0" w:color="auto"/>
              <w:left w:val="single" w:sz="8" w:space="0" w:color="auto"/>
              <w:bottom w:val="single" w:sz="8" w:space="0" w:color="auto"/>
              <w:right w:val="single" w:sz="4" w:space="0" w:color="auto"/>
            </w:tcBorders>
            <w:shd w:val="clear" w:color="auto" w:fill="auto"/>
            <w:vAlign w:val="center"/>
            <w:hideMark/>
          </w:tcPr>
          <w:p w14:paraId="14685326" w14:textId="77777777" w:rsidR="00B42929" w:rsidRPr="00B42929" w:rsidRDefault="00B42929" w:rsidP="00B42929">
            <w:pPr>
              <w:overflowPunct/>
              <w:autoSpaceDE/>
              <w:autoSpaceDN/>
              <w:adjustRightInd/>
              <w:jc w:val="right"/>
              <w:textAlignment w:val="auto"/>
              <w:rPr>
                <w:b/>
                <w:bCs/>
                <w:color w:val="000000"/>
                <w:sz w:val="12"/>
                <w:szCs w:val="12"/>
              </w:rPr>
            </w:pPr>
            <w:r w:rsidRPr="00B42929">
              <w:rPr>
                <w:b/>
                <w:bCs/>
                <w:color w:val="000000"/>
                <w:sz w:val="12"/>
                <w:szCs w:val="12"/>
              </w:rPr>
              <w:t xml:space="preserve">TOTAL HOURLY BURDEN FOR ALL RESPONDENTS </w:t>
            </w:r>
          </w:p>
        </w:tc>
        <w:tc>
          <w:tcPr>
            <w:tcW w:w="1060" w:type="dxa"/>
            <w:tcBorders>
              <w:top w:val="nil"/>
              <w:left w:val="nil"/>
              <w:bottom w:val="single" w:sz="8" w:space="0" w:color="auto"/>
              <w:right w:val="single" w:sz="4" w:space="0" w:color="auto"/>
            </w:tcBorders>
            <w:shd w:val="clear" w:color="auto" w:fill="auto"/>
            <w:vAlign w:val="center"/>
            <w:hideMark/>
          </w:tcPr>
          <w:p w14:paraId="014A8936" w14:textId="77777777" w:rsidR="00B42929" w:rsidRPr="00B42929" w:rsidRDefault="00B42929" w:rsidP="00B42929">
            <w:pPr>
              <w:overflowPunct/>
              <w:autoSpaceDE/>
              <w:autoSpaceDN/>
              <w:adjustRightInd/>
              <w:jc w:val="right"/>
              <w:textAlignment w:val="auto"/>
              <w:rPr>
                <w:b/>
                <w:bCs/>
                <w:color w:val="000000"/>
                <w:sz w:val="12"/>
                <w:szCs w:val="12"/>
              </w:rPr>
            </w:pPr>
            <w:r w:rsidRPr="00B42929">
              <w:rPr>
                <w:b/>
                <w:bCs/>
                <w:color w:val="000000"/>
                <w:sz w:val="12"/>
                <w:szCs w:val="12"/>
              </w:rPr>
              <w:t>30,000.00</w:t>
            </w:r>
          </w:p>
        </w:tc>
        <w:tc>
          <w:tcPr>
            <w:tcW w:w="760" w:type="dxa"/>
            <w:tcBorders>
              <w:top w:val="nil"/>
              <w:left w:val="nil"/>
              <w:bottom w:val="single" w:sz="8" w:space="0" w:color="auto"/>
              <w:right w:val="single" w:sz="8" w:space="0" w:color="auto"/>
            </w:tcBorders>
            <w:shd w:val="clear" w:color="auto" w:fill="auto"/>
            <w:vAlign w:val="center"/>
            <w:hideMark/>
          </w:tcPr>
          <w:p w14:paraId="237E9D22" w14:textId="77777777" w:rsidR="00B42929" w:rsidRPr="00B42929" w:rsidRDefault="00B42929" w:rsidP="00B42929">
            <w:pPr>
              <w:overflowPunct/>
              <w:autoSpaceDE/>
              <w:autoSpaceDN/>
              <w:adjustRightInd/>
              <w:jc w:val="right"/>
              <w:textAlignment w:val="auto"/>
              <w:rPr>
                <w:b/>
                <w:bCs/>
                <w:color w:val="000000"/>
                <w:sz w:val="12"/>
                <w:szCs w:val="12"/>
              </w:rPr>
            </w:pPr>
            <w:r w:rsidRPr="00B42929">
              <w:rPr>
                <w:b/>
                <w:bCs/>
                <w:color w:val="000000"/>
                <w:sz w:val="12"/>
                <w:szCs w:val="12"/>
              </w:rPr>
              <w:t> </w:t>
            </w:r>
          </w:p>
        </w:tc>
      </w:tr>
    </w:tbl>
    <w:p w14:paraId="137A7995" w14:textId="77777777" w:rsidR="00D72A63" w:rsidRDefault="00D72A63">
      <w:pPr>
        <w:rPr>
          <w:sz w:val="24"/>
          <w:szCs w:val="24"/>
        </w:rPr>
      </w:pPr>
    </w:p>
    <w:p w14:paraId="5C970B5D" w14:textId="77777777" w:rsidR="00D72A63" w:rsidRPr="00D93407" w:rsidRDefault="00D72A63">
      <w:pPr>
        <w:rPr>
          <w:sz w:val="24"/>
          <w:szCs w:val="24"/>
        </w:rPr>
      </w:pPr>
    </w:p>
    <w:p w14:paraId="2055031B" w14:textId="22810B80" w:rsidR="00852080" w:rsidRPr="00272900" w:rsidRDefault="00852080" w:rsidP="00852080">
      <w:pPr>
        <w:ind w:firstLine="720"/>
        <w:rPr>
          <w:b/>
          <w:sz w:val="24"/>
          <w:szCs w:val="24"/>
        </w:rPr>
      </w:pPr>
      <w:r w:rsidRPr="00272900">
        <w:rPr>
          <w:b/>
          <w:sz w:val="24"/>
          <w:szCs w:val="24"/>
        </w:rPr>
        <w:t>13.</w:t>
      </w:r>
      <w:r w:rsidRPr="00272900">
        <w:rPr>
          <w:b/>
          <w:sz w:val="24"/>
          <w:szCs w:val="24"/>
        </w:rPr>
        <w:tab/>
        <w:t>Costs to Respondents</w:t>
      </w:r>
    </w:p>
    <w:p w14:paraId="0F90D00C" w14:textId="77777777" w:rsidR="00577AA8" w:rsidRDefault="00577AA8" w:rsidP="00A02974">
      <w:pPr>
        <w:ind w:firstLine="720"/>
        <w:rPr>
          <w:sz w:val="24"/>
          <w:szCs w:val="24"/>
        </w:rPr>
      </w:pPr>
    </w:p>
    <w:p w14:paraId="710D640E" w14:textId="1C634D30" w:rsidR="00D114D6" w:rsidRDefault="00D000CD" w:rsidP="00D000CD">
      <w:pPr>
        <w:ind w:firstLine="720"/>
        <w:rPr>
          <w:sz w:val="24"/>
          <w:szCs w:val="24"/>
        </w:rPr>
      </w:pPr>
      <w:r>
        <w:rPr>
          <w:sz w:val="24"/>
          <w:szCs w:val="24"/>
        </w:rPr>
        <w:t>The Commission does not anticipate any external costs associated with Proposed Rules 303.4(f), 303.5, and 303.11.</w:t>
      </w:r>
    </w:p>
    <w:p w14:paraId="5D13EF02" w14:textId="77777777" w:rsidR="00D000CD" w:rsidRPr="00D93407" w:rsidRDefault="00D000CD">
      <w:pPr>
        <w:rPr>
          <w:sz w:val="24"/>
          <w:szCs w:val="24"/>
        </w:rPr>
      </w:pPr>
    </w:p>
    <w:p w14:paraId="710D640F" w14:textId="77777777" w:rsidR="00D114D6" w:rsidRPr="00272900" w:rsidRDefault="00D114D6">
      <w:pPr>
        <w:rPr>
          <w:b/>
          <w:sz w:val="24"/>
          <w:szCs w:val="24"/>
        </w:rPr>
      </w:pPr>
      <w:r w:rsidRPr="00D93407">
        <w:rPr>
          <w:sz w:val="24"/>
          <w:szCs w:val="24"/>
        </w:rPr>
        <w:tab/>
      </w:r>
      <w:r w:rsidRPr="00272900">
        <w:rPr>
          <w:b/>
          <w:sz w:val="24"/>
          <w:szCs w:val="24"/>
        </w:rPr>
        <w:t>14.</w:t>
      </w:r>
      <w:r w:rsidRPr="00272900">
        <w:rPr>
          <w:b/>
          <w:sz w:val="24"/>
          <w:szCs w:val="24"/>
        </w:rPr>
        <w:tab/>
        <w:t>Cost</w:t>
      </w:r>
      <w:r w:rsidR="00B46309" w:rsidRPr="00272900">
        <w:rPr>
          <w:b/>
          <w:sz w:val="24"/>
          <w:szCs w:val="24"/>
        </w:rPr>
        <w:t>s</w:t>
      </w:r>
      <w:r w:rsidRPr="00272900">
        <w:rPr>
          <w:b/>
          <w:sz w:val="24"/>
          <w:szCs w:val="24"/>
        </w:rPr>
        <w:t xml:space="preserve"> to Federal Government</w:t>
      </w:r>
    </w:p>
    <w:p w14:paraId="710D6410" w14:textId="77777777" w:rsidR="00D114D6" w:rsidRPr="00D93407" w:rsidRDefault="00D114D6">
      <w:pPr>
        <w:rPr>
          <w:sz w:val="24"/>
          <w:szCs w:val="24"/>
        </w:rPr>
      </w:pPr>
    </w:p>
    <w:p w14:paraId="710D6411" w14:textId="5D2304C3" w:rsidR="00D114D6" w:rsidRPr="00D93407" w:rsidRDefault="00D114D6">
      <w:pPr>
        <w:rPr>
          <w:sz w:val="24"/>
          <w:szCs w:val="24"/>
        </w:rPr>
      </w:pPr>
      <w:r w:rsidRPr="00D93407">
        <w:rPr>
          <w:sz w:val="24"/>
          <w:szCs w:val="24"/>
        </w:rPr>
        <w:tab/>
      </w:r>
      <w:r w:rsidR="00173656">
        <w:rPr>
          <w:sz w:val="24"/>
          <w:szCs w:val="24"/>
        </w:rPr>
        <w:t xml:space="preserve">The Commission does not anticipate any costs </w:t>
      </w:r>
      <w:r w:rsidR="00A32FEC">
        <w:rPr>
          <w:sz w:val="24"/>
          <w:szCs w:val="24"/>
        </w:rPr>
        <w:t>to</w:t>
      </w:r>
      <w:r w:rsidR="00173656">
        <w:rPr>
          <w:sz w:val="24"/>
          <w:szCs w:val="24"/>
        </w:rPr>
        <w:t xml:space="preserve"> the Federal Government as a result of </w:t>
      </w:r>
      <w:r w:rsidR="00173656" w:rsidRPr="00D93407">
        <w:rPr>
          <w:sz w:val="24"/>
          <w:szCs w:val="24"/>
        </w:rPr>
        <w:t>Proposed Rules 303.4(f), 303.5, and 303.11</w:t>
      </w:r>
      <w:r w:rsidR="00173656">
        <w:rPr>
          <w:sz w:val="24"/>
          <w:szCs w:val="24"/>
        </w:rPr>
        <w:t>.</w:t>
      </w:r>
    </w:p>
    <w:p w14:paraId="710D6412" w14:textId="77777777" w:rsidR="00D114D6" w:rsidRPr="00D93407" w:rsidRDefault="00D114D6">
      <w:pPr>
        <w:rPr>
          <w:sz w:val="24"/>
          <w:szCs w:val="24"/>
        </w:rPr>
      </w:pPr>
    </w:p>
    <w:p w14:paraId="710D6413" w14:textId="77777777" w:rsidR="00D114D6" w:rsidRPr="00272900" w:rsidRDefault="00D114D6">
      <w:pPr>
        <w:rPr>
          <w:b/>
          <w:sz w:val="24"/>
          <w:szCs w:val="24"/>
        </w:rPr>
      </w:pPr>
      <w:r w:rsidRPr="00272900">
        <w:rPr>
          <w:b/>
          <w:sz w:val="24"/>
          <w:szCs w:val="24"/>
        </w:rPr>
        <w:tab/>
        <w:t>15.</w:t>
      </w:r>
      <w:r w:rsidRPr="00272900">
        <w:rPr>
          <w:b/>
          <w:sz w:val="24"/>
          <w:szCs w:val="24"/>
        </w:rPr>
        <w:tab/>
        <w:t>Changes in Burden</w:t>
      </w:r>
    </w:p>
    <w:p w14:paraId="710D6414" w14:textId="77777777" w:rsidR="00D114D6" w:rsidRPr="00D93407" w:rsidRDefault="00D114D6">
      <w:pPr>
        <w:rPr>
          <w:sz w:val="24"/>
          <w:szCs w:val="24"/>
        </w:rPr>
      </w:pPr>
    </w:p>
    <w:p w14:paraId="710D6415" w14:textId="05A72ECA" w:rsidR="00D114D6" w:rsidRPr="00D93407" w:rsidRDefault="00D114D6">
      <w:pPr>
        <w:rPr>
          <w:sz w:val="24"/>
          <w:szCs w:val="24"/>
        </w:rPr>
      </w:pPr>
      <w:r w:rsidRPr="00D93407">
        <w:rPr>
          <w:sz w:val="24"/>
          <w:szCs w:val="24"/>
        </w:rPr>
        <w:tab/>
      </w:r>
      <w:r w:rsidR="00173656">
        <w:rPr>
          <w:sz w:val="24"/>
          <w:szCs w:val="24"/>
        </w:rPr>
        <w:t>Because this is an initial propos</w:t>
      </w:r>
      <w:r w:rsidR="00A32FEC">
        <w:rPr>
          <w:sz w:val="24"/>
          <w:szCs w:val="24"/>
        </w:rPr>
        <w:t>al</w:t>
      </w:r>
      <w:r w:rsidR="00173656">
        <w:rPr>
          <w:sz w:val="24"/>
          <w:szCs w:val="24"/>
        </w:rPr>
        <w:t xml:space="preserve">, the Commission does not have any changes in burden to report. </w:t>
      </w:r>
      <w:r w:rsidR="00775CBD" w:rsidRPr="00D93407">
        <w:rPr>
          <w:sz w:val="24"/>
          <w:szCs w:val="24"/>
        </w:rPr>
        <w:t xml:space="preserve"> </w:t>
      </w:r>
    </w:p>
    <w:p w14:paraId="710D6416" w14:textId="77777777" w:rsidR="00D114D6" w:rsidRPr="00D93407" w:rsidRDefault="00D114D6">
      <w:pPr>
        <w:rPr>
          <w:sz w:val="24"/>
          <w:szCs w:val="24"/>
        </w:rPr>
      </w:pPr>
    </w:p>
    <w:p w14:paraId="710D6417" w14:textId="77777777" w:rsidR="00D114D6" w:rsidRPr="00D93407" w:rsidRDefault="00D114D6">
      <w:pPr>
        <w:rPr>
          <w:sz w:val="24"/>
          <w:szCs w:val="24"/>
        </w:rPr>
      </w:pPr>
      <w:r w:rsidRPr="00D93407">
        <w:rPr>
          <w:sz w:val="24"/>
          <w:szCs w:val="24"/>
        </w:rPr>
        <w:lastRenderedPageBreak/>
        <w:tab/>
      </w:r>
      <w:r w:rsidRPr="00272900">
        <w:rPr>
          <w:b/>
          <w:sz w:val="24"/>
          <w:szCs w:val="24"/>
        </w:rPr>
        <w:t>16.</w:t>
      </w:r>
      <w:r w:rsidRPr="00272900">
        <w:rPr>
          <w:b/>
          <w:sz w:val="24"/>
          <w:szCs w:val="24"/>
        </w:rPr>
        <w:tab/>
        <w:t>Information Collection Planned for Statistical Purpose</w:t>
      </w:r>
      <w:r w:rsidR="00EA7610" w:rsidRPr="00D93407">
        <w:rPr>
          <w:sz w:val="24"/>
          <w:szCs w:val="24"/>
          <w:u w:val="single"/>
        </w:rPr>
        <w:t>s</w:t>
      </w:r>
    </w:p>
    <w:p w14:paraId="710D6418" w14:textId="77777777" w:rsidR="00D114D6" w:rsidRPr="00D93407" w:rsidRDefault="00D114D6">
      <w:pPr>
        <w:rPr>
          <w:sz w:val="24"/>
          <w:szCs w:val="24"/>
        </w:rPr>
      </w:pPr>
    </w:p>
    <w:p w14:paraId="710D6419" w14:textId="6ABC4305" w:rsidR="00D114D6" w:rsidRPr="00D93407" w:rsidRDefault="00D114D6">
      <w:pPr>
        <w:rPr>
          <w:sz w:val="24"/>
          <w:szCs w:val="24"/>
        </w:rPr>
      </w:pPr>
      <w:r w:rsidRPr="00D93407">
        <w:rPr>
          <w:sz w:val="24"/>
          <w:szCs w:val="24"/>
        </w:rPr>
        <w:tab/>
      </w:r>
      <w:r w:rsidR="00D7432F">
        <w:rPr>
          <w:sz w:val="24"/>
          <w:szCs w:val="24"/>
        </w:rPr>
        <w:t>The Commission will not use the</w:t>
      </w:r>
      <w:r w:rsidR="00112CCF" w:rsidRPr="00D93407">
        <w:rPr>
          <w:sz w:val="24"/>
          <w:szCs w:val="24"/>
        </w:rPr>
        <w:t xml:space="preserve"> information collect</w:t>
      </w:r>
      <w:r w:rsidR="00D7432F">
        <w:rPr>
          <w:sz w:val="24"/>
          <w:szCs w:val="24"/>
        </w:rPr>
        <w:t>ed</w:t>
      </w:r>
      <w:r w:rsidR="00112CCF" w:rsidRPr="00D93407">
        <w:rPr>
          <w:sz w:val="24"/>
          <w:szCs w:val="24"/>
        </w:rPr>
        <w:t xml:space="preserve"> for statistical purposes</w:t>
      </w:r>
      <w:r w:rsidRPr="00D93407">
        <w:rPr>
          <w:sz w:val="24"/>
          <w:szCs w:val="24"/>
        </w:rPr>
        <w:t>.</w:t>
      </w:r>
    </w:p>
    <w:p w14:paraId="710D641A" w14:textId="77777777" w:rsidR="00D114D6" w:rsidRPr="00D93407" w:rsidRDefault="00D114D6">
      <w:pPr>
        <w:rPr>
          <w:sz w:val="24"/>
          <w:szCs w:val="24"/>
        </w:rPr>
      </w:pPr>
    </w:p>
    <w:p w14:paraId="710D641B" w14:textId="77777777" w:rsidR="00D114D6" w:rsidRPr="00272900" w:rsidRDefault="00D114D6">
      <w:pPr>
        <w:rPr>
          <w:b/>
          <w:sz w:val="24"/>
          <w:szCs w:val="24"/>
        </w:rPr>
      </w:pPr>
      <w:r w:rsidRPr="00D93407">
        <w:rPr>
          <w:sz w:val="24"/>
          <w:szCs w:val="24"/>
        </w:rPr>
        <w:tab/>
      </w:r>
      <w:r w:rsidRPr="00272900">
        <w:rPr>
          <w:b/>
          <w:sz w:val="24"/>
          <w:szCs w:val="24"/>
        </w:rPr>
        <w:t>17.</w:t>
      </w:r>
      <w:r w:rsidRPr="00272900">
        <w:rPr>
          <w:b/>
          <w:sz w:val="24"/>
          <w:szCs w:val="24"/>
        </w:rPr>
        <w:tab/>
      </w:r>
      <w:r w:rsidR="00EA7610" w:rsidRPr="00272900">
        <w:rPr>
          <w:b/>
          <w:sz w:val="24"/>
          <w:szCs w:val="24"/>
        </w:rPr>
        <w:t>Approval to Omit OMB Expiration Date</w:t>
      </w:r>
    </w:p>
    <w:p w14:paraId="710D641C" w14:textId="77777777" w:rsidR="00D114D6" w:rsidRPr="00D93407" w:rsidRDefault="00D114D6">
      <w:pPr>
        <w:rPr>
          <w:sz w:val="24"/>
          <w:szCs w:val="24"/>
        </w:rPr>
      </w:pPr>
    </w:p>
    <w:p w14:paraId="710D641D" w14:textId="3232B25E" w:rsidR="00D114D6" w:rsidRPr="00D93407" w:rsidRDefault="00272900" w:rsidP="00272900">
      <w:pPr>
        <w:ind w:firstLine="720"/>
        <w:rPr>
          <w:sz w:val="24"/>
          <w:szCs w:val="24"/>
        </w:rPr>
      </w:pPr>
      <w:r w:rsidRPr="00272900">
        <w:rPr>
          <w:sz w:val="24"/>
          <w:szCs w:val="24"/>
        </w:rPr>
        <w:t>The Commission is not seeking approval to not display</w:t>
      </w:r>
      <w:r>
        <w:rPr>
          <w:sz w:val="24"/>
          <w:szCs w:val="24"/>
        </w:rPr>
        <w:t xml:space="preserve"> the OMB approval expiration </w:t>
      </w:r>
      <w:r w:rsidRPr="00272900">
        <w:rPr>
          <w:sz w:val="24"/>
          <w:szCs w:val="24"/>
        </w:rPr>
        <w:t>date</w:t>
      </w:r>
      <w:r>
        <w:rPr>
          <w:sz w:val="24"/>
          <w:szCs w:val="24"/>
        </w:rPr>
        <w:t>.</w:t>
      </w:r>
    </w:p>
    <w:p w14:paraId="710D641E" w14:textId="77777777" w:rsidR="00D114D6" w:rsidRPr="00D93407" w:rsidRDefault="00D114D6">
      <w:pPr>
        <w:rPr>
          <w:sz w:val="24"/>
          <w:szCs w:val="24"/>
        </w:rPr>
      </w:pPr>
    </w:p>
    <w:p w14:paraId="710D641F" w14:textId="77777777" w:rsidR="00D114D6" w:rsidRPr="00272900" w:rsidRDefault="00D114D6" w:rsidP="00112CCF">
      <w:pPr>
        <w:keepNext/>
        <w:rPr>
          <w:b/>
          <w:sz w:val="24"/>
          <w:szCs w:val="24"/>
        </w:rPr>
      </w:pPr>
      <w:r w:rsidRPr="00D93407">
        <w:rPr>
          <w:sz w:val="24"/>
          <w:szCs w:val="24"/>
        </w:rPr>
        <w:tab/>
      </w:r>
      <w:r w:rsidRPr="00272900">
        <w:rPr>
          <w:b/>
          <w:sz w:val="24"/>
          <w:szCs w:val="24"/>
        </w:rPr>
        <w:t>18.</w:t>
      </w:r>
      <w:r w:rsidRPr="00272900">
        <w:rPr>
          <w:b/>
          <w:sz w:val="24"/>
          <w:szCs w:val="24"/>
        </w:rPr>
        <w:tab/>
        <w:t>Exceptions to Certification</w:t>
      </w:r>
      <w:r w:rsidR="00EA7610" w:rsidRPr="00272900">
        <w:rPr>
          <w:b/>
          <w:sz w:val="24"/>
          <w:szCs w:val="24"/>
        </w:rPr>
        <w:t xml:space="preserve"> for Paperwork Reduction Act Submissions</w:t>
      </w:r>
    </w:p>
    <w:p w14:paraId="710D6420" w14:textId="77777777" w:rsidR="00D114D6" w:rsidRPr="00D93407" w:rsidRDefault="00D114D6" w:rsidP="00112CCF">
      <w:pPr>
        <w:keepNext/>
        <w:rPr>
          <w:sz w:val="24"/>
          <w:szCs w:val="24"/>
        </w:rPr>
      </w:pPr>
    </w:p>
    <w:p w14:paraId="710D6421" w14:textId="77777777" w:rsidR="00D114D6" w:rsidRPr="00D93407" w:rsidRDefault="00D114D6" w:rsidP="00112CCF">
      <w:pPr>
        <w:keepNext/>
        <w:rPr>
          <w:sz w:val="24"/>
          <w:szCs w:val="24"/>
        </w:rPr>
      </w:pPr>
      <w:r w:rsidRPr="00D93407">
        <w:rPr>
          <w:sz w:val="24"/>
          <w:szCs w:val="24"/>
        </w:rPr>
        <w:tab/>
      </w:r>
      <w:r w:rsidR="00775CBD" w:rsidRPr="00D93407">
        <w:rPr>
          <w:sz w:val="24"/>
          <w:szCs w:val="24"/>
        </w:rPr>
        <w:t>This collection complies with the requirements in 5 CFR 1320.9.</w:t>
      </w:r>
    </w:p>
    <w:p w14:paraId="710D6422" w14:textId="77777777" w:rsidR="00D114D6" w:rsidRPr="00D93407" w:rsidRDefault="00D114D6">
      <w:pPr>
        <w:rPr>
          <w:sz w:val="24"/>
          <w:szCs w:val="24"/>
        </w:rPr>
      </w:pPr>
    </w:p>
    <w:p w14:paraId="710D6423" w14:textId="77777777" w:rsidR="00D114D6" w:rsidRPr="00272900" w:rsidRDefault="00D114D6">
      <w:pPr>
        <w:rPr>
          <w:b/>
          <w:sz w:val="24"/>
          <w:szCs w:val="24"/>
        </w:rPr>
      </w:pPr>
      <w:r w:rsidRPr="00272900">
        <w:rPr>
          <w:b/>
          <w:sz w:val="24"/>
          <w:szCs w:val="24"/>
        </w:rPr>
        <w:t>B.</w:t>
      </w:r>
      <w:r w:rsidRPr="00272900">
        <w:rPr>
          <w:b/>
          <w:sz w:val="24"/>
          <w:szCs w:val="24"/>
        </w:rPr>
        <w:tab/>
        <w:t>Collection of Information Employing Statistical Methods.</w:t>
      </w:r>
    </w:p>
    <w:p w14:paraId="710D6424" w14:textId="77777777" w:rsidR="00D114D6" w:rsidRPr="00D93407" w:rsidRDefault="00D114D6">
      <w:pPr>
        <w:rPr>
          <w:sz w:val="24"/>
          <w:szCs w:val="24"/>
        </w:rPr>
      </w:pPr>
    </w:p>
    <w:p w14:paraId="710D6425" w14:textId="77777777" w:rsidR="00D114D6" w:rsidRPr="00D93407" w:rsidRDefault="00D114D6">
      <w:pPr>
        <w:rPr>
          <w:sz w:val="24"/>
          <w:szCs w:val="24"/>
        </w:rPr>
      </w:pPr>
      <w:r w:rsidRPr="00D93407">
        <w:rPr>
          <w:sz w:val="24"/>
          <w:szCs w:val="24"/>
        </w:rPr>
        <w:tab/>
      </w:r>
      <w:r w:rsidR="00112CCF" w:rsidRPr="00D93407">
        <w:rPr>
          <w:sz w:val="24"/>
          <w:szCs w:val="24"/>
        </w:rPr>
        <w:t xml:space="preserve">This collection does not involve </w:t>
      </w:r>
      <w:r w:rsidRPr="00D93407">
        <w:rPr>
          <w:sz w:val="24"/>
          <w:szCs w:val="24"/>
        </w:rPr>
        <w:t>statistical methods.</w:t>
      </w:r>
    </w:p>
    <w:sectPr w:rsidR="00D114D6" w:rsidRPr="00D93407" w:rsidSect="00CE71B9">
      <w:headerReference w:type="even" r:id="rId12"/>
      <w:footerReference w:type="even" r:id="rId13"/>
      <w:footerReference w:type="default" r:id="rId14"/>
      <w:pgSz w:w="12240" w:h="15840"/>
      <w:pgMar w:top="990" w:right="1800" w:bottom="117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F702F" w14:textId="77777777" w:rsidR="00BE28C9" w:rsidRDefault="00BE28C9">
      <w:r>
        <w:separator/>
      </w:r>
    </w:p>
  </w:endnote>
  <w:endnote w:type="continuationSeparator" w:id="0">
    <w:p w14:paraId="1265A7D5" w14:textId="77777777" w:rsidR="00BE28C9" w:rsidRDefault="00BE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D642C" w14:textId="77777777" w:rsidR="00BE28C9" w:rsidRDefault="00BE28C9" w:rsidP="00BC75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0D642D" w14:textId="77777777" w:rsidR="00BE28C9" w:rsidRDefault="00BE2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D642E" w14:textId="77777777" w:rsidR="00BE28C9" w:rsidRPr="00824E77" w:rsidRDefault="00BE28C9" w:rsidP="00BC7589">
    <w:pPr>
      <w:pStyle w:val="Footer"/>
      <w:framePr w:wrap="around" w:vAnchor="text" w:hAnchor="margin" w:xAlign="center" w:y="1"/>
      <w:rPr>
        <w:rStyle w:val="PageNumber"/>
        <w:sz w:val="24"/>
        <w:szCs w:val="24"/>
      </w:rPr>
    </w:pPr>
    <w:r w:rsidRPr="00824E77">
      <w:rPr>
        <w:rStyle w:val="PageNumber"/>
        <w:sz w:val="24"/>
        <w:szCs w:val="24"/>
      </w:rPr>
      <w:fldChar w:fldCharType="begin"/>
    </w:r>
    <w:r w:rsidRPr="00824E77">
      <w:rPr>
        <w:rStyle w:val="PageNumber"/>
        <w:sz w:val="24"/>
        <w:szCs w:val="24"/>
      </w:rPr>
      <w:instrText xml:space="preserve">PAGE  </w:instrText>
    </w:r>
    <w:r w:rsidRPr="00824E77">
      <w:rPr>
        <w:rStyle w:val="PageNumber"/>
        <w:sz w:val="24"/>
        <w:szCs w:val="24"/>
      </w:rPr>
      <w:fldChar w:fldCharType="separate"/>
    </w:r>
    <w:r w:rsidR="00EC3A52">
      <w:rPr>
        <w:rStyle w:val="PageNumber"/>
        <w:noProof/>
        <w:sz w:val="24"/>
        <w:szCs w:val="24"/>
      </w:rPr>
      <w:t>7</w:t>
    </w:r>
    <w:r w:rsidRPr="00824E77">
      <w:rPr>
        <w:rStyle w:val="PageNumber"/>
        <w:sz w:val="24"/>
        <w:szCs w:val="24"/>
      </w:rPr>
      <w:fldChar w:fldCharType="end"/>
    </w:r>
  </w:p>
  <w:p w14:paraId="710D642F" w14:textId="77777777" w:rsidR="00BE28C9" w:rsidRDefault="00BE2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0FBFA" w14:textId="77777777" w:rsidR="00BE28C9" w:rsidRDefault="00BE28C9">
      <w:r>
        <w:separator/>
      </w:r>
    </w:p>
  </w:footnote>
  <w:footnote w:type="continuationSeparator" w:id="0">
    <w:p w14:paraId="5729EBEE" w14:textId="77777777" w:rsidR="00BE28C9" w:rsidRDefault="00BE28C9">
      <w:r>
        <w:continuationSeparator/>
      </w:r>
    </w:p>
  </w:footnote>
  <w:footnote w:id="1">
    <w:p w14:paraId="5A640325" w14:textId="7EE19E8D" w:rsidR="00BE28C9" w:rsidRPr="00EC683A" w:rsidRDefault="00BE28C9" w:rsidP="00127874">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Pub. L. 111-203, 124 Stat. 1376 (2010)</w:t>
      </w:r>
      <w:r w:rsidR="002701C0" w:rsidRPr="00EC683A">
        <w:rPr>
          <w:sz w:val="24"/>
          <w:szCs w:val="24"/>
        </w:rPr>
        <w:t>.</w:t>
      </w:r>
    </w:p>
  </w:footnote>
  <w:footnote w:id="2">
    <w:p w14:paraId="5E2460AE" w14:textId="4E6D17D4" w:rsidR="00205333" w:rsidRPr="00EC683A" w:rsidRDefault="00205333" w:rsidP="00205333">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r>
      <w:r>
        <w:rPr>
          <w:sz w:val="24"/>
          <w:szCs w:val="24"/>
          <w:u w:val="single"/>
        </w:rPr>
        <w:t>See</w:t>
      </w:r>
      <w:r>
        <w:rPr>
          <w:sz w:val="24"/>
          <w:szCs w:val="24"/>
        </w:rPr>
        <w:t xml:space="preserve"> Securities Exchange Act Release No. 77776 (May 6, 2016), 81 FR 37669 (June 10, 2016)</w:t>
      </w:r>
      <w:r w:rsidRPr="00EC683A">
        <w:rPr>
          <w:sz w:val="24"/>
          <w:szCs w:val="24"/>
        </w:rPr>
        <w:t>.</w:t>
      </w:r>
    </w:p>
  </w:footnote>
  <w:footnote w:id="3">
    <w:p w14:paraId="26FAA666" w14:textId="0BE17B02" w:rsidR="002927F4" w:rsidRPr="00EC683A" w:rsidRDefault="002927F4" w:rsidP="004F30DC">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004F30DC" w:rsidRPr="00EC683A">
        <w:rPr>
          <w:sz w:val="24"/>
          <w:szCs w:val="24"/>
        </w:rPr>
        <w:tab/>
      </w:r>
      <w:r w:rsidR="00D72C3A">
        <w:rPr>
          <w:sz w:val="24"/>
          <w:szCs w:val="24"/>
        </w:rPr>
        <w:t>Incentive-Based Compensation Arrangements, Release No. 34-77776 (May 6, 2016), 81 FR 37670 (June 10, 2016).</w:t>
      </w:r>
      <w:r w:rsidRPr="00EC683A">
        <w:rPr>
          <w:sz w:val="24"/>
          <w:szCs w:val="24"/>
        </w:rPr>
        <w:t xml:space="preserve"> </w:t>
      </w:r>
      <w:r w:rsidR="00D72C3A">
        <w:rPr>
          <w:sz w:val="24"/>
          <w:szCs w:val="24"/>
        </w:rPr>
        <w:t xml:space="preserve"> </w:t>
      </w:r>
      <w:r w:rsidRPr="00EC683A">
        <w:rPr>
          <w:sz w:val="24"/>
          <w:szCs w:val="24"/>
        </w:rPr>
        <w:t xml:space="preserve">Public comments on the release are available here: </w:t>
      </w:r>
      <w:hyperlink r:id="rId1" w:history="1">
        <w:r w:rsidRPr="00EC683A">
          <w:rPr>
            <w:rStyle w:val="Hyperlink"/>
            <w:sz w:val="24"/>
            <w:szCs w:val="24"/>
          </w:rPr>
          <w:t>https://www.sec.gov/comments/s7-07-16/s70716.htm</w:t>
        </w:r>
      </w:hyperlink>
      <w:r w:rsidRPr="00EC683A">
        <w:rPr>
          <w:sz w:val="24"/>
          <w:szCs w:val="24"/>
        </w:rPr>
        <w:t xml:space="preserve">. </w:t>
      </w:r>
    </w:p>
  </w:footnote>
  <w:footnote w:id="4">
    <w:p w14:paraId="5CB6D74B" w14:textId="77777777" w:rsidR="00BE28C9" w:rsidRPr="00EC683A" w:rsidRDefault="00BE28C9" w:rsidP="00D000CD">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The term “Personally Identifiable Information” refers to information which can be used to distinguish or trace an individual’s identity, such as their name, social security number, biometric records, etc. alone, or when combined with other personal or identifying information that is linked or linkable to a specific individual, such as date and place of birth, mother’s maiden name, etc.</w:t>
      </w:r>
    </w:p>
  </w:footnote>
  <w:footnote w:id="5">
    <w:p w14:paraId="4215AEB1" w14:textId="7015B06E" w:rsidR="00BE28C9" w:rsidRPr="00EC683A" w:rsidRDefault="00BE28C9" w:rsidP="00D000CD">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40 hour initial recordkeeping burden x 806 Covered Institutions = 32,240.</w:t>
      </w:r>
    </w:p>
  </w:footnote>
  <w:footnote w:id="6">
    <w:p w14:paraId="008565AD" w14:textId="65FC64C1" w:rsidR="00BE28C9" w:rsidRPr="00EC683A" w:rsidRDefault="00BE28C9" w:rsidP="00D000CD">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20 hour annual recordkeeping burden x 806 Covered Institutions = 16,120.</w:t>
      </w:r>
    </w:p>
  </w:footnote>
  <w:footnote w:id="7">
    <w:p w14:paraId="36091BB6" w14:textId="180D7EAC" w:rsidR="00EC683A" w:rsidRPr="00EC683A" w:rsidRDefault="00EC683A" w:rsidP="00EC683A">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32,240 hour initial burden + 16,120 hour ongoing burden in year 1 + 16,120 hour ongoing burden in year 2 + 16,120 hour ongoing burden in year 3 = 80,600 hours.</w:t>
      </w:r>
    </w:p>
  </w:footnote>
  <w:footnote w:id="8">
    <w:p w14:paraId="064FF2B8" w14:textId="16F40049" w:rsidR="00EC683A" w:rsidRPr="00EC683A" w:rsidRDefault="00EC683A" w:rsidP="00EC683A">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80,600 hours / 3 years = 26,866.66666666666667.</w:t>
      </w:r>
    </w:p>
  </w:footnote>
  <w:footnote w:id="9">
    <w:p w14:paraId="28262C98" w14:textId="60A80702" w:rsidR="00BE28C9" w:rsidRPr="00EC683A" w:rsidRDefault="00BE28C9" w:rsidP="00D000CD">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20 hour initial recordkeeping burden x 94 Level 1 and Level 2 Covered Institutions = 1,880.</w:t>
      </w:r>
    </w:p>
  </w:footnote>
  <w:footnote w:id="10">
    <w:p w14:paraId="317FDBFD" w14:textId="2921AF52" w:rsidR="00BE28C9" w:rsidRPr="00EC683A" w:rsidRDefault="00BE28C9" w:rsidP="00D000CD">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10 hour annual recordkeeping burden x 94 Level 1 and Level 2 Covered Institutions = 940.</w:t>
      </w:r>
    </w:p>
  </w:footnote>
  <w:footnote w:id="11">
    <w:p w14:paraId="1D06E313" w14:textId="5B51263B" w:rsidR="00EC683A" w:rsidRPr="00EC683A" w:rsidRDefault="00EC683A" w:rsidP="00EC683A">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1,880 hour initial burden + 940 hour ongoing burden in year 1 + 940 hour ongoing burden in year 2 + 940 hour ongoing burden in year 3 = 4,700 hours.</w:t>
      </w:r>
    </w:p>
  </w:footnote>
  <w:footnote w:id="12">
    <w:p w14:paraId="2C4209D3" w14:textId="55EDDA9C" w:rsidR="00EC683A" w:rsidRPr="00EC683A" w:rsidRDefault="00EC683A" w:rsidP="00EC683A">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4,700 hours / 3 years = 1,566.66666666666667.</w:t>
      </w:r>
    </w:p>
  </w:footnote>
  <w:footnote w:id="13">
    <w:p w14:paraId="6E22FF60" w14:textId="0C4F9D3B" w:rsidR="00BE28C9" w:rsidRPr="00EC683A" w:rsidRDefault="00BE28C9" w:rsidP="00D000CD">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20 hour initial recordkeeping burden x 94 Level 1 and Level 2 Covered Institutions = 1,880.</w:t>
      </w:r>
    </w:p>
  </w:footnote>
  <w:footnote w:id="14">
    <w:p w14:paraId="53066413" w14:textId="654F9C00" w:rsidR="00BE28C9" w:rsidRPr="00EC683A" w:rsidRDefault="00BE28C9" w:rsidP="00D000CD">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10 hour annual recordkeeping burden x 94 Level 1 and Level 2 Covered Institutions = 940.</w:t>
      </w:r>
    </w:p>
  </w:footnote>
  <w:footnote w:id="15">
    <w:p w14:paraId="5F8A2584" w14:textId="77777777" w:rsidR="00EC683A" w:rsidRPr="00EC683A" w:rsidRDefault="00EC683A" w:rsidP="00EC683A">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1,880 hour initial burden + 940 hour ongoing burden in year 1 + 940 hour ongoing burden in year 2 + 940 hour ongoing burden in year 3 = 4,700 hours.</w:t>
      </w:r>
    </w:p>
  </w:footnote>
  <w:footnote w:id="16">
    <w:p w14:paraId="51CE3329" w14:textId="77777777" w:rsidR="00EC683A" w:rsidRPr="00EC683A" w:rsidRDefault="00EC683A" w:rsidP="00EC683A">
      <w:pPr>
        <w:pStyle w:val="FootnoteText"/>
        <w:spacing w:after="120"/>
        <w:ind w:left="720" w:hanging="720"/>
        <w:rPr>
          <w:sz w:val="24"/>
          <w:szCs w:val="24"/>
        </w:rPr>
      </w:pPr>
      <w:r w:rsidRPr="00EC683A">
        <w:rPr>
          <w:rStyle w:val="FootnoteReference"/>
          <w:sz w:val="24"/>
          <w:szCs w:val="24"/>
        </w:rPr>
        <w:footnoteRef/>
      </w:r>
      <w:r w:rsidRPr="00EC683A">
        <w:rPr>
          <w:sz w:val="24"/>
          <w:szCs w:val="24"/>
        </w:rPr>
        <w:t xml:space="preserve"> </w:t>
      </w:r>
      <w:r w:rsidRPr="00EC683A">
        <w:rPr>
          <w:sz w:val="24"/>
          <w:szCs w:val="24"/>
        </w:rPr>
        <w:tab/>
        <w:t>4,700 hours / 3 years = 1,566.66666666666667.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D642A" w14:textId="77777777" w:rsidR="00BE28C9" w:rsidRDefault="00BE28C9" w:rsidP="00B945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0D642B" w14:textId="77777777" w:rsidR="00BE28C9" w:rsidRDefault="00BE2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B7"/>
    <w:rsid w:val="000357B8"/>
    <w:rsid w:val="00037FB1"/>
    <w:rsid w:val="0009041E"/>
    <w:rsid w:val="00112049"/>
    <w:rsid w:val="00112CCF"/>
    <w:rsid w:val="00125E57"/>
    <w:rsid w:val="00126CDB"/>
    <w:rsid w:val="00127874"/>
    <w:rsid w:val="001332FA"/>
    <w:rsid w:val="00173656"/>
    <w:rsid w:val="00202326"/>
    <w:rsid w:val="00205333"/>
    <w:rsid w:val="00214ED5"/>
    <w:rsid w:val="0022114B"/>
    <w:rsid w:val="00233AB5"/>
    <w:rsid w:val="00250274"/>
    <w:rsid w:val="002701C0"/>
    <w:rsid w:val="00272900"/>
    <w:rsid w:val="00291A7E"/>
    <w:rsid w:val="002927F4"/>
    <w:rsid w:val="002B1F23"/>
    <w:rsid w:val="002B563B"/>
    <w:rsid w:val="002F09BA"/>
    <w:rsid w:val="0036359F"/>
    <w:rsid w:val="003A07EE"/>
    <w:rsid w:val="003B2860"/>
    <w:rsid w:val="003D2CEC"/>
    <w:rsid w:val="003D7DE3"/>
    <w:rsid w:val="003E074E"/>
    <w:rsid w:val="004225CF"/>
    <w:rsid w:val="004903E6"/>
    <w:rsid w:val="004945A7"/>
    <w:rsid w:val="004C1935"/>
    <w:rsid w:val="004E4208"/>
    <w:rsid w:val="004F30DC"/>
    <w:rsid w:val="005007FC"/>
    <w:rsid w:val="00534FBB"/>
    <w:rsid w:val="0055311A"/>
    <w:rsid w:val="00573FAB"/>
    <w:rsid w:val="00577AA8"/>
    <w:rsid w:val="00577E84"/>
    <w:rsid w:val="005F1513"/>
    <w:rsid w:val="00602072"/>
    <w:rsid w:val="00666C15"/>
    <w:rsid w:val="00682B58"/>
    <w:rsid w:val="006B77B5"/>
    <w:rsid w:val="00703C7C"/>
    <w:rsid w:val="007212B7"/>
    <w:rsid w:val="00741F48"/>
    <w:rsid w:val="00756C1C"/>
    <w:rsid w:val="00775CBD"/>
    <w:rsid w:val="007839FF"/>
    <w:rsid w:val="007A1E09"/>
    <w:rsid w:val="007B7B6B"/>
    <w:rsid w:val="007E70F9"/>
    <w:rsid w:val="00820F2C"/>
    <w:rsid w:val="00824E77"/>
    <w:rsid w:val="00850843"/>
    <w:rsid w:val="00852080"/>
    <w:rsid w:val="00882D3A"/>
    <w:rsid w:val="008E4CCE"/>
    <w:rsid w:val="00900A3A"/>
    <w:rsid w:val="00913726"/>
    <w:rsid w:val="0094126E"/>
    <w:rsid w:val="00963A67"/>
    <w:rsid w:val="009A463B"/>
    <w:rsid w:val="009F73D9"/>
    <w:rsid w:val="00A02974"/>
    <w:rsid w:val="00A32FEC"/>
    <w:rsid w:val="00A471EF"/>
    <w:rsid w:val="00A50D03"/>
    <w:rsid w:val="00A51029"/>
    <w:rsid w:val="00A75ED3"/>
    <w:rsid w:val="00A81D3E"/>
    <w:rsid w:val="00A83570"/>
    <w:rsid w:val="00A94B88"/>
    <w:rsid w:val="00AB6C91"/>
    <w:rsid w:val="00AC57C2"/>
    <w:rsid w:val="00AD7CD8"/>
    <w:rsid w:val="00AE5F8E"/>
    <w:rsid w:val="00B13709"/>
    <w:rsid w:val="00B22959"/>
    <w:rsid w:val="00B27E55"/>
    <w:rsid w:val="00B3656B"/>
    <w:rsid w:val="00B42929"/>
    <w:rsid w:val="00B46309"/>
    <w:rsid w:val="00B53B3E"/>
    <w:rsid w:val="00B73BF2"/>
    <w:rsid w:val="00B82854"/>
    <w:rsid w:val="00B84626"/>
    <w:rsid w:val="00B9459F"/>
    <w:rsid w:val="00BA7608"/>
    <w:rsid w:val="00BB5575"/>
    <w:rsid w:val="00BC0EA8"/>
    <w:rsid w:val="00BC7589"/>
    <w:rsid w:val="00BD3DDB"/>
    <w:rsid w:val="00BE28C9"/>
    <w:rsid w:val="00BE7065"/>
    <w:rsid w:val="00BE7197"/>
    <w:rsid w:val="00C54F8C"/>
    <w:rsid w:val="00C76D3F"/>
    <w:rsid w:val="00CE71B9"/>
    <w:rsid w:val="00CF748E"/>
    <w:rsid w:val="00D000CD"/>
    <w:rsid w:val="00D059F1"/>
    <w:rsid w:val="00D114D6"/>
    <w:rsid w:val="00D21F03"/>
    <w:rsid w:val="00D45EA9"/>
    <w:rsid w:val="00D72A63"/>
    <w:rsid w:val="00D72C3A"/>
    <w:rsid w:val="00D72CA6"/>
    <w:rsid w:val="00D7432F"/>
    <w:rsid w:val="00D8246F"/>
    <w:rsid w:val="00D93407"/>
    <w:rsid w:val="00DE6E1E"/>
    <w:rsid w:val="00E2210D"/>
    <w:rsid w:val="00E64FB5"/>
    <w:rsid w:val="00E7118D"/>
    <w:rsid w:val="00EA6A5E"/>
    <w:rsid w:val="00EA7610"/>
    <w:rsid w:val="00EC0374"/>
    <w:rsid w:val="00EC3A52"/>
    <w:rsid w:val="00EC3F84"/>
    <w:rsid w:val="00EC683A"/>
    <w:rsid w:val="00EE7FE3"/>
    <w:rsid w:val="00F23614"/>
    <w:rsid w:val="00F904DA"/>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10D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u w:val="single"/>
    </w:rPr>
  </w:style>
  <w:style w:type="paragraph" w:styleId="Footer">
    <w:name w:val="footer"/>
    <w:basedOn w:val="Normal"/>
    <w:rsid w:val="00D21F03"/>
    <w:pPr>
      <w:tabs>
        <w:tab w:val="center" w:pos="4320"/>
        <w:tab w:val="right" w:pos="8640"/>
      </w:tabs>
    </w:pPr>
  </w:style>
  <w:style w:type="character" w:styleId="PageNumber">
    <w:name w:val="page number"/>
    <w:basedOn w:val="DefaultParagraphFont"/>
    <w:rsid w:val="00D21F03"/>
  </w:style>
  <w:style w:type="paragraph" w:styleId="Header">
    <w:name w:val="header"/>
    <w:basedOn w:val="Normal"/>
    <w:rsid w:val="00D72CA6"/>
    <w:pPr>
      <w:tabs>
        <w:tab w:val="center" w:pos="4320"/>
        <w:tab w:val="right" w:pos="8640"/>
      </w:tabs>
    </w:pPr>
  </w:style>
  <w:style w:type="paragraph" w:styleId="BalloonText">
    <w:name w:val="Balloon Text"/>
    <w:basedOn w:val="Normal"/>
    <w:link w:val="BalloonTextChar"/>
    <w:rsid w:val="00112CCF"/>
    <w:rPr>
      <w:rFonts w:ascii="Tahoma" w:hAnsi="Tahoma" w:cs="Tahoma"/>
      <w:sz w:val="16"/>
      <w:szCs w:val="16"/>
    </w:rPr>
  </w:style>
  <w:style w:type="character" w:customStyle="1" w:styleId="BalloonTextChar">
    <w:name w:val="Balloon Text Char"/>
    <w:basedOn w:val="DefaultParagraphFont"/>
    <w:link w:val="BalloonText"/>
    <w:rsid w:val="00112CCF"/>
    <w:rPr>
      <w:rFonts w:ascii="Tahoma" w:hAnsi="Tahoma" w:cs="Tahoma"/>
      <w:sz w:val="16"/>
      <w:szCs w:val="16"/>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locked/>
    <w:rsid w:val="00850843"/>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
    <w:basedOn w:val="Normal"/>
    <w:link w:val="FootnoteTextChar"/>
    <w:uiPriority w:val="99"/>
    <w:unhideWhenUsed/>
    <w:qFormat/>
    <w:rsid w:val="00850843"/>
    <w:pPr>
      <w:overflowPunct/>
      <w:autoSpaceDE/>
      <w:autoSpaceDN/>
      <w:adjustRightInd/>
      <w:textAlignment w:val="auto"/>
    </w:pPr>
  </w:style>
  <w:style w:type="character" w:customStyle="1" w:styleId="FootnoteTextChar1">
    <w:name w:val="Footnote Text Char1"/>
    <w:basedOn w:val="DefaultParagraphFont"/>
    <w:rsid w:val="00850843"/>
  </w:style>
  <w:style w:type="character" w:styleId="FootnoteReference">
    <w:name w:val="footnote reference"/>
    <w:aliases w:val="Style 19,Style 16,fr,Style 35,Footnote Reference Superscript,SUPERS,BVI fnr,Footnote symbol,Footnote,(Footnote Reference),Footnote reference number,note TESI,EN Footnote Reference,Voetnootverwijzing,Times 10 Point,Exposant 3 Point,12"/>
    <w:basedOn w:val="DefaultParagraphFont"/>
    <w:uiPriority w:val="99"/>
    <w:unhideWhenUsed/>
    <w:qFormat/>
    <w:rsid w:val="00850843"/>
    <w:rPr>
      <w:vertAlign w:val="superscript"/>
    </w:rPr>
  </w:style>
  <w:style w:type="paragraph" w:customStyle="1" w:styleId="Default">
    <w:name w:val="Default"/>
    <w:rsid w:val="00B13709"/>
    <w:pPr>
      <w:autoSpaceDE w:val="0"/>
      <w:autoSpaceDN w:val="0"/>
      <w:adjustRightInd w:val="0"/>
    </w:pPr>
    <w:rPr>
      <w:color w:val="000000"/>
      <w:sz w:val="24"/>
      <w:szCs w:val="24"/>
    </w:rPr>
  </w:style>
  <w:style w:type="character" w:styleId="Hyperlink">
    <w:name w:val="Hyperlink"/>
    <w:basedOn w:val="DefaultParagraphFont"/>
    <w:rsid w:val="00125E57"/>
    <w:rPr>
      <w:color w:val="0000FF" w:themeColor="hyperlink"/>
      <w:u w:val="single"/>
    </w:rPr>
  </w:style>
  <w:style w:type="table" w:styleId="TableGrid">
    <w:name w:val="Table Grid"/>
    <w:basedOn w:val="TableNormal"/>
    <w:uiPriority w:val="59"/>
    <w:rsid w:val="00D0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471EF"/>
    <w:rPr>
      <w:sz w:val="16"/>
      <w:szCs w:val="16"/>
    </w:rPr>
  </w:style>
  <w:style w:type="paragraph" w:styleId="CommentText">
    <w:name w:val="annotation text"/>
    <w:basedOn w:val="Normal"/>
    <w:link w:val="CommentTextChar"/>
    <w:rsid w:val="00A471EF"/>
  </w:style>
  <w:style w:type="character" w:customStyle="1" w:styleId="CommentTextChar">
    <w:name w:val="Comment Text Char"/>
    <w:basedOn w:val="DefaultParagraphFont"/>
    <w:link w:val="CommentText"/>
    <w:rsid w:val="00A471EF"/>
  </w:style>
  <w:style w:type="paragraph" w:styleId="CommentSubject">
    <w:name w:val="annotation subject"/>
    <w:basedOn w:val="CommentText"/>
    <w:next w:val="CommentText"/>
    <w:link w:val="CommentSubjectChar"/>
    <w:rsid w:val="00A471EF"/>
    <w:rPr>
      <w:b/>
      <w:bCs/>
    </w:rPr>
  </w:style>
  <w:style w:type="character" w:customStyle="1" w:styleId="CommentSubjectChar">
    <w:name w:val="Comment Subject Char"/>
    <w:basedOn w:val="CommentTextChar"/>
    <w:link w:val="CommentSubject"/>
    <w:rsid w:val="00A471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u w:val="single"/>
    </w:rPr>
  </w:style>
  <w:style w:type="paragraph" w:styleId="Footer">
    <w:name w:val="footer"/>
    <w:basedOn w:val="Normal"/>
    <w:rsid w:val="00D21F03"/>
    <w:pPr>
      <w:tabs>
        <w:tab w:val="center" w:pos="4320"/>
        <w:tab w:val="right" w:pos="8640"/>
      </w:tabs>
    </w:pPr>
  </w:style>
  <w:style w:type="character" w:styleId="PageNumber">
    <w:name w:val="page number"/>
    <w:basedOn w:val="DefaultParagraphFont"/>
    <w:rsid w:val="00D21F03"/>
  </w:style>
  <w:style w:type="paragraph" w:styleId="Header">
    <w:name w:val="header"/>
    <w:basedOn w:val="Normal"/>
    <w:rsid w:val="00D72CA6"/>
    <w:pPr>
      <w:tabs>
        <w:tab w:val="center" w:pos="4320"/>
        <w:tab w:val="right" w:pos="8640"/>
      </w:tabs>
    </w:pPr>
  </w:style>
  <w:style w:type="paragraph" w:styleId="BalloonText">
    <w:name w:val="Balloon Text"/>
    <w:basedOn w:val="Normal"/>
    <w:link w:val="BalloonTextChar"/>
    <w:rsid w:val="00112CCF"/>
    <w:rPr>
      <w:rFonts w:ascii="Tahoma" w:hAnsi="Tahoma" w:cs="Tahoma"/>
      <w:sz w:val="16"/>
      <w:szCs w:val="16"/>
    </w:rPr>
  </w:style>
  <w:style w:type="character" w:customStyle="1" w:styleId="BalloonTextChar">
    <w:name w:val="Balloon Text Char"/>
    <w:basedOn w:val="DefaultParagraphFont"/>
    <w:link w:val="BalloonText"/>
    <w:rsid w:val="00112CCF"/>
    <w:rPr>
      <w:rFonts w:ascii="Tahoma" w:hAnsi="Tahoma" w:cs="Tahoma"/>
      <w:sz w:val="16"/>
      <w:szCs w:val="16"/>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locked/>
    <w:rsid w:val="00850843"/>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
    <w:basedOn w:val="Normal"/>
    <w:link w:val="FootnoteTextChar"/>
    <w:uiPriority w:val="99"/>
    <w:unhideWhenUsed/>
    <w:qFormat/>
    <w:rsid w:val="00850843"/>
    <w:pPr>
      <w:overflowPunct/>
      <w:autoSpaceDE/>
      <w:autoSpaceDN/>
      <w:adjustRightInd/>
      <w:textAlignment w:val="auto"/>
    </w:pPr>
  </w:style>
  <w:style w:type="character" w:customStyle="1" w:styleId="FootnoteTextChar1">
    <w:name w:val="Footnote Text Char1"/>
    <w:basedOn w:val="DefaultParagraphFont"/>
    <w:rsid w:val="00850843"/>
  </w:style>
  <w:style w:type="character" w:styleId="FootnoteReference">
    <w:name w:val="footnote reference"/>
    <w:aliases w:val="Style 19,Style 16,fr,Style 35,Footnote Reference Superscript,SUPERS,BVI fnr,Footnote symbol,Footnote,(Footnote Reference),Footnote reference number,note TESI,EN Footnote Reference,Voetnootverwijzing,Times 10 Point,Exposant 3 Point,12"/>
    <w:basedOn w:val="DefaultParagraphFont"/>
    <w:uiPriority w:val="99"/>
    <w:unhideWhenUsed/>
    <w:qFormat/>
    <w:rsid w:val="00850843"/>
    <w:rPr>
      <w:vertAlign w:val="superscript"/>
    </w:rPr>
  </w:style>
  <w:style w:type="paragraph" w:customStyle="1" w:styleId="Default">
    <w:name w:val="Default"/>
    <w:rsid w:val="00B13709"/>
    <w:pPr>
      <w:autoSpaceDE w:val="0"/>
      <w:autoSpaceDN w:val="0"/>
      <w:adjustRightInd w:val="0"/>
    </w:pPr>
    <w:rPr>
      <w:color w:val="000000"/>
      <w:sz w:val="24"/>
      <w:szCs w:val="24"/>
    </w:rPr>
  </w:style>
  <w:style w:type="character" w:styleId="Hyperlink">
    <w:name w:val="Hyperlink"/>
    <w:basedOn w:val="DefaultParagraphFont"/>
    <w:rsid w:val="00125E57"/>
    <w:rPr>
      <w:color w:val="0000FF" w:themeColor="hyperlink"/>
      <w:u w:val="single"/>
    </w:rPr>
  </w:style>
  <w:style w:type="table" w:styleId="TableGrid">
    <w:name w:val="Table Grid"/>
    <w:basedOn w:val="TableNormal"/>
    <w:uiPriority w:val="59"/>
    <w:rsid w:val="00D0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471EF"/>
    <w:rPr>
      <w:sz w:val="16"/>
      <w:szCs w:val="16"/>
    </w:rPr>
  </w:style>
  <w:style w:type="paragraph" w:styleId="CommentText">
    <w:name w:val="annotation text"/>
    <w:basedOn w:val="Normal"/>
    <w:link w:val="CommentTextChar"/>
    <w:rsid w:val="00A471EF"/>
  </w:style>
  <w:style w:type="character" w:customStyle="1" w:styleId="CommentTextChar">
    <w:name w:val="Comment Text Char"/>
    <w:basedOn w:val="DefaultParagraphFont"/>
    <w:link w:val="CommentText"/>
    <w:rsid w:val="00A471EF"/>
  </w:style>
  <w:style w:type="paragraph" w:styleId="CommentSubject">
    <w:name w:val="annotation subject"/>
    <w:basedOn w:val="CommentText"/>
    <w:next w:val="CommentText"/>
    <w:link w:val="CommentSubjectChar"/>
    <w:rsid w:val="00A471EF"/>
    <w:rPr>
      <w:b/>
      <w:bCs/>
    </w:rPr>
  </w:style>
  <w:style w:type="character" w:customStyle="1" w:styleId="CommentSubjectChar">
    <w:name w:val="Comment Subject Char"/>
    <w:basedOn w:val="CommentTextChar"/>
    <w:link w:val="CommentSubject"/>
    <w:rsid w:val="00A47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88072">
      <w:bodyDiv w:val="1"/>
      <w:marLeft w:val="0"/>
      <w:marRight w:val="0"/>
      <w:marTop w:val="0"/>
      <w:marBottom w:val="0"/>
      <w:divBdr>
        <w:top w:val="none" w:sz="0" w:space="0" w:color="auto"/>
        <w:left w:val="none" w:sz="0" w:space="0" w:color="auto"/>
        <w:bottom w:val="none" w:sz="0" w:space="0" w:color="auto"/>
        <w:right w:val="none" w:sz="0" w:space="0" w:color="auto"/>
      </w:divBdr>
    </w:div>
    <w:div w:id="1536188837">
      <w:bodyDiv w:val="1"/>
      <w:marLeft w:val="0"/>
      <w:marRight w:val="0"/>
      <w:marTop w:val="0"/>
      <w:marBottom w:val="0"/>
      <w:divBdr>
        <w:top w:val="none" w:sz="0" w:space="0" w:color="auto"/>
        <w:left w:val="none" w:sz="0" w:space="0" w:color="auto"/>
        <w:bottom w:val="none" w:sz="0" w:space="0" w:color="auto"/>
        <w:right w:val="none" w:sz="0" w:space="0" w:color="auto"/>
      </w:divBdr>
    </w:div>
    <w:div w:id="212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ec.gov/rules/proposed.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c.gov/comments/s7-07-16/s707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E26F-BCFA-4739-9C7F-94B697AE9526}">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36A60F6-E415-43F6-8CA0-26AF55C1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51C7401-5D5F-4D17-8DCD-07BA31E5F206}">
  <ds:schemaRefs>
    <ds:schemaRef ds:uri="http://schemas.microsoft.com/sharepoint/v3/contenttype/forms"/>
  </ds:schemaRefs>
</ds:datastoreItem>
</file>

<file path=customXml/itemProps4.xml><?xml version="1.0" encoding="utf-8"?>
<ds:datastoreItem xmlns:ds="http://schemas.openxmlformats.org/officeDocument/2006/customXml" ds:itemID="{931D7BDD-FE1F-4FB5-A6C2-BC7784BC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Rule 15Ba2-5</vt:lpstr>
    </vt:vector>
  </TitlesOfParts>
  <Company>Securities and Exhange Commission</Company>
  <LinksUpToDate>false</LinksUpToDate>
  <CharactersWithSpaces>21467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15Ba2-5</dc:title>
  <dc:creator>us</dc:creator>
  <cp:lastModifiedBy>Tontz, Jennifer</cp:lastModifiedBy>
  <cp:revision>2</cp:revision>
  <cp:lastPrinted>2016-07-26T18:03:00Z</cp:lastPrinted>
  <dcterms:created xsi:type="dcterms:W3CDTF">2016-08-01T16:07:00Z</dcterms:created>
  <dcterms:modified xsi:type="dcterms:W3CDTF">2016-08-01T16:07:00Z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gFAAXJDLFUo5N7va8GIaES2zdsRdgRNOGJcXn5JPZWHLSrmXDY8wMmI+WN0gHXEGSrqjrhox6m/Bphg3_x000d_
8qUldqWbWnTYWwb2mfjMIAjpekbPkb6BeR4MVN2zxa9xxA9O+RujNNjTkPERFzI38qUldqWbWnTY_x000d_
Wwb2mfjMIAjpekbPkb6BeR4MVN2zxX4lv1RrJC+8q8XcwiNAwamaykXXZ1tFKLRpZxzCg6huhJtG_x000d_
+cWHc/AI3trRN3ikd</vt:lpwstr>
  </property>
  <property fmtid="{D5CDD505-2E9C-101B-9397-08002B2CF9AE}" pid="3" name="MAIL_MSG_ID2">
    <vt:lpwstr>UzUD4bXQf5ZP+dMUp41yPU9Fltdygod4x8kerP09w8Hpd923O3yD5zQe+V9_x000d_
i6Lj3RuCVu1BrnhlgehawxtfC6P9CNeR5aihEQ==</vt:lpwstr>
  </property>
  <property fmtid="{D5CDD505-2E9C-101B-9397-08002B2CF9AE}" pid="4" name="RESPONSE_SENDER_NAME">
    <vt:lpwstr>gAAAFrATEITNPlge7awI/mFMUSa9X/+wc1SD</vt:lpwstr>
  </property>
  <property fmtid="{D5CDD505-2E9C-101B-9397-08002B2CF9AE}" pid="5" name="EMAIL_OWNER_ADDRESS">
    <vt:lpwstr>sAAA2RgG6J6jCJ3N6DQU8H4KvBJQvYbzvOCEEPY2hVZkUIM=</vt:lpwstr>
  </property>
  <property fmtid="{D5CDD505-2E9C-101B-9397-08002B2CF9AE}" pid="6" name="ContentTypeId">
    <vt:lpwstr>0x010100104403C7F330A949B0014E85671C68EA0071AEA7D65E5BA640BA7B6E0B0D859662</vt:lpwstr>
  </property>
</Properties>
</file>