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C2E2D" w14:textId="77777777" w:rsidR="005728D3" w:rsidRPr="00753B95" w:rsidRDefault="005728D3" w:rsidP="005728D3">
      <w:pPr>
        <w:spacing w:line="276" w:lineRule="auto"/>
        <w:jc w:val="center"/>
        <w:rPr>
          <w:b/>
        </w:rPr>
      </w:pPr>
      <w:r w:rsidRPr="00753B95">
        <w:rPr>
          <w:b/>
        </w:rPr>
        <w:t>National Credit Union Administration</w:t>
      </w:r>
    </w:p>
    <w:p w14:paraId="79543B60" w14:textId="700D9E84" w:rsidR="005728D3" w:rsidRDefault="005728D3" w:rsidP="005728D3">
      <w:pPr>
        <w:spacing w:line="276" w:lineRule="auto"/>
        <w:jc w:val="center"/>
        <w:rPr>
          <w:b/>
        </w:rPr>
      </w:pPr>
      <w:r w:rsidRPr="00753B95">
        <w:rPr>
          <w:b/>
        </w:rPr>
        <w:t xml:space="preserve">Supporting Statement </w:t>
      </w:r>
    </w:p>
    <w:p w14:paraId="512D6AE5" w14:textId="77777777" w:rsidR="001A03E7" w:rsidRPr="00753B95" w:rsidRDefault="001A03E7" w:rsidP="005728D3">
      <w:pPr>
        <w:spacing w:line="276" w:lineRule="auto"/>
        <w:jc w:val="center"/>
        <w:rPr>
          <w:b/>
        </w:rPr>
      </w:pPr>
    </w:p>
    <w:p w14:paraId="7D858E14" w14:textId="77777777" w:rsidR="00753B95" w:rsidRDefault="005728D3" w:rsidP="005728D3">
      <w:pPr>
        <w:spacing w:line="276" w:lineRule="auto"/>
        <w:jc w:val="center"/>
        <w:rPr>
          <w:b/>
        </w:rPr>
      </w:pPr>
      <w:r w:rsidRPr="00753B95">
        <w:rPr>
          <w:b/>
        </w:rPr>
        <w:t xml:space="preserve">Mergers of Federally-Insured Credit Unions; </w:t>
      </w:r>
    </w:p>
    <w:p w14:paraId="07A87F85" w14:textId="77777777" w:rsidR="005728D3" w:rsidRDefault="005728D3" w:rsidP="005728D3">
      <w:pPr>
        <w:spacing w:line="276" w:lineRule="auto"/>
        <w:jc w:val="center"/>
        <w:rPr>
          <w:b/>
        </w:rPr>
      </w:pPr>
      <w:r w:rsidRPr="00753B95">
        <w:rPr>
          <w:b/>
        </w:rPr>
        <w:t>Voluntary Termination or Conversion of Insured Status</w:t>
      </w:r>
    </w:p>
    <w:p w14:paraId="2E822571" w14:textId="36360368" w:rsidR="008155FD" w:rsidRPr="00753B95" w:rsidRDefault="001A03E7" w:rsidP="008155FD">
      <w:pPr>
        <w:spacing w:line="276" w:lineRule="auto"/>
        <w:jc w:val="center"/>
        <w:rPr>
          <w:b/>
        </w:rPr>
      </w:pPr>
      <w:r>
        <w:rPr>
          <w:b/>
        </w:rPr>
        <w:t>12 CFR</w:t>
      </w:r>
      <w:r w:rsidR="008155FD" w:rsidRPr="00753B95">
        <w:rPr>
          <w:b/>
        </w:rPr>
        <w:t xml:space="preserve"> Part 708b</w:t>
      </w:r>
    </w:p>
    <w:p w14:paraId="6630B44E" w14:textId="77777777" w:rsidR="00753B95" w:rsidRPr="00753B95" w:rsidRDefault="00753B95" w:rsidP="008155FD">
      <w:pPr>
        <w:spacing w:line="276" w:lineRule="auto"/>
        <w:jc w:val="center"/>
        <w:rPr>
          <w:b/>
        </w:rPr>
      </w:pPr>
      <w:r w:rsidRPr="00753B95">
        <w:rPr>
          <w:b/>
        </w:rPr>
        <w:t>OMB Control No. 3133-0024</w:t>
      </w:r>
    </w:p>
    <w:p w14:paraId="75820DDE" w14:textId="774A04EF" w:rsidR="005728D3" w:rsidRPr="00753B95" w:rsidRDefault="005728D3" w:rsidP="005728D3">
      <w:pPr>
        <w:spacing w:line="276" w:lineRule="auto"/>
        <w:jc w:val="center"/>
        <w:rPr>
          <w:b/>
        </w:rPr>
      </w:pPr>
    </w:p>
    <w:p w14:paraId="195AEF51" w14:textId="77777777" w:rsidR="005728D3" w:rsidRPr="00753B95" w:rsidRDefault="005728D3" w:rsidP="003740DB">
      <w:pPr>
        <w:pStyle w:val="BodyText"/>
        <w:jc w:val="left"/>
        <w:rPr>
          <w:rFonts w:ascii="Times New Roman" w:hAnsi="Times New Roman" w:cs="Times New Roman"/>
        </w:rPr>
      </w:pPr>
    </w:p>
    <w:p w14:paraId="509BBF08" w14:textId="77777777" w:rsidR="00D05C04" w:rsidRPr="00753B95" w:rsidRDefault="00D05C04">
      <w:pPr>
        <w:rPr>
          <w:b/>
        </w:rPr>
      </w:pPr>
      <w:r w:rsidRPr="00753B95">
        <w:rPr>
          <w:b/>
        </w:rPr>
        <w:t>A.  Justification</w:t>
      </w:r>
    </w:p>
    <w:p w14:paraId="01FC7020" w14:textId="77777777" w:rsidR="00D05C04" w:rsidRPr="00753B95" w:rsidRDefault="00D05C04"/>
    <w:p w14:paraId="4C662369" w14:textId="77777777" w:rsidR="0061487C" w:rsidRPr="00753B95" w:rsidRDefault="00D05C04">
      <w:pPr>
        <w:rPr>
          <w:b/>
        </w:rPr>
      </w:pPr>
      <w:r w:rsidRPr="00753B95">
        <w:rPr>
          <w:b/>
        </w:rPr>
        <w:t>1.</w:t>
      </w:r>
      <w:r w:rsidR="001C629C" w:rsidRPr="00753B95">
        <w:t xml:space="preserve">  </w:t>
      </w:r>
      <w:r w:rsidR="0098730C" w:rsidRPr="00753B95">
        <w:rPr>
          <w:b/>
        </w:rPr>
        <w:t>C</w:t>
      </w:r>
      <w:r w:rsidRPr="00753B95">
        <w:rPr>
          <w:b/>
        </w:rPr>
        <w:t>ircumstances that make the collection of information necessary.</w:t>
      </w:r>
    </w:p>
    <w:p w14:paraId="05695E4C" w14:textId="77777777" w:rsidR="0061487C" w:rsidRPr="00753B95" w:rsidRDefault="0061487C"/>
    <w:p w14:paraId="36534A59" w14:textId="5AD82F40" w:rsidR="00202708" w:rsidRPr="00753B95" w:rsidRDefault="001344D6" w:rsidP="007251BF">
      <w:pPr>
        <w:pStyle w:val="NoSpacing"/>
      </w:pPr>
      <w:r w:rsidRPr="00753B95">
        <w:t xml:space="preserve">The Federal Credit Union Act </w:t>
      </w:r>
      <w:r w:rsidR="00DF2C1A" w:rsidRPr="00753B95">
        <w:t xml:space="preserve">requires written approval of the NCUA Board before one or more federally-insured credit unions merge or before a federally-insured credit union converts to nonfederal (private) share insurance or terminates federal share insurance and </w:t>
      </w:r>
      <w:r w:rsidRPr="00753B95">
        <w:t xml:space="preserve">authorizes the NCUA Board to prescribe rules regarding mergers of federally-insured credit unions and changes in insured status </w:t>
      </w:r>
      <w:r w:rsidR="008155FD">
        <w:t>(</w:t>
      </w:r>
      <w:r w:rsidRPr="00753B95">
        <w:t xml:space="preserve">12 U.S.C. </w:t>
      </w:r>
      <w:r w:rsidR="00C857B7" w:rsidRPr="00753B95">
        <w:t>§§</w:t>
      </w:r>
      <w:r w:rsidRPr="00753B95">
        <w:t>1752(7), 1766(a), 1785(b)</w:t>
      </w:r>
      <w:r w:rsidR="0004169B" w:rsidRPr="00753B95">
        <w:t xml:space="preserve"> and </w:t>
      </w:r>
      <w:r w:rsidRPr="00753B95">
        <w:t>(c),</w:t>
      </w:r>
      <w:r w:rsidR="0004169B" w:rsidRPr="00753B95">
        <w:t xml:space="preserve"> 1786(a), (c), and (d),</w:t>
      </w:r>
      <w:r w:rsidRPr="00753B95">
        <w:t xml:space="preserve"> and 1789(a)</w:t>
      </w:r>
      <w:r w:rsidR="008155FD">
        <w:t>)</w:t>
      </w:r>
      <w:r w:rsidRPr="00753B95">
        <w:t xml:space="preserve">.  Part 708b of NCUA’s rules sets forth the procedural and disclosure requirements for mergers of federally-insured credit unions, conversions from federal share insurance to nonfederal insurance, and federal share insurance terminations. </w:t>
      </w:r>
      <w:r w:rsidR="00DF2C1A" w:rsidRPr="00753B95">
        <w:t xml:space="preserve"> </w:t>
      </w:r>
    </w:p>
    <w:p w14:paraId="34580FC6" w14:textId="77777777" w:rsidR="007F4ED7" w:rsidRPr="00753B95" w:rsidRDefault="007F4ED7" w:rsidP="007251BF">
      <w:pPr>
        <w:pStyle w:val="NoSpacing"/>
      </w:pPr>
    </w:p>
    <w:p w14:paraId="3161F7CC" w14:textId="77777777" w:rsidR="0098730C" w:rsidRPr="00753B95" w:rsidRDefault="00D05C04" w:rsidP="007251BF">
      <w:pPr>
        <w:pStyle w:val="NoSpacing"/>
        <w:rPr>
          <w:b/>
        </w:rPr>
      </w:pPr>
      <w:r w:rsidRPr="00753B95">
        <w:rPr>
          <w:b/>
        </w:rPr>
        <w:t>2.</w:t>
      </w:r>
      <w:r w:rsidR="001C629C" w:rsidRPr="00753B95">
        <w:t xml:space="preserve">  </w:t>
      </w:r>
      <w:r w:rsidR="0098730C" w:rsidRPr="00753B95">
        <w:rPr>
          <w:b/>
        </w:rPr>
        <w:t>By whom, how, and for what purpose the information is to be used.</w:t>
      </w:r>
    </w:p>
    <w:p w14:paraId="166C10EC" w14:textId="77777777" w:rsidR="00202708" w:rsidRPr="00753B95" w:rsidRDefault="00202708" w:rsidP="007251BF">
      <w:pPr>
        <w:pStyle w:val="NoSpacing"/>
      </w:pPr>
    </w:p>
    <w:p w14:paraId="3BF518E6" w14:textId="72729A77" w:rsidR="00A11628" w:rsidRPr="0084030C" w:rsidRDefault="00DF2C1A" w:rsidP="00CF6886">
      <w:pPr>
        <w:pStyle w:val="NoSpacing"/>
      </w:pPr>
      <w:r w:rsidRPr="00753B95">
        <w:t>Part 708b</w:t>
      </w:r>
      <w:r w:rsidR="00202708" w:rsidRPr="00753B95">
        <w:t xml:space="preserve"> is designed to ensure NCUA has sufficient information </w:t>
      </w:r>
      <w:r w:rsidR="00F220F2">
        <w:t xml:space="preserve">to determine </w:t>
      </w:r>
      <w:r w:rsidR="00202708" w:rsidRPr="00753B95">
        <w:t>whether to approve a proposed merger, share insurance conversion, or share insurance termination.  It further ensures that members of credit unions have sufficient and accurate information to exercise their vote properly concerning a proposed merger, insurance conversion, or insurance termination.  The rule also protects the property interests of members who may lose their federal share insurance due to a merger, share insurance conversion, or share insurance termination</w:t>
      </w:r>
      <w:r w:rsidR="00CF6886">
        <w:t>.</w:t>
      </w:r>
      <w:r w:rsidR="00A11628">
        <w:t xml:space="preserve">  The form and format necessary to comply with the requirements of part 708b are codified as subpart C</w:t>
      </w:r>
      <w:r w:rsidR="008155FD">
        <w:t xml:space="preserve"> and are available in the merger guidance manual</w:t>
      </w:r>
      <w:r w:rsidR="00A11628">
        <w:t>.</w:t>
      </w:r>
    </w:p>
    <w:p w14:paraId="72EFECCF" w14:textId="77777777" w:rsidR="00D05C04" w:rsidRPr="00753B95" w:rsidRDefault="00D05C04"/>
    <w:p w14:paraId="795CBABB" w14:textId="77777777" w:rsidR="00323E48" w:rsidRPr="00753B95" w:rsidRDefault="00D05C04">
      <w:pPr>
        <w:rPr>
          <w:b/>
        </w:rPr>
      </w:pPr>
      <w:r w:rsidRPr="00753B95">
        <w:rPr>
          <w:b/>
        </w:rPr>
        <w:t xml:space="preserve">3. </w:t>
      </w:r>
      <w:r w:rsidR="001C629C" w:rsidRPr="00753B95">
        <w:rPr>
          <w:b/>
        </w:rPr>
        <w:t xml:space="preserve"> </w:t>
      </w:r>
      <w:r w:rsidR="00323E48" w:rsidRPr="00753B95">
        <w:rPr>
          <w:b/>
        </w:rPr>
        <w:t>C</w:t>
      </w:r>
      <w:r w:rsidRPr="00753B95">
        <w:rPr>
          <w:b/>
        </w:rPr>
        <w:t>onsideration of the use of improved information technology</w:t>
      </w:r>
      <w:r w:rsidR="00323E48" w:rsidRPr="00753B95">
        <w:rPr>
          <w:b/>
        </w:rPr>
        <w:t>.</w:t>
      </w:r>
    </w:p>
    <w:p w14:paraId="757489BF" w14:textId="77777777" w:rsidR="00323E48" w:rsidRPr="00753B95" w:rsidRDefault="00323E48"/>
    <w:p w14:paraId="12D5614C" w14:textId="6EF4B316" w:rsidR="00323E48" w:rsidRPr="00753B95" w:rsidRDefault="00323E48" w:rsidP="00323E48">
      <w:pPr>
        <w:numPr>
          <w:ilvl w:val="0"/>
          <w:numId w:val="6"/>
        </w:numPr>
      </w:pPr>
      <w:r w:rsidRPr="00753B95">
        <w:t>Forms and formats for a credit union to use in communicating with its members and with NCUA about mergers and share insurance conversions</w:t>
      </w:r>
      <w:r w:rsidR="00DF2C1A" w:rsidRPr="00753B95">
        <w:t xml:space="preserve"> and terminations</w:t>
      </w:r>
      <w:r w:rsidRPr="00753B95">
        <w:t xml:space="preserve"> are available in a </w:t>
      </w:r>
      <w:r w:rsidR="007F4ED7" w:rsidRPr="00753B95">
        <w:t xml:space="preserve">guidance </w:t>
      </w:r>
      <w:r w:rsidRPr="00753B95">
        <w:t>manual that itself is available electronically from NCUA’s website.</w:t>
      </w:r>
      <w:r w:rsidR="008155FD">
        <w:t xml:space="preserve">  Forms are designed to be fillable.</w:t>
      </w:r>
    </w:p>
    <w:p w14:paraId="1F024C4B" w14:textId="77777777" w:rsidR="00323E48" w:rsidRPr="00753B95" w:rsidRDefault="00323E48" w:rsidP="00323E48"/>
    <w:p w14:paraId="3635AF1D" w14:textId="77777777" w:rsidR="00323E48" w:rsidRPr="00753B95" w:rsidRDefault="00323E48" w:rsidP="00323E48">
      <w:pPr>
        <w:numPr>
          <w:ilvl w:val="0"/>
          <w:numId w:val="6"/>
        </w:numPr>
      </w:pPr>
      <w:r w:rsidRPr="00753B95">
        <w:t>Credit unions may use electronic voting processes in obtaining the votes of their members on whether to approve a merger.</w:t>
      </w:r>
    </w:p>
    <w:p w14:paraId="448BCB85" w14:textId="77777777" w:rsidR="00323E48" w:rsidRPr="00753B95" w:rsidRDefault="00323E48"/>
    <w:p w14:paraId="58D2972B" w14:textId="77777777" w:rsidR="001A03E7" w:rsidRDefault="001A03E7">
      <w:pPr>
        <w:rPr>
          <w:b/>
        </w:rPr>
      </w:pPr>
      <w:r>
        <w:rPr>
          <w:b/>
        </w:rPr>
        <w:br w:type="page"/>
      </w:r>
    </w:p>
    <w:p w14:paraId="420B7AF1" w14:textId="566AC348" w:rsidR="00D05C04" w:rsidRPr="00753B95" w:rsidRDefault="00D05C04">
      <w:pPr>
        <w:rPr>
          <w:b/>
        </w:rPr>
      </w:pPr>
      <w:r w:rsidRPr="00753B95">
        <w:rPr>
          <w:b/>
        </w:rPr>
        <w:lastRenderedPageBreak/>
        <w:t>4.</w:t>
      </w:r>
      <w:r w:rsidR="001C629C" w:rsidRPr="00753B95">
        <w:rPr>
          <w:b/>
        </w:rPr>
        <w:t xml:space="preserve">  </w:t>
      </w:r>
      <w:r w:rsidR="00323E48" w:rsidRPr="00753B95">
        <w:rPr>
          <w:b/>
        </w:rPr>
        <w:t>E</w:t>
      </w:r>
      <w:r w:rsidRPr="00753B95">
        <w:rPr>
          <w:b/>
        </w:rPr>
        <w:t>fforts to identify duplication</w:t>
      </w:r>
      <w:r w:rsidR="00DF2C1A" w:rsidRPr="00753B95">
        <w:rPr>
          <w:b/>
        </w:rPr>
        <w:t>.</w:t>
      </w:r>
    </w:p>
    <w:p w14:paraId="4D785048" w14:textId="77777777" w:rsidR="00DF2C1A" w:rsidRPr="00753B95" w:rsidRDefault="00DF2C1A">
      <w:pPr>
        <w:rPr>
          <w:b/>
        </w:rPr>
      </w:pPr>
    </w:p>
    <w:p w14:paraId="1BACC71B" w14:textId="660DA2CC" w:rsidR="00DF2C1A" w:rsidRPr="00753B95" w:rsidRDefault="00DF2C1A" w:rsidP="00DF2C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3B95">
        <w:t xml:space="preserve">The collection of information is unique to the circumstances of each credit union.  The information is self-generated and is not available from any other government agency or other source. </w:t>
      </w:r>
    </w:p>
    <w:p w14:paraId="4E5F0E54" w14:textId="77777777" w:rsidR="00DF2C1A" w:rsidRPr="00753B95" w:rsidRDefault="00DF2C1A" w:rsidP="00DF2C1A">
      <w:pPr>
        <w:widowControl w:val="0"/>
      </w:pPr>
    </w:p>
    <w:p w14:paraId="2FB59D36" w14:textId="77777777" w:rsidR="00DF2C1A" w:rsidRPr="00753B95" w:rsidRDefault="00DF2C1A" w:rsidP="00DF2C1A">
      <w:pPr>
        <w:widowControl w:val="0"/>
        <w:rPr>
          <w:b/>
        </w:rPr>
      </w:pPr>
      <w:r w:rsidRPr="00753B95">
        <w:rPr>
          <w:b/>
        </w:rPr>
        <w:t>5.  Methods used to minimize burden if the collection has a significant impact on a substantial number of small entities.</w:t>
      </w:r>
    </w:p>
    <w:p w14:paraId="655CDB49" w14:textId="77777777" w:rsidR="00DF2C1A" w:rsidRPr="00753B95" w:rsidRDefault="00DF2C1A" w:rsidP="00DF2C1A">
      <w:pPr>
        <w:widowControl w:val="0"/>
      </w:pPr>
    </w:p>
    <w:p w14:paraId="365561FA" w14:textId="11BA0605" w:rsidR="00DF2C1A" w:rsidRPr="00753B95" w:rsidRDefault="00DF2C1A" w:rsidP="00DF2C1A">
      <w:pPr>
        <w:widowControl w:val="0"/>
      </w:pPr>
      <w:r w:rsidRPr="00753B95">
        <w:t xml:space="preserve">This collection does not have a significant impact on a substantial number of small credit unions.  For the most part, in a merger transaction a small credit union merges into a larger credit union.  The larger credit union provides substantial assistance to the smaller credit union alleviating the economic burden.  Share insurance conversion transactions are rare, </w:t>
      </w:r>
      <w:r w:rsidR="00FD5E62">
        <w:t>four during the last year</w:t>
      </w:r>
      <w:r w:rsidRPr="00753B95">
        <w:t xml:space="preserve">, and under Part 708b NCUA supplies the forms and format of the application.  NCUA has not had a voluntary </w:t>
      </w:r>
      <w:r w:rsidRPr="00144F67">
        <w:t>share insurance termination in decades</w:t>
      </w:r>
      <w:r w:rsidRPr="00753B95">
        <w:t>.</w:t>
      </w:r>
    </w:p>
    <w:p w14:paraId="049C813A" w14:textId="77777777" w:rsidR="00DF2C1A" w:rsidRPr="00753B95" w:rsidRDefault="00DF2C1A" w:rsidP="00DF2C1A">
      <w:pPr>
        <w:widowControl w:val="0"/>
      </w:pPr>
    </w:p>
    <w:p w14:paraId="0316338A" w14:textId="77777777" w:rsidR="00DF2C1A" w:rsidRPr="00753B95" w:rsidRDefault="00DF2C1A" w:rsidP="00DF2C1A">
      <w:pPr>
        <w:widowControl w:val="0"/>
        <w:rPr>
          <w:b/>
        </w:rPr>
      </w:pPr>
      <w:r w:rsidRPr="00753B95">
        <w:rPr>
          <w:b/>
        </w:rPr>
        <w:t>6.  Consequences to the Federal program if the collection were conducted less frequently.</w:t>
      </w:r>
    </w:p>
    <w:p w14:paraId="05C3E1B8" w14:textId="77777777" w:rsidR="00DF2C1A" w:rsidRPr="00753B95" w:rsidRDefault="00DF2C1A" w:rsidP="00DF2C1A">
      <w:pPr>
        <w:widowControl w:val="0"/>
      </w:pPr>
    </w:p>
    <w:p w14:paraId="46B7063E" w14:textId="77777777" w:rsidR="00DF2C1A" w:rsidRPr="00753B95" w:rsidRDefault="00DF2C1A" w:rsidP="00DF2C1A">
      <w:pPr>
        <w:widowControl w:val="0"/>
      </w:pPr>
      <w:r w:rsidRPr="00753B95">
        <w:t xml:space="preserve">If the information collection occurred less frequently, NCUA would be unable to determine whether to approve the proposed merger or share insurance conversion.  Also, the credit union’s members would not have sufficient information to evaluate the proposal. </w:t>
      </w:r>
    </w:p>
    <w:p w14:paraId="76776468" w14:textId="77777777" w:rsidR="00DF2C1A" w:rsidRPr="00753B95" w:rsidRDefault="00DF2C1A" w:rsidP="00DF2C1A">
      <w:pPr>
        <w:widowControl w:val="0"/>
      </w:pPr>
    </w:p>
    <w:p w14:paraId="5D53F047" w14:textId="11B4B872" w:rsidR="00DF2C1A" w:rsidRPr="00753B95" w:rsidRDefault="00DF2C1A" w:rsidP="00DF2C1A">
      <w:pPr>
        <w:widowControl w:val="0"/>
        <w:rPr>
          <w:b/>
        </w:rPr>
      </w:pPr>
      <w:r w:rsidRPr="00753B95">
        <w:rPr>
          <w:b/>
        </w:rPr>
        <w:t>7.  Special circumstances necessitating collection inconsistent with 5 CFR §1320.5(d</w:t>
      </w:r>
      <w:proofErr w:type="gramStart"/>
      <w:r w:rsidRPr="00753B95">
        <w:rPr>
          <w:b/>
        </w:rPr>
        <w:t>)(</w:t>
      </w:r>
      <w:proofErr w:type="gramEnd"/>
      <w:r w:rsidRPr="00753B95">
        <w:rPr>
          <w:b/>
        </w:rPr>
        <w:t>2).</w:t>
      </w:r>
    </w:p>
    <w:p w14:paraId="7835AF6D" w14:textId="77777777" w:rsidR="00DF2C1A" w:rsidRPr="00753B95" w:rsidRDefault="00DF2C1A" w:rsidP="00DF2C1A">
      <w:pPr>
        <w:widowControl w:val="0"/>
      </w:pPr>
    </w:p>
    <w:p w14:paraId="3E97EE6C" w14:textId="77777777" w:rsidR="00DF2C1A" w:rsidRPr="00753B95" w:rsidRDefault="00DF2C1A" w:rsidP="00DF2C1A">
      <w:pPr>
        <w:widowControl w:val="0"/>
      </w:pPr>
      <w:r w:rsidRPr="00753B95">
        <w:t>This collection will not cause any information to be collected in a manner described in §1320.5(d</w:t>
      </w:r>
      <w:proofErr w:type="gramStart"/>
      <w:r w:rsidRPr="00753B95">
        <w:t>)(</w:t>
      </w:r>
      <w:proofErr w:type="gramEnd"/>
      <w:r w:rsidRPr="00753B95">
        <w:t xml:space="preserve">2). </w:t>
      </w:r>
    </w:p>
    <w:p w14:paraId="65A26898" w14:textId="77777777" w:rsidR="00DF2C1A" w:rsidRPr="00753B95" w:rsidRDefault="00DF2C1A" w:rsidP="00DF2C1A">
      <w:pPr>
        <w:widowControl w:val="0"/>
      </w:pPr>
    </w:p>
    <w:p w14:paraId="22937460" w14:textId="77777777" w:rsidR="00DF2C1A" w:rsidRPr="00753B95" w:rsidRDefault="00574211" w:rsidP="00DF2C1A">
      <w:pPr>
        <w:widowControl w:val="0"/>
        <w:tabs>
          <w:tab w:val="left" w:pos="-1440"/>
        </w:tabs>
        <w:ind w:left="720" w:hanging="720"/>
        <w:rPr>
          <w:b/>
        </w:rPr>
      </w:pPr>
      <w:r w:rsidRPr="00753B95">
        <w:rPr>
          <w:b/>
        </w:rPr>
        <w:t>8.  Efforts to consult with persons outside the agency.</w:t>
      </w:r>
    </w:p>
    <w:p w14:paraId="0DE44299" w14:textId="77777777" w:rsidR="00DF2C1A" w:rsidRPr="00753B95" w:rsidRDefault="00DF2C1A" w:rsidP="00DF2C1A">
      <w:pPr>
        <w:widowControl w:val="0"/>
      </w:pPr>
    </w:p>
    <w:p w14:paraId="08DB9225" w14:textId="01D85C8F" w:rsidR="00DF2C1A" w:rsidRPr="00753B95" w:rsidRDefault="002E4F2B" w:rsidP="00DF2C1A">
      <w:pPr>
        <w:widowControl w:val="0"/>
        <w:tabs>
          <w:tab w:val="left" w:pos="720"/>
        </w:tabs>
      </w:pPr>
      <w:r>
        <w:t xml:space="preserve">A 60-day notice was published in the </w:t>
      </w:r>
      <w:r w:rsidRPr="008155FD">
        <w:rPr>
          <w:i/>
        </w:rPr>
        <w:t>Federal Register</w:t>
      </w:r>
      <w:r>
        <w:t xml:space="preserve"> on </w:t>
      </w:r>
      <w:r w:rsidR="00486345">
        <w:t>October 20, 2016,</w:t>
      </w:r>
      <w:r>
        <w:t xml:space="preserve"> at </w:t>
      </w:r>
      <w:r w:rsidR="00486345">
        <w:t>81 FR 72618,</w:t>
      </w:r>
      <w:r>
        <w:t xml:space="preserve"> soliciting comments from the public on the renewal of this information collection.  </w:t>
      </w:r>
      <w:r w:rsidR="0062295A" w:rsidRPr="00753B95">
        <w:t>No comments were received.</w:t>
      </w:r>
    </w:p>
    <w:p w14:paraId="6A824F82" w14:textId="77777777" w:rsidR="00DF2C1A" w:rsidRPr="00753B95" w:rsidRDefault="00DF2C1A"/>
    <w:p w14:paraId="243125AA" w14:textId="77777777" w:rsidR="00D05C04" w:rsidRPr="00753B95" w:rsidRDefault="00D05C04">
      <w:pPr>
        <w:rPr>
          <w:b/>
        </w:rPr>
      </w:pPr>
      <w:r w:rsidRPr="00753B95">
        <w:rPr>
          <w:b/>
        </w:rPr>
        <w:t>9.</w:t>
      </w:r>
      <w:r w:rsidR="00942A07" w:rsidRPr="00753B95">
        <w:rPr>
          <w:b/>
        </w:rPr>
        <w:t xml:space="preserve">  </w:t>
      </w:r>
      <w:r w:rsidRPr="00753B95">
        <w:rPr>
          <w:b/>
        </w:rPr>
        <w:t>Explain any decision to provide any payment or gift to respondents</w:t>
      </w:r>
      <w:r w:rsidR="00323E48" w:rsidRPr="00753B95">
        <w:rPr>
          <w:b/>
        </w:rPr>
        <w:t>.</w:t>
      </w:r>
    </w:p>
    <w:p w14:paraId="0C7EB2C4" w14:textId="77777777" w:rsidR="0088606D" w:rsidRPr="00753B95" w:rsidRDefault="0088606D"/>
    <w:p w14:paraId="739CD208" w14:textId="2897465C" w:rsidR="00D05C04" w:rsidRPr="00753B95" w:rsidRDefault="002E4F2B">
      <w:r>
        <w:t xml:space="preserve">No </w:t>
      </w:r>
      <w:r w:rsidR="001D3C24" w:rsidRPr="00753B95">
        <w:t>payment or gift to respondents</w:t>
      </w:r>
      <w:r>
        <w:t xml:space="preserve"> are made</w:t>
      </w:r>
    </w:p>
    <w:p w14:paraId="62326C06" w14:textId="77777777" w:rsidR="00D05C04" w:rsidRPr="00753B95" w:rsidRDefault="00D05C04"/>
    <w:p w14:paraId="43670A68" w14:textId="77777777" w:rsidR="00D05C04" w:rsidRPr="00753B95" w:rsidRDefault="00D05C04">
      <w:pPr>
        <w:rPr>
          <w:b/>
        </w:rPr>
      </w:pPr>
      <w:r w:rsidRPr="00753B95">
        <w:rPr>
          <w:b/>
        </w:rPr>
        <w:t>10.</w:t>
      </w:r>
      <w:r w:rsidR="00942A07" w:rsidRPr="00753B95">
        <w:rPr>
          <w:b/>
        </w:rPr>
        <w:t xml:space="preserve">  </w:t>
      </w:r>
      <w:r w:rsidRPr="00753B95">
        <w:rPr>
          <w:b/>
        </w:rPr>
        <w:t>Describe any assurance of confidentiality provided to respondents</w:t>
      </w:r>
      <w:r w:rsidR="00E41832" w:rsidRPr="00753B95">
        <w:rPr>
          <w:b/>
        </w:rPr>
        <w:t>.</w:t>
      </w:r>
      <w:r w:rsidRPr="00753B95">
        <w:rPr>
          <w:b/>
        </w:rPr>
        <w:t xml:space="preserve"> </w:t>
      </w:r>
    </w:p>
    <w:p w14:paraId="630704A8" w14:textId="77777777" w:rsidR="00D05C04" w:rsidRPr="00753B95" w:rsidRDefault="00D05C04"/>
    <w:p w14:paraId="1F4A88CF" w14:textId="0A3A16E2" w:rsidR="0098332B" w:rsidRPr="00753B95" w:rsidRDefault="001D3C24">
      <w:r w:rsidRPr="00753B95">
        <w:t>There are n</w:t>
      </w:r>
      <w:r w:rsidR="0078544F" w:rsidRPr="00753B95">
        <w:t>o</w:t>
      </w:r>
      <w:r w:rsidR="00C57B92" w:rsidRPr="00753B95">
        <w:t xml:space="preserve"> assurances of confidentiality.</w:t>
      </w:r>
    </w:p>
    <w:p w14:paraId="096F36A2" w14:textId="77777777" w:rsidR="00D05C04" w:rsidRPr="00753B95" w:rsidRDefault="00D05C04"/>
    <w:p w14:paraId="0A8F98A1" w14:textId="77777777" w:rsidR="00D05C04" w:rsidRPr="00753B95" w:rsidRDefault="00D05C04">
      <w:pPr>
        <w:rPr>
          <w:b/>
        </w:rPr>
      </w:pPr>
      <w:r w:rsidRPr="00753B95">
        <w:rPr>
          <w:b/>
        </w:rPr>
        <w:t>11.</w:t>
      </w:r>
      <w:r w:rsidR="00942A07" w:rsidRPr="00753B95">
        <w:rPr>
          <w:b/>
        </w:rPr>
        <w:t xml:space="preserve">  </w:t>
      </w:r>
      <w:r w:rsidR="00F2748C" w:rsidRPr="00753B95">
        <w:rPr>
          <w:b/>
        </w:rPr>
        <w:t>Add</w:t>
      </w:r>
      <w:r w:rsidRPr="00753B95">
        <w:rPr>
          <w:b/>
        </w:rPr>
        <w:t>itional justification for any question of a sensitive nature</w:t>
      </w:r>
      <w:r w:rsidR="00F2748C" w:rsidRPr="00753B95">
        <w:rPr>
          <w:b/>
        </w:rPr>
        <w:t>.</w:t>
      </w:r>
    </w:p>
    <w:p w14:paraId="41DF1FAC" w14:textId="77777777" w:rsidR="00D05C04" w:rsidRPr="00753B95" w:rsidRDefault="00D05C04"/>
    <w:p w14:paraId="27CED264" w14:textId="6EF3C7CE" w:rsidR="00D05C04" w:rsidRPr="00753B95" w:rsidRDefault="002E4F2B">
      <w:r>
        <w:t>No personally identifiable information (PII) is collected.</w:t>
      </w:r>
    </w:p>
    <w:p w14:paraId="446A160D" w14:textId="77777777" w:rsidR="00D05C04" w:rsidRPr="00753B95" w:rsidRDefault="00D05C04"/>
    <w:p w14:paraId="2E91E8FB" w14:textId="77777777" w:rsidR="001A03E7" w:rsidRDefault="001A03E7">
      <w:pPr>
        <w:rPr>
          <w:b/>
        </w:rPr>
      </w:pPr>
      <w:r>
        <w:rPr>
          <w:b/>
        </w:rPr>
        <w:br w:type="page"/>
      </w:r>
    </w:p>
    <w:p w14:paraId="34DCD4C1" w14:textId="21FE29AF" w:rsidR="00D05C04" w:rsidRPr="00753B95" w:rsidRDefault="00D05C04">
      <w:pPr>
        <w:rPr>
          <w:b/>
        </w:rPr>
      </w:pPr>
      <w:r w:rsidRPr="00753B95">
        <w:rPr>
          <w:b/>
        </w:rPr>
        <w:lastRenderedPageBreak/>
        <w:t>12.</w:t>
      </w:r>
      <w:r w:rsidR="00942A07" w:rsidRPr="00753B95">
        <w:rPr>
          <w:b/>
        </w:rPr>
        <w:t xml:space="preserve">  </w:t>
      </w:r>
      <w:r w:rsidR="00F2748C" w:rsidRPr="00753B95">
        <w:rPr>
          <w:b/>
        </w:rPr>
        <w:t>E</w:t>
      </w:r>
      <w:r w:rsidRPr="00753B95">
        <w:rPr>
          <w:b/>
        </w:rPr>
        <w:t xml:space="preserve">stimates of </w:t>
      </w:r>
      <w:r w:rsidR="00F2748C" w:rsidRPr="00753B95">
        <w:rPr>
          <w:b/>
        </w:rPr>
        <w:t>hour and cost burdens of the collection of information.</w:t>
      </w:r>
    </w:p>
    <w:p w14:paraId="51F84BFD" w14:textId="77777777" w:rsidR="00A236DE" w:rsidRPr="00753B95" w:rsidRDefault="00A236DE" w:rsidP="009E348C"/>
    <w:p w14:paraId="3D880872" w14:textId="77777777" w:rsidR="00940951" w:rsidRPr="00753B95" w:rsidRDefault="00940951" w:rsidP="009E348C">
      <w:r w:rsidRPr="00753B95">
        <w:t xml:space="preserve">The </w:t>
      </w:r>
      <w:r w:rsidR="00650EA0" w:rsidRPr="00753B95">
        <w:t xml:space="preserve">categories of burden for credit unions complying with Part 708b </w:t>
      </w:r>
      <w:r w:rsidR="0004169B" w:rsidRPr="00753B95">
        <w:t xml:space="preserve">may </w:t>
      </w:r>
      <w:r w:rsidR="00650EA0" w:rsidRPr="00753B95">
        <w:t>include</w:t>
      </w:r>
      <w:r w:rsidRPr="00753B95">
        <w:t xml:space="preserve"> the following:</w:t>
      </w:r>
    </w:p>
    <w:p w14:paraId="26B8C798" w14:textId="77777777" w:rsidR="009739E0" w:rsidRPr="00753B95" w:rsidRDefault="009739E0" w:rsidP="009E348C"/>
    <w:p w14:paraId="19CDE551" w14:textId="77777777" w:rsidR="00940951" w:rsidRPr="00753B95" w:rsidRDefault="001D3C24" w:rsidP="00940951">
      <w:pPr>
        <w:pStyle w:val="NoSpacing"/>
        <w:rPr>
          <w:b/>
          <w:u w:val="single"/>
        </w:rPr>
      </w:pPr>
      <w:r w:rsidRPr="00753B95">
        <w:rPr>
          <w:b/>
          <w:u w:val="single"/>
        </w:rPr>
        <w:t xml:space="preserve">IC 1.  </w:t>
      </w:r>
      <w:r w:rsidR="00940951" w:rsidRPr="00753B95">
        <w:rPr>
          <w:b/>
          <w:u w:val="single"/>
        </w:rPr>
        <w:t>Mergers</w:t>
      </w:r>
    </w:p>
    <w:p w14:paraId="0AE318C4" w14:textId="77777777" w:rsidR="00A236DE" w:rsidRPr="00753B95" w:rsidRDefault="00A236DE" w:rsidP="00940951">
      <w:pPr>
        <w:pStyle w:val="NoSpacing"/>
        <w:rPr>
          <w:u w:val="single"/>
        </w:rPr>
      </w:pPr>
    </w:p>
    <w:p w14:paraId="4539BD7E" w14:textId="69A54284" w:rsidR="00940951" w:rsidRPr="00753B95" w:rsidRDefault="00940951" w:rsidP="00940951">
      <w:pPr>
        <w:pStyle w:val="NoSpacing"/>
      </w:pPr>
      <w:r w:rsidRPr="00753B95">
        <w:t>Each year, there are approximately 2</w:t>
      </w:r>
      <w:r w:rsidR="0084030C">
        <w:t>1</w:t>
      </w:r>
      <w:r w:rsidRPr="00753B95">
        <w:t>4 mergers involving one or more</w:t>
      </w:r>
      <w:r w:rsidR="00B87625">
        <w:t xml:space="preserve"> federally-insured credit union</w:t>
      </w:r>
      <w:r w:rsidRPr="00753B95">
        <w:t>.  NCUA estimates it will take the two merging credit unions approximately 35 hours between them to</w:t>
      </w:r>
      <w:r w:rsidR="00196BDF">
        <w:t>:</w:t>
      </w:r>
    </w:p>
    <w:p w14:paraId="53275DA5" w14:textId="77777777" w:rsidR="00940951" w:rsidRPr="00753B95" w:rsidRDefault="00940951" w:rsidP="00940951">
      <w:pPr>
        <w:pStyle w:val="NoSpacing"/>
      </w:pPr>
    </w:p>
    <w:p w14:paraId="284058BC" w14:textId="4F924876" w:rsidR="00940951" w:rsidRPr="00753B95" w:rsidRDefault="00940951" w:rsidP="003C496D">
      <w:pPr>
        <w:pStyle w:val="NoSpacing"/>
        <w:numPr>
          <w:ilvl w:val="0"/>
          <w:numId w:val="9"/>
        </w:numPr>
      </w:pPr>
      <w:r w:rsidRPr="00753B95">
        <w:t>Prepare the required merger documents (§708b.103)--15 hours;</w:t>
      </w:r>
    </w:p>
    <w:p w14:paraId="4798FD50" w14:textId="77777777" w:rsidR="00940951" w:rsidRPr="00753B95" w:rsidRDefault="00940951" w:rsidP="003C496D">
      <w:pPr>
        <w:pStyle w:val="NoSpacing"/>
        <w:ind w:left="1080" w:hanging="360"/>
      </w:pPr>
    </w:p>
    <w:p w14:paraId="533AB7CF" w14:textId="485FF2FD" w:rsidR="00940951" w:rsidRPr="00753B95" w:rsidRDefault="00940951" w:rsidP="003C496D">
      <w:pPr>
        <w:pStyle w:val="NoSpacing"/>
        <w:numPr>
          <w:ilvl w:val="0"/>
          <w:numId w:val="9"/>
        </w:numPr>
      </w:pPr>
      <w:r w:rsidRPr="00753B95">
        <w:t>Collect and submit the required information to NCUA (§708b.104)—5 hours;</w:t>
      </w:r>
    </w:p>
    <w:p w14:paraId="0EAA608F" w14:textId="77777777" w:rsidR="00940951" w:rsidRPr="00753B95" w:rsidRDefault="00940951" w:rsidP="003C496D">
      <w:pPr>
        <w:pStyle w:val="NoSpacing"/>
        <w:ind w:left="1080" w:hanging="360"/>
      </w:pPr>
    </w:p>
    <w:p w14:paraId="3947180E" w14:textId="10337094" w:rsidR="00940951" w:rsidRPr="00753B95" w:rsidRDefault="00940951" w:rsidP="003C496D">
      <w:pPr>
        <w:pStyle w:val="NoSpacing"/>
        <w:numPr>
          <w:ilvl w:val="0"/>
          <w:numId w:val="9"/>
        </w:numPr>
      </w:pPr>
      <w:r w:rsidRPr="00753B95">
        <w:t>Provide the required insurance disclosures in other communications that the credit union plans to send to its members if the merger involves a share insurance conversion (§708b.206)—2 hours;</w:t>
      </w:r>
    </w:p>
    <w:p w14:paraId="77729D36" w14:textId="77777777" w:rsidR="00940951" w:rsidRPr="00753B95" w:rsidRDefault="00940951" w:rsidP="003C496D">
      <w:pPr>
        <w:pStyle w:val="NoSpacing"/>
        <w:ind w:left="1080" w:hanging="360"/>
      </w:pPr>
    </w:p>
    <w:p w14:paraId="03060F71" w14:textId="439E572C" w:rsidR="00940951" w:rsidRPr="00753B95" w:rsidRDefault="00940951" w:rsidP="003C496D">
      <w:pPr>
        <w:pStyle w:val="NoSpacing"/>
        <w:numPr>
          <w:ilvl w:val="0"/>
          <w:numId w:val="9"/>
        </w:numPr>
      </w:pPr>
      <w:r w:rsidRPr="00753B95">
        <w:t xml:space="preserve">Notify members of the </w:t>
      </w:r>
      <w:r w:rsidR="00A62F23" w:rsidRPr="00753B95">
        <w:t xml:space="preserve">proposed </w:t>
      </w:r>
      <w:r w:rsidRPr="00753B95">
        <w:t>merger and send them the ballot (§§708b.106, 708b.303(a)</w:t>
      </w:r>
      <w:r w:rsidR="0004169B" w:rsidRPr="00753B95">
        <w:t xml:space="preserve"> and (b))</w:t>
      </w:r>
      <w:r w:rsidR="009E348C" w:rsidRPr="00753B95">
        <w:t>—7 hours</w:t>
      </w:r>
      <w:r w:rsidRPr="00753B95">
        <w:t>;</w:t>
      </w:r>
    </w:p>
    <w:p w14:paraId="1A8B080B" w14:textId="77777777" w:rsidR="00940951" w:rsidRPr="00753B95" w:rsidRDefault="00940951" w:rsidP="003C496D">
      <w:pPr>
        <w:pStyle w:val="NoSpacing"/>
        <w:ind w:left="1080" w:hanging="360"/>
      </w:pPr>
    </w:p>
    <w:p w14:paraId="62C044FE" w14:textId="149F9844" w:rsidR="00940951" w:rsidRPr="00753B95" w:rsidRDefault="00940951" w:rsidP="003C496D">
      <w:pPr>
        <w:pStyle w:val="NoSpacing"/>
        <w:numPr>
          <w:ilvl w:val="0"/>
          <w:numId w:val="9"/>
        </w:numPr>
      </w:pPr>
      <w:r w:rsidRPr="00753B95">
        <w:t>Notify NCUA of the results of the merger vote (§§708b.107, 708b.303(c))</w:t>
      </w:r>
      <w:r w:rsidR="009E348C" w:rsidRPr="00753B95">
        <w:t>—1 hour</w:t>
      </w:r>
      <w:r w:rsidRPr="00753B95">
        <w:t>;</w:t>
      </w:r>
    </w:p>
    <w:p w14:paraId="0523C18F" w14:textId="77777777" w:rsidR="00940951" w:rsidRPr="00753B95" w:rsidRDefault="00940951" w:rsidP="003C496D">
      <w:pPr>
        <w:pStyle w:val="NoSpacing"/>
        <w:ind w:left="1080" w:hanging="360"/>
      </w:pPr>
    </w:p>
    <w:p w14:paraId="47C53309" w14:textId="01B212E6" w:rsidR="00940951" w:rsidRPr="00753B95" w:rsidRDefault="00940951" w:rsidP="003C496D">
      <w:pPr>
        <w:pStyle w:val="NoSpacing"/>
        <w:numPr>
          <w:ilvl w:val="0"/>
          <w:numId w:val="9"/>
        </w:numPr>
      </w:pPr>
      <w:r w:rsidRPr="00753B95">
        <w:t>Notify NCUA of the merger’s completion (§708b.108)</w:t>
      </w:r>
      <w:r w:rsidR="009E348C" w:rsidRPr="00753B95">
        <w:t>—1 hour</w:t>
      </w:r>
      <w:r w:rsidRPr="00753B95">
        <w:t xml:space="preserve">; and </w:t>
      </w:r>
    </w:p>
    <w:p w14:paraId="7343C0ED" w14:textId="77777777" w:rsidR="00940951" w:rsidRPr="00753B95" w:rsidRDefault="00940951" w:rsidP="003C496D">
      <w:pPr>
        <w:pStyle w:val="NoSpacing"/>
        <w:ind w:left="1080" w:hanging="360"/>
      </w:pPr>
    </w:p>
    <w:p w14:paraId="7053FCFB" w14:textId="4C18CBCE" w:rsidR="009D5313" w:rsidRPr="00753B95" w:rsidRDefault="00940951" w:rsidP="003C496D">
      <w:pPr>
        <w:pStyle w:val="NoSpacing"/>
        <w:numPr>
          <w:ilvl w:val="0"/>
          <w:numId w:val="9"/>
        </w:numPr>
      </w:pPr>
      <w:r w:rsidRPr="00753B95">
        <w:t>Notify members of the results of the merger and the possible effect on their insurance coverage (§</w:t>
      </w:r>
      <w:proofErr w:type="gramStart"/>
      <w:r w:rsidRPr="00753B95">
        <w:t>708b.101(</w:t>
      </w:r>
      <w:proofErr w:type="gramEnd"/>
      <w:r w:rsidRPr="00753B95">
        <w:t>e))</w:t>
      </w:r>
      <w:r w:rsidR="009E348C" w:rsidRPr="00753B95">
        <w:t>—4 hours</w:t>
      </w:r>
      <w:r w:rsidRPr="00753B95">
        <w:t>.</w:t>
      </w:r>
    </w:p>
    <w:p w14:paraId="35737C07" w14:textId="77777777" w:rsidR="00940951" w:rsidRPr="00753B95" w:rsidRDefault="00940951" w:rsidP="00940951">
      <w:pPr>
        <w:pStyle w:val="NoSpacing"/>
      </w:pPr>
    </w:p>
    <w:p w14:paraId="2A69E99E" w14:textId="77777777" w:rsidR="00A236DE" w:rsidRPr="00753B95" w:rsidRDefault="00A236DE" w:rsidP="00940951">
      <w:pPr>
        <w:pStyle w:val="NoSpacing"/>
      </w:pPr>
      <w:r w:rsidRPr="00753B95">
        <w:t>The following table summarizes this information.</w:t>
      </w:r>
    </w:p>
    <w:p w14:paraId="35E5D09D" w14:textId="17FDFB84" w:rsidR="005320FD" w:rsidRPr="00753B95" w:rsidRDefault="005320FD" w:rsidP="00F27F56"/>
    <w:tbl>
      <w:tblPr>
        <w:tblStyle w:val="TableGrid"/>
        <w:tblW w:w="9771" w:type="dxa"/>
        <w:tblInd w:w="-95" w:type="dxa"/>
        <w:tblLayout w:type="fixed"/>
        <w:tblLook w:val="04A0" w:firstRow="1" w:lastRow="0" w:firstColumn="1" w:lastColumn="0" w:noHBand="0" w:noVBand="1"/>
      </w:tblPr>
      <w:tblGrid>
        <w:gridCol w:w="319"/>
        <w:gridCol w:w="1874"/>
        <w:gridCol w:w="1254"/>
        <w:gridCol w:w="1296"/>
        <w:gridCol w:w="1216"/>
        <w:gridCol w:w="1066"/>
        <w:gridCol w:w="1260"/>
        <w:gridCol w:w="1486"/>
      </w:tblGrid>
      <w:tr w:rsidR="003C496D" w:rsidRPr="00753B95" w14:paraId="76222684" w14:textId="77777777" w:rsidTr="007D0361">
        <w:tc>
          <w:tcPr>
            <w:tcW w:w="319" w:type="dxa"/>
            <w:tcBorders>
              <w:top w:val="nil"/>
              <w:left w:val="nil"/>
              <w:bottom w:val="nil"/>
              <w:right w:val="single" w:sz="4" w:space="0" w:color="auto"/>
            </w:tcBorders>
          </w:tcPr>
          <w:p w14:paraId="05144703" w14:textId="77777777" w:rsidR="003C496D" w:rsidRPr="003C496D" w:rsidDel="00101432" w:rsidRDefault="003C496D" w:rsidP="002A6CDC">
            <w:pPr>
              <w:jc w:val="center"/>
              <w:rPr>
                <w:sz w:val="18"/>
                <w:szCs w:val="18"/>
              </w:rPr>
            </w:pPr>
          </w:p>
        </w:tc>
        <w:tc>
          <w:tcPr>
            <w:tcW w:w="9452" w:type="dxa"/>
            <w:gridSpan w:val="7"/>
            <w:tcBorders>
              <w:left w:val="single" w:sz="4" w:space="0" w:color="auto"/>
            </w:tcBorders>
            <w:vAlign w:val="center"/>
          </w:tcPr>
          <w:p w14:paraId="6E98C749" w14:textId="5D02A002" w:rsidR="003C496D" w:rsidRPr="001D1632" w:rsidDel="00B951AF" w:rsidRDefault="003C496D" w:rsidP="00B951AF">
            <w:pPr>
              <w:jc w:val="center"/>
              <w:rPr>
                <w:rFonts w:ascii="Times New Roman" w:hAnsi="Times New Roman" w:cs="Times New Roman"/>
                <w:sz w:val="20"/>
                <w:szCs w:val="20"/>
              </w:rPr>
            </w:pPr>
            <w:r w:rsidRPr="002861E9">
              <w:t>Mergers</w:t>
            </w:r>
          </w:p>
        </w:tc>
      </w:tr>
      <w:tr w:rsidR="003C496D" w:rsidRPr="00753B95" w14:paraId="60E30D63" w14:textId="77777777" w:rsidTr="003C496D">
        <w:tc>
          <w:tcPr>
            <w:tcW w:w="319" w:type="dxa"/>
            <w:tcBorders>
              <w:top w:val="nil"/>
              <w:left w:val="nil"/>
              <w:bottom w:val="single" w:sz="4" w:space="0" w:color="auto"/>
              <w:right w:val="single" w:sz="4" w:space="0" w:color="auto"/>
            </w:tcBorders>
          </w:tcPr>
          <w:p w14:paraId="20D0B97E" w14:textId="77777777" w:rsidR="003C496D" w:rsidRPr="003C496D" w:rsidDel="00101432" w:rsidRDefault="003C496D" w:rsidP="002A6CDC">
            <w:pPr>
              <w:jc w:val="center"/>
              <w:rPr>
                <w:rFonts w:ascii="Times New Roman" w:hAnsi="Times New Roman" w:cs="Times New Roman"/>
                <w:sz w:val="18"/>
                <w:szCs w:val="18"/>
              </w:rPr>
            </w:pPr>
          </w:p>
        </w:tc>
        <w:tc>
          <w:tcPr>
            <w:tcW w:w="1874" w:type="dxa"/>
            <w:tcBorders>
              <w:left w:val="single" w:sz="4" w:space="0" w:color="auto"/>
            </w:tcBorders>
            <w:vAlign w:val="center"/>
          </w:tcPr>
          <w:p w14:paraId="4C80DFCA" w14:textId="05A6A6E9" w:rsidR="003C496D" w:rsidRPr="00B951AF" w:rsidRDefault="003C496D" w:rsidP="002A6CDC">
            <w:pPr>
              <w:jc w:val="center"/>
              <w:rPr>
                <w:rFonts w:ascii="Times New Roman" w:hAnsi="Times New Roman" w:cs="Times New Roman"/>
                <w:sz w:val="20"/>
                <w:szCs w:val="20"/>
              </w:rPr>
            </w:pPr>
            <w:r w:rsidRPr="00B951AF">
              <w:rPr>
                <w:rFonts w:ascii="Times New Roman" w:hAnsi="Times New Roman" w:cs="Times New Roman"/>
                <w:sz w:val="20"/>
                <w:szCs w:val="20"/>
              </w:rPr>
              <w:t>Information Collection Activity</w:t>
            </w:r>
          </w:p>
        </w:tc>
        <w:tc>
          <w:tcPr>
            <w:tcW w:w="1254" w:type="dxa"/>
            <w:vAlign w:val="center"/>
          </w:tcPr>
          <w:p w14:paraId="07163089" w14:textId="77777777" w:rsidR="003C496D" w:rsidRPr="00B951AF" w:rsidRDefault="003C496D" w:rsidP="002A6CDC">
            <w:pPr>
              <w:jc w:val="center"/>
              <w:rPr>
                <w:rFonts w:ascii="Times New Roman" w:hAnsi="Times New Roman" w:cs="Times New Roman"/>
                <w:sz w:val="20"/>
                <w:szCs w:val="20"/>
              </w:rPr>
            </w:pPr>
            <w:r w:rsidRPr="00B951AF">
              <w:rPr>
                <w:rFonts w:ascii="Times New Roman" w:hAnsi="Times New Roman" w:cs="Times New Roman"/>
                <w:sz w:val="20"/>
                <w:szCs w:val="20"/>
              </w:rPr>
              <w:t>Annual Number of Respondents</w:t>
            </w:r>
          </w:p>
        </w:tc>
        <w:tc>
          <w:tcPr>
            <w:tcW w:w="1296" w:type="dxa"/>
            <w:vAlign w:val="center"/>
          </w:tcPr>
          <w:p w14:paraId="7950BDAD" w14:textId="3C7D2343" w:rsidR="003C496D" w:rsidRPr="00B951AF" w:rsidRDefault="003C496D" w:rsidP="00753B95">
            <w:pPr>
              <w:jc w:val="center"/>
              <w:rPr>
                <w:rFonts w:ascii="Times New Roman" w:hAnsi="Times New Roman" w:cs="Times New Roman"/>
                <w:sz w:val="20"/>
                <w:szCs w:val="20"/>
              </w:rPr>
            </w:pPr>
            <w:r w:rsidRPr="00B951AF">
              <w:rPr>
                <w:rFonts w:ascii="Times New Roman" w:hAnsi="Times New Roman" w:cs="Times New Roman"/>
                <w:sz w:val="20"/>
                <w:szCs w:val="20"/>
              </w:rPr>
              <w:t>Frequency of Response</w:t>
            </w:r>
          </w:p>
        </w:tc>
        <w:tc>
          <w:tcPr>
            <w:tcW w:w="1216" w:type="dxa"/>
            <w:vAlign w:val="center"/>
          </w:tcPr>
          <w:p w14:paraId="738FF8F4" w14:textId="32D8CE16" w:rsidR="003C496D" w:rsidRPr="00B951AF" w:rsidRDefault="003C496D" w:rsidP="002A6CDC">
            <w:pPr>
              <w:jc w:val="center"/>
              <w:rPr>
                <w:rFonts w:ascii="Times New Roman" w:hAnsi="Times New Roman" w:cs="Times New Roman"/>
                <w:sz w:val="20"/>
                <w:szCs w:val="20"/>
              </w:rPr>
            </w:pPr>
            <w:r w:rsidRPr="00B951AF">
              <w:rPr>
                <w:rFonts w:ascii="Times New Roman" w:hAnsi="Times New Roman" w:cs="Times New Roman"/>
                <w:sz w:val="20"/>
                <w:szCs w:val="20"/>
              </w:rPr>
              <w:t>No. of Responses per Respondent</w:t>
            </w:r>
          </w:p>
        </w:tc>
        <w:tc>
          <w:tcPr>
            <w:tcW w:w="1066" w:type="dxa"/>
            <w:vAlign w:val="center"/>
          </w:tcPr>
          <w:p w14:paraId="298981BF" w14:textId="60A82261" w:rsidR="003C496D" w:rsidRPr="00B951AF" w:rsidRDefault="003C496D" w:rsidP="00382444">
            <w:pPr>
              <w:jc w:val="center"/>
              <w:rPr>
                <w:rFonts w:ascii="Times New Roman" w:hAnsi="Times New Roman" w:cs="Times New Roman"/>
                <w:sz w:val="20"/>
                <w:szCs w:val="20"/>
              </w:rPr>
            </w:pPr>
            <w:r>
              <w:rPr>
                <w:rFonts w:ascii="Times New Roman" w:hAnsi="Times New Roman" w:cs="Times New Roman"/>
                <w:sz w:val="20"/>
                <w:szCs w:val="20"/>
              </w:rPr>
              <w:t>Hours</w:t>
            </w:r>
            <w:r w:rsidRPr="00B951AF">
              <w:rPr>
                <w:rFonts w:ascii="Times New Roman" w:hAnsi="Times New Roman" w:cs="Times New Roman"/>
                <w:sz w:val="20"/>
                <w:szCs w:val="20"/>
              </w:rPr>
              <w:t xml:space="preserve"> per </w:t>
            </w:r>
            <w:r>
              <w:rPr>
                <w:rFonts w:ascii="Times New Roman" w:hAnsi="Times New Roman" w:cs="Times New Roman"/>
                <w:sz w:val="20"/>
                <w:szCs w:val="20"/>
              </w:rPr>
              <w:t>Response</w:t>
            </w:r>
          </w:p>
        </w:tc>
        <w:tc>
          <w:tcPr>
            <w:tcW w:w="1260" w:type="dxa"/>
            <w:vAlign w:val="center"/>
          </w:tcPr>
          <w:p w14:paraId="1B434572" w14:textId="77777777" w:rsidR="003C496D" w:rsidRPr="00B951AF" w:rsidRDefault="003C496D" w:rsidP="002A6CDC">
            <w:pPr>
              <w:jc w:val="center"/>
              <w:rPr>
                <w:rFonts w:ascii="Times New Roman" w:hAnsi="Times New Roman" w:cs="Times New Roman"/>
                <w:sz w:val="20"/>
                <w:szCs w:val="20"/>
              </w:rPr>
            </w:pPr>
            <w:r w:rsidRPr="00B951AF">
              <w:rPr>
                <w:rFonts w:ascii="Times New Roman" w:hAnsi="Times New Roman" w:cs="Times New Roman"/>
                <w:sz w:val="20"/>
                <w:szCs w:val="20"/>
              </w:rPr>
              <w:t>Total Annual Burden Hours</w:t>
            </w:r>
          </w:p>
        </w:tc>
        <w:tc>
          <w:tcPr>
            <w:tcW w:w="1486" w:type="dxa"/>
            <w:vAlign w:val="center"/>
          </w:tcPr>
          <w:p w14:paraId="6E056AE7" w14:textId="69302A28" w:rsidR="003C496D" w:rsidRPr="00B951AF" w:rsidRDefault="003C496D" w:rsidP="00B951AF">
            <w:pPr>
              <w:jc w:val="center"/>
              <w:rPr>
                <w:rFonts w:ascii="Times New Roman" w:hAnsi="Times New Roman" w:cs="Times New Roman"/>
                <w:sz w:val="20"/>
                <w:szCs w:val="20"/>
              </w:rPr>
            </w:pPr>
            <w:r>
              <w:rPr>
                <w:rFonts w:ascii="Times New Roman" w:hAnsi="Times New Roman" w:cs="Times New Roman"/>
                <w:sz w:val="20"/>
                <w:szCs w:val="20"/>
              </w:rPr>
              <w:t xml:space="preserve">Respondent </w:t>
            </w:r>
            <w:r w:rsidRPr="00B951AF">
              <w:rPr>
                <w:rFonts w:ascii="Times New Roman" w:hAnsi="Times New Roman" w:cs="Times New Roman"/>
                <w:sz w:val="20"/>
                <w:szCs w:val="20"/>
              </w:rPr>
              <w:t xml:space="preserve">Labor Cost </w:t>
            </w:r>
            <w:r>
              <w:rPr>
                <w:rFonts w:ascii="Times New Roman" w:hAnsi="Times New Roman" w:cs="Times New Roman"/>
                <w:sz w:val="20"/>
                <w:szCs w:val="20"/>
              </w:rPr>
              <w:t>($35 hourly rate)</w:t>
            </w:r>
          </w:p>
        </w:tc>
      </w:tr>
      <w:tr w:rsidR="003C496D" w:rsidRPr="00753B95" w14:paraId="69C392E0" w14:textId="77777777" w:rsidTr="003C496D">
        <w:tc>
          <w:tcPr>
            <w:tcW w:w="319" w:type="dxa"/>
            <w:tcBorders>
              <w:top w:val="single" w:sz="4" w:space="0" w:color="auto"/>
            </w:tcBorders>
          </w:tcPr>
          <w:p w14:paraId="0B5FD131" w14:textId="5105A12F" w:rsidR="003C496D" w:rsidRPr="003C496D" w:rsidRDefault="003C496D" w:rsidP="002A6CDC">
            <w:pPr>
              <w:rPr>
                <w:rFonts w:ascii="Times New Roman" w:hAnsi="Times New Roman" w:cs="Times New Roman"/>
                <w:sz w:val="18"/>
                <w:szCs w:val="18"/>
              </w:rPr>
            </w:pPr>
            <w:r w:rsidRPr="003C496D">
              <w:rPr>
                <w:rFonts w:ascii="Times New Roman" w:hAnsi="Times New Roman" w:cs="Times New Roman"/>
                <w:sz w:val="18"/>
                <w:szCs w:val="18"/>
              </w:rPr>
              <w:t>a</w:t>
            </w:r>
          </w:p>
        </w:tc>
        <w:tc>
          <w:tcPr>
            <w:tcW w:w="1874" w:type="dxa"/>
          </w:tcPr>
          <w:p w14:paraId="2153E500" w14:textId="0268D92A" w:rsidR="003C496D" w:rsidRPr="00753B95" w:rsidRDefault="003C496D" w:rsidP="002A6CDC">
            <w:pPr>
              <w:rPr>
                <w:rFonts w:ascii="Times New Roman" w:hAnsi="Times New Roman" w:cs="Times New Roman"/>
              </w:rPr>
            </w:pPr>
            <w:r w:rsidRPr="00753B95">
              <w:rPr>
                <w:rFonts w:ascii="Times New Roman" w:hAnsi="Times New Roman" w:cs="Times New Roman"/>
              </w:rPr>
              <w:t>708b.103</w:t>
            </w:r>
          </w:p>
        </w:tc>
        <w:tc>
          <w:tcPr>
            <w:tcW w:w="1254" w:type="dxa"/>
          </w:tcPr>
          <w:p w14:paraId="2A84F15D" w14:textId="578736B4"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96" w:type="dxa"/>
          </w:tcPr>
          <w:p w14:paraId="492C57BF" w14:textId="77CE3C3C"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tcPr>
          <w:p w14:paraId="6600B498" w14:textId="20E209BE"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tcPr>
          <w:p w14:paraId="452F27DB" w14:textId="3DE9C5BB" w:rsidR="003C496D" w:rsidRPr="00753B95" w:rsidRDefault="003C496D" w:rsidP="00B951AF">
            <w:pPr>
              <w:jc w:val="center"/>
              <w:rPr>
                <w:rFonts w:ascii="Times New Roman" w:hAnsi="Times New Roman" w:cs="Times New Roman"/>
              </w:rPr>
            </w:pPr>
            <w:r w:rsidRPr="00753B95">
              <w:rPr>
                <w:rFonts w:ascii="Times New Roman" w:hAnsi="Times New Roman" w:cs="Times New Roman"/>
              </w:rPr>
              <w:t>15</w:t>
            </w:r>
            <w:r>
              <w:rPr>
                <w:rFonts w:ascii="Times New Roman" w:hAnsi="Times New Roman" w:cs="Times New Roman"/>
              </w:rPr>
              <w:t xml:space="preserve"> </w:t>
            </w:r>
          </w:p>
        </w:tc>
        <w:tc>
          <w:tcPr>
            <w:tcW w:w="1260" w:type="dxa"/>
          </w:tcPr>
          <w:p w14:paraId="3D18E4DC" w14:textId="7B654A16" w:rsidR="003C496D" w:rsidRPr="00753B95" w:rsidRDefault="003C496D" w:rsidP="00382444">
            <w:pPr>
              <w:jc w:val="right"/>
              <w:rPr>
                <w:rFonts w:ascii="Times New Roman" w:hAnsi="Times New Roman" w:cs="Times New Roman"/>
              </w:rPr>
            </w:pPr>
            <w:r>
              <w:rPr>
                <w:rFonts w:ascii="Times New Roman" w:hAnsi="Times New Roman" w:cs="Times New Roman"/>
              </w:rPr>
              <w:t>3,210</w:t>
            </w:r>
          </w:p>
        </w:tc>
        <w:tc>
          <w:tcPr>
            <w:tcW w:w="1486" w:type="dxa"/>
          </w:tcPr>
          <w:p w14:paraId="3BCE05DC" w14:textId="51B14C42" w:rsidR="003C496D" w:rsidRPr="00753B95" w:rsidRDefault="003C496D" w:rsidP="00382444">
            <w:pPr>
              <w:jc w:val="right"/>
              <w:rPr>
                <w:rFonts w:ascii="Times New Roman" w:hAnsi="Times New Roman" w:cs="Times New Roman"/>
              </w:rPr>
            </w:pPr>
            <w:r w:rsidRPr="00753B95">
              <w:rPr>
                <w:rFonts w:ascii="Times New Roman" w:hAnsi="Times New Roman" w:cs="Times New Roman"/>
              </w:rPr>
              <w:t>$</w:t>
            </w:r>
            <w:r>
              <w:rPr>
                <w:rFonts w:ascii="Times New Roman" w:hAnsi="Times New Roman" w:cs="Times New Roman"/>
              </w:rPr>
              <w:t>112,350</w:t>
            </w:r>
          </w:p>
        </w:tc>
      </w:tr>
      <w:tr w:rsidR="003C496D" w:rsidRPr="00753B95" w14:paraId="09455BED" w14:textId="77777777" w:rsidTr="003C496D">
        <w:tc>
          <w:tcPr>
            <w:tcW w:w="319" w:type="dxa"/>
          </w:tcPr>
          <w:p w14:paraId="034D9E33" w14:textId="2BCD5189" w:rsidR="003C496D" w:rsidRPr="003C496D" w:rsidRDefault="003C496D" w:rsidP="002A6CDC">
            <w:pPr>
              <w:rPr>
                <w:rFonts w:ascii="Times New Roman" w:hAnsi="Times New Roman" w:cs="Times New Roman"/>
                <w:sz w:val="18"/>
                <w:szCs w:val="18"/>
              </w:rPr>
            </w:pPr>
            <w:r>
              <w:rPr>
                <w:rFonts w:ascii="Times New Roman" w:hAnsi="Times New Roman" w:cs="Times New Roman"/>
                <w:sz w:val="18"/>
                <w:szCs w:val="18"/>
              </w:rPr>
              <w:t>b</w:t>
            </w:r>
          </w:p>
        </w:tc>
        <w:tc>
          <w:tcPr>
            <w:tcW w:w="1874" w:type="dxa"/>
          </w:tcPr>
          <w:p w14:paraId="0EE67FEF" w14:textId="75E8E95D" w:rsidR="003C496D" w:rsidRPr="00753B95" w:rsidRDefault="003C496D" w:rsidP="002A6CDC">
            <w:pPr>
              <w:rPr>
                <w:rFonts w:ascii="Times New Roman" w:hAnsi="Times New Roman" w:cs="Times New Roman"/>
              </w:rPr>
            </w:pPr>
            <w:r w:rsidRPr="00753B95">
              <w:rPr>
                <w:rFonts w:ascii="Times New Roman" w:hAnsi="Times New Roman" w:cs="Times New Roman"/>
              </w:rPr>
              <w:t>708b.104</w:t>
            </w:r>
          </w:p>
        </w:tc>
        <w:tc>
          <w:tcPr>
            <w:tcW w:w="1254" w:type="dxa"/>
          </w:tcPr>
          <w:p w14:paraId="3BC69E29" w14:textId="373A3DDE"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96" w:type="dxa"/>
          </w:tcPr>
          <w:p w14:paraId="4DAE566C" w14:textId="4C535B31"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tcPr>
          <w:p w14:paraId="29495742" w14:textId="034738CD"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tcPr>
          <w:p w14:paraId="34364AAC" w14:textId="34DE52D9" w:rsidR="003C496D" w:rsidRPr="00753B95" w:rsidRDefault="003C496D" w:rsidP="00B951AF">
            <w:pPr>
              <w:jc w:val="center"/>
              <w:rPr>
                <w:rFonts w:ascii="Times New Roman" w:hAnsi="Times New Roman" w:cs="Times New Roman"/>
              </w:rPr>
            </w:pPr>
            <w:r w:rsidRPr="00753B95">
              <w:rPr>
                <w:rFonts w:ascii="Times New Roman" w:hAnsi="Times New Roman" w:cs="Times New Roman"/>
              </w:rPr>
              <w:t>5</w:t>
            </w:r>
            <w:r>
              <w:rPr>
                <w:rFonts w:ascii="Times New Roman" w:hAnsi="Times New Roman" w:cs="Times New Roman"/>
              </w:rPr>
              <w:t xml:space="preserve"> </w:t>
            </w:r>
          </w:p>
        </w:tc>
        <w:tc>
          <w:tcPr>
            <w:tcW w:w="1260" w:type="dxa"/>
          </w:tcPr>
          <w:p w14:paraId="21DB6F5E" w14:textId="0EFE81EA" w:rsidR="003C496D" w:rsidRPr="00753B95" w:rsidRDefault="003C496D" w:rsidP="00382444">
            <w:pPr>
              <w:jc w:val="right"/>
              <w:rPr>
                <w:rFonts w:ascii="Times New Roman" w:hAnsi="Times New Roman" w:cs="Times New Roman"/>
              </w:rPr>
            </w:pPr>
            <w:r>
              <w:rPr>
                <w:rFonts w:ascii="Times New Roman" w:hAnsi="Times New Roman" w:cs="Times New Roman"/>
              </w:rPr>
              <w:t>1,070</w:t>
            </w:r>
          </w:p>
        </w:tc>
        <w:tc>
          <w:tcPr>
            <w:tcW w:w="1486" w:type="dxa"/>
          </w:tcPr>
          <w:p w14:paraId="59BB80B4" w14:textId="3E9B26C2" w:rsidR="003C496D" w:rsidRPr="00753B95" w:rsidRDefault="003C496D" w:rsidP="00382444">
            <w:pPr>
              <w:jc w:val="right"/>
              <w:rPr>
                <w:rFonts w:ascii="Times New Roman" w:hAnsi="Times New Roman" w:cs="Times New Roman"/>
              </w:rPr>
            </w:pPr>
            <w:r>
              <w:rPr>
                <w:rFonts w:ascii="Times New Roman" w:hAnsi="Times New Roman" w:cs="Times New Roman"/>
              </w:rPr>
              <w:t>$37,450</w:t>
            </w:r>
          </w:p>
        </w:tc>
      </w:tr>
      <w:tr w:rsidR="003C496D" w:rsidRPr="00753B95" w14:paraId="5F790514" w14:textId="77777777" w:rsidTr="003C496D">
        <w:tc>
          <w:tcPr>
            <w:tcW w:w="319" w:type="dxa"/>
          </w:tcPr>
          <w:p w14:paraId="3C910FA0" w14:textId="378D54D7" w:rsidR="003C496D" w:rsidRPr="003C496D" w:rsidRDefault="003C496D" w:rsidP="002A6CDC">
            <w:pPr>
              <w:rPr>
                <w:rFonts w:ascii="Times New Roman" w:hAnsi="Times New Roman" w:cs="Times New Roman"/>
                <w:sz w:val="18"/>
                <w:szCs w:val="18"/>
              </w:rPr>
            </w:pPr>
            <w:r>
              <w:rPr>
                <w:rFonts w:ascii="Times New Roman" w:hAnsi="Times New Roman" w:cs="Times New Roman"/>
                <w:sz w:val="18"/>
                <w:szCs w:val="18"/>
              </w:rPr>
              <w:t>c</w:t>
            </w:r>
          </w:p>
        </w:tc>
        <w:tc>
          <w:tcPr>
            <w:tcW w:w="1874" w:type="dxa"/>
          </w:tcPr>
          <w:p w14:paraId="44E4411B" w14:textId="53BAB3D0" w:rsidR="003C496D" w:rsidRPr="00753B95" w:rsidRDefault="003C496D" w:rsidP="002A6CDC">
            <w:pPr>
              <w:rPr>
                <w:rFonts w:ascii="Times New Roman" w:hAnsi="Times New Roman" w:cs="Times New Roman"/>
              </w:rPr>
            </w:pPr>
            <w:r w:rsidRPr="00753B95">
              <w:rPr>
                <w:rFonts w:ascii="Times New Roman" w:hAnsi="Times New Roman" w:cs="Times New Roman"/>
              </w:rPr>
              <w:t>708b.206</w:t>
            </w:r>
          </w:p>
        </w:tc>
        <w:tc>
          <w:tcPr>
            <w:tcW w:w="1254" w:type="dxa"/>
          </w:tcPr>
          <w:p w14:paraId="03A27085" w14:textId="2EDB7D54"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96" w:type="dxa"/>
          </w:tcPr>
          <w:p w14:paraId="09C34B47" w14:textId="501D25D3"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tcPr>
          <w:p w14:paraId="4B195DED" w14:textId="5E5AB017"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tcPr>
          <w:p w14:paraId="242B95AC" w14:textId="0940E513" w:rsidR="003C496D" w:rsidRPr="00753B95" w:rsidRDefault="003C496D" w:rsidP="00B951AF">
            <w:pPr>
              <w:jc w:val="center"/>
              <w:rPr>
                <w:rFonts w:ascii="Times New Roman" w:hAnsi="Times New Roman" w:cs="Times New Roman"/>
              </w:rPr>
            </w:pPr>
            <w:r w:rsidRPr="00753B95">
              <w:rPr>
                <w:rFonts w:ascii="Times New Roman" w:hAnsi="Times New Roman" w:cs="Times New Roman"/>
              </w:rPr>
              <w:t>2</w:t>
            </w:r>
          </w:p>
        </w:tc>
        <w:tc>
          <w:tcPr>
            <w:tcW w:w="1260" w:type="dxa"/>
          </w:tcPr>
          <w:p w14:paraId="3719A7C6" w14:textId="2F5FD1FB" w:rsidR="003C496D" w:rsidRPr="00753B95" w:rsidRDefault="003C496D" w:rsidP="00382444">
            <w:pPr>
              <w:jc w:val="right"/>
              <w:rPr>
                <w:rFonts w:ascii="Times New Roman" w:hAnsi="Times New Roman" w:cs="Times New Roman"/>
              </w:rPr>
            </w:pPr>
            <w:r>
              <w:rPr>
                <w:rFonts w:ascii="Times New Roman" w:hAnsi="Times New Roman" w:cs="Times New Roman"/>
              </w:rPr>
              <w:t>428</w:t>
            </w:r>
          </w:p>
        </w:tc>
        <w:tc>
          <w:tcPr>
            <w:tcW w:w="1486" w:type="dxa"/>
          </w:tcPr>
          <w:p w14:paraId="14E99154" w14:textId="26B5BF06" w:rsidR="003C496D" w:rsidRPr="00753B95" w:rsidRDefault="003C496D" w:rsidP="00382444">
            <w:pPr>
              <w:jc w:val="right"/>
              <w:rPr>
                <w:rFonts w:ascii="Times New Roman" w:hAnsi="Times New Roman" w:cs="Times New Roman"/>
              </w:rPr>
            </w:pPr>
            <w:r>
              <w:rPr>
                <w:rFonts w:ascii="Times New Roman" w:hAnsi="Times New Roman" w:cs="Times New Roman"/>
              </w:rPr>
              <w:t>$14,980</w:t>
            </w:r>
          </w:p>
        </w:tc>
      </w:tr>
      <w:tr w:rsidR="003C496D" w:rsidRPr="00753B95" w14:paraId="0E0B2C29" w14:textId="77777777" w:rsidTr="003C496D">
        <w:tc>
          <w:tcPr>
            <w:tcW w:w="319" w:type="dxa"/>
          </w:tcPr>
          <w:p w14:paraId="46FE9657" w14:textId="4608BF1D" w:rsidR="003C496D" w:rsidRPr="003C496D" w:rsidRDefault="003C496D" w:rsidP="00157D13">
            <w:pPr>
              <w:rPr>
                <w:rFonts w:ascii="Times New Roman" w:hAnsi="Times New Roman" w:cs="Times New Roman"/>
                <w:sz w:val="18"/>
                <w:szCs w:val="18"/>
              </w:rPr>
            </w:pPr>
            <w:r w:rsidRPr="003C496D">
              <w:rPr>
                <w:rFonts w:ascii="Times New Roman" w:hAnsi="Times New Roman" w:cs="Times New Roman"/>
                <w:sz w:val="18"/>
                <w:szCs w:val="18"/>
              </w:rPr>
              <w:t>d</w:t>
            </w:r>
          </w:p>
        </w:tc>
        <w:tc>
          <w:tcPr>
            <w:tcW w:w="1874" w:type="dxa"/>
          </w:tcPr>
          <w:p w14:paraId="40C4A7A2" w14:textId="24114E89" w:rsidR="003C496D" w:rsidRPr="00753B95" w:rsidRDefault="003C496D" w:rsidP="00157D13">
            <w:pPr>
              <w:rPr>
                <w:rFonts w:ascii="Times New Roman" w:hAnsi="Times New Roman" w:cs="Times New Roman"/>
              </w:rPr>
            </w:pPr>
            <w:r w:rsidRPr="00753B95">
              <w:rPr>
                <w:rFonts w:ascii="Times New Roman" w:hAnsi="Times New Roman" w:cs="Times New Roman"/>
              </w:rPr>
              <w:t>708b.106, 708b.303(a) and (b)</w:t>
            </w:r>
          </w:p>
        </w:tc>
        <w:tc>
          <w:tcPr>
            <w:tcW w:w="1254" w:type="dxa"/>
          </w:tcPr>
          <w:p w14:paraId="535FC3BF" w14:textId="52290EA5"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96" w:type="dxa"/>
          </w:tcPr>
          <w:p w14:paraId="1BE564AF" w14:textId="19A0C014"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tcPr>
          <w:p w14:paraId="3CB09C08" w14:textId="58225539"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tcPr>
          <w:p w14:paraId="4A544F70" w14:textId="46F57F41" w:rsidR="003C496D" w:rsidRPr="00753B95" w:rsidRDefault="003C496D" w:rsidP="00B951AF">
            <w:pPr>
              <w:jc w:val="center"/>
              <w:rPr>
                <w:rFonts w:ascii="Times New Roman" w:hAnsi="Times New Roman" w:cs="Times New Roman"/>
              </w:rPr>
            </w:pPr>
            <w:r w:rsidRPr="00753B95">
              <w:rPr>
                <w:rFonts w:ascii="Times New Roman" w:hAnsi="Times New Roman" w:cs="Times New Roman"/>
              </w:rPr>
              <w:t>7</w:t>
            </w:r>
          </w:p>
        </w:tc>
        <w:tc>
          <w:tcPr>
            <w:tcW w:w="1260" w:type="dxa"/>
          </w:tcPr>
          <w:p w14:paraId="1F784891" w14:textId="6656E904" w:rsidR="003C496D" w:rsidRPr="00753B95" w:rsidRDefault="003C496D" w:rsidP="00382444">
            <w:pPr>
              <w:jc w:val="right"/>
              <w:rPr>
                <w:rFonts w:ascii="Times New Roman" w:hAnsi="Times New Roman" w:cs="Times New Roman"/>
              </w:rPr>
            </w:pPr>
            <w:r>
              <w:rPr>
                <w:rFonts w:ascii="Times New Roman" w:hAnsi="Times New Roman" w:cs="Times New Roman"/>
              </w:rPr>
              <w:t>1,498</w:t>
            </w:r>
          </w:p>
        </w:tc>
        <w:tc>
          <w:tcPr>
            <w:tcW w:w="1486" w:type="dxa"/>
          </w:tcPr>
          <w:p w14:paraId="4F97CFC9" w14:textId="67A386D2" w:rsidR="003C496D" w:rsidRPr="00753B95" w:rsidRDefault="003C496D" w:rsidP="00382444">
            <w:pPr>
              <w:jc w:val="right"/>
              <w:rPr>
                <w:rFonts w:ascii="Times New Roman" w:hAnsi="Times New Roman" w:cs="Times New Roman"/>
              </w:rPr>
            </w:pPr>
            <w:r>
              <w:rPr>
                <w:rFonts w:ascii="Times New Roman" w:hAnsi="Times New Roman" w:cs="Times New Roman"/>
              </w:rPr>
              <w:t>$52,430</w:t>
            </w:r>
          </w:p>
        </w:tc>
      </w:tr>
      <w:tr w:rsidR="003C496D" w:rsidRPr="00753B95" w14:paraId="750290F9" w14:textId="77777777" w:rsidTr="003C496D">
        <w:tc>
          <w:tcPr>
            <w:tcW w:w="319" w:type="dxa"/>
          </w:tcPr>
          <w:p w14:paraId="68A53AE7" w14:textId="7214651F" w:rsidR="003C496D" w:rsidRPr="003C496D" w:rsidRDefault="003C496D" w:rsidP="002A6CDC">
            <w:pPr>
              <w:rPr>
                <w:rFonts w:ascii="Times New Roman" w:hAnsi="Times New Roman" w:cs="Times New Roman"/>
                <w:sz w:val="18"/>
                <w:szCs w:val="18"/>
              </w:rPr>
            </w:pPr>
            <w:r w:rsidRPr="003C496D">
              <w:rPr>
                <w:rFonts w:ascii="Times New Roman" w:hAnsi="Times New Roman" w:cs="Times New Roman"/>
                <w:sz w:val="18"/>
                <w:szCs w:val="18"/>
              </w:rPr>
              <w:t>e</w:t>
            </w:r>
          </w:p>
        </w:tc>
        <w:tc>
          <w:tcPr>
            <w:tcW w:w="1874" w:type="dxa"/>
          </w:tcPr>
          <w:p w14:paraId="5DA9E813" w14:textId="2FDA66C4" w:rsidR="003C496D" w:rsidRPr="00753B95" w:rsidRDefault="003C496D" w:rsidP="002A6CDC">
            <w:pPr>
              <w:rPr>
                <w:rFonts w:ascii="Times New Roman" w:hAnsi="Times New Roman" w:cs="Times New Roman"/>
              </w:rPr>
            </w:pPr>
            <w:r w:rsidRPr="00753B95">
              <w:rPr>
                <w:rFonts w:ascii="Times New Roman" w:hAnsi="Times New Roman" w:cs="Times New Roman"/>
              </w:rPr>
              <w:t>708b.107, 708b.303(c)</w:t>
            </w:r>
          </w:p>
        </w:tc>
        <w:tc>
          <w:tcPr>
            <w:tcW w:w="1254" w:type="dxa"/>
          </w:tcPr>
          <w:p w14:paraId="5A39102B" w14:textId="4F9CAAAC"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96" w:type="dxa"/>
          </w:tcPr>
          <w:p w14:paraId="5A2E37B5" w14:textId="531FBF19"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tcPr>
          <w:p w14:paraId="7485F62D" w14:textId="382C47A5"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tcPr>
          <w:p w14:paraId="3A1BFEC9" w14:textId="03F2FDCC" w:rsidR="003C496D" w:rsidRPr="00753B95" w:rsidRDefault="003C496D" w:rsidP="00B951AF">
            <w:pPr>
              <w:jc w:val="center"/>
              <w:rPr>
                <w:rFonts w:ascii="Times New Roman" w:hAnsi="Times New Roman" w:cs="Times New Roman"/>
              </w:rPr>
            </w:pPr>
            <w:r w:rsidRPr="00753B95">
              <w:rPr>
                <w:rFonts w:ascii="Times New Roman" w:hAnsi="Times New Roman" w:cs="Times New Roman"/>
              </w:rPr>
              <w:t>1</w:t>
            </w:r>
          </w:p>
        </w:tc>
        <w:tc>
          <w:tcPr>
            <w:tcW w:w="1260" w:type="dxa"/>
          </w:tcPr>
          <w:p w14:paraId="5F0A2B4D" w14:textId="22283DF9" w:rsidR="003C496D" w:rsidRPr="00753B95" w:rsidRDefault="003C496D" w:rsidP="00382444">
            <w:pPr>
              <w:jc w:val="right"/>
              <w:rPr>
                <w:rFonts w:ascii="Times New Roman" w:hAnsi="Times New Roman" w:cs="Times New Roman"/>
              </w:rPr>
            </w:pPr>
            <w:r>
              <w:rPr>
                <w:rFonts w:ascii="Times New Roman" w:hAnsi="Times New Roman" w:cs="Times New Roman"/>
              </w:rPr>
              <w:t>214</w:t>
            </w:r>
          </w:p>
        </w:tc>
        <w:tc>
          <w:tcPr>
            <w:tcW w:w="1486" w:type="dxa"/>
          </w:tcPr>
          <w:p w14:paraId="49A25E25" w14:textId="519EB4E0" w:rsidR="003C496D" w:rsidRPr="00753B95" w:rsidRDefault="003C496D" w:rsidP="00382444">
            <w:pPr>
              <w:jc w:val="right"/>
              <w:rPr>
                <w:rFonts w:ascii="Times New Roman" w:hAnsi="Times New Roman" w:cs="Times New Roman"/>
              </w:rPr>
            </w:pPr>
            <w:r>
              <w:rPr>
                <w:rFonts w:ascii="Times New Roman" w:hAnsi="Times New Roman" w:cs="Times New Roman"/>
              </w:rPr>
              <w:t>$7,490</w:t>
            </w:r>
          </w:p>
        </w:tc>
      </w:tr>
      <w:tr w:rsidR="003C496D" w:rsidRPr="00753B95" w14:paraId="4855188F" w14:textId="77777777" w:rsidTr="003C496D">
        <w:tc>
          <w:tcPr>
            <w:tcW w:w="319" w:type="dxa"/>
          </w:tcPr>
          <w:p w14:paraId="74B27138" w14:textId="06D6F03B" w:rsidR="003C496D" w:rsidRPr="003C496D" w:rsidRDefault="003C496D" w:rsidP="002A6CDC">
            <w:pPr>
              <w:rPr>
                <w:rFonts w:ascii="Times New Roman" w:hAnsi="Times New Roman" w:cs="Times New Roman"/>
                <w:sz w:val="18"/>
                <w:szCs w:val="18"/>
              </w:rPr>
            </w:pPr>
            <w:r w:rsidRPr="003C496D">
              <w:rPr>
                <w:rFonts w:ascii="Times New Roman" w:hAnsi="Times New Roman" w:cs="Times New Roman"/>
                <w:sz w:val="18"/>
                <w:szCs w:val="18"/>
              </w:rPr>
              <w:t>f</w:t>
            </w:r>
          </w:p>
        </w:tc>
        <w:tc>
          <w:tcPr>
            <w:tcW w:w="1874" w:type="dxa"/>
          </w:tcPr>
          <w:p w14:paraId="7E8090FF" w14:textId="25D1979F" w:rsidR="003C496D" w:rsidRPr="00753B95" w:rsidRDefault="003C496D" w:rsidP="002A6CDC">
            <w:pPr>
              <w:rPr>
                <w:rFonts w:ascii="Times New Roman" w:hAnsi="Times New Roman" w:cs="Times New Roman"/>
              </w:rPr>
            </w:pPr>
            <w:r w:rsidRPr="00753B95">
              <w:rPr>
                <w:rFonts w:ascii="Times New Roman" w:hAnsi="Times New Roman" w:cs="Times New Roman"/>
              </w:rPr>
              <w:t>708b.108</w:t>
            </w:r>
          </w:p>
        </w:tc>
        <w:tc>
          <w:tcPr>
            <w:tcW w:w="1254" w:type="dxa"/>
          </w:tcPr>
          <w:p w14:paraId="2547803F" w14:textId="361713CF"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96" w:type="dxa"/>
          </w:tcPr>
          <w:p w14:paraId="430FC33C" w14:textId="1BFF3B2D"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tcPr>
          <w:p w14:paraId="494ECD02" w14:textId="15C559EA"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tcPr>
          <w:p w14:paraId="4EC1A02D" w14:textId="298DEC70" w:rsidR="003C496D" w:rsidRPr="00753B95" w:rsidRDefault="003C496D" w:rsidP="00B951AF">
            <w:pPr>
              <w:jc w:val="center"/>
              <w:rPr>
                <w:rFonts w:ascii="Times New Roman" w:hAnsi="Times New Roman" w:cs="Times New Roman"/>
              </w:rPr>
            </w:pPr>
            <w:r w:rsidRPr="00753B95">
              <w:rPr>
                <w:rFonts w:ascii="Times New Roman" w:hAnsi="Times New Roman" w:cs="Times New Roman"/>
              </w:rPr>
              <w:t>1</w:t>
            </w:r>
          </w:p>
        </w:tc>
        <w:tc>
          <w:tcPr>
            <w:tcW w:w="1260" w:type="dxa"/>
          </w:tcPr>
          <w:p w14:paraId="752AADD8" w14:textId="6B5EC222" w:rsidR="003C496D" w:rsidRPr="00753B95" w:rsidRDefault="003C496D" w:rsidP="00382444">
            <w:pPr>
              <w:jc w:val="right"/>
              <w:rPr>
                <w:rFonts w:ascii="Times New Roman" w:hAnsi="Times New Roman" w:cs="Times New Roman"/>
              </w:rPr>
            </w:pPr>
            <w:r>
              <w:rPr>
                <w:rFonts w:ascii="Times New Roman" w:hAnsi="Times New Roman" w:cs="Times New Roman"/>
              </w:rPr>
              <w:t>214</w:t>
            </w:r>
          </w:p>
        </w:tc>
        <w:tc>
          <w:tcPr>
            <w:tcW w:w="1486" w:type="dxa"/>
          </w:tcPr>
          <w:p w14:paraId="483585A6" w14:textId="375FD8F3" w:rsidR="003C496D" w:rsidRPr="00753B95" w:rsidRDefault="003C496D" w:rsidP="00382444">
            <w:pPr>
              <w:jc w:val="right"/>
              <w:rPr>
                <w:rFonts w:ascii="Times New Roman" w:hAnsi="Times New Roman" w:cs="Times New Roman"/>
              </w:rPr>
            </w:pPr>
            <w:r>
              <w:rPr>
                <w:rFonts w:ascii="Times New Roman" w:hAnsi="Times New Roman" w:cs="Times New Roman"/>
              </w:rPr>
              <w:t>$7,490</w:t>
            </w:r>
          </w:p>
        </w:tc>
      </w:tr>
      <w:tr w:rsidR="003C496D" w:rsidRPr="00753B95" w14:paraId="49AAD9AC" w14:textId="77777777" w:rsidTr="003C496D">
        <w:tc>
          <w:tcPr>
            <w:tcW w:w="319" w:type="dxa"/>
          </w:tcPr>
          <w:p w14:paraId="4BF0720D" w14:textId="424BEFFF" w:rsidR="003C496D" w:rsidRPr="003C496D" w:rsidRDefault="003C496D" w:rsidP="002A6CDC">
            <w:pPr>
              <w:rPr>
                <w:rFonts w:ascii="Times New Roman" w:hAnsi="Times New Roman" w:cs="Times New Roman"/>
                <w:sz w:val="18"/>
                <w:szCs w:val="18"/>
              </w:rPr>
            </w:pPr>
            <w:r w:rsidRPr="003C496D">
              <w:rPr>
                <w:rFonts w:ascii="Times New Roman" w:hAnsi="Times New Roman" w:cs="Times New Roman"/>
                <w:sz w:val="18"/>
                <w:szCs w:val="18"/>
              </w:rPr>
              <w:t>g</w:t>
            </w:r>
          </w:p>
        </w:tc>
        <w:tc>
          <w:tcPr>
            <w:tcW w:w="1874" w:type="dxa"/>
          </w:tcPr>
          <w:p w14:paraId="039BF06F" w14:textId="7CAE75F7" w:rsidR="003C496D" w:rsidRPr="00753B95" w:rsidRDefault="003C496D" w:rsidP="002A6CDC">
            <w:pPr>
              <w:rPr>
                <w:rFonts w:ascii="Times New Roman" w:hAnsi="Times New Roman" w:cs="Times New Roman"/>
              </w:rPr>
            </w:pPr>
            <w:r w:rsidRPr="00753B95">
              <w:rPr>
                <w:rFonts w:ascii="Times New Roman" w:hAnsi="Times New Roman" w:cs="Times New Roman"/>
              </w:rPr>
              <w:t>708b.101(e)</w:t>
            </w:r>
          </w:p>
        </w:tc>
        <w:tc>
          <w:tcPr>
            <w:tcW w:w="1254" w:type="dxa"/>
          </w:tcPr>
          <w:p w14:paraId="10637492" w14:textId="27606BCB"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96" w:type="dxa"/>
          </w:tcPr>
          <w:p w14:paraId="527BB8E3" w14:textId="44B45C47"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tcPr>
          <w:p w14:paraId="1423D410" w14:textId="4F1718BC"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tcPr>
          <w:p w14:paraId="6F70D0FA" w14:textId="5644F698" w:rsidR="003C496D" w:rsidRPr="00753B95" w:rsidRDefault="003C496D" w:rsidP="00B951AF">
            <w:pPr>
              <w:jc w:val="center"/>
              <w:rPr>
                <w:rFonts w:ascii="Times New Roman" w:hAnsi="Times New Roman" w:cs="Times New Roman"/>
              </w:rPr>
            </w:pPr>
            <w:r w:rsidRPr="00753B95">
              <w:rPr>
                <w:rFonts w:ascii="Times New Roman" w:hAnsi="Times New Roman" w:cs="Times New Roman"/>
              </w:rPr>
              <w:t>4</w:t>
            </w:r>
          </w:p>
        </w:tc>
        <w:tc>
          <w:tcPr>
            <w:tcW w:w="1260" w:type="dxa"/>
          </w:tcPr>
          <w:p w14:paraId="560DF1F7" w14:textId="55E3B121" w:rsidR="003C496D" w:rsidRPr="00753B95" w:rsidRDefault="003C496D" w:rsidP="00382444">
            <w:pPr>
              <w:jc w:val="right"/>
              <w:rPr>
                <w:rFonts w:ascii="Times New Roman" w:hAnsi="Times New Roman" w:cs="Times New Roman"/>
              </w:rPr>
            </w:pPr>
            <w:r>
              <w:rPr>
                <w:rFonts w:ascii="Times New Roman" w:hAnsi="Times New Roman" w:cs="Times New Roman"/>
              </w:rPr>
              <w:t>856</w:t>
            </w:r>
          </w:p>
        </w:tc>
        <w:tc>
          <w:tcPr>
            <w:tcW w:w="1486" w:type="dxa"/>
          </w:tcPr>
          <w:p w14:paraId="123D030E" w14:textId="4A9C2EBF" w:rsidR="003C496D" w:rsidRPr="00753B95" w:rsidRDefault="003C496D" w:rsidP="00382444">
            <w:pPr>
              <w:jc w:val="right"/>
              <w:rPr>
                <w:rFonts w:ascii="Times New Roman" w:hAnsi="Times New Roman" w:cs="Times New Roman"/>
              </w:rPr>
            </w:pPr>
            <w:r>
              <w:rPr>
                <w:rFonts w:ascii="Times New Roman" w:hAnsi="Times New Roman" w:cs="Times New Roman"/>
              </w:rPr>
              <w:t>$29,960</w:t>
            </w:r>
          </w:p>
        </w:tc>
      </w:tr>
      <w:tr w:rsidR="00AA4FF2" w:rsidRPr="00753B95" w14:paraId="7D924DB0" w14:textId="77777777" w:rsidTr="00B378B8">
        <w:tc>
          <w:tcPr>
            <w:tcW w:w="2193" w:type="dxa"/>
            <w:gridSpan w:val="2"/>
            <w:tcBorders>
              <w:top w:val="single" w:sz="12" w:space="0" w:color="auto"/>
            </w:tcBorders>
          </w:tcPr>
          <w:p w14:paraId="11CDED21" w14:textId="2DDF0310" w:rsidR="00AA4FF2" w:rsidRPr="00753B95" w:rsidRDefault="00AA4FF2" w:rsidP="00AA4FF2">
            <w:pPr>
              <w:jc w:val="center"/>
              <w:rPr>
                <w:rFonts w:ascii="Times New Roman" w:hAnsi="Times New Roman" w:cs="Times New Roman"/>
              </w:rPr>
            </w:pPr>
            <w:r w:rsidRPr="00753B95">
              <w:rPr>
                <w:rFonts w:ascii="Times New Roman" w:hAnsi="Times New Roman" w:cs="Times New Roman"/>
              </w:rPr>
              <w:t>Subtotal</w:t>
            </w:r>
          </w:p>
        </w:tc>
        <w:tc>
          <w:tcPr>
            <w:tcW w:w="1254" w:type="dxa"/>
            <w:tcBorders>
              <w:top w:val="single" w:sz="12" w:space="0" w:color="auto"/>
            </w:tcBorders>
            <w:vAlign w:val="center"/>
          </w:tcPr>
          <w:p w14:paraId="240EBC5E" w14:textId="5476240B" w:rsidR="00AA4FF2" w:rsidRPr="00753B95" w:rsidRDefault="00AA4FF2" w:rsidP="002A6CDC">
            <w:pPr>
              <w:jc w:val="center"/>
              <w:rPr>
                <w:rFonts w:ascii="Times New Roman" w:hAnsi="Times New Roman" w:cs="Times New Roman"/>
              </w:rPr>
            </w:pPr>
            <w:r>
              <w:rPr>
                <w:rFonts w:ascii="Times New Roman" w:hAnsi="Times New Roman" w:cs="Times New Roman"/>
              </w:rPr>
              <w:t>214</w:t>
            </w:r>
          </w:p>
        </w:tc>
        <w:tc>
          <w:tcPr>
            <w:tcW w:w="1296" w:type="dxa"/>
            <w:tcBorders>
              <w:top w:val="single" w:sz="12" w:space="0" w:color="auto"/>
            </w:tcBorders>
            <w:vAlign w:val="center"/>
          </w:tcPr>
          <w:p w14:paraId="645D3086" w14:textId="7DE71043" w:rsidR="00AA4FF2" w:rsidRPr="00753B95" w:rsidRDefault="00AA4FF2" w:rsidP="002A6CDC">
            <w:pPr>
              <w:jc w:val="center"/>
              <w:rPr>
                <w:rFonts w:ascii="Times New Roman" w:hAnsi="Times New Roman" w:cs="Times New Roman"/>
              </w:rPr>
            </w:pPr>
          </w:p>
        </w:tc>
        <w:tc>
          <w:tcPr>
            <w:tcW w:w="1216" w:type="dxa"/>
            <w:tcBorders>
              <w:top w:val="single" w:sz="12" w:space="0" w:color="auto"/>
            </w:tcBorders>
            <w:vAlign w:val="center"/>
          </w:tcPr>
          <w:p w14:paraId="78409FB4" w14:textId="1D8BF854" w:rsidR="00AA4FF2" w:rsidRPr="003C496D" w:rsidRDefault="00AA4FF2" w:rsidP="002A6CDC">
            <w:pPr>
              <w:jc w:val="center"/>
              <w:rPr>
                <w:rFonts w:ascii="Times New Roman" w:hAnsi="Times New Roman" w:cs="Times New Roman"/>
              </w:rPr>
            </w:pPr>
            <w:r w:rsidRPr="003C496D">
              <w:rPr>
                <w:rFonts w:ascii="Times New Roman" w:hAnsi="Times New Roman" w:cs="Times New Roman"/>
              </w:rPr>
              <w:t>1,498</w:t>
            </w:r>
          </w:p>
        </w:tc>
        <w:tc>
          <w:tcPr>
            <w:tcW w:w="1066" w:type="dxa"/>
            <w:tcBorders>
              <w:top w:val="single" w:sz="12" w:space="0" w:color="auto"/>
            </w:tcBorders>
            <w:vAlign w:val="center"/>
          </w:tcPr>
          <w:p w14:paraId="661B5E5E" w14:textId="2467D214" w:rsidR="00AA4FF2" w:rsidRPr="00753B95" w:rsidRDefault="00AA4FF2" w:rsidP="00B951AF">
            <w:pPr>
              <w:jc w:val="center"/>
              <w:rPr>
                <w:rFonts w:ascii="Times New Roman" w:hAnsi="Times New Roman" w:cs="Times New Roman"/>
              </w:rPr>
            </w:pPr>
          </w:p>
        </w:tc>
        <w:tc>
          <w:tcPr>
            <w:tcW w:w="1260" w:type="dxa"/>
            <w:tcBorders>
              <w:top w:val="single" w:sz="12" w:space="0" w:color="auto"/>
            </w:tcBorders>
            <w:vAlign w:val="center"/>
          </w:tcPr>
          <w:p w14:paraId="4300263F" w14:textId="7888C4DD" w:rsidR="00AA4FF2" w:rsidRPr="00753B95" w:rsidRDefault="00AA4FF2" w:rsidP="00382444">
            <w:pPr>
              <w:jc w:val="right"/>
              <w:rPr>
                <w:rFonts w:ascii="Times New Roman" w:hAnsi="Times New Roman" w:cs="Times New Roman"/>
              </w:rPr>
            </w:pPr>
            <w:r>
              <w:rPr>
                <w:rFonts w:ascii="Times New Roman" w:hAnsi="Times New Roman" w:cs="Times New Roman"/>
              </w:rPr>
              <w:t>7,490</w:t>
            </w:r>
            <w:r w:rsidRPr="00753B95">
              <w:rPr>
                <w:rFonts w:ascii="Times New Roman" w:hAnsi="Times New Roman" w:cs="Times New Roman"/>
              </w:rPr>
              <w:t xml:space="preserve"> </w:t>
            </w:r>
          </w:p>
        </w:tc>
        <w:tc>
          <w:tcPr>
            <w:tcW w:w="1486" w:type="dxa"/>
            <w:tcBorders>
              <w:top w:val="single" w:sz="12" w:space="0" w:color="auto"/>
            </w:tcBorders>
            <w:vAlign w:val="center"/>
          </w:tcPr>
          <w:p w14:paraId="53945BCB" w14:textId="16AA30B6" w:rsidR="00AA4FF2" w:rsidRPr="00753B95" w:rsidRDefault="00AA4FF2" w:rsidP="00382444">
            <w:pPr>
              <w:jc w:val="right"/>
              <w:rPr>
                <w:rFonts w:ascii="Times New Roman" w:hAnsi="Times New Roman" w:cs="Times New Roman"/>
              </w:rPr>
            </w:pPr>
            <w:r>
              <w:rPr>
                <w:rFonts w:ascii="Times New Roman" w:hAnsi="Times New Roman" w:cs="Times New Roman"/>
              </w:rPr>
              <w:t>$262,150</w:t>
            </w:r>
          </w:p>
        </w:tc>
      </w:tr>
    </w:tbl>
    <w:p w14:paraId="5EC7A6DB" w14:textId="77777777" w:rsidR="006D462A" w:rsidRDefault="006D462A" w:rsidP="00940951">
      <w:pPr>
        <w:pStyle w:val="NoSpacing"/>
        <w:rPr>
          <w:u w:val="single"/>
        </w:rPr>
      </w:pPr>
    </w:p>
    <w:p w14:paraId="512044FE" w14:textId="05F9BA04" w:rsidR="00E31E47" w:rsidRPr="00E31E47" w:rsidRDefault="00E31E47" w:rsidP="00940951">
      <w:pPr>
        <w:pStyle w:val="NoSpacing"/>
      </w:pPr>
      <w:r w:rsidRPr="00E31E47">
        <w:lastRenderedPageBreak/>
        <w:t>In cases where the continuing credit union is privately insured, the required merger documents include those discussing the insurance conversion.</w:t>
      </w:r>
    </w:p>
    <w:p w14:paraId="4E289570" w14:textId="77777777" w:rsidR="00E31E47" w:rsidRDefault="00E31E47" w:rsidP="00940951">
      <w:pPr>
        <w:pStyle w:val="NoSpacing"/>
        <w:rPr>
          <w:u w:val="single"/>
        </w:rPr>
      </w:pPr>
    </w:p>
    <w:p w14:paraId="66133530" w14:textId="77777777" w:rsidR="00B41267" w:rsidRPr="00B41267" w:rsidRDefault="00B41267" w:rsidP="00B41267">
      <w:pPr>
        <w:pStyle w:val="NoSpacing"/>
        <w:rPr>
          <w:b/>
          <w:u w:val="single"/>
        </w:rPr>
      </w:pPr>
      <w:r w:rsidRPr="00B41267">
        <w:rPr>
          <w:b/>
          <w:u w:val="single"/>
        </w:rPr>
        <w:t>IC 2.  Share Insurance Conversions</w:t>
      </w:r>
    </w:p>
    <w:p w14:paraId="779F4BDB" w14:textId="21AA8AF9" w:rsidR="006B2771" w:rsidRDefault="006B2771"/>
    <w:p w14:paraId="06718C3D" w14:textId="083858EA" w:rsidR="00B41267" w:rsidRPr="00753B95" w:rsidRDefault="00B41267" w:rsidP="00B41267">
      <w:pPr>
        <w:pStyle w:val="NoSpacing"/>
      </w:pPr>
      <w:r>
        <w:t>Approximately four</w:t>
      </w:r>
      <w:r w:rsidRPr="00753B95">
        <w:t xml:space="preserve"> credit unions each year engage in share insurance conversions outside of the merger context.  NCUA estimates there will be minimal burden in the form of collections of information, since </w:t>
      </w:r>
      <w:r w:rsidRPr="00A52969">
        <w:t>NCUA provides forms and form language in the regulation</w:t>
      </w:r>
      <w:r w:rsidRPr="00753B95">
        <w:t>.  NCUA estimates that it will take each credit u</w:t>
      </w:r>
      <w:r w:rsidR="00037B8F">
        <w:t>nion a total of approximately 15</w:t>
      </w:r>
      <w:r w:rsidRPr="00753B95">
        <w:t xml:space="preserve"> hours to:</w:t>
      </w:r>
    </w:p>
    <w:p w14:paraId="4D1DBAAE" w14:textId="77777777" w:rsidR="00B41267" w:rsidRPr="00753B95" w:rsidRDefault="00B41267" w:rsidP="00B41267">
      <w:pPr>
        <w:pStyle w:val="NoSpacing"/>
      </w:pPr>
    </w:p>
    <w:p w14:paraId="088F79BC" w14:textId="537FBB42" w:rsidR="00B41267" w:rsidRPr="00753B95" w:rsidRDefault="00B41267" w:rsidP="00B41267">
      <w:pPr>
        <w:pStyle w:val="NoSpacing"/>
        <w:numPr>
          <w:ilvl w:val="0"/>
          <w:numId w:val="11"/>
        </w:numPr>
      </w:pPr>
      <w:r w:rsidRPr="00753B95">
        <w:t>Prepare the required conversion documents and submit the required information to NCUA (§§708b.203, 708b.301(a))—4 hours;</w:t>
      </w:r>
    </w:p>
    <w:p w14:paraId="033DD095" w14:textId="77777777" w:rsidR="00B41267" w:rsidRPr="00753B95" w:rsidRDefault="00B41267" w:rsidP="00B41267">
      <w:pPr>
        <w:pStyle w:val="NoSpacing"/>
        <w:ind w:left="1080" w:hanging="360"/>
      </w:pPr>
    </w:p>
    <w:p w14:paraId="757788D7" w14:textId="455F8E65" w:rsidR="00B41267" w:rsidRPr="00753B95" w:rsidRDefault="00B41267" w:rsidP="00B41267">
      <w:pPr>
        <w:pStyle w:val="NoSpacing"/>
        <w:numPr>
          <w:ilvl w:val="0"/>
          <w:numId w:val="11"/>
        </w:numPr>
      </w:pPr>
      <w:r w:rsidRPr="00753B95">
        <w:t>Notify members of the proposed conversion and send them the ballot (§§</w:t>
      </w:r>
      <w:r w:rsidR="00037B8F">
        <w:t>708b.204, 708b.301(b) and (c))—7</w:t>
      </w:r>
      <w:r w:rsidRPr="00753B95">
        <w:t xml:space="preserve"> hours;</w:t>
      </w:r>
    </w:p>
    <w:p w14:paraId="05C9A077" w14:textId="77777777" w:rsidR="00B41267" w:rsidRPr="00753B95" w:rsidRDefault="00B41267" w:rsidP="00B41267">
      <w:pPr>
        <w:pStyle w:val="NoSpacing"/>
        <w:ind w:left="1080" w:hanging="360"/>
      </w:pPr>
    </w:p>
    <w:p w14:paraId="231D9F1E" w14:textId="2A261E66" w:rsidR="00B41267" w:rsidRPr="00753B95" w:rsidRDefault="00B41267" w:rsidP="00B41267">
      <w:pPr>
        <w:pStyle w:val="NoSpacing"/>
        <w:numPr>
          <w:ilvl w:val="0"/>
          <w:numId w:val="11"/>
        </w:numPr>
      </w:pPr>
      <w:r w:rsidRPr="00753B95">
        <w:t>Provide the required insurance disclosures in other communications that the credit union plans to send to its members (§708b.206)—2 hours;</w:t>
      </w:r>
    </w:p>
    <w:p w14:paraId="426E09FB" w14:textId="77777777" w:rsidR="00B41267" w:rsidRPr="00753B95" w:rsidRDefault="00B41267" w:rsidP="00B41267">
      <w:pPr>
        <w:pStyle w:val="NoSpacing"/>
        <w:ind w:left="1080" w:hanging="360"/>
      </w:pPr>
    </w:p>
    <w:p w14:paraId="1281B1FC" w14:textId="294FCF59" w:rsidR="00B41267" w:rsidRPr="00753B95" w:rsidRDefault="00B41267" w:rsidP="00B41267">
      <w:pPr>
        <w:pStyle w:val="NoSpacing"/>
        <w:numPr>
          <w:ilvl w:val="0"/>
          <w:numId w:val="11"/>
        </w:numPr>
      </w:pPr>
      <w:r w:rsidRPr="00753B95">
        <w:t>Notify NCUA of the results of the conversion vote (§708b.301(d))—1 hour; and</w:t>
      </w:r>
    </w:p>
    <w:p w14:paraId="1495D52F" w14:textId="77777777" w:rsidR="00B41267" w:rsidRPr="00753B95" w:rsidRDefault="00B41267" w:rsidP="00B41267">
      <w:pPr>
        <w:pStyle w:val="NoSpacing"/>
        <w:ind w:left="1080" w:hanging="360"/>
      </w:pPr>
    </w:p>
    <w:p w14:paraId="53202E3C" w14:textId="72A84EE2" w:rsidR="00B41267" w:rsidRPr="00753B95" w:rsidRDefault="00B41267" w:rsidP="00B41267">
      <w:pPr>
        <w:pStyle w:val="NoSpacing"/>
        <w:numPr>
          <w:ilvl w:val="0"/>
          <w:numId w:val="11"/>
        </w:numPr>
      </w:pPr>
      <w:r w:rsidRPr="00753B95">
        <w:t xml:space="preserve">Provide members notice of conversion of insurance (§708b.204(c))—1 hour. </w:t>
      </w:r>
    </w:p>
    <w:p w14:paraId="32186919" w14:textId="77777777" w:rsidR="00B41267" w:rsidRPr="00753B95" w:rsidRDefault="00B41267" w:rsidP="00B41267">
      <w:pPr>
        <w:pStyle w:val="NoSpacing"/>
      </w:pPr>
    </w:p>
    <w:p w14:paraId="6D84B022" w14:textId="77777777" w:rsidR="00B41267" w:rsidRPr="00753B95" w:rsidRDefault="00B41267" w:rsidP="00B41267">
      <w:pPr>
        <w:pStyle w:val="NoSpacing"/>
      </w:pPr>
      <w:r w:rsidRPr="00753B95">
        <w:t>The following table summarizes this information.</w:t>
      </w:r>
    </w:p>
    <w:p w14:paraId="352E1495" w14:textId="3D8C0BCB" w:rsidR="00A96632" w:rsidRPr="00753B95" w:rsidRDefault="00A96632" w:rsidP="00A96632">
      <w:pPr>
        <w:jc w:val="center"/>
      </w:pPr>
    </w:p>
    <w:tbl>
      <w:tblPr>
        <w:tblStyle w:val="TableGrid"/>
        <w:tblW w:w="9720" w:type="dxa"/>
        <w:tblInd w:w="-90" w:type="dxa"/>
        <w:tblLayout w:type="fixed"/>
        <w:tblLook w:val="04A0" w:firstRow="1" w:lastRow="0" w:firstColumn="1" w:lastColumn="0" w:noHBand="0" w:noVBand="1"/>
      </w:tblPr>
      <w:tblGrid>
        <w:gridCol w:w="270"/>
        <w:gridCol w:w="1890"/>
        <w:gridCol w:w="1350"/>
        <w:gridCol w:w="1260"/>
        <w:gridCol w:w="1170"/>
        <w:gridCol w:w="1080"/>
        <w:gridCol w:w="1260"/>
        <w:gridCol w:w="1440"/>
      </w:tblGrid>
      <w:tr w:rsidR="00AA4FF2" w:rsidRPr="00753B95" w14:paraId="22CC6C1D" w14:textId="77777777" w:rsidTr="00F27F56">
        <w:tc>
          <w:tcPr>
            <w:tcW w:w="270" w:type="dxa"/>
            <w:tcBorders>
              <w:top w:val="nil"/>
              <w:left w:val="nil"/>
              <w:bottom w:val="nil"/>
              <w:right w:val="single" w:sz="4" w:space="0" w:color="auto"/>
            </w:tcBorders>
          </w:tcPr>
          <w:p w14:paraId="0583E1B1" w14:textId="77777777" w:rsidR="00AA4FF2" w:rsidRPr="00077A56" w:rsidRDefault="00AA4FF2" w:rsidP="002A6CDC">
            <w:pPr>
              <w:jc w:val="center"/>
              <w:rPr>
                <w:sz w:val="18"/>
                <w:szCs w:val="18"/>
              </w:rPr>
            </w:pPr>
          </w:p>
        </w:tc>
        <w:tc>
          <w:tcPr>
            <w:tcW w:w="9450" w:type="dxa"/>
            <w:gridSpan w:val="7"/>
            <w:tcBorders>
              <w:left w:val="single" w:sz="4" w:space="0" w:color="auto"/>
            </w:tcBorders>
            <w:vAlign w:val="center"/>
          </w:tcPr>
          <w:p w14:paraId="48593ED6" w14:textId="0BCA2A3F" w:rsidR="00AA4FF2" w:rsidRPr="00AA4FF2" w:rsidRDefault="00AA4FF2" w:rsidP="00B41267">
            <w:pPr>
              <w:jc w:val="center"/>
              <w:rPr>
                <w:rFonts w:ascii="Times New Roman" w:hAnsi="Times New Roman" w:cs="Times New Roman"/>
              </w:rPr>
            </w:pPr>
            <w:r w:rsidRPr="00AA4FF2">
              <w:rPr>
                <w:rFonts w:ascii="Times New Roman" w:hAnsi="Times New Roman" w:cs="Times New Roman"/>
              </w:rPr>
              <w:t>Share Insurance Conversions</w:t>
            </w:r>
          </w:p>
        </w:tc>
      </w:tr>
      <w:tr w:rsidR="00B41267" w:rsidRPr="00753B95" w14:paraId="1F93F8AC" w14:textId="77777777" w:rsidTr="00F27F56">
        <w:tc>
          <w:tcPr>
            <w:tcW w:w="270" w:type="dxa"/>
            <w:tcBorders>
              <w:top w:val="nil"/>
              <w:left w:val="nil"/>
              <w:bottom w:val="single" w:sz="4" w:space="0" w:color="auto"/>
              <w:right w:val="single" w:sz="4" w:space="0" w:color="auto"/>
            </w:tcBorders>
          </w:tcPr>
          <w:p w14:paraId="35FFAEBA" w14:textId="77777777" w:rsidR="006B2771" w:rsidRPr="00077A56" w:rsidRDefault="006B2771" w:rsidP="002A6CDC">
            <w:pPr>
              <w:jc w:val="center"/>
              <w:rPr>
                <w:sz w:val="18"/>
                <w:szCs w:val="18"/>
              </w:rPr>
            </w:pPr>
          </w:p>
        </w:tc>
        <w:tc>
          <w:tcPr>
            <w:tcW w:w="1890" w:type="dxa"/>
            <w:tcBorders>
              <w:left w:val="single" w:sz="4" w:space="0" w:color="auto"/>
            </w:tcBorders>
            <w:vAlign w:val="center"/>
          </w:tcPr>
          <w:p w14:paraId="43D87411" w14:textId="40AD433D"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Information Collection Activity</w:t>
            </w:r>
          </w:p>
        </w:tc>
        <w:tc>
          <w:tcPr>
            <w:tcW w:w="1350" w:type="dxa"/>
            <w:vAlign w:val="center"/>
          </w:tcPr>
          <w:p w14:paraId="61E98525"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Annual Number of Respondents</w:t>
            </w:r>
          </w:p>
        </w:tc>
        <w:tc>
          <w:tcPr>
            <w:tcW w:w="1260" w:type="dxa"/>
            <w:vAlign w:val="center"/>
          </w:tcPr>
          <w:p w14:paraId="56A5B588"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Frequency of Response</w:t>
            </w:r>
          </w:p>
        </w:tc>
        <w:tc>
          <w:tcPr>
            <w:tcW w:w="1170" w:type="dxa"/>
            <w:vAlign w:val="center"/>
          </w:tcPr>
          <w:p w14:paraId="080DCAED" w14:textId="01849214" w:rsidR="006B2771" w:rsidRPr="00B41267" w:rsidDel="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No. of Responses per Respondent</w:t>
            </w:r>
          </w:p>
        </w:tc>
        <w:tc>
          <w:tcPr>
            <w:tcW w:w="1080" w:type="dxa"/>
            <w:vAlign w:val="center"/>
          </w:tcPr>
          <w:p w14:paraId="2E31FB1F" w14:textId="51F9427E"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Hours per Response</w:t>
            </w:r>
          </w:p>
        </w:tc>
        <w:tc>
          <w:tcPr>
            <w:tcW w:w="1260" w:type="dxa"/>
            <w:vAlign w:val="center"/>
          </w:tcPr>
          <w:p w14:paraId="4E7BB07F"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Total Annual Burden Hours</w:t>
            </w:r>
          </w:p>
        </w:tc>
        <w:tc>
          <w:tcPr>
            <w:tcW w:w="1440" w:type="dxa"/>
            <w:vAlign w:val="center"/>
          </w:tcPr>
          <w:p w14:paraId="74ACADC9" w14:textId="64CA3BDD" w:rsidR="006B2771" w:rsidRPr="006B2771" w:rsidRDefault="00B41267" w:rsidP="00B41267">
            <w:pPr>
              <w:jc w:val="center"/>
              <w:rPr>
                <w:rFonts w:ascii="Times New Roman" w:hAnsi="Times New Roman" w:cs="Times New Roman"/>
                <w:sz w:val="20"/>
                <w:szCs w:val="20"/>
              </w:rPr>
            </w:pPr>
            <w:r>
              <w:rPr>
                <w:rFonts w:ascii="Times New Roman" w:hAnsi="Times New Roman" w:cs="Times New Roman"/>
                <w:sz w:val="20"/>
                <w:szCs w:val="20"/>
              </w:rPr>
              <w:t>Respondent</w:t>
            </w:r>
            <w:r w:rsidR="006B2771" w:rsidRPr="006B2771">
              <w:rPr>
                <w:rFonts w:ascii="Times New Roman" w:hAnsi="Times New Roman" w:cs="Times New Roman"/>
                <w:sz w:val="20"/>
                <w:szCs w:val="20"/>
              </w:rPr>
              <w:t xml:space="preserve"> Labor Cost </w:t>
            </w:r>
            <w:r>
              <w:rPr>
                <w:rFonts w:ascii="Times New Roman" w:hAnsi="Times New Roman" w:cs="Times New Roman"/>
                <w:sz w:val="20"/>
                <w:szCs w:val="20"/>
              </w:rPr>
              <w:t>($35 hourly rate)</w:t>
            </w:r>
          </w:p>
        </w:tc>
      </w:tr>
      <w:tr w:rsidR="00B41267" w:rsidRPr="00753B95" w14:paraId="7AE815B2" w14:textId="77777777" w:rsidTr="00F27F56">
        <w:tc>
          <w:tcPr>
            <w:tcW w:w="270" w:type="dxa"/>
            <w:tcBorders>
              <w:top w:val="single" w:sz="4" w:space="0" w:color="auto"/>
            </w:tcBorders>
            <w:vAlign w:val="center"/>
          </w:tcPr>
          <w:p w14:paraId="7C51C651" w14:textId="45D1750D" w:rsidR="006B2771" w:rsidRPr="00077A56" w:rsidRDefault="006B2771" w:rsidP="006B2771">
            <w:pPr>
              <w:jc w:val="center"/>
              <w:rPr>
                <w:sz w:val="18"/>
                <w:szCs w:val="18"/>
              </w:rPr>
            </w:pPr>
            <w:r>
              <w:rPr>
                <w:sz w:val="18"/>
                <w:szCs w:val="18"/>
              </w:rPr>
              <w:t>a</w:t>
            </w:r>
          </w:p>
        </w:tc>
        <w:tc>
          <w:tcPr>
            <w:tcW w:w="1890" w:type="dxa"/>
            <w:vAlign w:val="center"/>
          </w:tcPr>
          <w:p w14:paraId="6A771128" w14:textId="2CDED9AE" w:rsidR="006B2771" w:rsidRPr="00753B95" w:rsidRDefault="006B2771" w:rsidP="002A6CDC">
            <w:pPr>
              <w:rPr>
                <w:rFonts w:ascii="Times New Roman" w:hAnsi="Times New Roman" w:cs="Times New Roman"/>
              </w:rPr>
            </w:pPr>
            <w:r w:rsidRPr="00753B95">
              <w:rPr>
                <w:rFonts w:ascii="Times New Roman" w:hAnsi="Times New Roman" w:cs="Times New Roman"/>
              </w:rPr>
              <w:t>708b.203, 708b.301(a)</w:t>
            </w:r>
          </w:p>
        </w:tc>
        <w:tc>
          <w:tcPr>
            <w:tcW w:w="1350" w:type="dxa"/>
            <w:vAlign w:val="center"/>
          </w:tcPr>
          <w:p w14:paraId="74DA17BA" w14:textId="61820CD1"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6DCD1F7F" w14:textId="6278B29D"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5D52F0B7" w14:textId="27292BC4"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713E3EC0" w14:textId="4B691EE1" w:rsidR="006B2771" w:rsidRPr="00753B95" w:rsidRDefault="006B2771" w:rsidP="006B2771">
            <w:pPr>
              <w:jc w:val="center"/>
              <w:rPr>
                <w:rFonts w:ascii="Times New Roman" w:hAnsi="Times New Roman" w:cs="Times New Roman"/>
              </w:rPr>
            </w:pPr>
            <w:r w:rsidRPr="00753B95">
              <w:rPr>
                <w:rFonts w:ascii="Times New Roman" w:hAnsi="Times New Roman" w:cs="Times New Roman"/>
              </w:rPr>
              <w:t>4</w:t>
            </w:r>
          </w:p>
        </w:tc>
        <w:tc>
          <w:tcPr>
            <w:tcW w:w="1260" w:type="dxa"/>
            <w:vAlign w:val="center"/>
          </w:tcPr>
          <w:p w14:paraId="7BFA3013" w14:textId="0C484C23" w:rsidR="006B2771" w:rsidRPr="00753B95" w:rsidRDefault="006B2771" w:rsidP="00B41267">
            <w:pPr>
              <w:jc w:val="right"/>
              <w:rPr>
                <w:rFonts w:ascii="Times New Roman" w:hAnsi="Times New Roman" w:cs="Times New Roman"/>
              </w:rPr>
            </w:pPr>
            <w:r>
              <w:rPr>
                <w:rFonts w:ascii="Times New Roman" w:hAnsi="Times New Roman" w:cs="Times New Roman"/>
              </w:rPr>
              <w:t>16</w:t>
            </w:r>
          </w:p>
        </w:tc>
        <w:tc>
          <w:tcPr>
            <w:tcW w:w="1440" w:type="dxa"/>
            <w:vAlign w:val="center"/>
          </w:tcPr>
          <w:p w14:paraId="282A5413" w14:textId="5D345244" w:rsidR="006B2771" w:rsidRPr="00753B95" w:rsidRDefault="006B2771" w:rsidP="00B41267">
            <w:pPr>
              <w:jc w:val="right"/>
              <w:rPr>
                <w:rFonts w:ascii="Times New Roman" w:hAnsi="Times New Roman" w:cs="Times New Roman"/>
              </w:rPr>
            </w:pPr>
            <w:r>
              <w:rPr>
                <w:rFonts w:ascii="Times New Roman" w:hAnsi="Times New Roman" w:cs="Times New Roman"/>
              </w:rPr>
              <w:t>$560</w:t>
            </w:r>
          </w:p>
        </w:tc>
      </w:tr>
      <w:tr w:rsidR="00B41267" w:rsidRPr="00753B95" w14:paraId="26F5FF32" w14:textId="77777777" w:rsidTr="00AA4FF2">
        <w:tc>
          <w:tcPr>
            <w:tcW w:w="270" w:type="dxa"/>
            <w:vAlign w:val="center"/>
          </w:tcPr>
          <w:p w14:paraId="64AA15EC" w14:textId="0C29363C" w:rsidR="006B2771" w:rsidRPr="00077A56" w:rsidRDefault="006B2771" w:rsidP="006B2771">
            <w:pPr>
              <w:jc w:val="center"/>
              <w:rPr>
                <w:sz w:val="18"/>
                <w:szCs w:val="18"/>
              </w:rPr>
            </w:pPr>
            <w:r>
              <w:rPr>
                <w:sz w:val="18"/>
                <w:szCs w:val="18"/>
              </w:rPr>
              <w:t>b</w:t>
            </w:r>
          </w:p>
        </w:tc>
        <w:tc>
          <w:tcPr>
            <w:tcW w:w="1890" w:type="dxa"/>
            <w:vAlign w:val="center"/>
          </w:tcPr>
          <w:p w14:paraId="349541BB" w14:textId="68321705" w:rsidR="006B2771" w:rsidRPr="00753B95" w:rsidRDefault="006B2771" w:rsidP="002A6CDC">
            <w:pPr>
              <w:rPr>
                <w:rFonts w:ascii="Times New Roman" w:hAnsi="Times New Roman" w:cs="Times New Roman"/>
              </w:rPr>
            </w:pPr>
            <w:r w:rsidRPr="00753B95">
              <w:rPr>
                <w:rFonts w:ascii="Times New Roman" w:hAnsi="Times New Roman" w:cs="Times New Roman"/>
              </w:rPr>
              <w:t>708b.204, 708b.301(b) and (c)</w:t>
            </w:r>
          </w:p>
        </w:tc>
        <w:tc>
          <w:tcPr>
            <w:tcW w:w="1350" w:type="dxa"/>
            <w:vAlign w:val="center"/>
          </w:tcPr>
          <w:p w14:paraId="5D076458" w14:textId="1035C8DE"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7FA173C2" w14:textId="1AD28285"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07E53181" w14:textId="7180C528"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6FE2D9FA" w14:textId="116DBEA2" w:rsidR="006B2771" w:rsidRPr="00753B95" w:rsidRDefault="00037B8F" w:rsidP="006B2771">
            <w:pPr>
              <w:jc w:val="center"/>
              <w:rPr>
                <w:rFonts w:ascii="Times New Roman" w:hAnsi="Times New Roman" w:cs="Times New Roman"/>
              </w:rPr>
            </w:pPr>
            <w:r>
              <w:rPr>
                <w:rFonts w:ascii="Times New Roman" w:hAnsi="Times New Roman" w:cs="Times New Roman"/>
              </w:rPr>
              <w:t>7</w:t>
            </w:r>
          </w:p>
        </w:tc>
        <w:tc>
          <w:tcPr>
            <w:tcW w:w="1260" w:type="dxa"/>
            <w:vAlign w:val="center"/>
          </w:tcPr>
          <w:p w14:paraId="6CD13970" w14:textId="10896316" w:rsidR="006B2771" w:rsidRPr="00753B95" w:rsidRDefault="00037B8F" w:rsidP="00B41267">
            <w:pPr>
              <w:jc w:val="right"/>
              <w:rPr>
                <w:rFonts w:ascii="Times New Roman" w:hAnsi="Times New Roman" w:cs="Times New Roman"/>
              </w:rPr>
            </w:pPr>
            <w:r>
              <w:rPr>
                <w:rFonts w:ascii="Times New Roman" w:hAnsi="Times New Roman" w:cs="Times New Roman"/>
              </w:rPr>
              <w:t>28</w:t>
            </w:r>
          </w:p>
        </w:tc>
        <w:tc>
          <w:tcPr>
            <w:tcW w:w="1440" w:type="dxa"/>
            <w:vAlign w:val="center"/>
          </w:tcPr>
          <w:p w14:paraId="4D8FF6A5" w14:textId="17596449" w:rsidR="006B2771" w:rsidRPr="00753B95" w:rsidRDefault="00037B8F" w:rsidP="00B41267">
            <w:pPr>
              <w:jc w:val="right"/>
              <w:rPr>
                <w:rFonts w:ascii="Times New Roman" w:hAnsi="Times New Roman" w:cs="Times New Roman"/>
              </w:rPr>
            </w:pPr>
            <w:r>
              <w:rPr>
                <w:rFonts w:ascii="Times New Roman" w:hAnsi="Times New Roman" w:cs="Times New Roman"/>
              </w:rPr>
              <w:t>$98</w:t>
            </w:r>
            <w:r w:rsidR="006B2771">
              <w:rPr>
                <w:rFonts w:ascii="Times New Roman" w:hAnsi="Times New Roman" w:cs="Times New Roman"/>
              </w:rPr>
              <w:t>0</w:t>
            </w:r>
          </w:p>
        </w:tc>
      </w:tr>
      <w:tr w:rsidR="00B41267" w:rsidRPr="00753B95" w14:paraId="42354104" w14:textId="77777777" w:rsidTr="00AA4FF2">
        <w:tc>
          <w:tcPr>
            <w:tcW w:w="270" w:type="dxa"/>
            <w:vAlign w:val="center"/>
          </w:tcPr>
          <w:p w14:paraId="6C5D543B" w14:textId="2CBD0C40" w:rsidR="006B2771" w:rsidRPr="00077A56" w:rsidRDefault="006B2771" w:rsidP="006B2771">
            <w:pPr>
              <w:jc w:val="center"/>
              <w:rPr>
                <w:sz w:val="18"/>
                <w:szCs w:val="18"/>
              </w:rPr>
            </w:pPr>
            <w:r>
              <w:rPr>
                <w:sz w:val="18"/>
                <w:szCs w:val="18"/>
              </w:rPr>
              <w:t>c</w:t>
            </w:r>
          </w:p>
        </w:tc>
        <w:tc>
          <w:tcPr>
            <w:tcW w:w="1890" w:type="dxa"/>
            <w:vAlign w:val="center"/>
          </w:tcPr>
          <w:p w14:paraId="464BE02E" w14:textId="6C17E948" w:rsidR="006B2771" w:rsidRPr="00753B95" w:rsidRDefault="006B2771" w:rsidP="002A6CDC">
            <w:pPr>
              <w:rPr>
                <w:rFonts w:ascii="Times New Roman" w:hAnsi="Times New Roman" w:cs="Times New Roman"/>
              </w:rPr>
            </w:pPr>
            <w:r w:rsidRPr="00753B95">
              <w:rPr>
                <w:rFonts w:ascii="Times New Roman" w:hAnsi="Times New Roman" w:cs="Times New Roman"/>
              </w:rPr>
              <w:t>708b.206</w:t>
            </w:r>
          </w:p>
        </w:tc>
        <w:tc>
          <w:tcPr>
            <w:tcW w:w="1350" w:type="dxa"/>
            <w:vAlign w:val="center"/>
          </w:tcPr>
          <w:p w14:paraId="67E41555" w14:textId="7599103B"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341348CD" w14:textId="46F1181D"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2CDF69DC" w14:textId="74189041"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62DCC207" w14:textId="2A36EF19" w:rsidR="006B2771" w:rsidRPr="00753B95" w:rsidRDefault="006B2771" w:rsidP="006B2771">
            <w:pPr>
              <w:jc w:val="center"/>
              <w:rPr>
                <w:rFonts w:ascii="Times New Roman" w:hAnsi="Times New Roman" w:cs="Times New Roman"/>
              </w:rPr>
            </w:pPr>
            <w:r w:rsidRPr="00753B95">
              <w:rPr>
                <w:rFonts w:ascii="Times New Roman" w:hAnsi="Times New Roman" w:cs="Times New Roman"/>
              </w:rPr>
              <w:t>2</w:t>
            </w:r>
          </w:p>
        </w:tc>
        <w:tc>
          <w:tcPr>
            <w:tcW w:w="1260" w:type="dxa"/>
            <w:vAlign w:val="center"/>
          </w:tcPr>
          <w:p w14:paraId="4A0C736A" w14:textId="676DFA5A" w:rsidR="006B2771" w:rsidRPr="00753B95" w:rsidRDefault="006B2771" w:rsidP="00B41267">
            <w:pPr>
              <w:jc w:val="right"/>
              <w:rPr>
                <w:rFonts w:ascii="Times New Roman" w:hAnsi="Times New Roman" w:cs="Times New Roman"/>
              </w:rPr>
            </w:pPr>
            <w:r>
              <w:rPr>
                <w:rFonts w:ascii="Times New Roman" w:hAnsi="Times New Roman" w:cs="Times New Roman"/>
              </w:rPr>
              <w:t>8</w:t>
            </w:r>
          </w:p>
        </w:tc>
        <w:tc>
          <w:tcPr>
            <w:tcW w:w="1440" w:type="dxa"/>
            <w:vAlign w:val="center"/>
          </w:tcPr>
          <w:p w14:paraId="59AFA40C" w14:textId="1138FF31" w:rsidR="006B2771" w:rsidRPr="00753B95" w:rsidRDefault="006B2771" w:rsidP="00B41267">
            <w:pPr>
              <w:jc w:val="right"/>
              <w:rPr>
                <w:rFonts w:ascii="Times New Roman" w:hAnsi="Times New Roman" w:cs="Times New Roman"/>
              </w:rPr>
            </w:pPr>
            <w:r>
              <w:rPr>
                <w:rFonts w:ascii="Times New Roman" w:hAnsi="Times New Roman" w:cs="Times New Roman"/>
              </w:rPr>
              <w:t>$280</w:t>
            </w:r>
          </w:p>
        </w:tc>
      </w:tr>
      <w:tr w:rsidR="00B41267" w:rsidRPr="00753B95" w14:paraId="0C60161B" w14:textId="77777777" w:rsidTr="00AA4FF2">
        <w:tc>
          <w:tcPr>
            <w:tcW w:w="270" w:type="dxa"/>
            <w:vAlign w:val="center"/>
          </w:tcPr>
          <w:p w14:paraId="587D0BA2" w14:textId="6A286778" w:rsidR="006B2771" w:rsidRPr="00077A56" w:rsidRDefault="006B2771" w:rsidP="006B2771">
            <w:pPr>
              <w:jc w:val="center"/>
              <w:rPr>
                <w:sz w:val="18"/>
                <w:szCs w:val="18"/>
              </w:rPr>
            </w:pPr>
            <w:r>
              <w:rPr>
                <w:sz w:val="18"/>
                <w:szCs w:val="18"/>
              </w:rPr>
              <w:t>d</w:t>
            </w:r>
          </w:p>
        </w:tc>
        <w:tc>
          <w:tcPr>
            <w:tcW w:w="1890" w:type="dxa"/>
            <w:vAlign w:val="center"/>
          </w:tcPr>
          <w:p w14:paraId="100C1C6F" w14:textId="53755CFC" w:rsidR="006B2771" w:rsidRPr="00753B95" w:rsidRDefault="006B2771" w:rsidP="002A6CDC">
            <w:pPr>
              <w:rPr>
                <w:rFonts w:ascii="Times New Roman" w:hAnsi="Times New Roman" w:cs="Times New Roman"/>
              </w:rPr>
            </w:pPr>
            <w:r w:rsidRPr="00753B95">
              <w:rPr>
                <w:rFonts w:ascii="Times New Roman" w:hAnsi="Times New Roman" w:cs="Times New Roman"/>
              </w:rPr>
              <w:t>708b.301(d)</w:t>
            </w:r>
          </w:p>
        </w:tc>
        <w:tc>
          <w:tcPr>
            <w:tcW w:w="1350" w:type="dxa"/>
            <w:vAlign w:val="center"/>
          </w:tcPr>
          <w:p w14:paraId="3BAB89F8" w14:textId="76CAE0A6"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3ED8B90C" w14:textId="187F4E67"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469058E1" w14:textId="6D631036"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1B3FE5EA" w14:textId="66EF815C" w:rsidR="006B2771" w:rsidRPr="00753B95" w:rsidRDefault="006B2771" w:rsidP="006B2771">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7D6412B4" w14:textId="4D8F3155" w:rsidR="006B2771" w:rsidRPr="00753B95" w:rsidRDefault="006B2771" w:rsidP="00B41267">
            <w:pPr>
              <w:jc w:val="right"/>
              <w:rPr>
                <w:rFonts w:ascii="Times New Roman" w:hAnsi="Times New Roman" w:cs="Times New Roman"/>
              </w:rPr>
            </w:pPr>
            <w:r>
              <w:rPr>
                <w:rFonts w:ascii="Times New Roman" w:hAnsi="Times New Roman" w:cs="Times New Roman"/>
              </w:rPr>
              <w:t>4</w:t>
            </w:r>
          </w:p>
        </w:tc>
        <w:tc>
          <w:tcPr>
            <w:tcW w:w="1440" w:type="dxa"/>
            <w:vAlign w:val="center"/>
          </w:tcPr>
          <w:p w14:paraId="28562898" w14:textId="3DBC5A5D" w:rsidR="006B2771" w:rsidRPr="00753B95" w:rsidRDefault="006B2771" w:rsidP="00B41267">
            <w:pPr>
              <w:jc w:val="right"/>
              <w:rPr>
                <w:rFonts w:ascii="Times New Roman" w:hAnsi="Times New Roman" w:cs="Times New Roman"/>
              </w:rPr>
            </w:pPr>
            <w:r>
              <w:rPr>
                <w:rFonts w:ascii="Times New Roman" w:hAnsi="Times New Roman" w:cs="Times New Roman"/>
              </w:rPr>
              <w:t>$140</w:t>
            </w:r>
          </w:p>
        </w:tc>
      </w:tr>
      <w:tr w:rsidR="00B41267" w:rsidRPr="00753B95" w14:paraId="58F9727F" w14:textId="77777777" w:rsidTr="00AA4FF2">
        <w:tc>
          <w:tcPr>
            <w:tcW w:w="270" w:type="dxa"/>
            <w:vAlign w:val="center"/>
          </w:tcPr>
          <w:p w14:paraId="7C0C6B52" w14:textId="1521F568" w:rsidR="006B2771" w:rsidRPr="00077A56" w:rsidRDefault="006B2771" w:rsidP="006B2771">
            <w:pPr>
              <w:jc w:val="center"/>
              <w:rPr>
                <w:sz w:val="18"/>
                <w:szCs w:val="18"/>
              </w:rPr>
            </w:pPr>
            <w:r>
              <w:rPr>
                <w:sz w:val="18"/>
                <w:szCs w:val="18"/>
              </w:rPr>
              <w:t>e</w:t>
            </w:r>
          </w:p>
        </w:tc>
        <w:tc>
          <w:tcPr>
            <w:tcW w:w="1890" w:type="dxa"/>
            <w:vAlign w:val="center"/>
          </w:tcPr>
          <w:p w14:paraId="5D3CCDD8" w14:textId="503428C2" w:rsidR="006B2771" w:rsidRPr="00753B95" w:rsidRDefault="006B2771" w:rsidP="002A6CDC">
            <w:pPr>
              <w:rPr>
                <w:rFonts w:ascii="Times New Roman" w:hAnsi="Times New Roman" w:cs="Times New Roman"/>
              </w:rPr>
            </w:pPr>
            <w:r w:rsidRPr="00753B95">
              <w:rPr>
                <w:rFonts w:ascii="Times New Roman" w:hAnsi="Times New Roman" w:cs="Times New Roman"/>
              </w:rPr>
              <w:t>708b.204(c)</w:t>
            </w:r>
          </w:p>
        </w:tc>
        <w:tc>
          <w:tcPr>
            <w:tcW w:w="1350" w:type="dxa"/>
            <w:vAlign w:val="center"/>
          </w:tcPr>
          <w:p w14:paraId="00B1AE9D" w14:textId="408DD26C"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3B847A07" w14:textId="0D428C41"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05D23994" w14:textId="0C71D88A"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644A32D6" w14:textId="4D0B4752" w:rsidR="006B2771" w:rsidRPr="00753B95" w:rsidRDefault="006B2771" w:rsidP="006B2771">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0D8D2E50" w14:textId="6B7AA52B" w:rsidR="006B2771" w:rsidRPr="00753B95" w:rsidRDefault="006B2771" w:rsidP="00B41267">
            <w:pPr>
              <w:jc w:val="right"/>
              <w:rPr>
                <w:rFonts w:ascii="Times New Roman" w:hAnsi="Times New Roman" w:cs="Times New Roman"/>
              </w:rPr>
            </w:pPr>
            <w:r>
              <w:rPr>
                <w:rFonts w:ascii="Times New Roman" w:hAnsi="Times New Roman" w:cs="Times New Roman"/>
              </w:rPr>
              <w:t>4</w:t>
            </w:r>
          </w:p>
        </w:tc>
        <w:tc>
          <w:tcPr>
            <w:tcW w:w="1440" w:type="dxa"/>
            <w:vAlign w:val="center"/>
          </w:tcPr>
          <w:p w14:paraId="4C78FFC8" w14:textId="257BD046" w:rsidR="006B2771" w:rsidRPr="00753B95" w:rsidRDefault="006B2771" w:rsidP="00B41267">
            <w:pPr>
              <w:jc w:val="right"/>
              <w:rPr>
                <w:rFonts w:ascii="Times New Roman" w:hAnsi="Times New Roman" w:cs="Times New Roman"/>
              </w:rPr>
            </w:pPr>
            <w:r>
              <w:rPr>
                <w:rFonts w:ascii="Times New Roman" w:hAnsi="Times New Roman" w:cs="Times New Roman"/>
              </w:rPr>
              <w:t>$140</w:t>
            </w:r>
          </w:p>
        </w:tc>
      </w:tr>
      <w:tr w:rsidR="00AA4FF2" w:rsidRPr="00753B95" w14:paraId="62235C24" w14:textId="77777777" w:rsidTr="007A74C9">
        <w:tc>
          <w:tcPr>
            <w:tcW w:w="2160" w:type="dxa"/>
            <w:gridSpan w:val="2"/>
            <w:vAlign w:val="center"/>
          </w:tcPr>
          <w:p w14:paraId="146E3908" w14:textId="1C4DF098" w:rsidR="00AA4FF2" w:rsidRPr="00753B95" w:rsidRDefault="00AA4FF2" w:rsidP="002A6CDC">
            <w:pPr>
              <w:jc w:val="center"/>
              <w:rPr>
                <w:rFonts w:ascii="Times New Roman" w:hAnsi="Times New Roman" w:cs="Times New Roman"/>
              </w:rPr>
            </w:pPr>
            <w:r w:rsidRPr="00753B95">
              <w:rPr>
                <w:rFonts w:ascii="Times New Roman" w:hAnsi="Times New Roman" w:cs="Times New Roman"/>
              </w:rPr>
              <w:t>Subtotal</w:t>
            </w:r>
          </w:p>
        </w:tc>
        <w:tc>
          <w:tcPr>
            <w:tcW w:w="1350" w:type="dxa"/>
            <w:tcBorders>
              <w:top w:val="single" w:sz="12" w:space="0" w:color="auto"/>
            </w:tcBorders>
            <w:vAlign w:val="center"/>
          </w:tcPr>
          <w:p w14:paraId="638EA4F9" w14:textId="579D5752" w:rsidR="00AA4FF2" w:rsidRPr="00753B95" w:rsidRDefault="00AA4FF2" w:rsidP="002A6CDC">
            <w:pPr>
              <w:jc w:val="center"/>
              <w:rPr>
                <w:rFonts w:ascii="Times New Roman" w:hAnsi="Times New Roman" w:cs="Times New Roman"/>
              </w:rPr>
            </w:pPr>
            <w:r>
              <w:rPr>
                <w:rFonts w:ascii="Times New Roman" w:hAnsi="Times New Roman" w:cs="Times New Roman"/>
              </w:rPr>
              <w:t>4</w:t>
            </w:r>
          </w:p>
        </w:tc>
        <w:tc>
          <w:tcPr>
            <w:tcW w:w="1260" w:type="dxa"/>
            <w:tcBorders>
              <w:top w:val="single" w:sz="12" w:space="0" w:color="auto"/>
            </w:tcBorders>
            <w:vAlign w:val="center"/>
          </w:tcPr>
          <w:p w14:paraId="725BCE16" w14:textId="3B5F852F" w:rsidR="00AA4FF2" w:rsidRPr="00753B95" w:rsidRDefault="00AA4FF2" w:rsidP="002A6CDC">
            <w:pPr>
              <w:jc w:val="center"/>
              <w:rPr>
                <w:rFonts w:ascii="Times New Roman" w:hAnsi="Times New Roman" w:cs="Times New Roman"/>
              </w:rPr>
            </w:pPr>
          </w:p>
        </w:tc>
        <w:tc>
          <w:tcPr>
            <w:tcW w:w="1170" w:type="dxa"/>
            <w:tcBorders>
              <w:top w:val="single" w:sz="12" w:space="0" w:color="auto"/>
            </w:tcBorders>
            <w:vAlign w:val="center"/>
          </w:tcPr>
          <w:p w14:paraId="661FF73C" w14:textId="068CCF6C" w:rsidR="00AA4FF2" w:rsidRPr="00AA4FF2" w:rsidRDefault="00AA4FF2" w:rsidP="002A6CDC">
            <w:pPr>
              <w:jc w:val="center"/>
              <w:rPr>
                <w:rFonts w:ascii="Times New Roman" w:hAnsi="Times New Roman" w:cs="Times New Roman"/>
              </w:rPr>
            </w:pPr>
            <w:r w:rsidRPr="00AA4FF2">
              <w:rPr>
                <w:rFonts w:ascii="Times New Roman" w:hAnsi="Times New Roman" w:cs="Times New Roman"/>
              </w:rPr>
              <w:t>20</w:t>
            </w:r>
          </w:p>
        </w:tc>
        <w:tc>
          <w:tcPr>
            <w:tcW w:w="1080" w:type="dxa"/>
            <w:tcBorders>
              <w:top w:val="single" w:sz="12" w:space="0" w:color="auto"/>
            </w:tcBorders>
            <w:vAlign w:val="center"/>
          </w:tcPr>
          <w:p w14:paraId="46FE080B" w14:textId="2F5DC51C" w:rsidR="00AA4FF2" w:rsidRPr="00753B95" w:rsidRDefault="00AA4FF2" w:rsidP="002A6CDC">
            <w:pPr>
              <w:jc w:val="center"/>
              <w:rPr>
                <w:rFonts w:ascii="Times New Roman" w:hAnsi="Times New Roman" w:cs="Times New Roman"/>
              </w:rPr>
            </w:pPr>
          </w:p>
        </w:tc>
        <w:tc>
          <w:tcPr>
            <w:tcW w:w="1260" w:type="dxa"/>
            <w:tcBorders>
              <w:top w:val="single" w:sz="12" w:space="0" w:color="auto"/>
            </w:tcBorders>
            <w:vAlign w:val="center"/>
          </w:tcPr>
          <w:p w14:paraId="1A877720" w14:textId="7A71B4E3" w:rsidR="00AA4FF2" w:rsidRPr="00753B95" w:rsidRDefault="00037B8F" w:rsidP="00B41267">
            <w:pPr>
              <w:jc w:val="right"/>
              <w:rPr>
                <w:rFonts w:ascii="Times New Roman" w:hAnsi="Times New Roman" w:cs="Times New Roman"/>
              </w:rPr>
            </w:pPr>
            <w:r>
              <w:rPr>
                <w:rFonts w:ascii="Times New Roman" w:hAnsi="Times New Roman" w:cs="Times New Roman"/>
              </w:rPr>
              <w:t>60</w:t>
            </w:r>
          </w:p>
        </w:tc>
        <w:tc>
          <w:tcPr>
            <w:tcW w:w="1440" w:type="dxa"/>
            <w:tcBorders>
              <w:top w:val="single" w:sz="12" w:space="0" w:color="auto"/>
            </w:tcBorders>
            <w:vAlign w:val="center"/>
          </w:tcPr>
          <w:p w14:paraId="28947398" w14:textId="7B390D52" w:rsidR="00AA4FF2" w:rsidRPr="00753B95" w:rsidRDefault="00037B8F" w:rsidP="00B41267">
            <w:pPr>
              <w:jc w:val="right"/>
              <w:rPr>
                <w:rFonts w:ascii="Times New Roman" w:hAnsi="Times New Roman" w:cs="Times New Roman"/>
              </w:rPr>
            </w:pPr>
            <w:r>
              <w:rPr>
                <w:rFonts w:ascii="Times New Roman" w:hAnsi="Times New Roman" w:cs="Times New Roman"/>
              </w:rPr>
              <w:t>$2,100</w:t>
            </w:r>
          </w:p>
        </w:tc>
      </w:tr>
    </w:tbl>
    <w:p w14:paraId="77E98F08" w14:textId="77777777" w:rsidR="00940951" w:rsidRDefault="00940951" w:rsidP="00940951">
      <w:pPr>
        <w:pStyle w:val="NoSpacing"/>
      </w:pPr>
    </w:p>
    <w:p w14:paraId="107D1740" w14:textId="77777777" w:rsidR="003349EB" w:rsidRPr="00753B95" w:rsidRDefault="003349EB" w:rsidP="00940951">
      <w:pPr>
        <w:pStyle w:val="NoSpacing"/>
      </w:pPr>
    </w:p>
    <w:p w14:paraId="56212BA7" w14:textId="77777777" w:rsidR="00940951" w:rsidRPr="00753B95" w:rsidRDefault="001D3C24" w:rsidP="00940951">
      <w:pPr>
        <w:pStyle w:val="NoSpacing"/>
        <w:rPr>
          <w:b/>
          <w:u w:val="single"/>
        </w:rPr>
      </w:pPr>
      <w:r w:rsidRPr="00753B95">
        <w:rPr>
          <w:b/>
          <w:u w:val="single"/>
        </w:rPr>
        <w:t xml:space="preserve">IC 3.  </w:t>
      </w:r>
      <w:r w:rsidR="00940951" w:rsidRPr="00753B95">
        <w:rPr>
          <w:b/>
          <w:u w:val="single"/>
        </w:rPr>
        <w:t>Share Insurance Termination</w:t>
      </w:r>
      <w:r w:rsidR="006D087C" w:rsidRPr="00753B95">
        <w:rPr>
          <w:b/>
          <w:u w:val="single"/>
        </w:rPr>
        <w:t>s</w:t>
      </w:r>
    </w:p>
    <w:p w14:paraId="519493E3" w14:textId="77777777" w:rsidR="006D462A" w:rsidRPr="00753B95" w:rsidRDefault="006D462A" w:rsidP="00940951">
      <w:pPr>
        <w:pStyle w:val="NoSpacing"/>
        <w:rPr>
          <w:b/>
          <w:u w:val="single"/>
        </w:rPr>
      </w:pPr>
    </w:p>
    <w:p w14:paraId="4BFA4CB9" w14:textId="3E229E50" w:rsidR="00940951" w:rsidRPr="00753B95" w:rsidRDefault="00E31E47" w:rsidP="00940951">
      <w:pPr>
        <w:pStyle w:val="NoSpacing"/>
      </w:pPr>
      <w:r>
        <w:t xml:space="preserve">Currently no credit unions have engaged in share insurance terminations.  If one or more credit unions does engage in a voluntary termination of insurance in the future, NCUA estimates there will be minimal burden in the form of collections of information on those credit unions.  </w:t>
      </w:r>
      <w:r w:rsidR="00A16C5D">
        <w:t xml:space="preserve">One respondent and response is being used as a placeholder associated with this information </w:t>
      </w:r>
      <w:r w:rsidR="00A16C5D">
        <w:lastRenderedPageBreak/>
        <w:t xml:space="preserve">collection activity.  </w:t>
      </w:r>
      <w:r>
        <w:t xml:space="preserve">Since there has been no activity under this information collection, a </w:t>
      </w:r>
      <w:r w:rsidR="00A16C5D">
        <w:t>zero labor cost is being reported</w:t>
      </w:r>
      <w:r>
        <w:t>.  NCUA estimates</w:t>
      </w:r>
      <w:r w:rsidR="00940951" w:rsidRPr="00753B95">
        <w:t xml:space="preserve"> it will take each credit union approximately 12 hours to:</w:t>
      </w:r>
    </w:p>
    <w:p w14:paraId="5C5E2634" w14:textId="77777777" w:rsidR="0085137F" w:rsidRPr="00753B95" w:rsidRDefault="0085137F" w:rsidP="00940951">
      <w:pPr>
        <w:pStyle w:val="NoSpacing"/>
      </w:pPr>
    </w:p>
    <w:p w14:paraId="22EC804B" w14:textId="3BDAD74D" w:rsidR="00940951" w:rsidRPr="00753B95" w:rsidRDefault="00940951" w:rsidP="00AA4FF2">
      <w:pPr>
        <w:pStyle w:val="NoSpacing"/>
        <w:numPr>
          <w:ilvl w:val="0"/>
          <w:numId w:val="12"/>
        </w:numPr>
      </w:pPr>
      <w:r w:rsidRPr="00753B95">
        <w:t>Prepare the required termination documents and submit the required information to NCUA (§708b.201)</w:t>
      </w:r>
      <w:r w:rsidR="0085137F" w:rsidRPr="00753B95">
        <w:t>—4 hours</w:t>
      </w:r>
      <w:r w:rsidRPr="00753B95">
        <w:t>;</w:t>
      </w:r>
    </w:p>
    <w:p w14:paraId="66028A32" w14:textId="77777777" w:rsidR="0085137F" w:rsidRPr="00753B95" w:rsidRDefault="0085137F" w:rsidP="00AA4FF2">
      <w:pPr>
        <w:pStyle w:val="NoSpacing"/>
        <w:ind w:left="1080" w:hanging="360"/>
      </w:pPr>
    </w:p>
    <w:p w14:paraId="0A7C8EE9" w14:textId="3F5F317C" w:rsidR="00940951" w:rsidRPr="00753B95" w:rsidRDefault="00940951" w:rsidP="00AA4FF2">
      <w:pPr>
        <w:pStyle w:val="NoSpacing"/>
        <w:numPr>
          <w:ilvl w:val="0"/>
          <w:numId w:val="12"/>
        </w:numPr>
      </w:pPr>
      <w:r w:rsidRPr="00753B95">
        <w:t xml:space="preserve">Notify the members </w:t>
      </w:r>
      <w:r w:rsidR="00A62F23" w:rsidRPr="00753B95">
        <w:t xml:space="preserve">of the proposed termination </w:t>
      </w:r>
      <w:r w:rsidRPr="00753B95">
        <w:t>and send them the ballot (§708b.202)</w:t>
      </w:r>
      <w:r w:rsidR="0085137F" w:rsidRPr="00753B95">
        <w:t>—4 hours</w:t>
      </w:r>
      <w:r w:rsidRPr="00753B95">
        <w:t>;</w:t>
      </w:r>
    </w:p>
    <w:p w14:paraId="678345F3" w14:textId="77777777" w:rsidR="0085137F" w:rsidRPr="00753B95" w:rsidRDefault="0085137F" w:rsidP="00AA4FF2">
      <w:pPr>
        <w:pStyle w:val="NoSpacing"/>
        <w:ind w:left="1080" w:hanging="360"/>
      </w:pPr>
    </w:p>
    <w:p w14:paraId="321F7C28" w14:textId="3D905FC1" w:rsidR="00940951" w:rsidRPr="00753B95" w:rsidRDefault="00940951" w:rsidP="00AA4FF2">
      <w:pPr>
        <w:pStyle w:val="NoSpacing"/>
        <w:numPr>
          <w:ilvl w:val="0"/>
          <w:numId w:val="12"/>
        </w:numPr>
      </w:pPr>
      <w:r w:rsidRPr="00753B95">
        <w:t>Provide the required insurance disclosures in other communications that the credit union plans to send to its members (§708b.206)</w:t>
      </w:r>
      <w:r w:rsidR="0085137F" w:rsidRPr="00753B95">
        <w:t>—2 hours</w:t>
      </w:r>
      <w:r w:rsidRPr="00753B95">
        <w:t xml:space="preserve">; </w:t>
      </w:r>
    </w:p>
    <w:p w14:paraId="7CEACE30" w14:textId="77777777" w:rsidR="0085137F" w:rsidRPr="00753B95" w:rsidRDefault="0085137F" w:rsidP="00AA4FF2">
      <w:pPr>
        <w:pStyle w:val="NoSpacing"/>
        <w:ind w:left="1080" w:hanging="360"/>
      </w:pPr>
    </w:p>
    <w:p w14:paraId="56F50877" w14:textId="1BFE5C99" w:rsidR="00940951" w:rsidRPr="00753B95" w:rsidRDefault="00940951" w:rsidP="00AA4FF2">
      <w:pPr>
        <w:pStyle w:val="NoSpacing"/>
        <w:numPr>
          <w:ilvl w:val="0"/>
          <w:numId w:val="12"/>
        </w:numPr>
      </w:pPr>
      <w:r w:rsidRPr="00753B95">
        <w:t>Notify NCUA of the results of the termination vote (§708b.201(d)(2))</w:t>
      </w:r>
      <w:r w:rsidR="0085137F" w:rsidRPr="00753B95">
        <w:t>—1 hour</w:t>
      </w:r>
      <w:r w:rsidRPr="00753B95">
        <w:t>;</w:t>
      </w:r>
      <w:r w:rsidR="0085137F" w:rsidRPr="00753B95">
        <w:t xml:space="preserve"> </w:t>
      </w:r>
      <w:r w:rsidRPr="00753B95">
        <w:t xml:space="preserve">and </w:t>
      </w:r>
    </w:p>
    <w:p w14:paraId="11528EFB" w14:textId="77777777" w:rsidR="0085137F" w:rsidRPr="00753B95" w:rsidRDefault="0085137F" w:rsidP="00AA4FF2">
      <w:pPr>
        <w:pStyle w:val="NoSpacing"/>
        <w:ind w:left="1080" w:hanging="360"/>
      </w:pPr>
    </w:p>
    <w:p w14:paraId="2743ED2E" w14:textId="245E424B" w:rsidR="00940951" w:rsidRPr="00753B95" w:rsidRDefault="00940951" w:rsidP="00AA4FF2">
      <w:pPr>
        <w:pStyle w:val="NoSpacing"/>
        <w:numPr>
          <w:ilvl w:val="0"/>
          <w:numId w:val="12"/>
        </w:numPr>
      </w:pPr>
      <w:r w:rsidRPr="00753B95">
        <w:t>Provide members notice of termination of insurance (§708b.202(c))</w:t>
      </w:r>
      <w:r w:rsidR="0085137F" w:rsidRPr="00753B95">
        <w:t>—1 hour</w:t>
      </w:r>
      <w:r w:rsidRPr="00753B95">
        <w:t>.</w:t>
      </w:r>
    </w:p>
    <w:p w14:paraId="73EEC7D0" w14:textId="77777777" w:rsidR="00A62F23" w:rsidRPr="00753B95" w:rsidRDefault="00A62F23" w:rsidP="0098332B">
      <w:pPr>
        <w:pStyle w:val="NoSpacing"/>
      </w:pPr>
    </w:p>
    <w:p w14:paraId="42DACEC6" w14:textId="77777777" w:rsidR="0085137F" w:rsidRPr="00753B95" w:rsidRDefault="0085137F" w:rsidP="0085137F">
      <w:pPr>
        <w:pStyle w:val="NoSpacing"/>
      </w:pPr>
      <w:r w:rsidRPr="00753B95">
        <w:t>The following table summarizes this information.</w:t>
      </w:r>
    </w:p>
    <w:p w14:paraId="5F3B5852" w14:textId="77777777" w:rsidR="00940951" w:rsidRPr="00753B95" w:rsidRDefault="00940951" w:rsidP="00940951">
      <w:pPr>
        <w:pStyle w:val="NoSpacing"/>
      </w:pPr>
    </w:p>
    <w:p w14:paraId="02B82C31" w14:textId="3B5CC14A" w:rsidR="007D514B" w:rsidRPr="00753B95" w:rsidRDefault="007D514B" w:rsidP="007D514B">
      <w:pPr>
        <w:jc w:val="center"/>
      </w:pPr>
    </w:p>
    <w:tbl>
      <w:tblPr>
        <w:tblStyle w:val="TableGrid"/>
        <w:tblW w:w="9810" w:type="dxa"/>
        <w:tblInd w:w="-180" w:type="dxa"/>
        <w:tblLayout w:type="fixed"/>
        <w:tblLook w:val="04A0" w:firstRow="1" w:lastRow="0" w:firstColumn="1" w:lastColumn="0" w:noHBand="0" w:noVBand="1"/>
      </w:tblPr>
      <w:tblGrid>
        <w:gridCol w:w="360"/>
        <w:gridCol w:w="1890"/>
        <w:gridCol w:w="1360"/>
        <w:gridCol w:w="1250"/>
        <w:gridCol w:w="1170"/>
        <w:gridCol w:w="1080"/>
        <w:gridCol w:w="1260"/>
        <w:gridCol w:w="1440"/>
      </w:tblGrid>
      <w:tr w:rsidR="000C16EE" w:rsidRPr="00753B95" w14:paraId="6300DCAF" w14:textId="77777777" w:rsidTr="00F27F56">
        <w:tc>
          <w:tcPr>
            <w:tcW w:w="360" w:type="dxa"/>
            <w:tcBorders>
              <w:top w:val="nil"/>
              <w:left w:val="nil"/>
              <w:bottom w:val="nil"/>
              <w:right w:val="single" w:sz="4" w:space="0" w:color="auto"/>
            </w:tcBorders>
          </w:tcPr>
          <w:p w14:paraId="68F239AD" w14:textId="77777777" w:rsidR="00A16C5D" w:rsidRPr="00A16C5D" w:rsidDel="00A16C5D" w:rsidRDefault="00A16C5D" w:rsidP="002A6CDC">
            <w:pPr>
              <w:jc w:val="center"/>
              <w:rPr>
                <w:sz w:val="20"/>
                <w:szCs w:val="20"/>
              </w:rPr>
            </w:pPr>
          </w:p>
        </w:tc>
        <w:tc>
          <w:tcPr>
            <w:tcW w:w="9450" w:type="dxa"/>
            <w:gridSpan w:val="7"/>
            <w:tcBorders>
              <w:left w:val="single" w:sz="4" w:space="0" w:color="auto"/>
            </w:tcBorders>
            <w:vAlign w:val="center"/>
          </w:tcPr>
          <w:p w14:paraId="4B5DA7F2" w14:textId="4E3D962B" w:rsidR="00A16C5D" w:rsidRPr="000C16EE" w:rsidDel="00A16C5D" w:rsidRDefault="000C16EE" w:rsidP="00A16C5D">
            <w:pPr>
              <w:jc w:val="center"/>
              <w:rPr>
                <w:rFonts w:ascii="Times New Roman" w:hAnsi="Times New Roman" w:cs="Times New Roman"/>
              </w:rPr>
            </w:pPr>
            <w:r w:rsidRPr="000C16EE">
              <w:rPr>
                <w:rFonts w:ascii="Times New Roman" w:hAnsi="Times New Roman" w:cs="Times New Roman"/>
              </w:rPr>
              <w:t>Share Insurance Terminations</w:t>
            </w:r>
          </w:p>
        </w:tc>
      </w:tr>
      <w:tr w:rsidR="000C16EE" w:rsidRPr="00753B95" w14:paraId="385D9CED" w14:textId="77777777" w:rsidTr="00F27F56">
        <w:tc>
          <w:tcPr>
            <w:tcW w:w="360" w:type="dxa"/>
            <w:tcBorders>
              <w:top w:val="nil"/>
              <w:left w:val="nil"/>
              <w:bottom w:val="single" w:sz="4" w:space="0" w:color="auto"/>
              <w:right w:val="single" w:sz="4" w:space="0" w:color="auto"/>
            </w:tcBorders>
          </w:tcPr>
          <w:p w14:paraId="69AC6E9D" w14:textId="77777777" w:rsidR="00A16C5D" w:rsidRPr="00A16C5D" w:rsidDel="00A16C5D" w:rsidRDefault="00A16C5D" w:rsidP="002A6CDC">
            <w:pPr>
              <w:jc w:val="center"/>
              <w:rPr>
                <w:sz w:val="20"/>
                <w:szCs w:val="20"/>
              </w:rPr>
            </w:pPr>
          </w:p>
        </w:tc>
        <w:tc>
          <w:tcPr>
            <w:tcW w:w="1890" w:type="dxa"/>
            <w:tcBorders>
              <w:left w:val="single" w:sz="4" w:space="0" w:color="auto"/>
            </w:tcBorders>
            <w:vAlign w:val="center"/>
          </w:tcPr>
          <w:p w14:paraId="6E840494" w14:textId="706FFAEA"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Information Collection Activity</w:t>
            </w:r>
          </w:p>
        </w:tc>
        <w:tc>
          <w:tcPr>
            <w:tcW w:w="1360" w:type="dxa"/>
            <w:vAlign w:val="center"/>
          </w:tcPr>
          <w:p w14:paraId="59B0851F"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Annual Number of Respondents</w:t>
            </w:r>
          </w:p>
        </w:tc>
        <w:tc>
          <w:tcPr>
            <w:tcW w:w="1250" w:type="dxa"/>
            <w:vAlign w:val="center"/>
          </w:tcPr>
          <w:p w14:paraId="63EFE1A2"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Frequency of Response</w:t>
            </w:r>
          </w:p>
        </w:tc>
        <w:tc>
          <w:tcPr>
            <w:tcW w:w="1170" w:type="dxa"/>
            <w:vAlign w:val="center"/>
          </w:tcPr>
          <w:p w14:paraId="67FBD05E" w14:textId="6207BD8C"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No. of Responses per Respondent</w:t>
            </w:r>
          </w:p>
        </w:tc>
        <w:tc>
          <w:tcPr>
            <w:tcW w:w="1080" w:type="dxa"/>
            <w:vAlign w:val="center"/>
          </w:tcPr>
          <w:p w14:paraId="04AFE8DC" w14:textId="12F9C458" w:rsidR="00A16C5D" w:rsidRPr="00A16C5D" w:rsidRDefault="00A16C5D" w:rsidP="002A6CDC">
            <w:pPr>
              <w:jc w:val="center"/>
              <w:rPr>
                <w:rFonts w:ascii="Times New Roman" w:hAnsi="Times New Roman" w:cs="Times New Roman"/>
                <w:sz w:val="20"/>
                <w:szCs w:val="20"/>
              </w:rPr>
            </w:pPr>
            <w:r>
              <w:rPr>
                <w:rFonts w:ascii="Times New Roman" w:hAnsi="Times New Roman" w:cs="Times New Roman"/>
                <w:sz w:val="20"/>
                <w:szCs w:val="20"/>
              </w:rPr>
              <w:t>Hours per Response</w:t>
            </w:r>
          </w:p>
        </w:tc>
        <w:tc>
          <w:tcPr>
            <w:tcW w:w="1260" w:type="dxa"/>
            <w:vAlign w:val="center"/>
          </w:tcPr>
          <w:p w14:paraId="6B84EDB3"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Total Annual Burden Hours</w:t>
            </w:r>
          </w:p>
        </w:tc>
        <w:tc>
          <w:tcPr>
            <w:tcW w:w="1440" w:type="dxa"/>
            <w:vAlign w:val="center"/>
          </w:tcPr>
          <w:p w14:paraId="431C866B" w14:textId="52C14530" w:rsidR="00A16C5D" w:rsidRPr="00A16C5D" w:rsidRDefault="00A16C5D" w:rsidP="00A16C5D">
            <w:pPr>
              <w:jc w:val="center"/>
              <w:rPr>
                <w:rFonts w:ascii="Times New Roman" w:hAnsi="Times New Roman" w:cs="Times New Roman"/>
                <w:sz w:val="20"/>
                <w:szCs w:val="20"/>
              </w:rPr>
            </w:pPr>
            <w:r>
              <w:rPr>
                <w:rFonts w:ascii="Times New Roman" w:hAnsi="Times New Roman" w:cs="Times New Roman"/>
                <w:sz w:val="20"/>
                <w:szCs w:val="20"/>
              </w:rPr>
              <w:t>Respondent</w:t>
            </w:r>
            <w:r w:rsidRPr="00A16C5D">
              <w:rPr>
                <w:rFonts w:ascii="Times New Roman" w:hAnsi="Times New Roman" w:cs="Times New Roman"/>
                <w:sz w:val="20"/>
                <w:szCs w:val="20"/>
              </w:rPr>
              <w:t xml:space="preserve"> Labor Cost </w:t>
            </w:r>
            <w:r>
              <w:rPr>
                <w:rFonts w:ascii="Times New Roman" w:hAnsi="Times New Roman" w:cs="Times New Roman"/>
                <w:sz w:val="20"/>
                <w:szCs w:val="20"/>
              </w:rPr>
              <w:t>($35 hourly rate)</w:t>
            </w:r>
          </w:p>
        </w:tc>
      </w:tr>
      <w:tr w:rsidR="000C16EE" w:rsidRPr="00753B95" w14:paraId="6428D693" w14:textId="77777777" w:rsidTr="00F27F56">
        <w:tc>
          <w:tcPr>
            <w:tcW w:w="360" w:type="dxa"/>
            <w:tcBorders>
              <w:top w:val="single" w:sz="4" w:space="0" w:color="auto"/>
            </w:tcBorders>
            <w:vAlign w:val="center"/>
          </w:tcPr>
          <w:p w14:paraId="35AADC22" w14:textId="3BC98629" w:rsidR="00A16C5D" w:rsidRPr="000C16EE" w:rsidRDefault="000C16EE" w:rsidP="000C16EE">
            <w:pPr>
              <w:jc w:val="center"/>
              <w:rPr>
                <w:sz w:val="18"/>
                <w:szCs w:val="18"/>
              </w:rPr>
            </w:pPr>
            <w:r w:rsidRPr="000C16EE">
              <w:rPr>
                <w:sz w:val="18"/>
                <w:szCs w:val="18"/>
              </w:rPr>
              <w:t>a</w:t>
            </w:r>
          </w:p>
        </w:tc>
        <w:tc>
          <w:tcPr>
            <w:tcW w:w="1890" w:type="dxa"/>
            <w:vAlign w:val="center"/>
          </w:tcPr>
          <w:p w14:paraId="46CDC18E" w14:textId="171C59B9" w:rsidR="00A16C5D" w:rsidRPr="00753B95" w:rsidRDefault="00A16C5D" w:rsidP="002A6CDC">
            <w:pPr>
              <w:rPr>
                <w:rFonts w:ascii="Times New Roman" w:hAnsi="Times New Roman" w:cs="Times New Roman"/>
              </w:rPr>
            </w:pPr>
            <w:r w:rsidRPr="00753B95">
              <w:rPr>
                <w:rFonts w:ascii="Times New Roman" w:hAnsi="Times New Roman" w:cs="Times New Roman"/>
              </w:rPr>
              <w:t>708b.201</w:t>
            </w:r>
          </w:p>
        </w:tc>
        <w:tc>
          <w:tcPr>
            <w:tcW w:w="1360" w:type="dxa"/>
            <w:vAlign w:val="center"/>
          </w:tcPr>
          <w:p w14:paraId="5E8750B5" w14:textId="5B883201"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08300DB8" w14:textId="12F33BF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36A99A4D" w14:textId="6ED26BA3"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368AF6C7" w14:textId="18501FEA" w:rsidR="00A16C5D" w:rsidRPr="00753B95" w:rsidRDefault="00A16C5D" w:rsidP="002A6CDC">
            <w:pPr>
              <w:jc w:val="center"/>
              <w:rPr>
                <w:rFonts w:ascii="Times New Roman" w:hAnsi="Times New Roman" w:cs="Times New Roman"/>
              </w:rPr>
            </w:pPr>
            <w:r w:rsidRPr="00753B95">
              <w:rPr>
                <w:rFonts w:ascii="Times New Roman" w:hAnsi="Times New Roman" w:cs="Times New Roman"/>
              </w:rPr>
              <w:t>4</w:t>
            </w:r>
          </w:p>
        </w:tc>
        <w:tc>
          <w:tcPr>
            <w:tcW w:w="1260" w:type="dxa"/>
            <w:vAlign w:val="center"/>
          </w:tcPr>
          <w:p w14:paraId="0C2A0D35" w14:textId="54E51BCA" w:rsidR="00A16C5D" w:rsidRPr="00753B95" w:rsidRDefault="000C16EE" w:rsidP="002A6CDC">
            <w:pPr>
              <w:jc w:val="center"/>
              <w:rPr>
                <w:rFonts w:ascii="Times New Roman" w:hAnsi="Times New Roman" w:cs="Times New Roman"/>
              </w:rPr>
            </w:pPr>
            <w:r>
              <w:rPr>
                <w:rFonts w:ascii="Times New Roman" w:hAnsi="Times New Roman" w:cs="Times New Roman"/>
              </w:rPr>
              <w:t>4</w:t>
            </w:r>
          </w:p>
        </w:tc>
        <w:tc>
          <w:tcPr>
            <w:tcW w:w="1440" w:type="dxa"/>
            <w:vAlign w:val="center"/>
          </w:tcPr>
          <w:p w14:paraId="4EF69116"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36CCF66C" w14:textId="77777777" w:rsidTr="00F27F56">
        <w:tc>
          <w:tcPr>
            <w:tcW w:w="360" w:type="dxa"/>
            <w:vAlign w:val="center"/>
          </w:tcPr>
          <w:p w14:paraId="058DD5AF" w14:textId="76C03065" w:rsidR="00A16C5D" w:rsidRPr="000C16EE" w:rsidRDefault="000C16EE" w:rsidP="000C16EE">
            <w:pPr>
              <w:jc w:val="center"/>
              <w:rPr>
                <w:sz w:val="18"/>
                <w:szCs w:val="18"/>
              </w:rPr>
            </w:pPr>
            <w:r w:rsidRPr="000C16EE">
              <w:rPr>
                <w:sz w:val="18"/>
                <w:szCs w:val="18"/>
              </w:rPr>
              <w:t>b</w:t>
            </w:r>
          </w:p>
        </w:tc>
        <w:tc>
          <w:tcPr>
            <w:tcW w:w="1890" w:type="dxa"/>
            <w:vAlign w:val="center"/>
          </w:tcPr>
          <w:p w14:paraId="0DBCC096" w14:textId="76CBDA97" w:rsidR="00A16C5D" w:rsidRPr="00753B95" w:rsidRDefault="00A16C5D" w:rsidP="002A6CDC">
            <w:pPr>
              <w:rPr>
                <w:rFonts w:ascii="Times New Roman" w:hAnsi="Times New Roman" w:cs="Times New Roman"/>
              </w:rPr>
            </w:pPr>
            <w:r w:rsidRPr="00753B95">
              <w:rPr>
                <w:rFonts w:ascii="Times New Roman" w:hAnsi="Times New Roman" w:cs="Times New Roman"/>
              </w:rPr>
              <w:t>708b.202</w:t>
            </w:r>
          </w:p>
        </w:tc>
        <w:tc>
          <w:tcPr>
            <w:tcW w:w="1360" w:type="dxa"/>
            <w:vAlign w:val="center"/>
          </w:tcPr>
          <w:p w14:paraId="1D3505A6" w14:textId="7467EEAB"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16266BE7" w14:textId="523C119A"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1562CE9B" w14:textId="197839D6"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5B06320A" w14:textId="657C27F8" w:rsidR="00A16C5D" w:rsidRPr="00753B95" w:rsidRDefault="00A16C5D" w:rsidP="002A6CDC">
            <w:pPr>
              <w:jc w:val="center"/>
              <w:rPr>
                <w:rFonts w:ascii="Times New Roman" w:hAnsi="Times New Roman" w:cs="Times New Roman"/>
              </w:rPr>
            </w:pPr>
            <w:r w:rsidRPr="00753B95">
              <w:rPr>
                <w:rFonts w:ascii="Times New Roman" w:hAnsi="Times New Roman" w:cs="Times New Roman"/>
              </w:rPr>
              <w:t>4</w:t>
            </w:r>
          </w:p>
        </w:tc>
        <w:tc>
          <w:tcPr>
            <w:tcW w:w="1260" w:type="dxa"/>
            <w:vAlign w:val="center"/>
          </w:tcPr>
          <w:p w14:paraId="17BAA185" w14:textId="67164BEE" w:rsidR="00A16C5D" w:rsidRPr="00753B95" w:rsidRDefault="000C16EE" w:rsidP="002A6CDC">
            <w:pPr>
              <w:jc w:val="center"/>
              <w:rPr>
                <w:rFonts w:ascii="Times New Roman" w:hAnsi="Times New Roman" w:cs="Times New Roman"/>
              </w:rPr>
            </w:pPr>
            <w:r>
              <w:rPr>
                <w:rFonts w:ascii="Times New Roman" w:hAnsi="Times New Roman" w:cs="Times New Roman"/>
              </w:rPr>
              <w:t>4</w:t>
            </w:r>
          </w:p>
        </w:tc>
        <w:tc>
          <w:tcPr>
            <w:tcW w:w="1440" w:type="dxa"/>
            <w:vAlign w:val="center"/>
          </w:tcPr>
          <w:p w14:paraId="5AE8FA08"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2D4CED91" w14:textId="77777777" w:rsidTr="00F27F56">
        <w:tc>
          <w:tcPr>
            <w:tcW w:w="360" w:type="dxa"/>
            <w:vAlign w:val="center"/>
          </w:tcPr>
          <w:p w14:paraId="3DD89091" w14:textId="1202AA5B" w:rsidR="00A16C5D" w:rsidRPr="000C16EE" w:rsidRDefault="000C16EE" w:rsidP="000C16EE">
            <w:pPr>
              <w:jc w:val="center"/>
              <w:rPr>
                <w:sz w:val="18"/>
                <w:szCs w:val="18"/>
              </w:rPr>
            </w:pPr>
            <w:r w:rsidRPr="000C16EE">
              <w:rPr>
                <w:sz w:val="18"/>
                <w:szCs w:val="18"/>
              </w:rPr>
              <w:t>c</w:t>
            </w:r>
          </w:p>
        </w:tc>
        <w:tc>
          <w:tcPr>
            <w:tcW w:w="1890" w:type="dxa"/>
            <w:vAlign w:val="center"/>
          </w:tcPr>
          <w:p w14:paraId="70166E30" w14:textId="2D4B53BF" w:rsidR="00A16C5D" w:rsidRPr="00753B95" w:rsidRDefault="00A16C5D" w:rsidP="002A6CDC">
            <w:pPr>
              <w:rPr>
                <w:rFonts w:ascii="Times New Roman" w:hAnsi="Times New Roman" w:cs="Times New Roman"/>
              </w:rPr>
            </w:pPr>
            <w:r w:rsidRPr="00753B95">
              <w:rPr>
                <w:rFonts w:ascii="Times New Roman" w:hAnsi="Times New Roman" w:cs="Times New Roman"/>
              </w:rPr>
              <w:t>708b.206</w:t>
            </w:r>
          </w:p>
        </w:tc>
        <w:tc>
          <w:tcPr>
            <w:tcW w:w="1360" w:type="dxa"/>
            <w:vAlign w:val="center"/>
          </w:tcPr>
          <w:p w14:paraId="278E294A" w14:textId="5D6BC672"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13D2CD7C" w14:textId="0AA8ED3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3C013CD4" w14:textId="344F96B1"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1921BA1B" w14:textId="0DA11CBE" w:rsidR="00A16C5D" w:rsidRPr="00753B95" w:rsidRDefault="00A16C5D" w:rsidP="002A6CDC">
            <w:pPr>
              <w:jc w:val="center"/>
              <w:rPr>
                <w:rFonts w:ascii="Times New Roman" w:hAnsi="Times New Roman" w:cs="Times New Roman"/>
              </w:rPr>
            </w:pPr>
            <w:r w:rsidRPr="00753B95">
              <w:rPr>
                <w:rFonts w:ascii="Times New Roman" w:hAnsi="Times New Roman" w:cs="Times New Roman"/>
              </w:rPr>
              <w:t>2</w:t>
            </w:r>
          </w:p>
        </w:tc>
        <w:tc>
          <w:tcPr>
            <w:tcW w:w="1260" w:type="dxa"/>
            <w:vAlign w:val="center"/>
          </w:tcPr>
          <w:p w14:paraId="3DED7028" w14:textId="78D85C9E" w:rsidR="00A16C5D" w:rsidRPr="00753B95" w:rsidRDefault="000C16EE" w:rsidP="002A6CDC">
            <w:pPr>
              <w:jc w:val="center"/>
              <w:rPr>
                <w:rFonts w:ascii="Times New Roman" w:hAnsi="Times New Roman" w:cs="Times New Roman"/>
              </w:rPr>
            </w:pPr>
            <w:r>
              <w:rPr>
                <w:rFonts w:ascii="Times New Roman" w:hAnsi="Times New Roman" w:cs="Times New Roman"/>
              </w:rPr>
              <w:t>2</w:t>
            </w:r>
          </w:p>
        </w:tc>
        <w:tc>
          <w:tcPr>
            <w:tcW w:w="1440" w:type="dxa"/>
            <w:vAlign w:val="center"/>
          </w:tcPr>
          <w:p w14:paraId="35F5AF25"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5ADFD26D" w14:textId="77777777" w:rsidTr="00F27F56">
        <w:tc>
          <w:tcPr>
            <w:tcW w:w="360" w:type="dxa"/>
            <w:vAlign w:val="center"/>
          </w:tcPr>
          <w:p w14:paraId="78FEB943" w14:textId="4E2FB005" w:rsidR="00A16C5D" w:rsidRPr="000C16EE" w:rsidRDefault="000C16EE" w:rsidP="000C16EE">
            <w:pPr>
              <w:jc w:val="center"/>
              <w:rPr>
                <w:sz w:val="18"/>
                <w:szCs w:val="18"/>
              </w:rPr>
            </w:pPr>
            <w:r w:rsidRPr="000C16EE">
              <w:rPr>
                <w:sz w:val="18"/>
                <w:szCs w:val="18"/>
              </w:rPr>
              <w:t>d</w:t>
            </w:r>
          </w:p>
        </w:tc>
        <w:tc>
          <w:tcPr>
            <w:tcW w:w="1890" w:type="dxa"/>
            <w:vAlign w:val="center"/>
          </w:tcPr>
          <w:p w14:paraId="7B42A652" w14:textId="382EDDC6" w:rsidR="00A16C5D" w:rsidRPr="00753B95" w:rsidRDefault="00A16C5D" w:rsidP="002A6CDC">
            <w:pPr>
              <w:rPr>
                <w:rFonts w:ascii="Times New Roman" w:hAnsi="Times New Roman" w:cs="Times New Roman"/>
              </w:rPr>
            </w:pPr>
            <w:r w:rsidRPr="00753B95">
              <w:rPr>
                <w:rFonts w:ascii="Times New Roman" w:hAnsi="Times New Roman" w:cs="Times New Roman"/>
              </w:rPr>
              <w:t>708b.201(d)(2)</w:t>
            </w:r>
          </w:p>
        </w:tc>
        <w:tc>
          <w:tcPr>
            <w:tcW w:w="1360" w:type="dxa"/>
            <w:vAlign w:val="center"/>
          </w:tcPr>
          <w:p w14:paraId="46F37F0A" w14:textId="1F661110"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065D882A" w14:textId="29A94970"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63E7678E" w14:textId="0DC4094C"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4D3D6B74" w14:textId="5E73111F" w:rsidR="00A16C5D" w:rsidRPr="00753B95" w:rsidRDefault="00A16C5D" w:rsidP="002A6CDC">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485023D2" w14:textId="7F64BE61" w:rsidR="00A16C5D" w:rsidRPr="00753B95" w:rsidRDefault="000C16EE" w:rsidP="002A6CDC">
            <w:pPr>
              <w:jc w:val="center"/>
              <w:rPr>
                <w:rFonts w:ascii="Times New Roman" w:hAnsi="Times New Roman" w:cs="Times New Roman"/>
              </w:rPr>
            </w:pPr>
            <w:r>
              <w:rPr>
                <w:rFonts w:ascii="Times New Roman" w:hAnsi="Times New Roman" w:cs="Times New Roman"/>
              </w:rPr>
              <w:t>1</w:t>
            </w:r>
          </w:p>
        </w:tc>
        <w:tc>
          <w:tcPr>
            <w:tcW w:w="1440" w:type="dxa"/>
            <w:vAlign w:val="center"/>
          </w:tcPr>
          <w:p w14:paraId="1D5EDA0C"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7606B473" w14:textId="77777777" w:rsidTr="00F27F56">
        <w:tc>
          <w:tcPr>
            <w:tcW w:w="360" w:type="dxa"/>
            <w:vAlign w:val="center"/>
          </w:tcPr>
          <w:p w14:paraId="7196A000" w14:textId="5B113081" w:rsidR="00A16C5D" w:rsidRPr="000C16EE" w:rsidRDefault="000C16EE" w:rsidP="000C16EE">
            <w:pPr>
              <w:jc w:val="center"/>
              <w:rPr>
                <w:sz w:val="18"/>
                <w:szCs w:val="18"/>
              </w:rPr>
            </w:pPr>
            <w:r w:rsidRPr="000C16EE">
              <w:rPr>
                <w:sz w:val="18"/>
                <w:szCs w:val="18"/>
              </w:rPr>
              <w:t>e</w:t>
            </w:r>
          </w:p>
        </w:tc>
        <w:tc>
          <w:tcPr>
            <w:tcW w:w="1890" w:type="dxa"/>
            <w:vAlign w:val="center"/>
          </w:tcPr>
          <w:p w14:paraId="57989828" w14:textId="5F16325A" w:rsidR="00A16C5D" w:rsidRPr="00753B95" w:rsidRDefault="00A16C5D" w:rsidP="002A6CDC">
            <w:pPr>
              <w:rPr>
                <w:rFonts w:ascii="Times New Roman" w:hAnsi="Times New Roman" w:cs="Times New Roman"/>
              </w:rPr>
            </w:pPr>
            <w:r w:rsidRPr="00753B95">
              <w:rPr>
                <w:rFonts w:ascii="Times New Roman" w:hAnsi="Times New Roman" w:cs="Times New Roman"/>
              </w:rPr>
              <w:t>708b.202(c)</w:t>
            </w:r>
          </w:p>
        </w:tc>
        <w:tc>
          <w:tcPr>
            <w:tcW w:w="1360" w:type="dxa"/>
            <w:vAlign w:val="center"/>
          </w:tcPr>
          <w:p w14:paraId="14121A57" w14:textId="56E89390"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15892CFC" w14:textId="3371CCC3"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2D70C63B" w14:textId="34A56BD2"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4A8F8DEC" w14:textId="2FC91953" w:rsidR="00A16C5D" w:rsidRPr="00753B95" w:rsidRDefault="00A16C5D" w:rsidP="002A6CDC">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0044706E" w14:textId="50DD5FBD" w:rsidR="00A16C5D" w:rsidRPr="00753B95" w:rsidRDefault="000C16EE" w:rsidP="002A6CDC">
            <w:pPr>
              <w:jc w:val="center"/>
              <w:rPr>
                <w:rFonts w:ascii="Times New Roman" w:hAnsi="Times New Roman" w:cs="Times New Roman"/>
              </w:rPr>
            </w:pPr>
            <w:r>
              <w:rPr>
                <w:rFonts w:ascii="Times New Roman" w:hAnsi="Times New Roman" w:cs="Times New Roman"/>
              </w:rPr>
              <w:t>1</w:t>
            </w:r>
          </w:p>
        </w:tc>
        <w:tc>
          <w:tcPr>
            <w:tcW w:w="1440" w:type="dxa"/>
            <w:vAlign w:val="center"/>
          </w:tcPr>
          <w:p w14:paraId="12CDA384"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3489A9AD" w14:textId="77777777" w:rsidTr="000C16EE">
        <w:tc>
          <w:tcPr>
            <w:tcW w:w="2250" w:type="dxa"/>
            <w:gridSpan w:val="2"/>
            <w:vAlign w:val="center"/>
          </w:tcPr>
          <w:p w14:paraId="52E1C24D" w14:textId="68AD1B2D" w:rsidR="000C16EE" w:rsidRPr="00753B95" w:rsidRDefault="000C16EE" w:rsidP="002A6CDC">
            <w:pPr>
              <w:jc w:val="center"/>
              <w:rPr>
                <w:rFonts w:ascii="Times New Roman" w:hAnsi="Times New Roman" w:cs="Times New Roman"/>
              </w:rPr>
            </w:pPr>
            <w:r w:rsidRPr="00753B95">
              <w:rPr>
                <w:rFonts w:ascii="Times New Roman" w:hAnsi="Times New Roman" w:cs="Times New Roman"/>
              </w:rPr>
              <w:t>Subtotal</w:t>
            </w:r>
          </w:p>
        </w:tc>
        <w:tc>
          <w:tcPr>
            <w:tcW w:w="1360" w:type="dxa"/>
            <w:vAlign w:val="center"/>
          </w:tcPr>
          <w:p w14:paraId="39E7D9EB" w14:textId="57AEC6A7" w:rsidR="000C16EE" w:rsidRPr="00753B95" w:rsidRDefault="000C16EE"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0E9FCCF6" w14:textId="5A8536E3" w:rsidR="000C16EE" w:rsidRPr="00753B95" w:rsidRDefault="000C16EE" w:rsidP="002A6CDC">
            <w:pPr>
              <w:jc w:val="center"/>
              <w:rPr>
                <w:rFonts w:ascii="Times New Roman" w:hAnsi="Times New Roman" w:cs="Times New Roman"/>
              </w:rPr>
            </w:pPr>
          </w:p>
        </w:tc>
        <w:tc>
          <w:tcPr>
            <w:tcW w:w="1170" w:type="dxa"/>
            <w:vAlign w:val="center"/>
          </w:tcPr>
          <w:p w14:paraId="366B5DC1" w14:textId="27F66C89" w:rsidR="000C16EE" w:rsidRPr="007D1391" w:rsidRDefault="000C16EE" w:rsidP="002A6CDC">
            <w:pPr>
              <w:jc w:val="center"/>
              <w:rPr>
                <w:rFonts w:ascii="Times New Roman" w:hAnsi="Times New Roman" w:cs="Times New Roman"/>
              </w:rPr>
            </w:pPr>
            <w:r w:rsidRPr="007D1391">
              <w:rPr>
                <w:rFonts w:ascii="Times New Roman" w:hAnsi="Times New Roman" w:cs="Times New Roman"/>
              </w:rPr>
              <w:t>1</w:t>
            </w:r>
          </w:p>
        </w:tc>
        <w:tc>
          <w:tcPr>
            <w:tcW w:w="1080" w:type="dxa"/>
            <w:vAlign w:val="center"/>
          </w:tcPr>
          <w:p w14:paraId="2386C2E0" w14:textId="2663042E" w:rsidR="000C16EE" w:rsidRPr="00753B95" w:rsidRDefault="000C16EE" w:rsidP="000C16EE">
            <w:pPr>
              <w:jc w:val="center"/>
              <w:rPr>
                <w:rFonts w:ascii="Times New Roman" w:hAnsi="Times New Roman" w:cs="Times New Roman"/>
              </w:rPr>
            </w:pPr>
          </w:p>
        </w:tc>
        <w:tc>
          <w:tcPr>
            <w:tcW w:w="1260" w:type="dxa"/>
            <w:vAlign w:val="center"/>
          </w:tcPr>
          <w:p w14:paraId="03EEC61F" w14:textId="274F77C2" w:rsidR="000C16EE" w:rsidRPr="00753B95" w:rsidRDefault="000C16EE" w:rsidP="002A6CDC">
            <w:pPr>
              <w:jc w:val="center"/>
              <w:rPr>
                <w:rFonts w:ascii="Times New Roman" w:hAnsi="Times New Roman" w:cs="Times New Roman"/>
              </w:rPr>
            </w:pPr>
            <w:r>
              <w:rPr>
                <w:rFonts w:ascii="Times New Roman" w:hAnsi="Times New Roman" w:cs="Times New Roman"/>
              </w:rPr>
              <w:t>12</w:t>
            </w:r>
          </w:p>
        </w:tc>
        <w:tc>
          <w:tcPr>
            <w:tcW w:w="1440" w:type="dxa"/>
            <w:vAlign w:val="center"/>
          </w:tcPr>
          <w:p w14:paraId="1E83776F" w14:textId="77777777" w:rsidR="000C16EE" w:rsidRPr="00753B95" w:rsidRDefault="000C16EE" w:rsidP="002A6CDC">
            <w:pPr>
              <w:jc w:val="center"/>
              <w:rPr>
                <w:rFonts w:ascii="Times New Roman" w:hAnsi="Times New Roman" w:cs="Times New Roman"/>
              </w:rPr>
            </w:pPr>
            <w:r w:rsidRPr="00753B95">
              <w:rPr>
                <w:rFonts w:ascii="Times New Roman" w:hAnsi="Times New Roman" w:cs="Times New Roman"/>
              </w:rPr>
              <w:t>$0</w:t>
            </w:r>
          </w:p>
        </w:tc>
      </w:tr>
    </w:tbl>
    <w:p w14:paraId="203F2F36" w14:textId="77777777" w:rsidR="007D514B" w:rsidRPr="00753B95" w:rsidRDefault="007D514B" w:rsidP="007D514B"/>
    <w:p w14:paraId="11EC3AED" w14:textId="7F653097" w:rsidR="007B0C02" w:rsidRPr="00753B95" w:rsidRDefault="007B0C02" w:rsidP="007B0C02">
      <w:pPr>
        <w:jc w:val="center"/>
      </w:pPr>
    </w:p>
    <w:tbl>
      <w:tblPr>
        <w:tblStyle w:val="TableGrid"/>
        <w:tblW w:w="0" w:type="auto"/>
        <w:tblInd w:w="985" w:type="dxa"/>
        <w:tblLook w:val="04A0" w:firstRow="1" w:lastRow="0" w:firstColumn="1" w:lastColumn="0" w:noHBand="0" w:noVBand="1"/>
      </w:tblPr>
      <w:tblGrid>
        <w:gridCol w:w="1620"/>
        <w:gridCol w:w="1260"/>
        <w:gridCol w:w="1530"/>
        <w:gridCol w:w="1350"/>
        <w:gridCol w:w="1350"/>
      </w:tblGrid>
      <w:tr w:rsidR="000C16EE" w:rsidRPr="00753B95" w14:paraId="23C125FF" w14:textId="77777777" w:rsidTr="00257D33">
        <w:tc>
          <w:tcPr>
            <w:tcW w:w="7110" w:type="dxa"/>
            <w:gridSpan w:val="5"/>
          </w:tcPr>
          <w:p w14:paraId="6FEAF4E0" w14:textId="28E93B91" w:rsidR="000C16EE" w:rsidRPr="00257D33" w:rsidRDefault="000C16EE" w:rsidP="0098332B">
            <w:pPr>
              <w:jc w:val="center"/>
              <w:rPr>
                <w:rFonts w:ascii="Times New Roman" w:hAnsi="Times New Roman" w:cs="Times New Roman"/>
                <w:b/>
              </w:rPr>
            </w:pPr>
            <w:r w:rsidRPr="00257D33">
              <w:rPr>
                <w:rFonts w:ascii="Times New Roman" w:hAnsi="Times New Roman" w:cs="Times New Roman"/>
                <w:b/>
              </w:rPr>
              <w:t>Summary</w:t>
            </w:r>
          </w:p>
        </w:tc>
      </w:tr>
      <w:tr w:rsidR="000C16EE" w:rsidRPr="00753B95" w14:paraId="4D7AD23B" w14:textId="77777777" w:rsidTr="00257D33">
        <w:tc>
          <w:tcPr>
            <w:tcW w:w="1620" w:type="dxa"/>
            <w:vAlign w:val="center"/>
          </w:tcPr>
          <w:p w14:paraId="15EC759D" w14:textId="77777777"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Information Collection</w:t>
            </w:r>
          </w:p>
          <w:p w14:paraId="2E9D4F92" w14:textId="7C9E73D5" w:rsidR="000C16EE" w:rsidRPr="000C16EE" w:rsidRDefault="000C16EE" w:rsidP="0098332B">
            <w:pPr>
              <w:jc w:val="center"/>
              <w:rPr>
                <w:rFonts w:ascii="Times New Roman" w:hAnsi="Times New Roman" w:cs="Times New Roman"/>
                <w:sz w:val="20"/>
                <w:szCs w:val="20"/>
              </w:rPr>
            </w:pPr>
            <w:r>
              <w:rPr>
                <w:rFonts w:ascii="Times New Roman" w:hAnsi="Times New Roman" w:cs="Times New Roman"/>
                <w:sz w:val="20"/>
                <w:szCs w:val="20"/>
              </w:rPr>
              <w:t>Activity</w:t>
            </w:r>
          </w:p>
        </w:tc>
        <w:tc>
          <w:tcPr>
            <w:tcW w:w="1260" w:type="dxa"/>
            <w:vAlign w:val="center"/>
          </w:tcPr>
          <w:p w14:paraId="640253BA" w14:textId="68061B78"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Number of Respondents</w:t>
            </w:r>
          </w:p>
        </w:tc>
        <w:tc>
          <w:tcPr>
            <w:tcW w:w="1530" w:type="dxa"/>
            <w:vAlign w:val="center"/>
          </w:tcPr>
          <w:p w14:paraId="4DD899B1" w14:textId="7D4B0227"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Total Annual Responses per Respondent</w:t>
            </w:r>
          </w:p>
        </w:tc>
        <w:tc>
          <w:tcPr>
            <w:tcW w:w="1350" w:type="dxa"/>
            <w:vAlign w:val="center"/>
          </w:tcPr>
          <w:p w14:paraId="4852EF8B" w14:textId="6A3D5451"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Total Annual Burden Hours</w:t>
            </w:r>
          </w:p>
        </w:tc>
        <w:tc>
          <w:tcPr>
            <w:tcW w:w="1350" w:type="dxa"/>
            <w:vAlign w:val="center"/>
          </w:tcPr>
          <w:p w14:paraId="30BC93B2" w14:textId="4D58CC4B" w:rsidR="000C16EE" w:rsidRPr="000C16EE" w:rsidRDefault="000C16EE" w:rsidP="000C16EE">
            <w:pPr>
              <w:jc w:val="center"/>
              <w:rPr>
                <w:rFonts w:ascii="Times New Roman" w:hAnsi="Times New Roman" w:cs="Times New Roman"/>
                <w:sz w:val="20"/>
                <w:szCs w:val="20"/>
              </w:rPr>
            </w:pPr>
            <w:r w:rsidRPr="000C16EE">
              <w:rPr>
                <w:rFonts w:ascii="Times New Roman" w:hAnsi="Times New Roman" w:cs="Times New Roman"/>
                <w:sz w:val="20"/>
                <w:szCs w:val="20"/>
              </w:rPr>
              <w:t xml:space="preserve">Total Annual Labor Cost </w:t>
            </w:r>
          </w:p>
        </w:tc>
      </w:tr>
      <w:tr w:rsidR="000C16EE" w:rsidRPr="00753B95" w14:paraId="23C61DCE" w14:textId="77777777" w:rsidTr="00257D33">
        <w:tc>
          <w:tcPr>
            <w:tcW w:w="1620" w:type="dxa"/>
            <w:vAlign w:val="center"/>
          </w:tcPr>
          <w:p w14:paraId="4F9D21E6" w14:textId="77777777" w:rsidR="000C16EE" w:rsidRPr="00753B95" w:rsidRDefault="000C16EE" w:rsidP="0098332B">
            <w:pPr>
              <w:rPr>
                <w:rFonts w:ascii="Times New Roman" w:hAnsi="Times New Roman" w:cs="Times New Roman"/>
              </w:rPr>
            </w:pPr>
            <w:r w:rsidRPr="00753B95">
              <w:rPr>
                <w:rFonts w:ascii="Times New Roman" w:hAnsi="Times New Roman" w:cs="Times New Roman"/>
              </w:rPr>
              <w:t>Mergers</w:t>
            </w:r>
          </w:p>
        </w:tc>
        <w:tc>
          <w:tcPr>
            <w:tcW w:w="1260" w:type="dxa"/>
            <w:vAlign w:val="center"/>
          </w:tcPr>
          <w:p w14:paraId="5A2A4F37" w14:textId="6A68A9AB" w:rsidR="000C16EE" w:rsidRPr="00753B95" w:rsidRDefault="000C16EE" w:rsidP="00A62F23">
            <w:pPr>
              <w:jc w:val="center"/>
              <w:rPr>
                <w:rFonts w:ascii="Times New Roman" w:hAnsi="Times New Roman" w:cs="Times New Roman"/>
              </w:rPr>
            </w:pPr>
            <w:r>
              <w:rPr>
                <w:rFonts w:ascii="Times New Roman" w:hAnsi="Times New Roman" w:cs="Times New Roman"/>
              </w:rPr>
              <w:t>214</w:t>
            </w:r>
          </w:p>
        </w:tc>
        <w:tc>
          <w:tcPr>
            <w:tcW w:w="1530" w:type="dxa"/>
            <w:vAlign w:val="center"/>
          </w:tcPr>
          <w:p w14:paraId="7FA8179E" w14:textId="34D95A0E" w:rsidR="000C16EE" w:rsidRDefault="002861E9" w:rsidP="00A62F23">
            <w:pPr>
              <w:jc w:val="center"/>
            </w:pPr>
            <w:r w:rsidRPr="003C496D">
              <w:rPr>
                <w:rFonts w:ascii="Times New Roman" w:hAnsi="Times New Roman" w:cs="Times New Roman"/>
              </w:rPr>
              <w:t>1,498</w:t>
            </w:r>
          </w:p>
        </w:tc>
        <w:tc>
          <w:tcPr>
            <w:tcW w:w="1350" w:type="dxa"/>
            <w:vAlign w:val="center"/>
          </w:tcPr>
          <w:p w14:paraId="242DE8F1" w14:textId="098CF538" w:rsidR="000C16EE" w:rsidRPr="00753B95" w:rsidRDefault="000C16EE" w:rsidP="00A62F23">
            <w:pPr>
              <w:jc w:val="center"/>
              <w:rPr>
                <w:rFonts w:ascii="Times New Roman" w:hAnsi="Times New Roman" w:cs="Times New Roman"/>
              </w:rPr>
            </w:pPr>
            <w:r>
              <w:rPr>
                <w:rFonts w:ascii="Times New Roman" w:hAnsi="Times New Roman" w:cs="Times New Roman"/>
              </w:rPr>
              <w:t>7,490</w:t>
            </w:r>
          </w:p>
        </w:tc>
        <w:tc>
          <w:tcPr>
            <w:tcW w:w="1350" w:type="dxa"/>
            <w:vAlign w:val="center"/>
          </w:tcPr>
          <w:p w14:paraId="104E37FA" w14:textId="4A3C43D7" w:rsidR="000C16EE" w:rsidRPr="00753B95" w:rsidRDefault="000C16EE" w:rsidP="005D5EC4">
            <w:pPr>
              <w:jc w:val="right"/>
              <w:rPr>
                <w:rFonts w:ascii="Times New Roman" w:hAnsi="Times New Roman" w:cs="Times New Roman"/>
              </w:rPr>
            </w:pPr>
            <w:r>
              <w:rPr>
                <w:rFonts w:ascii="Times New Roman" w:hAnsi="Times New Roman" w:cs="Times New Roman"/>
              </w:rPr>
              <w:t>$262,150</w:t>
            </w:r>
          </w:p>
        </w:tc>
      </w:tr>
      <w:tr w:rsidR="000C16EE" w:rsidRPr="00753B95" w14:paraId="605B81E3" w14:textId="77777777" w:rsidTr="00257D33">
        <w:tc>
          <w:tcPr>
            <w:tcW w:w="1620" w:type="dxa"/>
            <w:vAlign w:val="center"/>
          </w:tcPr>
          <w:p w14:paraId="02723338" w14:textId="77777777" w:rsidR="000C16EE" w:rsidRPr="00753B95" w:rsidRDefault="000C16EE" w:rsidP="0098332B">
            <w:pPr>
              <w:rPr>
                <w:rFonts w:ascii="Times New Roman" w:hAnsi="Times New Roman" w:cs="Times New Roman"/>
              </w:rPr>
            </w:pPr>
            <w:r w:rsidRPr="00753B95">
              <w:rPr>
                <w:rFonts w:ascii="Times New Roman" w:hAnsi="Times New Roman" w:cs="Times New Roman"/>
              </w:rPr>
              <w:t>Share Insurance Conversions</w:t>
            </w:r>
          </w:p>
        </w:tc>
        <w:tc>
          <w:tcPr>
            <w:tcW w:w="1260" w:type="dxa"/>
            <w:vAlign w:val="center"/>
          </w:tcPr>
          <w:p w14:paraId="7223947A" w14:textId="7108A4A0" w:rsidR="000C16EE" w:rsidRPr="00753B95" w:rsidRDefault="000C16EE" w:rsidP="00A62F23">
            <w:pPr>
              <w:jc w:val="center"/>
              <w:rPr>
                <w:rFonts w:ascii="Times New Roman" w:hAnsi="Times New Roman" w:cs="Times New Roman"/>
              </w:rPr>
            </w:pPr>
            <w:r>
              <w:rPr>
                <w:rFonts w:ascii="Times New Roman" w:hAnsi="Times New Roman" w:cs="Times New Roman"/>
              </w:rPr>
              <w:t>4</w:t>
            </w:r>
          </w:p>
        </w:tc>
        <w:tc>
          <w:tcPr>
            <w:tcW w:w="1530" w:type="dxa"/>
            <w:vAlign w:val="center"/>
          </w:tcPr>
          <w:p w14:paraId="656A75A7" w14:textId="70DCF06E" w:rsidR="000C16EE" w:rsidRDefault="002861E9" w:rsidP="00A62F23">
            <w:pPr>
              <w:jc w:val="center"/>
            </w:pPr>
            <w:r w:rsidRPr="00AA4FF2">
              <w:rPr>
                <w:rFonts w:ascii="Times New Roman" w:hAnsi="Times New Roman" w:cs="Times New Roman"/>
              </w:rPr>
              <w:t>20</w:t>
            </w:r>
          </w:p>
        </w:tc>
        <w:tc>
          <w:tcPr>
            <w:tcW w:w="1350" w:type="dxa"/>
            <w:vAlign w:val="center"/>
          </w:tcPr>
          <w:p w14:paraId="5A0401CF" w14:textId="458A5718" w:rsidR="000C16EE" w:rsidRPr="00753B95" w:rsidRDefault="00037B8F" w:rsidP="00A62F23">
            <w:pPr>
              <w:jc w:val="center"/>
              <w:rPr>
                <w:rFonts w:ascii="Times New Roman" w:hAnsi="Times New Roman" w:cs="Times New Roman"/>
              </w:rPr>
            </w:pPr>
            <w:r>
              <w:rPr>
                <w:rFonts w:ascii="Times New Roman" w:hAnsi="Times New Roman" w:cs="Times New Roman"/>
              </w:rPr>
              <w:t>60</w:t>
            </w:r>
          </w:p>
        </w:tc>
        <w:tc>
          <w:tcPr>
            <w:tcW w:w="1350" w:type="dxa"/>
            <w:vAlign w:val="center"/>
          </w:tcPr>
          <w:p w14:paraId="66C64BEC" w14:textId="046B4970" w:rsidR="000C16EE" w:rsidRPr="00753B95" w:rsidRDefault="00037B8F" w:rsidP="005D5EC4">
            <w:pPr>
              <w:jc w:val="right"/>
              <w:rPr>
                <w:rFonts w:ascii="Times New Roman" w:hAnsi="Times New Roman" w:cs="Times New Roman"/>
              </w:rPr>
            </w:pPr>
            <w:r>
              <w:rPr>
                <w:rFonts w:ascii="Times New Roman" w:hAnsi="Times New Roman" w:cs="Times New Roman"/>
              </w:rPr>
              <w:t>$2,10</w:t>
            </w:r>
            <w:r w:rsidR="000C16EE">
              <w:rPr>
                <w:rFonts w:ascii="Times New Roman" w:hAnsi="Times New Roman" w:cs="Times New Roman"/>
              </w:rPr>
              <w:t>0</w:t>
            </w:r>
          </w:p>
        </w:tc>
      </w:tr>
      <w:tr w:rsidR="000C16EE" w:rsidRPr="00753B95" w14:paraId="5C5825F7" w14:textId="77777777" w:rsidTr="00257D33">
        <w:tc>
          <w:tcPr>
            <w:tcW w:w="1620" w:type="dxa"/>
            <w:vAlign w:val="center"/>
          </w:tcPr>
          <w:p w14:paraId="3192C38C" w14:textId="77777777" w:rsidR="000C16EE" w:rsidRPr="00753B95" w:rsidRDefault="000C16EE" w:rsidP="0098332B">
            <w:pPr>
              <w:rPr>
                <w:rFonts w:ascii="Times New Roman" w:hAnsi="Times New Roman" w:cs="Times New Roman"/>
              </w:rPr>
            </w:pPr>
            <w:r w:rsidRPr="00753B95">
              <w:rPr>
                <w:rFonts w:ascii="Times New Roman" w:hAnsi="Times New Roman" w:cs="Times New Roman"/>
              </w:rPr>
              <w:t>Share Insurance Terminations</w:t>
            </w:r>
          </w:p>
        </w:tc>
        <w:tc>
          <w:tcPr>
            <w:tcW w:w="1260" w:type="dxa"/>
            <w:vAlign w:val="center"/>
          </w:tcPr>
          <w:p w14:paraId="6664A2C8" w14:textId="62A24331" w:rsidR="000C16EE" w:rsidRPr="00753B95" w:rsidRDefault="002861E9" w:rsidP="00A62F23">
            <w:pPr>
              <w:jc w:val="center"/>
              <w:rPr>
                <w:rFonts w:ascii="Times New Roman" w:hAnsi="Times New Roman" w:cs="Times New Roman"/>
              </w:rPr>
            </w:pPr>
            <w:r>
              <w:rPr>
                <w:rFonts w:ascii="Times New Roman" w:hAnsi="Times New Roman" w:cs="Times New Roman"/>
              </w:rPr>
              <w:t>1</w:t>
            </w:r>
          </w:p>
        </w:tc>
        <w:tc>
          <w:tcPr>
            <w:tcW w:w="1530" w:type="dxa"/>
            <w:vAlign w:val="center"/>
          </w:tcPr>
          <w:p w14:paraId="204F4DE5" w14:textId="1CC03CB3" w:rsidR="000C16EE" w:rsidRPr="005D5EC4" w:rsidRDefault="002861E9" w:rsidP="00A62F23">
            <w:pPr>
              <w:jc w:val="center"/>
              <w:rPr>
                <w:rFonts w:ascii="Times New Roman" w:hAnsi="Times New Roman" w:cs="Times New Roman"/>
              </w:rPr>
            </w:pPr>
            <w:r w:rsidRPr="005D5EC4">
              <w:rPr>
                <w:rFonts w:ascii="Times New Roman" w:hAnsi="Times New Roman" w:cs="Times New Roman"/>
              </w:rPr>
              <w:t>1</w:t>
            </w:r>
          </w:p>
        </w:tc>
        <w:tc>
          <w:tcPr>
            <w:tcW w:w="1350" w:type="dxa"/>
            <w:vAlign w:val="center"/>
          </w:tcPr>
          <w:p w14:paraId="3DC5B317" w14:textId="05F8A8DD" w:rsidR="000C16EE" w:rsidRPr="00753B95" w:rsidRDefault="002861E9" w:rsidP="00A62F23">
            <w:pPr>
              <w:jc w:val="center"/>
              <w:rPr>
                <w:rFonts w:ascii="Times New Roman" w:hAnsi="Times New Roman" w:cs="Times New Roman"/>
              </w:rPr>
            </w:pPr>
            <w:r>
              <w:rPr>
                <w:rFonts w:ascii="Times New Roman" w:hAnsi="Times New Roman" w:cs="Times New Roman"/>
              </w:rPr>
              <w:t>12</w:t>
            </w:r>
          </w:p>
        </w:tc>
        <w:tc>
          <w:tcPr>
            <w:tcW w:w="1350" w:type="dxa"/>
            <w:vAlign w:val="center"/>
          </w:tcPr>
          <w:p w14:paraId="64744A6D" w14:textId="77777777" w:rsidR="000C16EE" w:rsidRPr="00753B95" w:rsidRDefault="000C16EE" w:rsidP="005D5EC4">
            <w:pPr>
              <w:jc w:val="right"/>
              <w:rPr>
                <w:rFonts w:ascii="Times New Roman" w:hAnsi="Times New Roman" w:cs="Times New Roman"/>
              </w:rPr>
            </w:pPr>
            <w:r w:rsidRPr="00753B95">
              <w:rPr>
                <w:rFonts w:ascii="Times New Roman" w:hAnsi="Times New Roman" w:cs="Times New Roman"/>
              </w:rPr>
              <w:t>$0</w:t>
            </w:r>
          </w:p>
        </w:tc>
      </w:tr>
      <w:tr w:rsidR="000C16EE" w:rsidRPr="00753B95" w14:paraId="34C50575" w14:textId="77777777" w:rsidTr="005D5EC4">
        <w:trPr>
          <w:trHeight w:val="438"/>
        </w:trPr>
        <w:tc>
          <w:tcPr>
            <w:tcW w:w="1620" w:type="dxa"/>
            <w:tcBorders>
              <w:top w:val="single" w:sz="12" w:space="0" w:color="auto"/>
            </w:tcBorders>
            <w:vAlign w:val="center"/>
          </w:tcPr>
          <w:p w14:paraId="49FD6681" w14:textId="77777777" w:rsidR="000C16EE" w:rsidRPr="00753B95" w:rsidRDefault="000C16EE" w:rsidP="005D5EC4">
            <w:pPr>
              <w:jc w:val="right"/>
              <w:rPr>
                <w:rFonts w:ascii="Times New Roman" w:hAnsi="Times New Roman" w:cs="Times New Roman"/>
              </w:rPr>
            </w:pPr>
            <w:r w:rsidRPr="00753B95">
              <w:rPr>
                <w:rFonts w:ascii="Times New Roman" w:hAnsi="Times New Roman" w:cs="Times New Roman"/>
              </w:rPr>
              <w:t>Total</w:t>
            </w:r>
          </w:p>
        </w:tc>
        <w:tc>
          <w:tcPr>
            <w:tcW w:w="1260" w:type="dxa"/>
            <w:tcBorders>
              <w:top w:val="single" w:sz="12" w:space="0" w:color="auto"/>
            </w:tcBorders>
            <w:vAlign w:val="center"/>
          </w:tcPr>
          <w:p w14:paraId="19524087" w14:textId="18316889" w:rsidR="000C16EE" w:rsidRPr="00753B95" w:rsidRDefault="000C16EE" w:rsidP="00A62F23">
            <w:pPr>
              <w:jc w:val="center"/>
              <w:rPr>
                <w:rFonts w:ascii="Times New Roman" w:hAnsi="Times New Roman" w:cs="Times New Roman"/>
              </w:rPr>
            </w:pPr>
            <w:r>
              <w:rPr>
                <w:rFonts w:ascii="Times New Roman" w:hAnsi="Times New Roman" w:cs="Times New Roman"/>
              </w:rPr>
              <w:t>21</w:t>
            </w:r>
            <w:r w:rsidR="002D128E">
              <w:rPr>
                <w:rFonts w:ascii="Times New Roman" w:hAnsi="Times New Roman" w:cs="Times New Roman"/>
              </w:rPr>
              <w:t>9</w:t>
            </w:r>
          </w:p>
        </w:tc>
        <w:tc>
          <w:tcPr>
            <w:tcW w:w="1530" w:type="dxa"/>
            <w:tcBorders>
              <w:top w:val="single" w:sz="12" w:space="0" w:color="auto"/>
            </w:tcBorders>
            <w:vAlign w:val="center"/>
          </w:tcPr>
          <w:p w14:paraId="5376F6F2" w14:textId="7E872CCB" w:rsidR="000C16EE" w:rsidRPr="00257D33" w:rsidRDefault="00257D33" w:rsidP="00A62F23">
            <w:pPr>
              <w:jc w:val="center"/>
              <w:rPr>
                <w:rFonts w:ascii="Times New Roman" w:hAnsi="Times New Roman" w:cs="Times New Roman"/>
              </w:rPr>
            </w:pPr>
            <w:r w:rsidRPr="00257D33">
              <w:rPr>
                <w:rFonts w:ascii="Times New Roman" w:hAnsi="Times New Roman" w:cs="Times New Roman"/>
              </w:rPr>
              <w:t>1,519</w:t>
            </w:r>
          </w:p>
        </w:tc>
        <w:tc>
          <w:tcPr>
            <w:tcW w:w="1350" w:type="dxa"/>
            <w:tcBorders>
              <w:top w:val="single" w:sz="12" w:space="0" w:color="auto"/>
            </w:tcBorders>
            <w:vAlign w:val="center"/>
          </w:tcPr>
          <w:p w14:paraId="03823079" w14:textId="15828B7A" w:rsidR="000C16EE" w:rsidRPr="00753B95" w:rsidRDefault="00037B8F" w:rsidP="00257D33">
            <w:pPr>
              <w:jc w:val="center"/>
              <w:rPr>
                <w:rFonts w:ascii="Times New Roman" w:hAnsi="Times New Roman" w:cs="Times New Roman"/>
              </w:rPr>
            </w:pPr>
            <w:r>
              <w:rPr>
                <w:rFonts w:ascii="Times New Roman" w:hAnsi="Times New Roman" w:cs="Times New Roman"/>
              </w:rPr>
              <w:t>7,562</w:t>
            </w:r>
          </w:p>
        </w:tc>
        <w:tc>
          <w:tcPr>
            <w:tcW w:w="1350" w:type="dxa"/>
            <w:tcBorders>
              <w:top w:val="single" w:sz="12" w:space="0" w:color="auto"/>
            </w:tcBorders>
            <w:vAlign w:val="center"/>
          </w:tcPr>
          <w:p w14:paraId="348A32A0" w14:textId="58DD0506" w:rsidR="000C16EE" w:rsidRPr="00753B95" w:rsidRDefault="00037B8F" w:rsidP="005D5EC4">
            <w:pPr>
              <w:jc w:val="right"/>
              <w:rPr>
                <w:rFonts w:ascii="Times New Roman" w:hAnsi="Times New Roman" w:cs="Times New Roman"/>
              </w:rPr>
            </w:pPr>
            <w:r>
              <w:rPr>
                <w:rFonts w:ascii="Times New Roman" w:hAnsi="Times New Roman" w:cs="Times New Roman"/>
              </w:rPr>
              <w:t>$264,250</w:t>
            </w:r>
          </w:p>
        </w:tc>
      </w:tr>
    </w:tbl>
    <w:p w14:paraId="056F3179" w14:textId="77777777" w:rsidR="00940951" w:rsidRDefault="00940951" w:rsidP="00940951">
      <w:pPr>
        <w:spacing w:line="480" w:lineRule="auto"/>
        <w:rPr>
          <w:b/>
        </w:rPr>
      </w:pPr>
    </w:p>
    <w:p w14:paraId="5861D423" w14:textId="77777777" w:rsidR="00E31E47" w:rsidRDefault="00E31E47" w:rsidP="00940951">
      <w:pPr>
        <w:spacing w:line="480" w:lineRule="auto"/>
        <w:rPr>
          <w:b/>
        </w:rPr>
      </w:pPr>
    </w:p>
    <w:p w14:paraId="15C9ABE0" w14:textId="77777777" w:rsidR="00D728DA" w:rsidRPr="00753B95" w:rsidRDefault="00D05C04">
      <w:pPr>
        <w:rPr>
          <w:b/>
        </w:rPr>
      </w:pPr>
      <w:r w:rsidRPr="00753B95">
        <w:rPr>
          <w:b/>
        </w:rPr>
        <w:t>13.</w:t>
      </w:r>
      <w:r w:rsidR="000F317A" w:rsidRPr="00753B95">
        <w:rPr>
          <w:b/>
        </w:rPr>
        <w:t xml:space="preserve">  </w:t>
      </w:r>
      <w:r w:rsidR="00F2748C" w:rsidRPr="00753B95">
        <w:rPr>
          <w:b/>
        </w:rPr>
        <w:t>E</w:t>
      </w:r>
      <w:r w:rsidRPr="00753B95">
        <w:rPr>
          <w:b/>
        </w:rPr>
        <w:t>stimate</w:t>
      </w:r>
      <w:r w:rsidR="00F2748C" w:rsidRPr="00753B95">
        <w:rPr>
          <w:b/>
        </w:rPr>
        <w:t>s</w:t>
      </w:r>
      <w:r w:rsidRPr="00753B95">
        <w:rPr>
          <w:b/>
        </w:rPr>
        <w:t xml:space="preserve"> of </w:t>
      </w:r>
      <w:r w:rsidR="00F2748C" w:rsidRPr="00753B95">
        <w:rPr>
          <w:b/>
        </w:rPr>
        <w:t>annualized capital and start-up costs.</w:t>
      </w:r>
    </w:p>
    <w:p w14:paraId="74D37DB3" w14:textId="77777777" w:rsidR="00F2748C" w:rsidRPr="00753B95" w:rsidRDefault="00F2748C"/>
    <w:p w14:paraId="436111D0" w14:textId="2054F31E" w:rsidR="00D728DA" w:rsidRPr="00753B95" w:rsidRDefault="00AA42B0" w:rsidP="00261125">
      <w:r w:rsidRPr="00753B95">
        <w:t xml:space="preserve">On very rare occasions, a merging credit union may need to get outside accounting assistance with GAAP consolidated financials or legal assistance with Hart Scott </w:t>
      </w:r>
      <w:proofErr w:type="spellStart"/>
      <w:r w:rsidRPr="00753B95">
        <w:t>Rodino</w:t>
      </w:r>
      <w:proofErr w:type="spellEnd"/>
      <w:r w:rsidRPr="00753B95">
        <w:t xml:space="preserve"> Act compliance issues.  Since this would be </w:t>
      </w:r>
      <w:r w:rsidR="00942A07" w:rsidRPr="00753B95">
        <w:t xml:space="preserve">very </w:t>
      </w:r>
      <w:r w:rsidRPr="00753B95">
        <w:t xml:space="preserve">rare, we cannot compute an average cost for this service.  </w:t>
      </w:r>
    </w:p>
    <w:p w14:paraId="7DF54282" w14:textId="77777777" w:rsidR="00AA42B0" w:rsidRDefault="00AA42B0"/>
    <w:p w14:paraId="7F56EB13" w14:textId="77777777" w:rsidR="00D05C04" w:rsidRPr="00753B95" w:rsidRDefault="00942A07" w:rsidP="00942A07">
      <w:pPr>
        <w:rPr>
          <w:b/>
        </w:rPr>
      </w:pPr>
      <w:r w:rsidRPr="00753B95">
        <w:rPr>
          <w:b/>
        </w:rPr>
        <w:t xml:space="preserve">14.  </w:t>
      </w:r>
      <w:r w:rsidR="00F2748C" w:rsidRPr="00753B95">
        <w:rPr>
          <w:b/>
        </w:rPr>
        <w:t>E</w:t>
      </w:r>
      <w:r w:rsidR="00D05C04" w:rsidRPr="00753B95">
        <w:rPr>
          <w:b/>
        </w:rPr>
        <w:t xml:space="preserve">stimates of annualized </w:t>
      </w:r>
      <w:r w:rsidR="00F2748C" w:rsidRPr="00753B95">
        <w:rPr>
          <w:b/>
        </w:rPr>
        <w:t xml:space="preserve">Federal Government </w:t>
      </w:r>
      <w:r w:rsidR="00D05C04" w:rsidRPr="00753B95">
        <w:rPr>
          <w:b/>
        </w:rPr>
        <w:t>cost</w:t>
      </w:r>
      <w:r w:rsidR="00F2748C" w:rsidRPr="00753B95">
        <w:rPr>
          <w:b/>
        </w:rPr>
        <w:t>s.</w:t>
      </w:r>
    </w:p>
    <w:p w14:paraId="44853003" w14:textId="77777777" w:rsidR="001F0DB5" w:rsidRPr="00753B95" w:rsidRDefault="001F0DB5" w:rsidP="00942A07">
      <w:pPr>
        <w:rPr>
          <w:b/>
        </w:rPr>
      </w:pPr>
    </w:p>
    <w:p w14:paraId="448FC386" w14:textId="236102AA" w:rsidR="006D462A" w:rsidRPr="00753B95" w:rsidRDefault="006D462A">
      <w:r w:rsidRPr="00753B95">
        <w:t xml:space="preserve">The estimated </w:t>
      </w:r>
      <w:r w:rsidR="001F0DB5" w:rsidRPr="00753B95">
        <w:t xml:space="preserve">total </w:t>
      </w:r>
      <w:r w:rsidRPr="00753B95">
        <w:t>annualized cost to the Federal Government is approximately $</w:t>
      </w:r>
      <w:r w:rsidR="001E0D1E">
        <w:t>181,840</w:t>
      </w:r>
      <w:r w:rsidRPr="00753B95">
        <w:t>, calculated as follows:</w:t>
      </w:r>
    </w:p>
    <w:p w14:paraId="5A4CBCC0" w14:textId="77777777" w:rsidR="006D462A" w:rsidRPr="00753B95" w:rsidRDefault="006D462A">
      <w:pPr>
        <w:rPr>
          <w:b/>
          <w:u w:val="single"/>
        </w:rPr>
      </w:pPr>
    </w:p>
    <w:p w14:paraId="4CF2001E" w14:textId="77777777" w:rsidR="009739E0" w:rsidRPr="00753B95" w:rsidRDefault="009739E0">
      <w:pPr>
        <w:rPr>
          <w:u w:val="single"/>
        </w:rPr>
      </w:pPr>
      <w:r w:rsidRPr="00753B95">
        <w:rPr>
          <w:u w:val="single"/>
        </w:rPr>
        <w:t>Mergers</w:t>
      </w:r>
    </w:p>
    <w:p w14:paraId="7AFB6E17" w14:textId="77777777" w:rsidR="006D462A" w:rsidRPr="00753B95" w:rsidRDefault="006D462A">
      <w:pPr>
        <w:rPr>
          <w:b/>
          <w:u w:val="single"/>
        </w:rPr>
      </w:pPr>
    </w:p>
    <w:p w14:paraId="1ABB577A" w14:textId="7228842F" w:rsidR="007A5630" w:rsidRPr="00753B95" w:rsidRDefault="00C57B92" w:rsidP="007A5630">
      <w:r w:rsidRPr="00753B95">
        <w:t xml:space="preserve">NCUA spends an average of </w:t>
      </w:r>
      <w:r w:rsidR="006D462A" w:rsidRPr="00753B95">
        <w:t>1</w:t>
      </w:r>
      <w:r w:rsidR="002A6CDC" w:rsidRPr="00753B95">
        <w:t>5</w:t>
      </w:r>
      <w:r w:rsidRPr="00753B95">
        <w:t xml:space="preserve"> </w:t>
      </w:r>
      <w:r w:rsidR="002A6CDC" w:rsidRPr="00753B95">
        <w:t>employee</w:t>
      </w:r>
      <w:r w:rsidRPr="00753B95">
        <w:t xml:space="preserve">-hours </w:t>
      </w:r>
      <w:r w:rsidR="00942A07" w:rsidRPr="00753B95">
        <w:t>on</w:t>
      </w:r>
      <w:r w:rsidR="00131AA9" w:rsidRPr="00753B95">
        <w:t xml:space="preserve"> pre</w:t>
      </w:r>
      <w:r w:rsidR="002C2ADF" w:rsidRPr="00753B95">
        <w:t>-</w:t>
      </w:r>
      <w:r w:rsidR="00131AA9" w:rsidRPr="00753B95">
        <w:t xml:space="preserve"> and post-merger </w:t>
      </w:r>
      <w:r w:rsidRPr="00753B95">
        <w:t>processing</w:t>
      </w:r>
      <w:r w:rsidR="00131AA9" w:rsidRPr="00753B95">
        <w:t xml:space="preserve"> </w:t>
      </w:r>
      <w:r w:rsidR="002A6CDC" w:rsidRPr="00753B95">
        <w:t xml:space="preserve">and </w:t>
      </w:r>
      <w:r w:rsidR="006D462A" w:rsidRPr="00753B95">
        <w:t>4</w:t>
      </w:r>
      <w:r w:rsidRPr="00753B95">
        <w:t xml:space="preserve"> </w:t>
      </w:r>
      <w:r w:rsidR="002A6CDC" w:rsidRPr="00753B95">
        <w:t>employee</w:t>
      </w:r>
      <w:r w:rsidRPr="00753B95">
        <w:t>-hours reviewing and supervising th</w:t>
      </w:r>
      <w:r w:rsidR="00131AA9" w:rsidRPr="00753B95">
        <w:t>at</w:t>
      </w:r>
      <w:r w:rsidRPr="00753B95">
        <w:t xml:space="preserve"> processing.  The wage rate for the </w:t>
      </w:r>
      <w:r w:rsidR="00942A07" w:rsidRPr="00753B95">
        <w:t xml:space="preserve">processing is </w:t>
      </w:r>
      <w:r w:rsidR="007251BF" w:rsidRPr="00753B95">
        <w:t>approximately</w:t>
      </w:r>
      <w:r w:rsidR="00942A07" w:rsidRPr="00753B95">
        <w:t xml:space="preserve"> $</w:t>
      </w:r>
      <w:r w:rsidR="002A6CDC" w:rsidRPr="00753B95">
        <w:t>4</w:t>
      </w:r>
      <w:r w:rsidR="00942A07" w:rsidRPr="00753B95">
        <w:t>0</w:t>
      </w:r>
      <w:r w:rsidR="002A6CDC" w:rsidRPr="00753B95">
        <w:t>/hour</w:t>
      </w:r>
      <w:r w:rsidR="00942A07" w:rsidRPr="00753B95">
        <w:t xml:space="preserve">, and the </w:t>
      </w:r>
      <w:r w:rsidRPr="00753B95">
        <w:t>wage rate for review and supervision i</w:t>
      </w:r>
      <w:r w:rsidR="00131AA9" w:rsidRPr="00753B95">
        <w:t>s</w:t>
      </w:r>
      <w:r w:rsidRPr="00753B95">
        <w:t xml:space="preserve"> </w:t>
      </w:r>
      <w:r w:rsidR="007251BF" w:rsidRPr="00753B95">
        <w:t>approximately</w:t>
      </w:r>
      <w:r w:rsidRPr="00753B95">
        <w:t xml:space="preserve"> $60</w:t>
      </w:r>
      <w:r w:rsidR="002A6CDC" w:rsidRPr="00753B95">
        <w:t>/hour</w:t>
      </w:r>
      <w:r w:rsidRPr="00753B95">
        <w:t>.</w:t>
      </w:r>
      <w:r w:rsidR="00131AA9" w:rsidRPr="00753B95">
        <w:t xml:space="preserve">  </w:t>
      </w:r>
      <w:r w:rsidRPr="00753B95">
        <w:t xml:space="preserve">The total </w:t>
      </w:r>
      <w:r w:rsidR="00942A07" w:rsidRPr="00753B95">
        <w:t xml:space="preserve">NCUA </w:t>
      </w:r>
      <w:r w:rsidRPr="00753B95">
        <w:t xml:space="preserve">cost for each merger is </w:t>
      </w:r>
      <w:r w:rsidR="00131AA9" w:rsidRPr="00753B95">
        <w:t xml:space="preserve">then </w:t>
      </w:r>
      <w:r w:rsidR="006D462A" w:rsidRPr="00753B95">
        <w:t>1</w:t>
      </w:r>
      <w:r w:rsidR="007A5630" w:rsidRPr="00753B95">
        <w:t>5</w:t>
      </w:r>
      <w:r w:rsidRPr="00753B95">
        <w:t xml:space="preserve"> x $40</w:t>
      </w:r>
      <w:r w:rsidR="006D462A" w:rsidRPr="00753B95">
        <w:t xml:space="preserve"> ($600)</w:t>
      </w:r>
      <w:r w:rsidRPr="00753B95">
        <w:t xml:space="preserve"> plus </w:t>
      </w:r>
      <w:r w:rsidR="006D462A" w:rsidRPr="00753B95">
        <w:t>4</w:t>
      </w:r>
      <w:r w:rsidRPr="00753B95">
        <w:t xml:space="preserve"> x $60</w:t>
      </w:r>
      <w:r w:rsidR="006D462A" w:rsidRPr="00753B95">
        <w:t xml:space="preserve"> (</w:t>
      </w:r>
      <w:r w:rsidRPr="00753B95">
        <w:t>$</w:t>
      </w:r>
      <w:r w:rsidR="006D462A" w:rsidRPr="00753B95">
        <w:t>240) = $840</w:t>
      </w:r>
      <w:r w:rsidRPr="00753B95">
        <w:t>.</w:t>
      </w:r>
      <w:r w:rsidR="00131AA9" w:rsidRPr="00753B95">
        <w:t xml:space="preserve">  T</w:t>
      </w:r>
      <w:r w:rsidRPr="00753B95">
        <w:t xml:space="preserve">he aggregate annual cost </w:t>
      </w:r>
      <w:r w:rsidR="00131AA9" w:rsidRPr="00753B95">
        <w:t xml:space="preserve">for the </w:t>
      </w:r>
      <w:r w:rsidR="0084133C" w:rsidRPr="0084133C">
        <w:t>214</w:t>
      </w:r>
      <w:r w:rsidRPr="00753B95">
        <w:t xml:space="preserve"> mergers </w:t>
      </w:r>
      <w:r w:rsidR="00131AA9" w:rsidRPr="00753B95">
        <w:t xml:space="preserve">is </w:t>
      </w:r>
      <w:r w:rsidR="0084133C">
        <w:t>214</w:t>
      </w:r>
      <w:r w:rsidR="00131AA9" w:rsidRPr="00753B95">
        <w:t xml:space="preserve"> </w:t>
      </w:r>
      <w:r w:rsidRPr="00753B95">
        <w:t>x $</w:t>
      </w:r>
      <w:r w:rsidR="006D462A" w:rsidRPr="00753B95">
        <w:t>840</w:t>
      </w:r>
      <w:r w:rsidRPr="00753B95">
        <w:t>, or $</w:t>
      </w:r>
      <w:r w:rsidR="0084133C">
        <w:t>179,760</w:t>
      </w:r>
      <w:r w:rsidR="006D462A" w:rsidRPr="00753B95">
        <w:t>.</w:t>
      </w:r>
      <w:r w:rsidRPr="00753B95">
        <w:t xml:space="preserve"> </w:t>
      </w:r>
    </w:p>
    <w:p w14:paraId="2017A52F" w14:textId="77777777" w:rsidR="007A5630" w:rsidRPr="00753B95" w:rsidRDefault="007A5630" w:rsidP="007A5630"/>
    <w:p w14:paraId="4628C8F3" w14:textId="77777777" w:rsidR="009739E0" w:rsidRPr="00753B95" w:rsidRDefault="009739E0" w:rsidP="007A5630">
      <w:pPr>
        <w:rPr>
          <w:u w:val="single"/>
        </w:rPr>
      </w:pPr>
      <w:r w:rsidRPr="00753B95">
        <w:rPr>
          <w:u w:val="single"/>
        </w:rPr>
        <w:t>Share Insurance Conversions</w:t>
      </w:r>
    </w:p>
    <w:p w14:paraId="25B1FA0E" w14:textId="77777777" w:rsidR="00A5296C" w:rsidRPr="00753B95" w:rsidRDefault="00A5296C" w:rsidP="007A5630">
      <w:pPr>
        <w:rPr>
          <w:b/>
          <w:u w:val="single"/>
        </w:rPr>
      </w:pPr>
    </w:p>
    <w:p w14:paraId="37D2B484" w14:textId="75EC8EC7" w:rsidR="007A5630" w:rsidRPr="00753B95" w:rsidRDefault="007A5630" w:rsidP="007A5630">
      <w:r w:rsidRPr="00753B95">
        <w:t xml:space="preserve">The NCUA spends an average of </w:t>
      </w:r>
      <w:r w:rsidR="006D462A" w:rsidRPr="00753B95">
        <w:t>10</w:t>
      </w:r>
      <w:r w:rsidRPr="00753B95">
        <w:t xml:space="preserve"> employee-hours on pre-</w:t>
      </w:r>
      <w:r w:rsidR="006D462A" w:rsidRPr="00753B95">
        <w:t xml:space="preserve"> and post-</w:t>
      </w:r>
      <w:r w:rsidRPr="00753B95">
        <w:t xml:space="preserve">share insurance conversion processing and </w:t>
      </w:r>
      <w:r w:rsidR="007931B8" w:rsidRPr="00753B95">
        <w:t>2</w:t>
      </w:r>
      <w:r w:rsidRPr="00753B95">
        <w:t xml:space="preserve"> employee-hours reviewing and supervising that processing.  The wage rate for the processing is a</w:t>
      </w:r>
      <w:r w:rsidR="007931B8" w:rsidRPr="00753B95">
        <w:t>pproximately</w:t>
      </w:r>
      <w:r w:rsidRPr="00753B95">
        <w:t xml:space="preserve"> $40/hour, and the wage rate for review and supervision is </w:t>
      </w:r>
      <w:r w:rsidR="007931B8" w:rsidRPr="00753B95">
        <w:t xml:space="preserve">approximately </w:t>
      </w:r>
      <w:r w:rsidRPr="00753B95">
        <w:t xml:space="preserve">$60/hour.  The total NCUA cost for each share insurance conversion is then </w:t>
      </w:r>
      <w:r w:rsidR="00A5296C" w:rsidRPr="00753B95">
        <w:t>10</w:t>
      </w:r>
      <w:r w:rsidRPr="00753B95">
        <w:t xml:space="preserve"> x $40 </w:t>
      </w:r>
      <w:r w:rsidR="00A5296C" w:rsidRPr="00753B95">
        <w:t xml:space="preserve">($400) </w:t>
      </w:r>
      <w:r w:rsidRPr="00753B95">
        <w:t xml:space="preserve">plus </w:t>
      </w:r>
      <w:r w:rsidR="00A5296C" w:rsidRPr="00753B95">
        <w:t>2</w:t>
      </w:r>
      <w:r w:rsidRPr="00753B95">
        <w:t xml:space="preserve"> x $60</w:t>
      </w:r>
      <w:r w:rsidR="00A5296C" w:rsidRPr="00753B95">
        <w:t xml:space="preserve"> ($120)</w:t>
      </w:r>
      <w:r w:rsidRPr="00753B95">
        <w:t xml:space="preserve"> = $</w:t>
      </w:r>
      <w:r w:rsidR="00A5296C" w:rsidRPr="00753B95">
        <w:t>520</w:t>
      </w:r>
      <w:r w:rsidRPr="00753B95">
        <w:t xml:space="preserve">.  The aggregate annual cost for the </w:t>
      </w:r>
      <w:r w:rsidR="0084133C">
        <w:t>4</w:t>
      </w:r>
      <w:r w:rsidRPr="00753B95">
        <w:t xml:space="preserve"> share insurance conversions is </w:t>
      </w:r>
      <w:r w:rsidR="0084133C">
        <w:t>4</w:t>
      </w:r>
      <w:r w:rsidRPr="00753B95">
        <w:t xml:space="preserve"> x $</w:t>
      </w:r>
      <w:r w:rsidR="00A5296C" w:rsidRPr="00753B95">
        <w:t>520</w:t>
      </w:r>
      <w:r w:rsidRPr="00753B95">
        <w:t>, or $</w:t>
      </w:r>
      <w:r w:rsidR="0084133C">
        <w:t>2,080</w:t>
      </w:r>
      <w:r w:rsidRPr="00753B95">
        <w:t xml:space="preserve">. </w:t>
      </w:r>
    </w:p>
    <w:p w14:paraId="29640618" w14:textId="77777777" w:rsidR="007A5630" w:rsidRPr="00753B95" w:rsidRDefault="007A5630"/>
    <w:p w14:paraId="7D4A8DE6" w14:textId="77777777" w:rsidR="00D05C04" w:rsidRPr="00753B95" w:rsidRDefault="00D05C04">
      <w:pPr>
        <w:rPr>
          <w:b/>
        </w:rPr>
      </w:pPr>
      <w:r w:rsidRPr="00753B95">
        <w:rPr>
          <w:b/>
        </w:rPr>
        <w:t>15.</w:t>
      </w:r>
      <w:r w:rsidR="00942A07" w:rsidRPr="00753B95">
        <w:rPr>
          <w:b/>
        </w:rPr>
        <w:t xml:space="preserve">  </w:t>
      </w:r>
      <w:r w:rsidRPr="00753B95">
        <w:rPr>
          <w:b/>
        </w:rPr>
        <w:t>Explan</w:t>
      </w:r>
      <w:r w:rsidR="00F2748C" w:rsidRPr="00753B95">
        <w:rPr>
          <w:b/>
        </w:rPr>
        <w:t>ation of change in burden.</w:t>
      </w:r>
    </w:p>
    <w:p w14:paraId="30329FD3" w14:textId="77777777" w:rsidR="00F2748C" w:rsidRPr="00753B95" w:rsidRDefault="00F2748C"/>
    <w:p w14:paraId="212A3174" w14:textId="38864C47" w:rsidR="00D05C04" w:rsidRPr="00753B95" w:rsidRDefault="004914EC">
      <w:r w:rsidRPr="00753B95">
        <w:t xml:space="preserve">The change in </w:t>
      </w:r>
      <w:r w:rsidR="00261125">
        <w:t xml:space="preserve">burden </w:t>
      </w:r>
      <w:r w:rsidRPr="00753B95">
        <w:t xml:space="preserve">is attributable to a </w:t>
      </w:r>
      <w:r w:rsidRPr="001E0D1E">
        <w:t>decreas</w:t>
      </w:r>
      <w:r w:rsidRPr="00753B95">
        <w:t>e in the number of credit unions engaging in mergers</w:t>
      </w:r>
      <w:r w:rsidR="004C1161">
        <w:t>,</w:t>
      </w:r>
      <w:r w:rsidR="00257D33">
        <w:t xml:space="preserve"> increase in the number of </w:t>
      </w:r>
      <w:r w:rsidR="00A3321F">
        <w:t>credit unions engaged in</w:t>
      </w:r>
      <w:r w:rsidR="00144F67">
        <w:t xml:space="preserve"> share insurance conversions, </w:t>
      </w:r>
      <w:r w:rsidR="004C1161">
        <w:t xml:space="preserve">correction to the number of hours spent notifying members of proposed conversions, </w:t>
      </w:r>
      <w:r w:rsidR="00144F67">
        <w:t>and corrections made in reporting the number of responses</w:t>
      </w:r>
      <w:r w:rsidRPr="00753B95">
        <w:t>.</w:t>
      </w:r>
      <w:r w:rsidR="00A3321F">
        <w:t xml:space="preserve">  These adjustments reflect an increase in the number of responses</w:t>
      </w:r>
      <w:r w:rsidR="004C1161">
        <w:t xml:space="preserve"> by 1,277 and a reduction of 8</w:t>
      </w:r>
      <w:r w:rsidR="004B58A3">
        <w:t>62</w:t>
      </w:r>
      <w:r w:rsidR="00A3321F">
        <w:t xml:space="preserve"> burden hours. </w:t>
      </w:r>
    </w:p>
    <w:p w14:paraId="6AB7F3C6" w14:textId="77777777" w:rsidR="00D05C04" w:rsidRPr="00753B95" w:rsidRDefault="00D05C04"/>
    <w:p w14:paraId="2E0FDB75" w14:textId="77777777" w:rsidR="00D05C04" w:rsidRPr="00753B95" w:rsidRDefault="00D05C04">
      <w:pPr>
        <w:rPr>
          <w:b/>
        </w:rPr>
      </w:pPr>
      <w:r w:rsidRPr="00753B95">
        <w:rPr>
          <w:b/>
        </w:rPr>
        <w:t>16.</w:t>
      </w:r>
      <w:r w:rsidR="00942A07" w:rsidRPr="00753B95">
        <w:rPr>
          <w:b/>
        </w:rPr>
        <w:t xml:space="preserve">  </w:t>
      </w:r>
      <w:r w:rsidR="00F2748C" w:rsidRPr="00753B95">
        <w:rPr>
          <w:b/>
        </w:rPr>
        <w:t>Information collections data planned to be published for statistical use.</w:t>
      </w:r>
    </w:p>
    <w:p w14:paraId="3162D9E4" w14:textId="77777777" w:rsidR="00F2748C" w:rsidRPr="00753B95" w:rsidRDefault="00F2748C"/>
    <w:p w14:paraId="384DD71F" w14:textId="77777777" w:rsidR="00D05C04" w:rsidRPr="00753B95" w:rsidRDefault="00F2748C">
      <w:r w:rsidRPr="00753B95">
        <w:t>NCUA does not intend to employ the use of statistics or the publication thereof for this information collection.</w:t>
      </w:r>
    </w:p>
    <w:p w14:paraId="1D428B31" w14:textId="77777777" w:rsidR="00D05C04" w:rsidRPr="00753B95" w:rsidRDefault="00D05C04"/>
    <w:p w14:paraId="5743A49F" w14:textId="77777777" w:rsidR="001A03E7" w:rsidRDefault="001A03E7">
      <w:pPr>
        <w:rPr>
          <w:b/>
        </w:rPr>
      </w:pPr>
      <w:r>
        <w:rPr>
          <w:b/>
        </w:rPr>
        <w:br w:type="page"/>
      </w:r>
    </w:p>
    <w:p w14:paraId="1CE2A2DB" w14:textId="2EA3A6D2" w:rsidR="00F2748C" w:rsidRPr="00753B95" w:rsidRDefault="00D05C04">
      <w:pPr>
        <w:rPr>
          <w:b/>
        </w:rPr>
      </w:pPr>
      <w:r w:rsidRPr="00753B95">
        <w:rPr>
          <w:b/>
        </w:rPr>
        <w:lastRenderedPageBreak/>
        <w:t>17.</w:t>
      </w:r>
      <w:r w:rsidR="00942A07" w:rsidRPr="00753B95">
        <w:rPr>
          <w:b/>
        </w:rPr>
        <w:t xml:space="preserve">  </w:t>
      </w:r>
      <w:r w:rsidR="00F2748C" w:rsidRPr="00753B95">
        <w:rPr>
          <w:b/>
        </w:rPr>
        <w:t xml:space="preserve">Explanation of seeking not to display the expiration date for OMB approval of the information collection. </w:t>
      </w:r>
    </w:p>
    <w:p w14:paraId="3D8E6D0C" w14:textId="77777777" w:rsidR="00F2748C" w:rsidRPr="00753B95" w:rsidRDefault="00F2748C"/>
    <w:p w14:paraId="68ED297E" w14:textId="568B4673" w:rsidR="005728D3" w:rsidRDefault="00942D05">
      <w:r>
        <w:t xml:space="preserve">The OMB control number and expiration date associated with this PRA submission will be displayed on the Federal Government’s electronic PRA docket at </w:t>
      </w:r>
      <w:hyperlink r:id="rId8" w:history="1">
        <w:r w:rsidRPr="007F1BFB">
          <w:rPr>
            <w:rStyle w:val="Hyperlink"/>
          </w:rPr>
          <w:t>www.reginfo.gov</w:t>
        </w:r>
      </w:hyperlink>
      <w:r>
        <w:t>.</w:t>
      </w:r>
    </w:p>
    <w:p w14:paraId="22F76637" w14:textId="77777777" w:rsidR="007118F8" w:rsidRDefault="007118F8">
      <w:pPr>
        <w:rPr>
          <w:b/>
        </w:rPr>
      </w:pPr>
    </w:p>
    <w:p w14:paraId="6D5DB4B1" w14:textId="77777777" w:rsidR="00D05C04" w:rsidRPr="00753B95" w:rsidRDefault="005728D3">
      <w:pPr>
        <w:rPr>
          <w:b/>
        </w:rPr>
      </w:pPr>
      <w:bookmarkStart w:id="0" w:name="_GoBack"/>
      <w:bookmarkEnd w:id="0"/>
      <w:r w:rsidRPr="00753B95">
        <w:rPr>
          <w:b/>
        </w:rPr>
        <w:t xml:space="preserve">18.  </w:t>
      </w:r>
      <w:r w:rsidR="00F2748C" w:rsidRPr="00753B95">
        <w:rPr>
          <w:b/>
        </w:rPr>
        <w:t>Exception to the certification statement.</w:t>
      </w:r>
    </w:p>
    <w:p w14:paraId="3EE9D60C" w14:textId="77777777" w:rsidR="005728D3" w:rsidRPr="00753B95" w:rsidRDefault="005728D3"/>
    <w:p w14:paraId="2BC56BFE" w14:textId="77777777" w:rsidR="005728D3" w:rsidRPr="00753B95" w:rsidRDefault="00F2748C">
      <w:r w:rsidRPr="00753B95">
        <w:t>NCUA does not request an exception to the certification of this information collection.</w:t>
      </w:r>
    </w:p>
    <w:p w14:paraId="4FCCBCC0" w14:textId="77777777" w:rsidR="009C5E9F" w:rsidRDefault="009C5E9F"/>
    <w:p w14:paraId="78165075" w14:textId="77777777" w:rsidR="00436192" w:rsidRPr="00753B95" w:rsidRDefault="00436192"/>
    <w:p w14:paraId="7C71E48B" w14:textId="77777777" w:rsidR="009C5E9F" w:rsidRPr="00753B95" w:rsidRDefault="009C5E9F" w:rsidP="009C5E9F">
      <w:pPr>
        <w:widowControl w:val="0"/>
        <w:tabs>
          <w:tab w:val="left" w:pos="-1440"/>
        </w:tabs>
        <w:ind w:left="720" w:hanging="720"/>
        <w:rPr>
          <w:b/>
        </w:rPr>
      </w:pPr>
      <w:r w:rsidRPr="00753B95">
        <w:rPr>
          <w:b/>
        </w:rPr>
        <w:t>B.  Collections of Information Employing Statistical Methods.</w:t>
      </w:r>
    </w:p>
    <w:p w14:paraId="38599DAF" w14:textId="77777777" w:rsidR="009C5E9F" w:rsidRPr="00753B95" w:rsidRDefault="009C5E9F" w:rsidP="009C5E9F">
      <w:pPr>
        <w:widowControl w:val="0"/>
        <w:rPr>
          <w:u w:val="single"/>
        </w:rPr>
      </w:pPr>
    </w:p>
    <w:p w14:paraId="61031FB5" w14:textId="77777777" w:rsidR="00180D22" w:rsidRPr="00753B95" w:rsidRDefault="009C5E9F" w:rsidP="00A771D6">
      <w:pPr>
        <w:widowControl w:val="0"/>
      </w:pPr>
      <w:r w:rsidRPr="00753B95">
        <w:t>This collection does not employ statistical methods.</w:t>
      </w:r>
    </w:p>
    <w:p w14:paraId="4FE45A7D" w14:textId="77777777" w:rsidR="00A771D6" w:rsidRPr="00753B95" w:rsidRDefault="00A771D6" w:rsidP="00A771D6">
      <w:pPr>
        <w:widowControl w:val="0"/>
      </w:pPr>
    </w:p>
    <w:sectPr w:rsidR="00A771D6" w:rsidRPr="00753B95" w:rsidSect="006B3D5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E417" w14:textId="77777777" w:rsidR="0002057F" w:rsidRDefault="0002057F" w:rsidP="00534F2A">
      <w:r>
        <w:separator/>
      </w:r>
    </w:p>
  </w:endnote>
  <w:endnote w:type="continuationSeparator" w:id="0">
    <w:p w14:paraId="78A2E57D" w14:textId="77777777" w:rsidR="0002057F" w:rsidRDefault="0002057F"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49E92" w14:textId="77777777" w:rsidR="00486345" w:rsidRDefault="00486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88336"/>
      <w:docPartObj>
        <w:docPartGallery w:val="Page Numbers (Bottom of Page)"/>
        <w:docPartUnique/>
      </w:docPartObj>
    </w:sdtPr>
    <w:sdtEndPr>
      <w:rPr>
        <w:noProof/>
      </w:rPr>
    </w:sdtEndPr>
    <w:sdtContent>
      <w:p w14:paraId="03F198C2" w14:textId="6FEC19B0" w:rsidR="00753B95" w:rsidRDefault="00486345" w:rsidP="008155FD">
        <w:pPr>
          <w:pStyle w:val="Footer"/>
        </w:pPr>
        <w:r w:rsidRPr="00486345">
          <w:rPr>
            <w:i/>
            <w:sz w:val="22"/>
            <w:szCs w:val="22"/>
          </w:rPr>
          <w:t>OMB No. 3133-0024, December 2016</w:t>
        </w:r>
        <w:r w:rsidR="008155FD">
          <w:tab/>
        </w:r>
        <w:r w:rsidR="008155FD">
          <w:tab/>
        </w:r>
        <w:r w:rsidR="00753B95">
          <w:fldChar w:fldCharType="begin"/>
        </w:r>
        <w:r w:rsidR="00753B95">
          <w:instrText xml:space="preserve"> PAGE   \* MERGEFORMAT </w:instrText>
        </w:r>
        <w:r w:rsidR="00753B95">
          <w:fldChar w:fldCharType="separate"/>
        </w:r>
        <w:r w:rsidR="007118F8">
          <w:rPr>
            <w:noProof/>
          </w:rPr>
          <w:t>7</w:t>
        </w:r>
        <w:r w:rsidR="00753B95">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5020B" w14:textId="77777777" w:rsidR="00486345" w:rsidRDefault="00486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D73AB" w14:textId="77777777" w:rsidR="0002057F" w:rsidRDefault="0002057F" w:rsidP="00534F2A">
      <w:r>
        <w:separator/>
      </w:r>
    </w:p>
  </w:footnote>
  <w:footnote w:type="continuationSeparator" w:id="0">
    <w:p w14:paraId="5962C888" w14:textId="77777777" w:rsidR="0002057F" w:rsidRDefault="0002057F" w:rsidP="00534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F9DA" w14:textId="77777777" w:rsidR="00486345" w:rsidRDefault="00486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8EE84" w14:textId="77777777" w:rsidR="00486345" w:rsidRDefault="004863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DEC1" w14:textId="77777777" w:rsidR="00486345" w:rsidRDefault="00486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0"/>
  </w:num>
  <w:num w:numId="5">
    <w:abstractNumId w:val="6"/>
  </w:num>
  <w:num w:numId="6">
    <w:abstractNumId w:val="2"/>
  </w:num>
  <w:num w:numId="7">
    <w:abstractNumId w:val="11"/>
  </w:num>
  <w:num w:numId="8">
    <w:abstractNumId w:val="4"/>
  </w:num>
  <w:num w:numId="9">
    <w:abstractNumId w:val="5"/>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EB"/>
    <w:rsid w:val="00002E37"/>
    <w:rsid w:val="0002057F"/>
    <w:rsid w:val="00036F5E"/>
    <w:rsid w:val="00037B8F"/>
    <w:rsid w:val="0004169B"/>
    <w:rsid w:val="00077A56"/>
    <w:rsid w:val="00077CBD"/>
    <w:rsid w:val="000969CF"/>
    <w:rsid w:val="000B105F"/>
    <w:rsid w:val="000C16EE"/>
    <w:rsid w:val="000E3900"/>
    <w:rsid w:val="000F317A"/>
    <w:rsid w:val="00101432"/>
    <w:rsid w:val="00115D08"/>
    <w:rsid w:val="00131AA9"/>
    <w:rsid w:val="001344D6"/>
    <w:rsid w:val="00144F67"/>
    <w:rsid w:val="001505A7"/>
    <w:rsid w:val="00157D13"/>
    <w:rsid w:val="00180D22"/>
    <w:rsid w:val="00196BDF"/>
    <w:rsid w:val="001A03E7"/>
    <w:rsid w:val="001A7C05"/>
    <w:rsid w:val="001C11EA"/>
    <w:rsid w:val="001C629C"/>
    <w:rsid w:val="001C77C2"/>
    <w:rsid w:val="001D1632"/>
    <w:rsid w:val="001D3C24"/>
    <w:rsid w:val="001E0D1E"/>
    <w:rsid w:val="001F0DB5"/>
    <w:rsid w:val="001F2EAF"/>
    <w:rsid w:val="00202708"/>
    <w:rsid w:val="00205E9C"/>
    <w:rsid w:val="00237129"/>
    <w:rsid w:val="00257D33"/>
    <w:rsid w:val="00261125"/>
    <w:rsid w:val="002861E9"/>
    <w:rsid w:val="002920ED"/>
    <w:rsid w:val="00294C79"/>
    <w:rsid w:val="002A6CDC"/>
    <w:rsid w:val="002C2ADF"/>
    <w:rsid w:val="002D128E"/>
    <w:rsid w:val="002E4F2B"/>
    <w:rsid w:val="00323E48"/>
    <w:rsid w:val="003349EB"/>
    <w:rsid w:val="00341B1D"/>
    <w:rsid w:val="003740DB"/>
    <w:rsid w:val="00382444"/>
    <w:rsid w:val="0038462C"/>
    <w:rsid w:val="00392050"/>
    <w:rsid w:val="0039479A"/>
    <w:rsid w:val="003B2E1C"/>
    <w:rsid w:val="003B5370"/>
    <w:rsid w:val="003C27B0"/>
    <w:rsid w:val="003C496D"/>
    <w:rsid w:val="003D1FE0"/>
    <w:rsid w:val="003D59AC"/>
    <w:rsid w:val="00425AEB"/>
    <w:rsid w:val="00425FAA"/>
    <w:rsid w:val="00436192"/>
    <w:rsid w:val="00444214"/>
    <w:rsid w:val="00453E27"/>
    <w:rsid w:val="00486345"/>
    <w:rsid w:val="004914EC"/>
    <w:rsid w:val="004B0C46"/>
    <w:rsid w:val="004B58A3"/>
    <w:rsid w:val="004C1161"/>
    <w:rsid w:val="004C7977"/>
    <w:rsid w:val="004D0000"/>
    <w:rsid w:val="004F73C7"/>
    <w:rsid w:val="00514FAA"/>
    <w:rsid w:val="00521175"/>
    <w:rsid w:val="005300AF"/>
    <w:rsid w:val="005320FD"/>
    <w:rsid w:val="00534F2A"/>
    <w:rsid w:val="005728D3"/>
    <w:rsid w:val="00574211"/>
    <w:rsid w:val="005915A7"/>
    <w:rsid w:val="005A4BAB"/>
    <w:rsid w:val="005A5945"/>
    <w:rsid w:val="005D5EC4"/>
    <w:rsid w:val="0061487C"/>
    <w:rsid w:val="0062295A"/>
    <w:rsid w:val="00622981"/>
    <w:rsid w:val="00650EA0"/>
    <w:rsid w:val="00680820"/>
    <w:rsid w:val="00692C69"/>
    <w:rsid w:val="006A745E"/>
    <w:rsid w:val="006B1F29"/>
    <w:rsid w:val="006B233F"/>
    <w:rsid w:val="006B2771"/>
    <w:rsid w:val="006B3D52"/>
    <w:rsid w:val="006D087C"/>
    <w:rsid w:val="006D462A"/>
    <w:rsid w:val="006F3CB6"/>
    <w:rsid w:val="007118F8"/>
    <w:rsid w:val="00722F39"/>
    <w:rsid w:val="007251BF"/>
    <w:rsid w:val="00753B95"/>
    <w:rsid w:val="0078544F"/>
    <w:rsid w:val="007931B8"/>
    <w:rsid w:val="007A5630"/>
    <w:rsid w:val="007B0C02"/>
    <w:rsid w:val="007D1391"/>
    <w:rsid w:val="007D514B"/>
    <w:rsid w:val="007F4ED7"/>
    <w:rsid w:val="00806E73"/>
    <w:rsid w:val="008155FD"/>
    <w:rsid w:val="00820C2A"/>
    <w:rsid w:val="0084030C"/>
    <w:rsid w:val="0084133C"/>
    <w:rsid w:val="0085137F"/>
    <w:rsid w:val="008714EE"/>
    <w:rsid w:val="0088606D"/>
    <w:rsid w:val="008B2819"/>
    <w:rsid w:val="00914119"/>
    <w:rsid w:val="00940951"/>
    <w:rsid w:val="00942A07"/>
    <w:rsid w:val="00942D05"/>
    <w:rsid w:val="0094386E"/>
    <w:rsid w:val="00956E4A"/>
    <w:rsid w:val="009739E0"/>
    <w:rsid w:val="0098332B"/>
    <w:rsid w:val="0098730C"/>
    <w:rsid w:val="009A5162"/>
    <w:rsid w:val="009B01B0"/>
    <w:rsid w:val="009C5E9F"/>
    <w:rsid w:val="009D5313"/>
    <w:rsid w:val="009E348C"/>
    <w:rsid w:val="00A10142"/>
    <w:rsid w:val="00A11628"/>
    <w:rsid w:val="00A16028"/>
    <w:rsid w:val="00A16C5D"/>
    <w:rsid w:val="00A236DE"/>
    <w:rsid w:val="00A25306"/>
    <w:rsid w:val="00A3321F"/>
    <w:rsid w:val="00A52969"/>
    <w:rsid w:val="00A5296C"/>
    <w:rsid w:val="00A541DC"/>
    <w:rsid w:val="00A62F23"/>
    <w:rsid w:val="00A771D6"/>
    <w:rsid w:val="00A84669"/>
    <w:rsid w:val="00A96632"/>
    <w:rsid w:val="00AA42B0"/>
    <w:rsid w:val="00AA4FF2"/>
    <w:rsid w:val="00AC7396"/>
    <w:rsid w:val="00AD6D80"/>
    <w:rsid w:val="00B41267"/>
    <w:rsid w:val="00B61960"/>
    <w:rsid w:val="00B70A4B"/>
    <w:rsid w:val="00B87625"/>
    <w:rsid w:val="00B94D99"/>
    <w:rsid w:val="00B951AF"/>
    <w:rsid w:val="00BA5D7C"/>
    <w:rsid w:val="00BE7CB5"/>
    <w:rsid w:val="00BF0158"/>
    <w:rsid w:val="00C13DEB"/>
    <w:rsid w:val="00C17FEE"/>
    <w:rsid w:val="00C263DF"/>
    <w:rsid w:val="00C337B7"/>
    <w:rsid w:val="00C57B92"/>
    <w:rsid w:val="00C6348E"/>
    <w:rsid w:val="00C742D0"/>
    <w:rsid w:val="00C857B7"/>
    <w:rsid w:val="00CA5C2D"/>
    <w:rsid w:val="00CB6256"/>
    <w:rsid w:val="00CE76BD"/>
    <w:rsid w:val="00CF6886"/>
    <w:rsid w:val="00D05C04"/>
    <w:rsid w:val="00D1311E"/>
    <w:rsid w:val="00D339A2"/>
    <w:rsid w:val="00D728DA"/>
    <w:rsid w:val="00D74D2C"/>
    <w:rsid w:val="00D87E6A"/>
    <w:rsid w:val="00D94BA5"/>
    <w:rsid w:val="00D95123"/>
    <w:rsid w:val="00DF142A"/>
    <w:rsid w:val="00DF2C1A"/>
    <w:rsid w:val="00E31E47"/>
    <w:rsid w:val="00E41832"/>
    <w:rsid w:val="00E55E2C"/>
    <w:rsid w:val="00E708FD"/>
    <w:rsid w:val="00E80C21"/>
    <w:rsid w:val="00F05241"/>
    <w:rsid w:val="00F220F2"/>
    <w:rsid w:val="00F2748C"/>
    <w:rsid w:val="00F27F56"/>
    <w:rsid w:val="00F44855"/>
    <w:rsid w:val="00F731AD"/>
    <w:rsid w:val="00F76E3B"/>
    <w:rsid w:val="00FA3A11"/>
    <w:rsid w:val="00FC43A1"/>
    <w:rsid w:val="00FD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E53D7"/>
  <w15:docId w15:val="{20C97BE7-13A5-4358-A943-D0DA0B07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semiHidden/>
    <w:unhideWhenUsed/>
    <w:rsid w:val="009D5313"/>
    <w:rPr>
      <w:sz w:val="20"/>
      <w:szCs w:val="20"/>
    </w:rPr>
  </w:style>
  <w:style w:type="character" w:customStyle="1" w:styleId="CommentTextChar">
    <w:name w:val="Comment Text Char"/>
    <w:basedOn w:val="DefaultParagraphFont"/>
    <w:link w:val="CommentText"/>
    <w:uiPriority w:val="99"/>
    <w:semiHidden/>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DAD5-92B7-44EA-A612-5A84A2A4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Wolfgang, Dawn</cp:lastModifiedBy>
  <cp:revision>3</cp:revision>
  <cp:lastPrinted>2016-10-17T14:08:00Z</cp:lastPrinted>
  <dcterms:created xsi:type="dcterms:W3CDTF">2016-12-28T16:12:00Z</dcterms:created>
  <dcterms:modified xsi:type="dcterms:W3CDTF">2016-12-28T16:13:00Z</dcterms:modified>
</cp:coreProperties>
</file>