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B810A" w14:textId="77777777" w:rsidR="00242497" w:rsidRPr="00D54C3E" w:rsidRDefault="00242497" w:rsidP="00242497">
      <w:pPr>
        <w:jc w:val="center"/>
        <w:rPr>
          <w:sz w:val="22"/>
          <w:szCs w:val="22"/>
          <w:highlight w:val="white"/>
        </w:rPr>
      </w:pPr>
      <w:r w:rsidRPr="00D54C3E">
        <w:rPr>
          <w:sz w:val="22"/>
          <w:szCs w:val="22"/>
          <w:lang w:val="en-CA"/>
        </w:rPr>
        <w:fldChar w:fldCharType="begin"/>
      </w:r>
      <w:r w:rsidRPr="00D54C3E">
        <w:rPr>
          <w:sz w:val="22"/>
          <w:szCs w:val="22"/>
          <w:lang w:val="en-CA"/>
        </w:rPr>
        <w:instrText xml:space="preserve"> SEQ CHAPTER \h \r 1</w:instrText>
      </w:r>
      <w:r w:rsidRPr="00D54C3E">
        <w:rPr>
          <w:sz w:val="22"/>
          <w:szCs w:val="22"/>
          <w:lang w:val="en-CA"/>
        </w:rPr>
        <w:fldChar w:fldCharType="end"/>
      </w:r>
      <w:r w:rsidRPr="00D54C3E">
        <w:rPr>
          <w:sz w:val="22"/>
          <w:szCs w:val="22"/>
          <w:highlight w:val="white"/>
        </w:rPr>
        <w:t xml:space="preserve">SUPPORTING STATEMENT </w:t>
      </w:r>
    </w:p>
    <w:p w14:paraId="53424049" w14:textId="77777777" w:rsidR="00242497" w:rsidRPr="00D54C3E" w:rsidRDefault="00242497" w:rsidP="00242497">
      <w:pPr>
        <w:jc w:val="center"/>
        <w:rPr>
          <w:sz w:val="22"/>
          <w:szCs w:val="22"/>
          <w:highlight w:val="white"/>
        </w:rPr>
      </w:pPr>
      <w:r w:rsidRPr="00D54C3E">
        <w:rPr>
          <w:sz w:val="22"/>
          <w:szCs w:val="22"/>
          <w:highlight w:val="white"/>
        </w:rPr>
        <w:t>UNITED STATES INTERNATIONAL TRADE COMMISSION QUESTIONNAIRE</w:t>
      </w:r>
    </w:p>
    <w:p w14:paraId="2FA920B0" w14:textId="77777777" w:rsidR="002510A5" w:rsidRPr="002510A5" w:rsidRDefault="00696E0C" w:rsidP="002510A5">
      <w:pPr>
        <w:pStyle w:val="Heading2"/>
        <w:spacing w:after="200"/>
        <w:jc w:val="center"/>
        <w:rPr>
          <w:rFonts w:ascii="Times New Roman" w:eastAsia="Calibri" w:hAnsi="Times New Roman" w:cs="Times New Roman"/>
          <w:b w:val="0"/>
          <w:bCs w:val="0"/>
          <w:i/>
          <w:color w:val="auto"/>
          <w:sz w:val="22"/>
          <w:szCs w:val="22"/>
          <w:highlight w:val="white"/>
        </w:rPr>
      </w:pPr>
      <w:r>
        <w:rPr>
          <w:rFonts w:ascii="Times New Roman" w:eastAsia="Calibri" w:hAnsi="Times New Roman" w:cs="Times New Roman"/>
          <w:b w:val="0"/>
          <w:bCs w:val="0"/>
          <w:i/>
          <w:color w:val="auto"/>
          <w:sz w:val="22"/>
          <w:szCs w:val="22"/>
          <w:highlight w:val="white"/>
        </w:rPr>
        <w:t>Miscellaneous Tariff Bill Petition System</w:t>
      </w:r>
    </w:p>
    <w:p w14:paraId="0657D68F" w14:textId="77777777" w:rsidR="00C73F16" w:rsidRPr="00D54C3E" w:rsidRDefault="00242497" w:rsidP="00FF3FF8">
      <w:pPr>
        <w:jc w:val="center"/>
        <w:rPr>
          <w:bCs/>
          <w:sz w:val="22"/>
          <w:szCs w:val="22"/>
          <w:highlight w:val="white"/>
        </w:rPr>
      </w:pPr>
      <w:r w:rsidRPr="00D54C3E">
        <w:rPr>
          <w:sz w:val="22"/>
          <w:szCs w:val="22"/>
          <w:highlight w:val="white"/>
        </w:rPr>
        <w:t xml:space="preserve">Part </w:t>
      </w:r>
      <w:proofErr w:type="gramStart"/>
      <w:r w:rsidR="00FF3FF8" w:rsidRPr="00D54C3E">
        <w:rPr>
          <w:sz w:val="22"/>
          <w:szCs w:val="22"/>
          <w:highlight w:val="white"/>
        </w:rPr>
        <w:t>A</w:t>
      </w:r>
      <w:r w:rsidRPr="00D54C3E">
        <w:rPr>
          <w:sz w:val="22"/>
          <w:szCs w:val="22"/>
          <w:highlight w:val="white"/>
        </w:rPr>
        <w:t>—</w:t>
      </w:r>
      <w:proofErr w:type="gramEnd"/>
      <w:r w:rsidR="00FF3FF8" w:rsidRPr="00D54C3E">
        <w:rPr>
          <w:bCs/>
          <w:sz w:val="22"/>
          <w:szCs w:val="22"/>
          <w:highlight w:val="white"/>
        </w:rPr>
        <w:t>Justification</w:t>
      </w:r>
    </w:p>
    <w:p w14:paraId="72CEDE86" w14:textId="77777777" w:rsidR="00FF3FF8" w:rsidRPr="00064AEC" w:rsidRDefault="00FF3FF8" w:rsidP="00FF3FF8">
      <w:pPr>
        <w:jc w:val="center"/>
        <w:rPr>
          <w:sz w:val="22"/>
          <w:szCs w:val="22"/>
          <w:highlight w:val="white"/>
        </w:rPr>
      </w:pPr>
    </w:p>
    <w:p w14:paraId="053BABD3" w14:textId="77777777" w:rsidR="00AF35D2" w:rsidRPr="00D54C3E" w:rsidRDefault="00AF35D2" w:rsidP="00064AEC">
      <w:pPr>
        <w:pStyle w:val="NoSpacing"/>
        <w:numPr>
          <w:ilvl w:val="0"/>
          <w:numId w:val="7"/>
        </w:numPr>
        <w:rPr>
          <w:b/>
          <w:sz w:val="22"/>
          <w:szCs w:val="22"/>
          <w:highlight w:val="white"/>
        </w:rPr>
      </w:pPr>
      <w:r w:rsidRPr="00D54C3E">
        <w:rPr>
          <w:b/>
          <w:bCs/>
          <w:sz w:val="22"/>
          <w:szCs w:val="22"/>
          <w:highlight w:val="white"/>
        </w:rPr>
        <w:t xml:space="preserve">Request for </w:t>
      </w:r>
      <w:r w:rsidR="00E65F4A" w:rsidRPr="00D54C3E">
        <w:rPr>
          <w:b/>
          <w:bCs/>
          <w:sz w:val="22"/>
          <w:szCs w:val="22"/>
          <w:highlight w:val="white"/>
        </w:rPr>
        <w:t>regular</w:t>
      </w:r>
      <w:r w:rsidRPr="00D54C3E">
        <w:rPr>
          <w:b/>
          <w:bCs/>
          <w:sz w:val="22"/>
          <w:szCs w:val="22"/>
          <w:highlight w:val="white"/>
        </w:rPr>
        <w:t xml:space="preserve"> action</w:t>
      </w:r>
    </w:p>
    <w:p w14:paraId="5D3B7BEB" w14:textId="455A99DE" w:rsidR="002510A5" w:rsidRDefault="002510A5" w:rsidP="00064AEC">
      <w:pPr>
        <w:pStyle w:val="NoSpacing"/>
        <w:rPr>
          <w:sz w:val="22"/>
          <w:szCs w:val="22"/>
        </w:rPr>
      </w:pPr>
      <w:r>
        <w:rPr>
          <w:sz w:val="22"/>
          <w:szCs w:val="22"/>
        </w:rPr>
        <w:t xml:space="preserve">The U.S. International Trade Commission (“USITC” or “Commission”) is seeking approval </w:t>
      </w:r>
      <w:r w:rsidRPr="002510A5">
        <w:rPr>
          <w:sz w:val="22"/>
          <w:szCs w:val="22"/>
        </w:rPr>
        <w:t xml:space="preserve">for </w:t>
      </w:r>
      <w:r w:rsidR="00BE3980">
        <w:rPr>
          <w:sz w:val="22"/>
          <w:szCs w:val="22"/>
        </w:rPr>
        <w:t>collecting information related to requests for temporary tariff relief on imported goods submitted to the Commission as a result of the American Manufacturing Competitiveness Act of 2016</w:t>
      </w:r>
      <w:r w:rsidR="007B7FD4">
        <w:rPr>
          <w:sz w:val="22"/>
          <w:szCs w:val="22"/>
        </w:rPr>
        <w:t xml:space="preserve"> (“the Act”)</w:t>
      </w:r>
      <w:r w:rsidR="00BE3980">
        <w:rPr>
          <w:sz w:val="22"/>
          <w:szCs w:val="22"/>
        </w:rPr>
        <w:t xml:space="preserve"> (</w:t>
      </w:r>
      <w:r w:rsidR="002E0662">
        <w:rPr>
          <w:sz w:val="22"/>
          <w:szCs w:val="22"/>
        </w:rPr>
        <w:t>19 U.S.C. 1332 note</w:t>
      </w:r>
      <w:r w:rsidR="00BE3980">
        <w:rPr>
          <w:sz w:val="22"/>
          <w:szCs w:val="22"/>
        </w:rPr>
        <w:t xml:space="preserve">). </w:t>
      </w:r>
    </w:p>
    <w:p w14:paraId="4E0DBE09" w14:textId="77777777" w:rsidR="00521D2C" w:rsidRDefault="00521D2C" w:rsidP="00064AEC">
      <w:pPr>
        <w:pStyle w:val="NoSpacing"/>
        <w:rPr>
          <w:sz w:val="22"/>
          <w:szCs w:val="22"/>
        </w:rPr>
      </w:pPr>
    </w:p>
    <w:p w14:paraId="50A6E813" w14:textId="412F5404" w:rsidR="00BE3980" w:rsidRDefault="00BE3980" w:rsidP="00BE3980">
      <w:pPr>
        <w:pStyle w:val="NoSpacing"/>
        <w:rPr>
          <w:sz w:val="22"/>
          <w:szCs w:val="22"/>
        </w:rPr>
      </w:pPr>
      <w:r>
        <w:rPr>
          <w:sz w:val="22"/>
          <w:szCs w:val="22"/>
        </w:rPr>
        <w:t>Th</w:t>
      </w:r>
      <w:r w:rsidR="00001719">
        <w:rPr>
          <w:sz w:val="22"/>
          <w:szCs w:val="22"/>
        </w:rPr>
        <w:t>e</w:t>
      </w:r>
      <w:r>
        <w:rPr>
          <w:sz w:val="22"/>
          <w:szCs w:val="22"/>
        </w:rPr>
        <w:t xml:space="preserve"> </w:t>
      </w:r>
      <w:r w:rsidRPr="00BE3980">
        <w:rPr>
          <w:sz w:val="22"/>
          <w:szCs w:val="22"/>
        </w:rPr>
        <w:t xml:space="preserve">Act requires the Commission to establish a process to receive petitions that will take the place of individual miscellaneous tariff bills, and specifies the contents of such petitions. The Act also provides that these petitions must be made available on the Commission’s website so that public comment on each one may be filed. The Act specifies the contents of preliminary and final reports </w:t>
      </w:r>
      <w:r w:rsidR="007B7FD4">
        <w:rPr>
          <w:sz w:val="22"/>
          <w:szCs w:val="22"/>
        </w:rPr>
        <w:t xml:space="preserve">the Commission must issue, </w:t>
      </w:r>
      <w:r w:rsidRPr="00BE3980">
        <w:rPr>
          <w:sz w:val="22"/>
          <w:szCs w:val="22"/>
        </w:rPr>
        <w:t>and requires the Commission to make several determinations concerning the petitions. Lastly, the Act requires the Commission to make particular recommendations concerning the petitions and provide the necessary information to Congress that will permit Congress to decide which petitions should be included in a miscellaneous tariff bill. The Act specifies the schedule for collectio</w:t>
      </w:r>
      <w:r w:rsidR="00001719">
        <w:rPr>
          <w:sz w:val="22"/>
          <w:szCs w:val="22"/>
        </w:rPr>
        <w:t>n</w:t>
      </w:r>
      <w:r w:rsidRPr="00BE3980">
        <w:rPr>
          <w:sz w:val="22"/>
          <w:szCs w:val="22"/>
        </w:rPr>
        <w:t xml:space="preserve"> of petitions and for the Commission to submit a report to the House Committee on Ways and Means and the Senate Committee on Finance</w:t>
      </w:r>
      <w:r w:rsidR="00DC1332">
        <w:rPr>
          <w:sz w:val="22"/>
          <w:szCs w:val="22"/>
        </w:rPr>
        <w:t xml:space="preserve"> (“Committees”)</w:t>
      </w:r>
      <w:r w:rsidRPr="00BE3980">
        <w:rPr>
          <w:sz w:val="22"/>
          <w:szCs w:val="22"/>
        </w:rPr>
        <w:t xml:space="preserve"> containing information and its determinations.</w:t>
      </w:r>
      <w:r w:rsidR="00001719">
        <w:rPr>
          <w:sz w:val="22"/>
          <w:szCs w:val="22"/>
        </w:rPr>
        <w:t xml:space="preserve">  </w:t>
      </w:r>
      <w:r w:rsidR="00001719" w:rsidRPr="00BE3980">
        <w:rPr>
          <w:sz w:val="22"/>
          <w:szCs w:val="22"/>
        </w:rPr>
        <w:t xml:space="preserve">The </w:t>
      </w:r>
      <w:r w:rsidR="00001719">
        <w:rPr>
          <w:sz w:val="22"/>
          <w:szCs w:val="22"/>
        </w:rPr>
        <w:t>Act</w:t>
      </w:r>
      <w:r w:rsidR="00001719" w:rsidRPr="00BE3980">
        <w:rPr>
          <w:sz w:val="22"/>
          <w:szCs w:val="22"/>
        </w:rPr>
        <w:t xml:space="preserve"> mandates </w:t>
      </w:r>
      <w:r w:rsidR="004713B4">
        <w:rPr>
          <w:sz w:val="22"/>
          <w:szCs w:val="22"/>
        </w:rPr>
        <w:t xml:space="preserve">that </w:t>
      </w:r>
      <w:r w:rsidR="00001719" w:rsidRPr="00BE3980">
        <w:rPr>
          <w:sz w:val="22"/>
          <w:szCs w:val="22"/>
        </w:rPr>
        <w:t>the Commission</w:t>
      </w:r>
      <w:r w:rsidR="00001719">
        <w:rPr>
          <w:sz w:val="22"/>
          <w:szCs w:val="22"/>
        </w:rPr>
        <w:t xml:space="preserve"> conduct two cycles and</w:t>
      </w:r>
      <w:r w:rsidR="00001719" w:rsidRPr="00BE3980">
        <w:rPr>
          <w:sz w:val="22"/>
          <w:szCs w:val="22"/>
        </w:rPr>
        <w:t xml:space="preserve"> begin accepting petitions, thereby collecting the information for which this approval is sought, not later than October 15, 2016</w:t>
      </w:r>
      <w:r w:rsidR="00001719">
        <w:rPr>
          <w:sz w:val="22"/>
          <w:szCs w:val="22"/>
        </w:rPr>
        <w:t xml:space="preserve"> and October 15, 2019, respectively </w:t>
      </w:r>
    </w:p>
    <w:p w14:paraId="068EBAEC" w14:textId="77777777" w:rsidR="00BE3980" w:rsidRDefault="00BE3980" w:rsidP="00BE3980">
      <w:pPr>
        <w:pStyle w:val="NoSpacing"/>
        <w:rPr>
          <w:sz w:val="22"/>
          <w:szCs w:val="22"/>
        </w:rPr>
      </w:pPr>
    </w:p>
    <w:p w14:paraId="00404D0B" w14:textId="50396EFC" w:rsidR="00521D2C" w:rsidRDefault="00521D2C" w:rsidP="00064AEC">
      <w:pPr>
        <w:pStyle w:val="NoSpacing"/>
        <w:rPr>
          <w:sz w:val="22"/>
          <w:szCs w:val="22"/>
        </w:rPr>
      </w:pPr>
      <w:r>
        <w:rPr>
          <w:sz w:val="22"/>
          <w:szCs w:val="22"/>
        </w:rPr>
        <w:t xml:space="preserve">On June </w:t>
      </w:r>
      <w:r w:rsidR="00D2049C">
        <w:rPr>
          <w:sz w:val="22"/>
          <w:szCs w:val="22"/>
        </w:rPr>
        <w:t>15</w:t>
      </w:r>
      <w:r>
        <w:rPr>
          <w:sz w:val="22"/>
          <w:szCs w:val="22"/>
        </w:rPr>
        <w:t xml:space="preserve">, 2016 the Commission posted its draft </w:t>
      </w:r>
      <w:r w:rsidR="00D2049C">
        <w:rPr>
          <w:sz w:val="22"/>
          <w:szCs w:val="22"/>
        </w:rPr>
        <w:t xml:space="preserve">intake and comment forms </w:t>
      </w:r>
      <w:r>
        <w:rPr>
          <w:sz w:val="22"/>
          <w:szCs w:val="22"/>
        </w:rPr>
        <w:t>on its website (</w:t>
      </w:r>
      <w:hyperlink r:id="rId9" w:history="1">
        <w:r w:rsidR="00EB7EB4" w:rsidRPr="004162A6">
          <w:rPr>
            <w:rStyle w:val="Hyperlink"/>
            <w:sz w:val="22"/>
            <w:szCs w:val="22"/>
          </w:rPr>
          <w:t>www.usitc.gov/mtbps</w:t>
        </w:r>
      </w:hyperlink>
      <w:r>
        <w:rPr>
          <w:sz w:val="22"/>
          <w:szCs w:val="22"/>
        </w:rPr>
        <w:t xml:space="preserve">), and published a request for public comments in the </w:t>
      </w:r>
      <w:r w:rsidRPr="00EF515B">
        <w:rPr>
          <w:i/>
          <w:sz w:val="22"/>
          <w:szCs w:val="22"/>
        </w:rPr>
        <w:t>Federal Register</w:t>
      </w:r>
      <w:r>
        <w:rPr>
          <w:sz w:val="22"/>
          <w:szCs w:val="22"/>
        </w:rPr>
        <w:t xml:space="preserve"> on the draft</w:t>
      </w:r>
      <w:r w:rsidR="00D2049C">
        <w:rPr>
          <w:sz w:val="22"/>
          <w:szCs w:val="22"/>
        </w:rPr>
        <w:t xml:space="preserve"> forms</w:t>
      </w:r>
      <w:r>
        <w:rPr>
          <w:sz w:val="22"/>
          <w:szCs w:val="22"/>
        </w:rPr>
        <w:t xml:space="preserve">.  Public comments </w:t>
      </w:r>
      <w:r w:rsidR="007068C0">
        <w:rPr>
          <w:sz w:val="22"/>
          <w:szCs w:val="22"/>
        </w:rPr>
        <w:t>were</w:t>
      </w:r>
      <w:r>
        <w:rPr>
          <w:sz w:val="22"/>
          <w:szCs w:val="22"/>
        </w:rPr>
        <w:t xml:space="preserve"> accepted through August </w:t>
      </w:r>
      <w:r w:rsidR="00EB7EB4">
        <w:rPr>
          <w:sz w:val="22"/>
          <w:szCs w:val="22"/>
        </w:rPr>
        <w:t>16</w:t>
      </w:r>
      <w:r>
        <w:rPr>
          <w:sz w:val="22"/>
          <w:szCs w:val="22"/>
        </w:rPr>
        <w:t>, 2016.</w:t>
      </w:r>
    </w:p>
    <w:p w14:paraId="536B9D78" w14:textId="77777777" w:rsidR="00AF35D2" w:rsidRPr="00D54C3E" w:rsidRDefault="00AF35D2" w:rsidP="00064AEC">
      <w:pPr>
        <w:pStyle w:val="NoSpacing"/>
        <w:rPr>
          <w:sz w:val="22"/>
          <w:szCs w:val="22"/>
          <w:highlight w:val="white"/>
        </w:rPr>
      </w:pPr>
    </w:p>
    <w:p w14:paraId="6284E1E1" w14:textId="77777777" w:rsidR="00AA153A" w:rsidRPr="00AA153A" w:rsidRDefault="00AF35D2" w:rsidP="00AA153A">
      <w:pPr>
        <w:pStyle w:val="NoSpacing"/>
        <w:numPr>
          <w:ilvl w:val="0"/>
          <w:numId w:val="7"/>
        </w:numPr>
        <w:rPr>
          <w:b/>
          <w:sz w:val="22"/>
          <w:szCs w:val="22"/>
          <w:highlight w:val="white"/>
        </w:rPr>
      </w:pPr>
      <w:r w:rsidRPr="00D54C3E">
        <w:rPr>
          <w:b/>
          <w:bCs/>
          <w:sz w:val="22"/>
          <w:szCs w:val="22"/>
          <w:highlight w:val="white"/>
        </w:rPr>
        <w:t>Purpose</w:t>
      </w:r>
    </w:p>
    <w:p w14:paraId="1EDA540D" w14:textId="559BD3F1" w:rsidR="00223A8F" w:rsidRPr="00D54C3E" w:rsidRDefault="00AA153A" w:rsidP="00064AEC">
      <w:pPr>
        <w:pStyle w:val="NoSpacing"/>
        <w:rPr>
          <w:sz w:val="22"/>
          <w:szCs w:val="22"/>
          <w:highlight w:val="white"/>
        </w:rPr>
      </w:pPr>
      <w:r>
        <w:rPr>
          <w:sz w:val="22"/>
          <w:szCs w:val="22"/>
          <w:highlight w:val="white"/>
        </w:rPr>
        <w:t xml:space="preserve">The Commission will review and analyze the information provided and use it as a basis for the determination(s) it makes in the preliminary and final reports to </w:t>
      </w:r>
      <w:r w:rsidR="00DC1332">
        <w:rPr>
          <w:sz w:val="22"/>
          <w:szCs w:val="22"/>
          <w:highlight w:val="white"/>
        </w:rPr>
        <w:t xml:space="preserve">the </w:t>
      </w:r>
      <w:r>
        <w:rPr>
          <w:sz w:val="22"/>
          <w:szCs w:val="22"/>
          <w:highlight w:val="white"/>
        </w:rPr>
        <w:t>Co</w:t>
      </w:r>
      <w:r w:rsidR="002E0662">
        <w:rPr>
          <w:sz w:val="22"/>
          <w:szCs w:val="22"/>
          <w:highlight w:val="white"/>
        </w:rPr>
        <w:t>mmit</w:t>
      </w:r>
      <w:r w:rsidR="00DC1332">
        <w:rPr>
          <w:sz w:val="22"/>
          <w:szCs w:val="22"/>
          <w:highlight w:val="white"/>
        </w:rPr>
        <w:t>t</w:t>
      </w:r>
      <w:r w:rsidR="002E0662">
        <w:rPr>
          <w:sz w:val="22"/>
          <w:szCs w:val="22"/>
          <w:highlight w:val="white"/>
        </w:rPr>
        <w:t>ees</w:t>
      </w:r>
      <w:r>
        <w:rPr>
          <w:sz w:val="22"/>
          <w:szCs w:val="22"/>
          <w:highlight w:val="white"/>
        </w:rPr>
        <w:t>, which are prescribed by the legislation.  Initial review and analysis will be performed by Commission staff</w:t>
      </w:r>
      <w:r w:rsidR="00DC1332">
        <w:rPr>
          <w:sz w:val="22"/>
          <w:szCs w:val="22"/>
          <w:highlight w:val="white"/>
        </w:rPr>
        <w:t>, with preliminary and final reports approved by the Commission</w:t>
      </w:r>
      <w:r>
        <w:rPr>
          <w:sz w:val="22"/>
          <w:szCs w:val="22"/>
          <w:highlight w:val="white"/>
        </w:rPr>
        <w:t>.</w:t>
      </w:r>
    </w:p>
    <w:p w14:paraId="38D72BFF" w14:textId="77777777" w:rsidR="00AF35D2" w:rsidRPr="00D54C3E" w:rsidRDefault="00AF35D2" w:rsidP="00064AEC">
      <w:pPr>
        <w:pStyle w:val="NoSpacing"/>
        <w:rPr>
          <w:sz w:val="22"/>
          <w:szCs w:val="22"/>
          <w:highlight w:val="white"/>
        </w:rPr>
      </w:pPr>
    </w:p>
    <w:p w14:paraId="31BFB519" w14:textId="77777777" w:rsidR="00AF35D2" w:rsidRPr="00223A8F" w:rsidRDefault="00AF35D2" w:rsidP="00064AEC">
      <w:pPr>
        <w:pStyle w:val="NoSpacing"/>
        <w:numPr>
          <w:ilvl w:val="0"/>
          <w:numId w:val="7"/>
        </w:numPr>
        <w:rPr>
          <w:b/>
          <w:sz w:val="22"/>
          <w:szCs w:val="22"/>
          <w:highlight w:val="white"/>
        </w:rPr>
      </w:pPr>
      <w:r w:rsidRPr="00D54C3E">
        <w:rPr>
          <w:b/>
          <w:bCs/>
          <w:sz w:val="22"/>
          <w:szCs w:val="22"/>
          <w:highlight w:val="white"/>
        </w:rPr>
        <w:t>Use of technology</w:t>
      </w:r>
    </w:p>
    <w:p w14:paraId="2293434B" w14:textId="23279943" w:rsidR="000A06A8" w:rsidRPr="00D54C3E" w:rsidRDefault="002E0662" w:rsidP="00064AEC">
      <w:pPr>
        <w:pStyle w:val="NoSpacing"/>
        <w:rPr>
          <w:sz w:val="22"/>
          <w:szCs w:val="22"/>
        </w:rPr>
      </w:pPr>
      <w:r>
        <w:rPr>
          <w:sz w:val="22"/>
          <w:szCs w:val="22"/>
        </w:rPr>
        <w:t xml:space="preserve">In its report on the </w:t>
      </w:r>
      <w:r w:rsidR="007B7FD4">
        <w:rPr>
          <w:sz w:val="22"/>
          <w:szCs w:val="22"/>
        </w:rPr>
        <w:t>legislation</w:t>
      </w:r>
      <w:r>
        <w:rPr>
          <w:sz w:val="22"/>
          <w:szCs w:val="22"/>
        </w:rPr>
        <w:t>, the House Committee on Ways and Means stated that it expects the ITC’s website will contain a fully searchable portal for submission of petitions and comments.  The Commission will collect information</w:t>
      </w:r>
      <w:r w:rsidR="00FD55E1">
        <w:rPr>
          <w:sz w:val="22"/>
          <w:szCs w:val="22"/>
        </w:rPr>
        <w:t xml:space="preserve"> electronically via a portal the Commission is currently developing and will be available on its website</w:t>
      </w:r>
      <w:r w:rsidR="00BE3980">
        <w:rPr>
          <w:sz w:val="22"/>
          <w:szCs w:val="22"/>
        </w:rPr>
        <w:t>. This portal will be deployed</w:t>
      </w:r>
      <w:r w:rsidR="00FD55E1">
        <w:rPr>
          <w:sz w:val="22"/>
          <w:szCs w:val="22"/>
        </w:rPr>
        <w:t xml:space="preserve"> not later than October 15, 2016.  Th</w:t>
      </w:r>
      <w:r>
        <w:rPr>
          <w:sz w:val="22"/>
          <w:szCs w:val="22"/>
        </w:rPr>
        <w:t xml:space="preserve">e Commission believes this </w:t>
      </w:r>
      <w:r w:rsidR="00DC1332">
        <w:rPr>
          <w:sz w:val="22"/>
          <w:szCs w:val="22"/>
        </w:rPr>
        <w:t>effort</w:t>
      </w:r>
      <w:r>
        <w:rPr>
          <w:sz w:val="22"/>
          <w:szCs w:val="22"/>
        </w:rPr>
        <w:t xml:space="preserve"> supp</w:t>
      </w:r>
      <w:r w:rsidR="00FD55E1">
        <w:rPr>
          <w:sz w:val="22"/>
          <w:szCs w:val="22"/>
        </w:rPr>
        <w:t>ort</w:t>
      </w:r>
      <w:r w:rsidR="00DC1332">
        <w:rPr>
          <w:sz w:val="22"/>
          <w:szCs w:val="22"/>
        </w:rPr>
        <w:t>s</w:t>
      </w:r>
      <w:r w:rsidR="00FD55E1">
        <w:rPr>
          <w:sz w:val="22"/>
          <w:szCs w:val="22"/>
        </w:rPr>
        <w:t xml:space="preserve"> the</w:t>
      </w:r>
      <w:r w:rsidR="00DC1332">
        <w:rPr>
          <w:sz w:val="22"/>
          <w:szCs w:val="22"/>
        </w:rPr>
        <w:t xml:space="preserve"> aims of the</w:t>
      </w:r>
      <w:r w:rsidR="00FD55E1">
        <w:rPr>
          <w:sz w:val="22"/>
          <w:szCs w:val="22"/>
        </w:rPr>
        <w:t xml:space="preserve"> Paperw</w:t>
      </w:r>
      <w:r w:rsidR="00DC1332">
        <w:rPr>
          <w:sz w:val="22"/>
          <w:szCs w:val="22"/>
        </w:rPr>
        <w:t xml:space="preserve">ork Reduction Act as well as </w:t>
      </w:r>
      <w:r w:rsidR="00FD55E1">
        <w:rPr>
          <w:sz w:val="22"/>
          <w:szCs w:val="22"/>
        </w:rPr>
        <w:t>facilitate</w:t>
      </w:r>
      <w:r w:rsidR="00DC1332">
        <w:rPr>
          <w:sz w:val="22"/>
          <w:szCs w:val="22"/>
        </w:rPr>
        <w:t>s</w:t>
      </w:r>
      <w:r w:rsidR="00FD55E1">
        <w:rPr>
          <w:sz w:val="22"/>
          <w:szCs w:val="22"/>
        </w:rPr>
        <w:t xml:space="preserve"> expedient review under the deadlines set out in the legislation.  The Commission plans to issue guidance that will help submitters prepare in advance for their electronic submission</w:t>
      </w:r>
      <w:r w:rsidR="004713B4">
        <w:rPr>
          <w:sz w:val="22"/>
          <w:szCs w:val="22"/>
        </w:rPr>
        <w:t>s</w:t>
      </w:r>
      <w:r w:rsidR="00FD55E1">
        <w:rPr>
          <w:sz w:val="22"/>
          <w:szCs w:val="22"/>
        </w:rPr>
        <w:t>.  This guidance coupled with a user-friendly, click-through, electronic submission portal reduce</w:t>
      </w:r>
      <w:r w:rsidR="00BE3980">
        <w:rPr>
          <w:sz w:val="22"/>
          <w:szCs w:val="22"/>
        </w:rPr>
        <w:t>s</w:t>
      </w:r>
      <w:r w:rsidR="00FD55E1">
        <w:rPr>
          <w:sz w:val="22"/>
          <w:szCs w:val="22"/>
        </w:rPr>
        <w:t xml:space="preserve"> the burden in composing a petition</w:t>
      </w:r>
      <w:r w:rsidR="00BE3980">
        <w:rPr>
          <w:sz w:val="22"/>
          <w:szCs w:val="22"/>
        </w:rPr>
        <w:t xml:space="preserve"> and comments on submitted petitions</w:t>
      </w:r>
      <w:r w:rsidR="00FD55E1">
        <w:rPr>
          <w:sz w:val="22"/>
          <w:szCs w:val="22"/>
        </w:rPr>
        <w:t>.</w:t>
      </w:r>
    </w:p>
    <w:p w14:paraId="06896B77" w14:textId="77777777" w:rsidR="000A06A8" w:rsidRPr="00D54C3E" w:rsidRDefault="000A06A8" w:rsidP="00064AEC">
      <w:pPr>
        <w:pStyle w:val="NoSpacing"/>
        <w:rPr>
          <w:sz w:val="22"/>
          <w:szCs w:val="22"/>
        </w:rPr>
      </w:pPr>
    </w:p>
    <w:p w14:paraId="60EC7830" w14:textId="77777777" w:rsidR="00AF35D2" w:rsidRPr="00D17716" w:rsidRDefault="00AF35D2" w:rsidP="00064AEC">
      <w:pPr>
        <w:pStyle w:val="NoSpacing"/>
        <w:numPr>
          <w:ilvl w:val="0"/>
          <w:numId w:val="7"/>
        </w:numPr>
        <w:rPr>
          <w:b/>
          <w:sz w:val="22"/>
          <w:szCs w:val="22"/>
        </w:rPr>
      </w:pPr>
      <w:r w:rsidRPr="00D54C3E">
        <w:rPr>
          <w:b/>
          <w:bCs/>
          <w:sz w:val="22"/>
          <w:szCs w:val="22"/>
        </w:rPr>
        <w:t>Non-duplication of available data</w:t>
      </w:r>
    </w:p>
    <w:p w14:paraId="6ACBBFF9" w14:textId="11C48F2C" w:rsidR="00880BE1" w:rsidRPr="00D54C3E" w:rsidRDefault="00BE3980" w:rsidP="00064AEC">
      <w:pPr>
        <w:pStyle w:val="NoSpacing"/>
        <w:rPr>
          <w:sz w:val="22"/>
          <w:szCs w:val="22"/>
        </w:rPr>
      </w:pPr>
      <w:r>
        <w:rPr>
          <w:sz w:val="22"/>
          <w:szCs w:val="22"/>
        </w:rPr>
        <w:lastRenderedPageBreak/>
        <w:t xml:space="preserve">The information collected through the Commission’s electronic portal is limited to the information required by the Act and </w:t>
      </w:r>
      <w:r w:rsidR="00D63F74">
        <w:rPr>
          <w:sz w:val="22"/>
          <w:szCs w:val="22"/>
        </w:rPr>
        <w:t>information not already public</w:t>
      </w:r>
      <w:r>
        <w:rPr>
          <w:sz w:val="22"/>
          <w:szCs w:val="22"/>
        </w:rPr>
        <w:t xml:space="preserve">ly available but needed for Commission analysis of petitions. </w:t>
      </w:r>
      <w:r w:rsidR="00300348" w:rsidRPr="00D54C3E">
        <w:rPr>
          <w:sz w:val="22"/>
          <w:szCs w:val="22"/>
        </w:rPr>
        <w:t>To the extent possible, t</w:t>
      </w:r>
      <w:r w:rsidR="00DC1332">
        <w:rPr>
          <w:sz w:val="22"/>
          <w:szCs w:val="22"/>
        </w:rPr>
        <w:t>he Commission’s analysis</w:t>
      </w:r>
      <w:r w:rsidR="00AF35D2" w:rsidRPr="00D54C3E">
        <w:rPr>
          <w:sz w:val="22"/>
          <w:szCs w:val="22"/>
        </w:rPr>
        <w:t xml:space="preserve"> will rely on existing publicly available data. </w:t>
      </w:r>
      <w:r w:rsidR="00AE6069" w:rsidRPr="00D54C3E">
        <w:rPr>
          <w:sz w:val="22"/>
          <w:szCs w:val="22"/>
        </w:rPr>
        <w:t xml:space="preserve">Commission </w:t>
      </w:r>
      <w:r w:rsidR="00C675FC" w:rsidRPr="00D54C3E">
        <w:rPr>
          <w:sz w:val="22"/>
          <w:szCs w:val="22"/>
        </w:rPr>
        <w:t>staff has</w:t>
      </w:r>
      <w:r w:rsidR="00AA554F" w:rsidRPr="00D54C3E">
        <w:rPr>
          <w:sz w:val="22"/>
          <w:szCs w:val="22"/>
        </w:rPr>
        <w:t xml:space="preserve"> </w:t>
      </w:r>
      <w:r w:rsidR="00AE6069" w:rsidRPr="00D54C3E">
        <w:rPr>
          <w:sz w:val="22"/>
          <w:szCs w:val="22"/>
        </w:rPr>
        <w:t xml:space="preserve">reached out to government, academic, and industry </w:t>
      </w:r>
      <w:r w:rsidR="00396066">
        <w:rPr>
          <w:sz w:val="22"/>
          <w:szCs w:val="22"/>
        </w:rPr>
        <w:t>leaders</w:t>
      </w:r>
      <w:r w:rsidR="00AA554F" w:rsidRPr="00D54C3E">
        <w:rPr>
          <w:sz w:val="22"/>
          <w:szCs w:val="22"/>
        </w:rPr>
        <w:t>, and have</w:t>
      </w:r>
      <w:r w:rsidR="00AE6069" w:rsidRPr="00D54C3E">
        <w:rPr>
          <w:sz w:val="22"/>
          <w:szCs w:val="22"/>
        </w:rPr>
        <w:t xml:space="preserve"> </w:t>
      </w:r>
      <w:r w:rsidR="009C2D04" w:rsidRPr="00D54C3E">
        <w:rPr>
          <w:sz w:val="22"/>
          <w:szCs w:val="22"/>
        </w:rPr>
        <w:t xml:space="preserve">confirmed that there </w:t>
      </w:r>
      <w:r w:rsidR="00396066">
        <w:rPr>
          <w:sz w:val="22"/>
          <w:szCs w:val="22"/>
        </w:rPr>
        <w:t>are</w:t>
      </w:r>
      <w:r w:rsidR="009C2D04" w:rsidRPr="00D54C3E">
        <w:rPr>
          <w:sz w:val="22"/>
          <w:szCs w:val="22"/>
        </w:rPr>
        <w:t xml:space="preserve"> no existing</w:t>
      </w:r>
      <w:r w:rsidR="00AE6069" w:rsidRPr="00D54C3E">
        <w:rPr>
          <w:sz w:val="22"/>
          <w:szCs w:val="22"/>
        </w:rPr>
        <w:t xml:space="preserve"> </w:t>
      </w:r>
      <w:r w:rsidR="00152DE7" w:rsidRPr="00D54C3E">
        <w:rPr>
          <w:sz w:val="22"/>
          <w:szCs w:val="22"/>
        </w:rPr>
        <w:t xml:space="preserve">data that </w:t>
      </w:r>
      <w:r w:rsidR="00D17716">
        <w:rPr>
          <w:sz w:val="22"/>
          <w:szCs w:val="22"/>
        </w:rPr>
        <w:t>addresses the data needs that shoul</w:t>
      </w:r>
      <w:r w:rsidR="00060E36">
        <w:rPr>
          <w:sz w:val="22"/>
          <w:szCs w:val="22"/>
        </w:rPr>
        <w:t xml:space="preserve">d result from the </w:t>
      </w:r>
      <w:r w:rsidR="00910C53">
        <w:rPr>
          <w:sz w:val="22"/>
          <w:szCs w:val="22"/>
        </w:rPr>
        <w:t>petition</w:t>
      </w:r>
      <w:r w:rsidR="00AE6069" w:rsidRPr="00D54C3E">
        <w:rPr>
          <w:sz w:val="22"/>
          <w:szCs w:val="22"/>
        </w:rPr>
        <w:t xml:space="preserve">. </w:t>
      </w:r>
      <w:r w:rsidR="00E73EE5" w:rsidRPr="00D54C3E">
        <w:rPr>
          <w:sz w:val="22"/>
          <w:szCs w:val="22"/>
        </w:rPr>
        <w:t>Further, a</w:t>
      </w:r>
      <w:r w:rsidR="00AF35D2" w:rsidRPr="00D54C3E">
        <w:rPr>
          <w:sz w:val="22"/>
          <w:szCs w:val="22"/>
        </w:rPr>
        <w:t xml:space="preserve">fter a thorough background search of data sources for this </w:t>
      </w:r>
      <w:r w:rsidR="00910C53">
        <w:rPr>
          <w:sz w:val="22"/>
          <w:szCs w:val="22"/>
        </w:rPr>
        <w:t>process</w:t>
      </w:r>
      <w:r w:rsidR="00AF35D2" w:rsidRPr="00D54C3E">
        <w:rPr>
          <w:sz w:val="22"/>
          <w:szCs w:val="22"/>
        </w:rPr>
        <w:t xml:space="preserve">, it has been determined that no other industry, government, or academic organizations collect or publish data that are duplicative of the data </w:t>
      </w:r>
      <w:r w:rsidR="00E73EE5" w:rsidRPr="00D54C3E">
        <w:rPr>
          <w:sz w:val="22"/>
          <w:szCs w:val="22"/>
        </w:rPr>
        <w:t xml:space="preserve">requested in the </w:t>
      </w:r>
      <w:r w:rsidR="00910C53">
        <w:rPr>
          <w:sz w:val="22"/>
          <w:szCs w:val="22"/>
        </w:rPr>
        <w:t>petition</w:t>
      </w:r>
      <w:r w:rsidR="00E73EE5" w:rsidRPr="00D54C3E">
        <w:rPr>
          <w:sz w:val="22"/>
          <w:szCs w:val="22"/>
        </w:rPr>
        <w:t>.</w:t>
      </w:r>
    </w:p>
    <w:p w14:paraId="25909AEF" w14:textId="77777777" w:rsidR="00AF35D2" w:rsidRPr="00050834" w:rsidRDefault="00AF35D2" w:rsidP="00064AEC">
      <w:pPr>
        <w:pStyle w:val="NoSpacing"/>
        <w:rPr>
          <w:i/>
          <w:sz w:val="22"/>
          <w:szCs w:val="22"/>
          <w:highlight w:val="white"/>
        </w:rPr>
      </w:pPr>
    </w:p>
    <w:p w14:paraId="379496D2" w14:textId="77777777" w:rsidR="00910C53" w:rsidRPr="00706845" w:rsidRDefault="00AF35D2" w:rsidP="00910C53">
      <w:pPr>
        <w:pStyle w:val="NoSpacing"/>
        <w:numPr>
          <w:ilvl w:val="0"/>
          <w:numId w:val="7"/>
        </w:numPr>
        <w:rPr>
          <w:b/>
          <w:sz w:val="22"/>
          <w:szCs w:val="22"/>
        </w:rPr>
      </w:pPr>
      <w:r w:rsidRPr="00706845">
        <w:rPr>
          <w:b/>
          <w:bCs/>
          <w:sz w:val="22"/>
          <w:szCs w:val="22"/>
        </w:rPr>
        <w:t>Impact on small businesses</w:t>
      </w:r>
    </w:p>
    <w:p w14:paraId="25E0CB66" w14:textId="5FDB4652" w:rsidR="0009113B" w:rsidRDefault="00910C53" w:rsidP="00064AEC">
      <w:pPr>
        <w:pStyle w:val="NoSpacing"/>
        <w:rPr>
          <w:sz w:val="22"/>
          <w:szCs w:val="22"/>
          <w:highlight w:val="white"/>
        </w:rPr>
      </w:pPr>
      <w:r w:rsidRPr="00050834">
        <w:rPr>
          <w:sz w:val="22"/>
          <w:szCs w:val="22"/>
          <w:highlight w:val="white"/>
        </w:rPr>
        <w:t>In developing the electronic portal, which petitioners</w:t>
      </w:r>
      <w:r>
        <w:rPr>
          <w:sz w:val="22"/>
          <w:szCs w:val="22"/>
          <w:highlight w:val="white"/>
        </w:rPr>
        <w:t xml:space="preserve"> will utilize to submit petition</w:t>
      </w:r>
      <w:r w:rsidR="00EF5AD3">
        <w:rPr>
          <w:sz w:val="22"/>
          <w:szCs w:val="22"/>
          <w:highlight w:val="white"/>
        </w:rPr>
        <w:t>s and interested parties will use to submit comments on petitions</w:t>
      </w:r>
      <w:r>
        <w:rPr>
          <w:sz w:val="22"/>
          <w:szCs w:val="22"/>
          <w:highlight w:val="white"/>
        </w:rPr>
        <w:t>, the Commission drew upon user experiences that should be familiar to the seasoned practitioner and small-business owner alike, i.e.</w:t>
      </w:r>
      <w:r w:rsidR="00305797">
        <w:rPr>
          <w:sz w:val="22"/>
          <w:szCs w:val="22"/>
          <w:highlight w:val="white"/>
        </w:rPr>
        <w:t>,</w:t>
      </w:r>
      <w:r w:rsidR="007B7FD4">
        <w:rPr>
          <w:sz w:val="22"/>
          <w:szCs w:val="22"/>
          <w:highlight w:val="white"/>
        </w:rPr>
        <w:t xml:space="preserve"> click-through screens,</w:t>
      </w:r>
      <w:r>
        <w:rPr>
          <w:sz w:val="22"/>
          <w:szCs w:val="22"/>
          <w:highlight w:val="white"/>
        </w:rPr>
        <w:t xml:space="preserve"> help bubbles and text, </w:t>
      </w:r>
      <w:r w:rsidR="007B7FD4">
        <w:rPr>
          <w:sz w:val="22"/>
          <w:szCs w:val="22"/>
          <w:highlight w:val="white"/>
        </w:rPr>
        <w:t xml:space="preserve">and </w:t>
      </w:r>
      <w:r>
        <w:rPr>
          <w:sz w:val="22"/>
          <w:szCs w:val="22"/>
          <w:highlight w:val="white"/>
        </w:rPr>
        <w:t>confirmation pages.  It is expected that this</w:t>
      </w:r>
      <w:r w:rsidR="007B7FD4">
        <w:rPr>
          <w:sz w:val="22"/>
          <w:szCs w:val="22"/>
          <w:highlight w:val="white"/>
        </w:rPr>
        <w:t xml:space="preserve"> format</w:t>
      </w:r>
      <w:r>
        <w:rPr>
          <w:sz w:val="22"/>
          <w:szCs w:val="22"/>
          <w:highlight w:val="white"/>
        </w:rPr>
        <w:t xml:space="preserve">, in addition to maintaining a robust library of help documentation and </w:t>
      </w:r>
      <w:r w:rsidR="007B7FD4">
        <w:rPr>
          <w:sz w:val="22"/>
          <w:szCs w:val="22"/>
          <w:highlight w:val="white"/>
        </w:rPr>
        <w:t xml:space="preserve">ensuring </w:t>
      </w:r>
      <w:r>
        <w:rPr>
          <w:sz w:val="22"/>
          <w:szCs w:val="22"/>
          <w:highlight w:val="white"/>
        </w:rPr>
        <w:t>Commission staff</w:t>
      </w:r>
      <w:r w:rsidR="007B7FD4">
        <w:rPr>
          <w:sz w:val="22"/>
          <w:szCs w:val="22"/>
          <w:highlight w:val="white"/>
        </w:rPr>
        <w:t xml:space="preserve"> are</w:t>
      </w:r>
      <w:r>
        <w:rPr>
          <w:sz w:val="22"/>
          <w:szCs w:val="22"/>
          <w:highlight w:val="white"/>
        </w:rPr>
        <w:t xml:space="preserve"> available to answer questions in a timely fashion should minimize the burden on small entities.</w:t>
      </w:r>
      <w:r w:rsidR="00E8386E">
        <w:rPr>
          <w:sz w:val="22"/>
          <w:szCs w:val="22"/>
          <w:highlight w:val="white"/>
        </w:rPr>
        <w:t xml:space="preserve">  In a</w:t>
      </w:r>
      <w:r w:rsidR="0009113B">
        <w:rPr>
          <w:sz w:val="22"/>
          <w:szCs w:val="22"/>
          <w:highlight w:val="white"/>
        </w:rPr>
        <w:t xml:space="preserve">ddition, the Commission is committed to making the portal and any concomitant help documentation compliant with </w:t>
      </w:r>
      <w:r w:rsidR="0009113B" w:rsidRPr="0009113B">
        <w:rPr>
          <w:sz w:val="22"/>
          <w:szCs w:val="22"/>
        </w:rPr>
        <w:t>Section 508 of the Rehabilitation Act of 1973, 29 U.S.C. 794d</w:t>
      </w:r>
      <w:r w:rsidR="0009113B">
        <w:rPr>
          <w:sz w:val="22"/>
          <w:szCs w:val="22"/>
        </w:rPr>
        <w:t>.</w:t>
      </w:r>
    </w:p>
    <w:p w14:paraId="7E52EB81" w14:textId="77777777" w:rsidR="00EF5AD3" w:rsidRPr="00D54C3E" w:rsidRDefault="00EF5AD3" w:rsidP="00064AEC">
      <w:pPr>
        <w:pStyle w:val="NoSpacing"/>
        <w:rPr>
          <w:sz w:val="22"/>
          <w:szCs w:val="22"/>
          <w:highlight w:val="white"/>
        </w:rPr>
      </w:pPr>
    </w:p>
    <w:p w14:paraId="4C8ECCE1" w14:textId="77777777" w:rsidR="00AF35D2" w:rsidRPr="00D54C3E" w:rsidRDefault="00AF35D2" w:rsidP="00064AEC">
      <w:pPr>
        <w:pStyle w:val="NoSpacing"/>
        <w:numPr>
          <w:ilvl w:val="0"/>
          <w:numId w:val="7"/>
        </w:numPr>
        <w:rPr>
          <w:b/>
          <w:sz w:val="22"/>
          <w:szCs w:val="22"/>
          <w:highlight w:val="white"/>
        </w:rPr>
      </w:pPr>
      <w:r w:rsidRPr="00D54C3E">
        <w:rPr>
          <w:b/>
          <w:bCs/>
          <w:sz w:val="22"/>
          <w:szCs w:val="22"/>
          <w:highlight w:val="white"/>
        </w:rPr>
        <w:t>Consequences of non-collection</w:t>
      </w:r>
    </w:p>
    <w:p w14:paraId="07D528FB" w14:textId="3309F67D" w:rsidR="00EF5AD3" w:rsidRDefault="004C0B6A" w:rsidP="00064AEC">
      <w:pPr>
        <w:pStyle w:val="NoSpacing"/>
        <w:rPr>
          <w:sz w:val="22"/>
          <w:szCs w:val="22"/>
          <w:highlight w:val="white"/>
        </w:rPr>
      </w:pPr>
      <w:r>
        <w:rPr>
          <w:sz w:val="22"/>
          <w:szCs w:val="22"/>
          <w:highlight w:val="white"/>
        </w:rPr>
        <w:t xml:space="preserve">If this collection is not conducted the Commission will not be able to produce its </w:t>
      </w:r>
      <w:r w:rsidR="00EF5AD3">
        <w:rPr>
          <w:sz w:val="22"/>
          <w:szCs w:val="22"/>
          <w:highlight w:val="white"/>
        </w:rPr>
        <w:t>statutorily mandated</w:t>
      </w:r>
      <w:r>
        <w:rPr>
          <w:sz w:val="22"/>
          <w:szCs w:val="22"/>
          <w:highlight w:val="white"/>
        </w:rPr>
        <w:t xml:space="preserve"> reports </w:t>
      </w:r>
      <w:r w:rsidR="00EF5AD3">
        <w:rPr>
          <w:sz w:val="22"/>
          <w:szCs w:val="22"/>
          <w:highlight w:val="white"/>
        </w:rPr>
        <w:t xml:space="preserve">required by </w:t>
      </w:r>
      <w:r>
        <w:rPr>
          <w:sz w:val="22"/>
          <w:szCs w:val="22"/>
          <w:highlight w:val="white"/>
        </w:rPr>
        <w:t>th</w:t>
      </w:r>
      <w:r w:rsidR="00EF5AD3">
        <w:rPr>
          <w:sz w:val="22"/>
          <w:szCs w:val="22"/>
          <w:highlight w:val="white"/>
        </w:rPr>
        <w:t>is</w:t>
      </w:r>
      <w:r>
        <w:rPr>
          <w:sz w:val="22"/>
          <w:szCs w:val="22"/>
          <w:highlight w:val="white"/>
        </w:rPr>
        <w:t xml:space="preserve"> legislation.  The legislation prescribes the contents of each petition</w:t>
      </w:r>
      <w:r w:rsidR="00C107C8">
        <w:rPr>
          <w:sz w:val="22"/>
          <w:szCs w:val="22"/>
          <w:highlight w:val="white"/>
        </w:rPr>
        <w:t xml:space="preserve"> and also indicates that petitions are to be made available to the public on a website of the Commission.  Electronic </w:t>
      </w:r>
      <w:r w:rsidR="00944E54">
        <w:rPr>
          <w:sz w:val="22"/>
          <w:szCs w:val="22"/>
          <w:highlight w:val="white"/>
        </w:rPr>
        <w:t xml:space="preserve">collection of </w:t>
      </w:r>
      <w:r w:rsidR="00050834">
        <w:rPr>
          <w:sz w:val="22"/>
          <w:szCs w:val="22"/>
          <w:highlight w:val="white"/>
        </w:rPr>
        <w:t>the information</w:t>
      </w:r>
      <w:r w:rsidR="00C107C8">
        <w:rPr>
          <w:sz w:val="22"/>
          <w:szCs w:val="22"/>
          <w:highlight w:val="white"/>
        </w:rPr>
        <w:t xml:space="preserve"> the Commission has proposed in its intake and comment forms is therefore the best way to address what the legislation </w:t>
      </w:r>
      <w:r w:rsidR="00944E54">
        <w:rPr>
          <w:sz w:val="22"/>
          <w:szCs w:val="22"/>
          <w:highlight w:val="white"/>
        </w:rPr>
        <w:t>prescribes</w:t>
      </w:r>
      <w:r w:rsidR="00EF5AD3">
        <w:rPr>
          <w:sz w:val="22"/>
          <w:szCs w:val="22"/>
          <w:highlight w:val="white"/>
        </w:rPr>
        <w:t>.</w:t>
      </w:r>
    </w:p>
    <w:p w14:paraId="1D56AB1B" w14:textId="2041E324" w:rsidR="00AF35D2" w:rsidRPr="00D54C3E" w:rsidRDefault="00AF35D2" w:rsidP="00064AEC">
      <w:pPr>
        <w:pStyle w:val="NoSpacing"/>
        <w:rPr>
          <w:sz w:val="22"/>
          <w:szCs w:val="22"/>
          <w:highlight w:val="white"/>
        </w:rPr>
      </w:pPr>
    </w:p>
    <w:p w14:paraId="20EEFCB5" w14:textId="77777777" w:rsidR="00AF35D2" w:rsidRPr="00443A38" w:rsidRDefault="00AF35D2" w:rsidP="00064AEC">
      <w:pPr>
        <w:pStyle w:val="NoSpacing"/>
        <w:numPr>
          <w:ilvl w:val="0"/>
          <w:numId w:val="7"/>
        </w:numPr>
        <w:rPr>
          <w:b/>
          <w:sz w:val="22"/>
          <w:szCs w:val="22"/>
          <w:highlight w:val="white"/>
        </w:rPr>
      </w:pPr>
      <w:r w:rsidRPr="00D54C3E">
        <w:rPr>
          <w:b/>
          <w:bCs/>
          <w:sz w:val="22"/>
          <w:szCs w:val="22"/>
          <w:highlight w:val="white"/>
        </w:rPr>
        <w:t>Frequency of data collection</w:t>
      </w:r>
    </w:p>
    <w:p w14:paraId="7D842706" w14:textId="64A1F461" w:rsidR="00EF5AD3" w:rsidRPr="00D54C3E" w:rsidRDefault="00EF5AD3" w:rsidP="00E8386E">
      <w:pPr>
        <w:pStyle w:val="NoSpacing"/>
        <w:rPr>
          <w:sz w:val="22"/>
          <w:szCs w:val="22"/>
          <w:highlight w:val="white"/>
        </w:rPr>
      </w:pPr>
      <w:r w:rsidRPr="00D54C3E">
        <w:rPr>
          <w:sz w:val="22"/>
          <w:szCs w:val="22"/>
          <w:highlight w:val="white"/>
        </w:rPr>
        <w:t>This recurring data collect</w:t>
      </w:r>
      <w:r>
        <w:rPr>
          <w:sz w:val="22"/>
          <w:szCs w:val="22"/>
          <w:highlight w:val="white"/>
        </w:rPr>
        <w:t xml:space="preserve">ion repeats </w:t>
      </w:r>
      <w:r w:rsidR="007B7FD4">
        <w:rPr>
          <w:sz w:val="22"/>
          <w:szCs w:val="22"/>
          <w:highlight w:val="white"/>
        </w:rPr>
        <w:t xml:space="preserve">twice based on the current legislation.  The first cycle will begin </w:t>
      </w:r>
      <w:proofErr w:type="spellStart"/>
      <w:r w:rsidR="002F620C">
        <w:rPr>
          <w:sz w:val="22"/>
          <w:szCs w:val="22"/>
          <w:highlight w:val="white"/>
        </w:rPr>
        <w:t>not</w:t>
      </w:r>
      <w:proofErr w:type="spellEnd"/>
      <w:r w:rsidR="002F620C">
        <w:rPr>
          <w:sz w:val="22"/>
          <w:szCs w:val="22"/>
          <w:highlight w:val="white"/>
        </w:rPr>
        <w:t xml:space="preserve"> later than </w:t>
      </w:r>
      <w:r>
        <w:rPr>
          <w:sz w:val="22"/>
          <w:szCs w:val="22"/>
          <w:highlight w:val="white"/>
        </w:rPr>
        <w:t>October 1</w:t>
      </w:r>
      <w:r w:rsidR="002F620C">
        <w:rPr>
          <w:sz w:val="22"/>
          <w:szCs w:val="22"/>
          <w:highlight w:val="white"/>
        </w:rPr>
        <w:t>5</w:t>
      </w:r>
      <w:r w:rsidR="007B7FD4">
        <w:rPr>
          <w:sz w:val="22"/>
          <w:szCs w:val="22"/>
          <w:highlight w:val="white"/>
        </w:rPr>
        <w:t>, 2016 and end</w:t>
      </w:r>
      <w:r>
        <w:rPr>
          <w:sz w:val="22"/>
          <w:szCs w:val="22"/>
          <w:highlight w:val="white"/>
        </w:rPr>
        <w:t xml:space="preserve"> </w:t>
      </w:r>
      <w:r w:rsidR="002F620C">
        <w:rPr>
          <w:sz w:val="22"/>
          <w:szCs w:val="22"/>
          <w:highlight w:val="white"/>
        </w:rPr>
        <w:t>not later than 300 days thereafter</w:t>
      </w:r>
      <w:r w:rsidR="007B7FD4">
        <w:rPr>
          <w:sz w:val="22"/>
          <w:szCs w:val="22"/>
          <w:highlight w:val="white"/>
        </w:rPr>
        <w:t>, and the second cycle will begin by October 15, 2019, and proceed on the same schedule</w:t>
      </w:r>
      <w:r>
        <w:rPr>
          <w:sz w:val="22"/>
          <w:szCs w:val="22"/>
          <w:highlight w:val="white"/>
        </w:rPr>
        <w:t>.</w:t>
      </w:r>
    </w:p>
    <w:p w14:paraId="0B6173B0" w14:textId="77777777" w:rsidR="00AF35D2" w:rsidRPr="00D54C3E" w:rsidRDefault="00AF35D2" w:rsidP="00064AEC">
      <w:pPr>
        <w:pStyle w:val="NoSpacing"/>
        <w:rPr>
          <w:sz w:val="22"/>
          <w:szCs w:val="22"/>
          <w:highlight w:val="white"/>
        </w:rPr>
      </w:pPr>
      <w:r w:rsidRPr="00D54C3E">
        <w:rPr>
          <w:sz w:val="22"/>
          <w:szCs w:val="22"/>
          <w:highlight w:val="white"/>
        </w:rPr>
        <w:tab/>
      </w:r>
      <w:r w:rsidRPr="00D54C3E">
        <w:rPr>
          <w:sz w:val="22"/>
          <w:szCs w:val="22"/>
          <w:highlight w:val="white"/>
        </w:rPr>
        <w:tab/>
      </w:r>
    </w:p>
    <w:p w14:paraId="349FE8CD" w14:textId="77777777" w:rsidR="0040239C" w:rsidRPr="0040239C" w:rsidRDefault="00064AEC" w:rsidP="00064AEC">
      <w:pPr>
        <w:pStyle w:val="NoSpacing"/>
        <w:rPr>
          <w:b/>
          <w:sz w:val="22"/>
          <w:szCs w:val="22"/>
          <w:highlight w:val="white"/>
        </w:rPr>
      </w:pPr>
      <w:r w:rsidRPr="00D54C3E">
        <w:rPr>
          <w:b/>
          <w:bCs/>
          <w:sz w:val="22"/>
          <w:szCs w:val="22"/>
          <w:highlight w:val="white"/>
        </w:rPr>
        <w:t xml:space="preserve">      8a. </w:t>
      </w:r>
      <w:r w:rsidR="00AF35D2" w:rsidRPr="00D54C3E">
        <w:rPr>
          <w:b/>
          <w:bCs/>
          <w:sz w:val="22"/>
          <w:szCs w:val="22"/>
          <w:highlight w:val="white"/>
        </w:rPr>
        <w:t xml:space="preserve">Consistency with 5 </w:t>
      </w:r>
      <w:smartTag w:uri="urn:schemas-microsoft-com:office:smarttags" w:element="stockticker">
        <w:r w:rsidR="00AF35D2" w:rsidRPr="00D54C3E">
          <w:rPr>
            <w:b/>
            <w:bCs/>
            <w:sz w:val="22"/>
            <w:szCs w:val="22"/>
            <w:highlight w:val="white"/>
          </w:rPr>
          <w:t>CFR</w:t>
        </w:r>
      </w:smartTag>
      <w:r w:rsidR="00AF35D2" w:rsidRPr="00D54C3E">
        <w:rPr>
          <w:b/>
          <w:bCs/>
          <w:sz w:val="22"/>
          <w:szCs w:val="22"/>
          <w:highlight w:val="white"/>
        </w:rPr>
        <w:t xml:space="preserve"> 1320.6 guidelines</w:t>
      </w:r>
    </w:p>
    <w:p w14:paraId="75B2CD59" w14:textId="77777777" w:rsidR="00AF35D2" w:rsidRPr="00D54C3E" w:rsidRDefault="00AF35D2" w:rsidP="00064AEC">
      <w:pPr>
        <w:pStyle w:val="NoSpacing"/>
        <w:rPr>
          <w:sz w:val="22"/>
          <w:szCs w:val="22"/>
          <w:highlight w:val="white"/>
        </w:rPr>
      </w:pPr>
      <w:r w:rsidRPr="00D54C3E">
        <w:rPr>
          <w:sz w:val="22"/>
          <w:szCs w:val="22"/>
          <w:highlight w:val="white"/>
        </w:rPr>
        <w:t xml:space="preserve">No special circumstances exist that require the collection to be conducted in a manner inconsistent with the guidelines of 5 CFR 1320.6. If any respondents do not maintain information in the format requested by the </w:t>
      </w:r>
      <w:r w:rsidR="00910C53">
        <w:rPr>
          <w:sz w:val="22"/>
          <w:szCs w:val="22"/>
          <w:highlight w:val="white"/>
        </w:rPr>
        <w:t>petition</w:t>
      </w:r>
      <w:r w:rsidRPr="00D54C3E">
        <w:rPr>
          <w:sz w:val="22"/>
          <w:szCs w:val="22"/>
          <w:highlight w:val="white"/>
        </w:rPr>
        <w:t xml:space="preserve">, they are </w:t>
      </w:r>
      <w:r w:rsidR="00990771" w:rsidRPr="00D54C3E">
        <w:rPr>
          <w:sz w:val="22"/>
          <w:szCs w:val="22"/>
          <w:highlight w:val="white"/>
        </w:rPr>
        <w:t>requested</w:t>
      </w:r>
      <w:r w:rsidRPr="00D54C3E">
        <w:rPr>
          <w:sz w:val="22"/>
          <w:szCs w:val="22"/>
          <w:highlight w:val="white"/>
        </w:rPr>
        <w:t xml:space="preserve"> to submit carefully prepared estimates based upon available information.</w:t>
      </w:r>
    </w:p>
    <w:p w14:paraId="677CB71B" w14:textId="77777777" w:rsidR="00AF35D2" w:rsidRPr="00D54C3E" w:rsidRDefault="00AF35D2" w:rsidP="00064AEC">
      <w:pPr>
        <w:pStyle w:val="NoSpacing"/>
        <w:rPr>
          <w:sz w:val="22"/>
          <w:szCs w:val="22"/>
          <w:highlight w:val="white"/>
        </w:rPr>
      </w:pPr>
    </w:p>
    <w:p w14:paraId="368976AD" w14:textId="77777777" w:rsidR="00AF35D2" w:rsidRPr="00D54C3E" w:rsidRDefault="00064AEC" w:rsidP="00064AEC">
      <w:pPr>
        <w:pStyle w:val="NoSpacing"/>
        <w:rPr>
          <w:sz w:val="22"/>
          <w:szCs w:val="22"/>
          <w:highlight w:val="white"/>
        </w:rPr>
      </w:pPr>
      <w:r w:rsidRPr="00D54C3E">
        <w:rPr>
          <w:b/>
          <w:bCs/>
          <w:sz w:val="22"/>
          <w:szCs w:val="22"/>
          <w:highlight w:val="white"/>
        </w:rPr>
        <w:t xml:space="preserve">     8b. </w:t>
      </w:r>
      <w:r w:rsidR="00AF35D2" w:rsidRPr="00D54C3E">
        <w:rPr>
          <w:b/>
          <w:bCs/>
          <w:sz w:val="22"/>
          <w:szCs w:val="22"/>
          <w:highlight w:val="white"/>
        </w:rPr>
        <w:t>Consultations with affected public</w:t>
      </w:r>
    </w:p>
    <w:p w14:paraId="529AABF4" w14:textId="011B69CF" w:rsidR="0040239C" w:rsidRDefault="00073F85" w:rsidP="00410826">
      <w:pPr>
        <w:pStyle w:val="NoSpacing"/>
        <w:rPr>
          <w:sz w:val="22"/>
          <w:szCs w:val="22"/>
          <w:highlight w:val="white"/>
        </w:rPr>
      </w:pPr>
      <w:r>
        <w:rPr>
          <w:sz w:val="22"/>
          <w:szCs w:val="22"/>
          <w:highlight w:val="white"/>
        </w:rPr>
        <w:t xml:space="preserve">The Commission’s 60-day notice requesting public comment was published in the </w:t>
      </w:r>
      <w:r w:rsidRPr="00EF515B">
        <w:rPr>
          <w:i/>
          <w:sz w:val="22"/>
          <w:szCs w:val="22"/>
          <w:highlight w:val="white"/>
        </w:rPr>
        <w:t>Federal Register</w:t>
      </w:r>
      <w:r>
        <w:rPr>
          <w:sz w:val="22"/>
          <w:szCs w:val="22"/>
          <w:highlight w:val="white"/>
        </w:rPr>
        <w:t xml:space="preserve"> on </w:t>
      </w:r>
      <w:r w:rsidRPr="00B86488">
        <w:rPr>
          <w:sz w:val="22"/>
          <w:szCs w:val="22"/>
        </w:rPr>
        <w:t xml:space="preserve">June </w:t>
      </w:r>
      <w:r w:rsidR="00B86488" w:rsidRPr="00B86488">
        <w:rPr>
          <w:sz w:val="22"/>
          <w:szCs w:val="22"/>
        </w:rPr>
        <w:t>15</w:t>
      </w:r>
      <w:r>
        <w:rPr>
          <w:sz w:val="22"/>
          <w:szCs w:val="22"/>
          <w:highlight w:val="white"/>
        </w:rPr>
        <w:t xml:space="preserve">, 2016.  The notice and other information related to this </w:t>
      </w:r>
      <w:r w:rsidR="002F620C">
        <w:rPr>
          <w:sz w:val="22"/>
          <w:szCs w:val="22"/>
          <w:highlight w:val="white"/>
        </w:rPr>
        <w:t>process</w:t>
      </w:r>
      <w:r>
        <w:rPr>
          <w:sz w:val="22"/>
          <w:szCs w:val="22"/>
          <w:highlight w:val="white"/>
        </w:rPr>
        <w:t xml:space="preserve"> were published on the Commission’s website at </w:t>
      </w:r>
      <w:hyperlink r:id="rId10" w:history="1">
        <w:r w:rsidR="00B86488" w:rsidRPr="004162A6">
          <w:rPr>
            <w:rStyle w:val="Hyperlink"/>
            <w:sz w:val="22"/>
            <w:szCs w:val="22"/>
            <w:highlight w:val="white"/>
          </w:rPr>
          <w:t>www.usitc.gov/mtbps</w:t>
        </w:r>
      </w:hyperlink>
      <w:r>
        <w:rPr>
          <w:sz w:val="22"/>
          <w:szCs w:val="22"/>
          <w:highlight w:val="white"/>
        </w:rPr>
        <w:t>.</w:t>
      </w:r>
      <w:r w:rsidR="007068C0">
        <w:rPr>
          <w:sz w:val="22"/>
          <w:szCs w:val="22"/>
          <w:highlight w:val="white"/>
        </w:rPr>
        <w:t xml:space="preserve">  Eleven (11) public comments were received.</w:t>
      </w:r>
    </w:p>
    <w:p w14:paraId="12C39911" w14:textId="77777777" w:rsidR="0040239C" w:rsidRDefault="0040239C" w:rsidP="00410826">
      <w:pPr>
        <w:pStyle w:val="NoSpacing"/>
        <w:rPr>
          <w:sz w:val="22"/>
          <w:szCs w:val="22"/>
          <w:highlight w:val="white"/>
        </w:rPr>
      </w:pPr>
    </w:p>
    <w:p w14:paraId="74D3EA74" w14:textId="35418840" w:rsidR="00073F85" w:rsidRDefault="00073F85" w:rsidP="00410826">
      <w:pPr>
        <w:pStyle w:val="NoSpacing"/>
        <w:rPr>
          <w:sz w:val="22"/>
          <w:szCs w:val="22"/>
          <w:highlight w:val="white"/>
        </w:rPr>
      </w:pPr>
      <w:r>
        <w:rPr>
          <w:sz w:val="22"/>
          <w:szCs w:val="22"/>
          <w:highlight w:val="white"/>
        </w:rPr>
        <w:t xml:space="preserve">The Commission’s 30-day notice of submission to OMB requesting clearance was published in the </w:t>
      </w:r>
      <w:r w:rsidRPr="00EF515B">
        <w:rPr>
          <w:i/>
          <w:sz w:val="22"/>
          <w:szCs w:val="22"/>
          <w:highlight w:val="white"/>
        </w:rPr>
        <w:t>Federal Register</w:t>
      </w:r>
      <w:r>
        <w:rPr>
          <w:sz w:val="22"/>
          <w:szCs w:val="22"/>
          <w:highlight w:val="white"/>
        </w:rPr>
        <w:t xml:space="preserve"> on </w:t>
      </w:r>
      <w:r w:rsidR="00D677FA" w:rsidRPr="00D677FA">
        <w:rPr>
          <w:sz w:val="22"/>
          <w:szCs w:val="22"/>
        </w:rPr>
        <w:t>August 25, 2016</w:t>
      </w:r>
      <w:r w:rsidRPr="00D677FA">
        <w:rPr>
          <w:sz w:val="22"/>
          <w:szCs w:val="22"/>
        </w:rPr>
        <w:t xml:space="preserve">.  </w:t>
      </w:r>
      <w:r>
        <w:rPr>
          <w:sz w:val="22"/>
          <w:szCs w:val="22"/>
          <w:highlight w:val="white"/>
        </w:rPr>
        <w:t xml:space="preserve">The notice is also posted on the Commission’s website at </w:t>
      </w:r>
      <w:r w:rsidR="002F620C" w:rsidRPr="00A77F9A">
        <w:rPr>
          <w:sz w:val="22"/>
        </w:rPr>
        <w:t>www.usitc.gov/mtbps</w:t>
      </w:r>
      <w:r w:rsidR="00A77F9A">
        <w:rPr>
          <w:sz w:val="24"/>
          <w:szCs w:val="22"/>
        </w:rPr>
        <w:t xml:space="preserve">. </w:t>
      </w:r>
    </w:p>
    <w:p w14:paraId="00D656B6" w14:textId="77777777" w:rsidR="00073F85" w:rsidRDefault="00073F85" w:rsidP="00410826">
      <w:pPr>
        <w:pStyle w:val="NoSpacing"/>
        <w:rPr>
          <w:sz w:val="22"/>
          <w:szCs w:val="22"/>
          <w:highlight w:val="white"/>
        </w:rPr>
      </w:pPr>
    </w:p>
    <w:p w14:paraId="43D176AA" w14:textId="13B6E146" w:rsidR="00A77F9A" w:rsidRDefault="002F620C" w:rsidP="00410826">
      <w:pPr>
        <w:pStyle w:val="NoSpacing"/>
        <w:rPr>
          <w:sz w:val="22"/>
          <w:szCs w:val="22"/>
          <w:highlight w:val="white"/>
        </w:rPr>
      </w:pPr>
      <w:r>
        <w:rPr>
          <w:sz w:val="22"/>
          <w:szCs w:val="22"/>
          <w:highlight w:val="white"/>
        </w:rPr>
        <w:t xml:space="preserve">Commission staff have met and spoken with numerous individuals and trade associations on multiple occasions who may have interest in utilizing the portal once it is made available.  The June 15, 2016 </w:t>
      </w:r>
      <w:r>
        <w:rPr>
          <w:sz w:val="22"/>
          <w:szCs w:val="22"/>
          <w:highlight w:val="white"/>
        </w:rPr>
        <w:lastRenderedPageBreak/>
        <w:t>notice was discussed and referenced in these conversations and Commission staff encouraged comment on the notice and supporting information.</w:t>
      </w:r>
    </w:p>
    <w:p w14:paraId="5AF072E4" w14:textId="77777777" w:rsidR="00B84D2E" w:rsidRDefault="00B84D2E" w:rsidP="00410826">
      <w:pPr>
        <w:pStyle w:val="NoSpacing"/>
        <w:rPr>
          <w:sz w:val="22"/>
          <w:szCs w:val="22"/>
          <w:highlight w:val="white"/>
        </w:rPr>
      </w:pPr>
    </w:p>
    <w:p w14:paraId="55746D78" w14:textId="77777777" w:rsidR="00B84D2E" w:rsidRDefault="00B84D2E" w:rsidP="00410826">
      <w:pPr>
        <w:pStyle w:val="NoSpacing"/>
        <w:rPr>
          <w:sz w:val="22"/>
          <w:szCs w:val="22"/>
          <w:highlight w:val="white"/>
        </w:rPr>
      </w:pPr>
    </w:p>
    <w:p w14:paraId="6E9869DC" w14:textId="77777777" w:rsidR="00B84D2E" w:rsidRDefault="00B84D2E" w:rsidP="00410826">
      <w:pPr>
        <w:pStyle w:val="NoSpacing"/>
        <w:rPr>
          <w:sz w:val="22"/>
          <w:szCs w:val="22"/>
          <w:highlight w:val="white"/>
        </w:rPr>
      </w:pPr>
    </w:p>
    <w:tbl>
      <w:tblPr>
        <w:tblStyle w:val="TableGrid"/>
        <w:tblW w:w="0" w:type="auto"/>
        <w:tblLook w:val="04A0" w:firstRow="1" w:lastRow="0" w:firstColumn="1" w:lastColumn="0" w:noHBand="0" w:noVBand="1"/>
      </w:tblPr>
      <w:tblGrid>
        <w:gridCol w:w="4788"/>
        <w:gridCol w:w="4788"/>
      </w:tblGrid>
      <w:tr w:rsidR="00B84D2E" w14:paraId="7F8F4533" w14:textId="77777777" w:rsidTr="00290365">
        <w:tc>
          <w:tcPr>
            <w:tcW w:w="4788" w:type="dxa"/>
          </w:tcPr>
          <w:p w14:paraId="02469EA2" w14:textId="77777777" w:rsidR="00B84D2E" w:rsidRDefault="00B84D2E" w:rsidP="00290365">
            <w:r>
              <w:t>Comment Received</w:t>
            </w:r>
          </w:p>
          <w:p w14:paraId="6A405888" w14:textId="77777777" w:rsidR="00B84D2E" w:rsidRDefault="00B84D2E" w:rsidP="00290365">
            <w:pPr>
              <w:jc w:val="right"/>
            </w:pPr>
            <w:r>
              <w:t>From Whom</w:t>
            </w:r>
          </w:p>
        </w:tc>
        <w:tc>
          <w:tcPr>
            <w:tcW w:w="4788" w:type="dxa"/>
          </w:tcPr>
          <w:p w14:paraId="419155A4" w14:textId="77777777" w:rsidR="00B84D2E" w:rsidRDefault="00B84D2E" w:rsidP="00290365">
            <w:r>
              <w:t>How Addressed</w:t>
            </w:r>
          </w:p>
        </w:tc>
      </w:tr>
      <w:tr w:rsidR="00B84D2E" w14:paraId="36BF508F" w14:textId="77777777" w:rsidTr="00290365">
        <w:tc>
          <w:tcPr>
            <w:tcW w:w="4788" w:type="dxa"/>
          </w:tcPr>
          <w:p w14:paraId="365EA073" w14:textId="77777777" w:rsidR="00B84D2E" w:rsidRDefault="00B84D2E" w:rsidP="00290365">
            <w:r>
              <w:t>As part of the application procedure, you might want to consider asking if the product has previously been the subject of a duty suspension, and if so to provide the 9900 number.</w:t>
            </w:r>
          </w:p>
          <w:p w14:paraId="1604A3CA" w14:textId="77777777" w:rsidR="00B84D2E" w:rsidRDefault="00B84D2E" w:rsidP="00290365"/>
          <w:p w14:paraId="673E3D68" w14:textId="77777777" w:rsidR="00B84D2E" w:rsidRDefault="00B84D2E" w:rsidP="00290365">
            <w:pPr>
              <w:jc w:val="right"/>
            </w:pPr>
            <w:r>
              <w:t>Fanwood Chemical, Inc.</w:t>
            </w:r>
          </w:p>
        </w:tc>
        <w:tc>
          <w:tcPr>
            <w:tcW w:w="4788" w:type="dxa"/>
          </w:tcPr>
          <w:p w14:paraId="59C6B29E" w14:textId="71707578" w:rsidR="00B84D2E" w:rsidRDefault="00B84D2E" w:rsidP="008D6D51">
            <w:r>
              <w:t xml:space="preserve">The Commission </w:t>
            </w:r>
            <w:r w:rsidR="008D6D51">
              <w:t>has addressed this comment in</w:t>
            </w:r>
            <w:r>
              <w:t xml:space="preserve"> </w:t>
            </w:r>
            <w:r w:rsidR="00622405">
              <w:t>question 5 on the Information for Petitions form</w:t>
            </w:r>
            <w:r>
              <w:t>.</w:t>
            </w:r>
          </w:p>
        </w:tc>
      </w:tr>
      <w:tr w:rsidR="00B84D2E" w14:paraId="1FFA551D" w14:textId="77777777" w:rsidTr="00290365">
        <w:tc>
          <w:tcPr>
            <w:tcW w:w="4788" w:type="dxa"/>
          </w:tcPr>
          <w:p w14:paraId="64824CC6" w14:textId="77777777" w:rsidR="00B84D2E" w:rsidRDefault="00B84D2E" w:rsidP="00290365">
            <w:r>
              <w:t>Please make the requirement to provide a copy of a liquidated customs entry form optional.</w:t>
            </w:r>
          </w:p>
          <w:p w14:paraId="4B0C4284" w14:textId="77777777" w:rsidR="00B84D2E" w:rsidRDefault="00B84D2E" w:rsidP="00290365"/>
          <w:p w14:paraId="75C82510" w14:textId="77777777" w:rsidR="00B84D2E" w:rsidRDefault="00B84D2E" w:rsidP="00290365">
            <w:pPr>
              <w:jc w:val="right"/>
            </w:pPr>
            <w:r>
              <w:t>Fanwood Chemical, Inc.</w:t>
            </w:r>
          </w:p>
          <w:p w14:paraId="7AA3255B" w14:textId="77777777" w:rsidR="00B84D2E" w:rsidRDefault="00B84D2E" w:rsidP="00290365">
            <w:pPr>
              <w:jc w:val="right"/>
            </w:pPr>
            <w:r>
              <w:t>Nation Ford Chemical</w:t>
            </w:r>
          </w:p>
          <w:p w14:paraId="205B38F1" w14:textId="02576979" w:rsidR="00B423D4" w:rsidRDefault="00B423D4" w:rsidP="00290365">
            <w:pPr>
              <w:jc w:val="right"/>
            </w:pPr>
            <w:r>
              <w:t>National Association of Manufacturers</w:t>
            </w:r>
            <w:r w:rsidR="008D6D51">
              <w:t xml:space="preserve"> (NAM)</w:t>
            </w:r>
          </w:p>
          <w:p w14:paraId="3721C801" w14:textId="6E75E826" w:rsidR="00212C91" w:rsidRDefault="00212C91" w:rsidP="00290365">
            <w:pPr>
              <w:jc w:val="right"/>
            </w:pPr>
            <w:r>
              <w:t>Society of Chemical Manufacturers and Affiliates</w:t>
            </w:r>
            <w:r w:rsidR="008D6D51">
              <w:t xml:space="preserve"> (SOCMA)</w:t>
            </w:r>
          </w:p>
          <w:p w14:paraId="70894446" w14:textId="77777777" w:rsidR="008525E3" w:rsidRDefault="008525E3" w:rsidP="00290365">
            <w:pPr>
              <w:jc w:val="right"/>
            </w:pPr>
            <w:r>
              <w:t>International Business-Government Counsellors, Inc. (IBC)</w:t>
            </w:r>
          </w:p>
          <w:p w14:paraId="7000A0E9" w14:textId="77777777" w:rsidR="00692D0A" w:rsidRDefault="00692D0A" w:rsidP="00290365">
            <w:pPr>
              <w:jc w:val="right"/>
            </w:pPr>
            <w:r>
              <w:t>Valent U.S.A. Corporation</w:t>
            </w:r>
          </w:p>
          <w:p w14:paraId="1A42CE8D" w14:textId="6329EF6C" w:rsidR="00C77195" w:rsidRDefault="00C77195" w:rsidP="00290365">
            <w:pPr>
              <w:jc w:val="right"/>
            </w:pPr>
            <w:proofErr w:type="spellStart"/>
            <w:r>
              <w:t>Firmenich</w:t>
            </w:r>
            <w:proofErr w:type="spellEnd"/>
            <w:r>
              <w:t xml:space="preserve"> Corporation</w:t>
            </w:r>
          </w:p>
        </w:tc>
        <w:tc>
          <w:tcPr>
            <w:tcW w:w="4788" w:type="dxa"/>
          </w:tcPr>
          <w:p w14:paraId="3C57E58E" w14:textId="77777777" w:rsidR="008D6D51" w:rsidRDefault="00B84D2E" w:rsidP="00622405">
            <w:r>
              <w:t xml:space="preserve">The Commission has incorporated this comment.  </w:t>
            </w:r>
          </w:p>
          <w:p w14:paraId="2657BE76" w14:textId="77777777" w:rsidR="008D6D51" w:rsidRDefault="008D6D51" w:rsidP="00622405"/>
          <w:p w14:paraId="0F328C9D" w14:textId="77777777" w:rsidR="008D6D51" w:rsidRDefault="00622405" w:rsidP="00622405">
            <w:r>
              <w:t xml:space="preserve">Providing documentation will be optional.  </w:t>
            </w:r>
          </w:p>
          <w:p w14:paraId="0A39A50D" w14:textId="77777777" w:rsidR="008D6D51" w:rsidRDefault="008D6D51" w:rsidP="00622405"/>
          <w:p w14:paraId="0FFAB4E4" w14:textId="21490B0D" w:rsidR="00B84D2E" w:rsidRDefault="00622405" w:rsidP="00622405">
            <w:r>
              <w:t>Please see question 10 on the Information for Petitions form</w:t>
            </w:r>
            <w:r w:rsidR="00B84D2E">
              <w:t>.</w:t>
            </w:r>
          </w:p>
        </w:tc>
      </w:tr>
      <w:tr w:rsidR="00B84D2E" w14:paraId="1C0438BC" w14:textId="77777777" w:rsidTr="00290365">
        <w:tc>
          <w:tcPr>
            <w:tcW w:w="4788" w:type="dxa"/>
          </w:tcPr>
          <w:p w14:paraId="619FFB8C" w14:textId="77777777" w:rsidR="00B84D2E" w:rsidRDefault="00B84D2E" w:rsidP="00290365">
            <w:r>
              <w:t>Please consider asking for a copy of a “certificate of imported goods” as a substitute for the liquidated customs entry form.</w:t>
            </w:r>
          </w:p>
          <w:p w14:paraId="30609C65" w14:textId="77777777" w:rsidR="00B84D2E" w:rsidRDefault="00B84D2E" w:rsidP="00290365"/>
          <w:p w14:paraId="7913C4A1" w14:textId="77777777" w:rsidR="008D6D51" w:rsidRDefault="008D6D51" w:rsidP="00290365">
            <w:pPr>
              <w:jc w:val="right"/>
            </w:pPr>
          </w:p>
          <w:p w14:paraId="518204AC" w14:textId="77777777" w:rsidR="00B84D2E" w:rsidRDefault="00B84D2E" w:rsidP="00290365">
            <w:pPr>
              <w:jc w:val="right"/>
            </w:pPr>
            <w:r>
              <w:t>Fanwood Chemical, Inc.</w:t>
            </w:r>
          </w:p>
          <w:p w14:paraId="41890A19" w14:textId="77777777" w:rsidR="00B84D2E" w:rsidRDefault="00B84D2E" w:rsidP="00290365">
            <w:pPr>
              <w:jc w:val="right"/>
            </w:pPr>
            <w:r>
              <w:t>Nation Ford Chemical</w:t>
            </w:r>
          </w:p>
          <w:p w14:paraId="36212B6F" w14:textId="0A376290" w:rsidR="00B423D4" w:rsidRDefault="008D6D51" w:rsidP="00290365">
            <w:pPr>
              <w:jc w:val="right"/>
            </w:pPr>
            <w:r>
              <w:t>NAM</w:t>
            </w:r>
          </w:p>
          <w:p w14:paraId="03FA1A06" w14:textId="240F0B64" w:rsidR="00212C91" w:rsidRDefault="008D6D51" w:rsidP="00290365">
            <w:pPr>
              <w:jc w:val="right"/>
            </w:pPr>
            <w:r>
              <w:t>SOCMA</w:t>
            </w:r>
          </w:p>
        </w:tc>
        <w:tc>
          <w:tcPr>
            <w:tcW w:w="4788" w:type="dxa"/>
          </w:tcPr>
          <w:p w14:paraId="030319EC" w14:textId="29061DBF" w:rsidR="008D6D51" w:rsidRDefault="008D6D51" w:rsidP="00622405">
            <w:r>
              <w:t>The Commission has incorporated this comment.</w:t>
            </w:r>
          </w:p>
          <w:p w14:paraId="6AAFE5E7" w14:textId="77777777" w:rsidR="008D6D51" w:rsidRDefault="008D6D51" w:rsidP="00622405"/>
          <w:p w14:paraId="607DA775" w14:textId="77777777" w:rsidR="008D6D51" w:rsidRDefault="00B84D2E" w:rsidP="00622405">
            <w:r>
              <w:t xml:space="preserve">The Commission has provided the user with options to upload documents other than the liquidated customs entry form, of which a “certificate of imported goods” could be one.  </w:t>
            </w:r>
          </w:p>
          <w:p w14:paraId="18CDAD32" w14:textId="77777777" w:rsidR="008D6D51" w:rsidRDefault="008D6D51" w:rsidP="00622405"/>
          <w:p w14:paraId="2CC4FBFF" w14:textId="4F8E1523" w:rsidR="00B84D2E" w:rsidRDefault="00B84D2E" w:rsidP="00622405">
            <w:r>
              <w:t xml:space="preserve">Please see </w:t>
            </w:r>
            <w:r w:rsidR="00622405">
              <w:t>question 10 on the Information for Petitions form</w:t>
            </w:r>
            <w:r>
              <w:t>.</w:t>
            </w:r>
          </w:p>
        </w:tc>
      </w:tr>
      <w:tr w:rsidR="008D6D51" w14:paraId="0633FE62" w14:textId="77777777" w:rsidTr="008768A7">
        <w:tc>
          <w:tcPr>
            <w:tcW w:w="4788" w:type="dxa"/>
          </w:tcPr>
          <w:p w14:paraId="3DE64F4F" w14:textId="77777777" w:rsidR="008D6D51" w:rsidRDefault="008D6D51" w:rsidP="008768A7">
            <w:r>
              <w:t>Publish a list of all nominations and include the CAS number and HTS number.</w:t>
            </w:r>
          </w:p>
          <w:p w14:paraId="477D71ED" w14:textId="77777777" w:rsidR="008D6D51" w:rsidRDefault="008D6D51" w:rsidP="008768A7"/>
          <w:p w14:paraId="32885DFA" w14:textId="77777777" w:rsidR="008D6D51" w:rsidRDefault="008D6D51" w:rsidP="008768A7">
            <w:pPr>
              <w:jc w:val="right"/>
            </w:pPr>
          </w:p>
          <w:p w14:paraId="348A013C" w14:textId="77777777" w:rsidR="008D6D51" w:rsidRDefault="008D6D51" w:rsidP="008768A7">
            <w:pPr>
              <w:jc w:val="right"/>
            </w:pPr>
            <w:r>
              <w:t>Fanwood Chemical, Inc.</w:t>
            </w:r>
          </w:p>
          <w:p w14:paraId="2D5E243A" w14:textId="16B93A57" w:rsidR="008D6D51" w:rsidRDefault="008D6D51" w:rsidP="008768A7">
            <w:pPr>
              <w:jc w:val="right"/>
            </w:pPr>
            <w:r>
              <w:t>SOCMA</w:t>
            </w:r>
          </w:p>
          <w:p w14:paraId="0FA09F36" w14:textId="77777777" w:rsidR="008D6D51" w:rsidRDefault="008D6D51" w:rsidP="008768A7">
            <w:pPr>
              <w:jc w:val="right"/>
            </w:pPr>
            <w:r>
              <w:t>IBC</w:t>
            </w:r>
          </w:p>
        </w:tc>
        <w:tc>
          <w:tcPr>
            <w:tcW w:w="4788" w:type="dxa"/>
          </w:tcPr>
          <w:p w14:paraId="5AFFDD9E" w14:textId="1F97E427" w:rsidR="008D6D51" w:rsidRDefault="008D6D51" w:rsidP="008768A7">
            <w:r>
              <w:t>The Commission has addressed this comment.</w:t>
            </w:r>
          </w:p>
          <w:p w14:paraId="24E5D137" w14:textId="77777777" w:rsidR="008D6D51" w:rsidRDefault="008D6D51" w:rsidP="008768A7"/>
          <w:p w14:paraId="2008A1CD" w14:textId="77777777" w:rsidR="008D6D51" w:rsidRDefault="008D6D51" w:rsidP="008768A7">
            <w:r>
              <w:t>As required by the legislation, the Commission intends to publish received petitions that meet the requirements set forth in the legislation.  The list of received petitions will include the CAS number and HTS number.</w:t>
            </w:r>
          </w:p>
        </w:tc>
      </w:tr>
      <w:tr w:rsidR="008D6D51" w14:paraId="10CB005A" w14:textId="77777777" w:rsidTr="008768A7">
        <w:tc>
          <w:tcPr>
            <w:tcW w:w="4788" w:type="dxa"/>
          </w:tcPr>
          <w:p w14:paraId="7D7C27EB" w14:textId="77777777" w:rsidR="008D6D51" w:rsidRDefault="008D6D51" w:rsidP="008768A7">
            <w:r>
              <w:t>Design the system to accept multiple nominations without having to re-enter the “boiler plate” details.</w:t>
            </w:r>
          </w:p>
          <w:p w14:paraId="1F1456E3" w14:textId="77777777" w:rsidR="008D6D51" w:rsidRDefault="008D6D51" w:rsidP="008768A7"/>
          <w:p w14:paraId="67C6FB8B" w14:textId="77777777" w:rsidR="008D6D51" w:rsidRDefault="008D6D51" w:rsidP="008768A7">
            <w:pPr>
              <w:jc w:val="right"/>
            </w:pPr>
          </w:p>
          <w:p w14:paraId="57ACF204" w14:textId="77777777" w:rsidR="008D6D51" w:rsidRDefault="008D6D51" w:rsidP="008768A7">
            <w:pPr>
              <w:jc w:val="right"/>
            </w:pPr>
          </w:p>
          <w:p w14:paraId="20CD5A39" w14:textId="77777777" w:rsidR="008D6D51" w:rsidRDefault="008D6D51" w:rsidP="008768A7">
            <w:pPr>
              <w:jc w:val="right"/>
            </w:pPr>
          </w:p>
          <w:p w14:paraId="6A560752" w14:textId="77777777" w:rsidR="008D6D51" w:rsidRDefault="008D6D51" w:rsidP="008768A7">
            <w:pPr>
              <w:jc w:val="right"/>
            </w:pPr>
            <w:r>
              <w:t>Fanwood Chemical, Inc.</w:t>
            </w:r>
          </w:p>
          <w:p w14:paraId="0163D239" w14:textId="77777777" w:rsidR="008D6D51" w:rsidRDefault="008D6D51" w:rsidP="008768A7">
            <w:pPr>
              <w:jc w:val="right"/>
            </w:pPr>
            <w:r>
              <w:t>Unilever</w:t>
            </w:r>
          </w:p>
        </w:tc>
        <w:tc>
          <w:tcPr>
            <w:tcW w:w="4788" w:type="dxa"/>
          </w:tcPr>
          <w:p w14:paraId="68C2EF7E" w14:textId="33951CE3" w:rsidR="008D6D51" w:rsidRDefault="008D6D51" w:rsidP="008768A7">
            <w:r w:rsidRPr="008D6D51">
              <w:t>The Commission has chosen not to incorporate this comment at this time for the reasons set forth below.</w:t>
            </w:r>
          </w:p>
          <w:p w14:paraId="7A81FCAA" w14:textId="77777777" w:rsidR="008D6D51" w:rsidRDefault="008D6D51" w:rsidP="008768A7"/>
          <w:p w14:paraId="6D848ABA" w14:textId="77777777" w:rsidR="008D6D51" w:rsidRDefault="008D6D51" w:rsidP="008768A7">
            <w:r>
              <w:t>While the Commission understands the utility of this functionality, time and resource constraints will not permit this feature to be included in the initial system build.</w:t>
            </w:r>
          </w:p>
        </w:tc>
      </w:tr>
      <w:tr w:rsidR="008D6D51" w14:paraId="5655AFB9" w14:textId="77777777" w:rsidTr="008768A7">
        <w:tc>
          <w:tcPr>
            <w:tcW w:w="4788" w:type="dxa"/>
          </w:tcPr>
          <w:p w14:paraId="10AF29E5" w14:textId="77777777" w:rsidR="008D6D51" w:rsidRDefault="008D6D51" w:rsidP="008768A7">
            <w:r>
              <w:lastRenderedPageBreak/>
              <w:t>Allow petitioners to go back within a short period of time to correct/update details that had been submitted.</w:t>
            </w:r>
          </w:p>
          <w:p w14:paraId="2AE6E5EC" w14:textId="77777777" w:rsidR="008D6D51" w:rsidRDefault="008D6D51" w:rsidP="008768A7"/>
          <w:p w14:paraId="6B18541F" w14:textId="77777777" w:rsidR="008D6D51" w:rsidRDefault="008D6D51" w:rsidP="008768A7">
            <w:pPr>
              <w:jc w:val="right"/>
            </w:pPr>
          </w:p>
          <w:p w14:paraId="1F60160F" w14:textId="77777777" w:rsidR="008D6D51" w:rsidRDefault="008D6D51" w:rsidP="008768A7">
            <w:pPr>
              <w:jc w:val="right"/>
            </w:pPr>
          </w:p>
          <w:p w14:paraId="770F5D42" w14:textId="77777777" w:rsidR="008D6D51" w:rsidRDefault="008D6D51" w:rsidP="008768A7">
            <w:pPr>
              <w:jc w:val="right"/>
            </w:pPr>
            <w:r>
              <w:t>Fanwood Chemical, Inc.</w:t>
            </w:r>
          </w:p>
          <w:p w14:paraId="2379949B" w14:textId="77777777" w:rsidR="008D6D51" w:rsidRDefault="008D6D51" w:rsidP="008768A7">
            <w:pPr>
              <w:jc w:val="right"/>
            </w:pPr>
            <w:r>
              <w:t>Outdoor Industry Association</w:t>
            </w:r>
          </w:p>
        </w:tc>
        <w:tc>
          <w:tcPr>
            <w:tcW w:w="4788" w:type="dxa"/>
          </w:tcPr>
          <w:p w14:paraId="0E22E0D7" w14:textId="77777777" w:rsidR="008D6D51" w:rsidRDefault="008D6D51" w:rsidP="008D6D51">
            <w:r w:rsidRPr="008D6D51">
              <w:t>The Commission has chosen not to incorporate this comment at this time for the reasons set forth below.</w:t>
            </w:r>
          </w:p>
          <w:p w14:paraId="1D50926D" w14:textId="77777777" w:rsidR="008D6D51" w:rsidRDefault="008D6D51" w:rsidP="008768A7"/>
          <w:p w14:paraId="0A46B9E1" w14:textId="77777777" w:rsidR="008D6D51" w:rsidRDefault="008D6D51" w:rsidP="008768A7">
            <w:r>
              <w:t>While the Commission understands the utility of this functionality, time and resource constraints will not permit this feature to be included in the initial system build.</w:t>
            </w:r>
          </w:p>
        </w:tc>
      </w:tr>
      <w:tr w:rsidR="00B423D4" w14:paraId="48B7FC84" w14:textId="77777777" w:rsidTr="00290365">
        <w:tc>
          <w:tcPr>
            <w:tcW w:w="4788" w:type="dxa"/>
          </w:tcPr>
          <w:p w14:paraId="12E68D0D" w14:textId="77777777" w:rsidR="00CC6D13" w:rsidRDefault="00CC6D13" w:rsidP="00CC6D13">
            <w:r>
              <w:t>Language detailing treatment of customs entry documentation (including liquidated entry summaries and Certificates of Imported Goods) as CBI should be included in the final request for information.</w:t>
            </w:r>
          </w:p>
          <w:p w14:paraId="31BDDA54" w14:textId="77777777" w:rsidR="00CC6D13" w:rsidRDefault="00CC6D13" w:rsidP="00CC6D13"/>
          <w:p w14:paraId="5B6DA19B" w14:textId="77777777" w:rsidR="00CC6D13" w:rsidRDefault="00CC6D13" w:rsidP="00CC6D13">
            <w:pPr>
              <w:jc w:val="right"/>
            </w:pPr>
            <w:r>
              <w:t>NAM</w:t>
            </w:r>
          </w:p>
          <w:p w14:paraId="17DD9007" w14:textId="77777777" w:rsidR="00CC6D13" w:rsidRDefault="00CC6D13" w:rsidP="00CC6D13">
            <w:pPr>
              <w:jc w:val="right"/>
            </w:pPr>
            <w:r>
              <w:t>IBC</w:t>
            </w:r>
          </w:p>
          <w:p w14:paraId="29EB126B" w14:textId="77777777" w:rsidR="00CC6D13" w:rsidRDefault="00CC6D13" w:rsidP="00CC6D13">
            <w:pPr>
              <w:jc w:val="right"/>
            </w:pPr>
            <w:r>
              <w:t>Valent U.S.A. Corporation</w:t>
            </w:r>
          </w:p>
          <w:p w14:paraId="382A9364" w14:textId="3A2E5D5A" w:rsidR="00C77195" w:rsidRDefault="00CC6D13" w:rsidP="00CC6D13">
            <w:pPr>
              <w:jc w:val="right"/>
            </w:pPr>
            <w:proofErr w:type="spellStart"/>
            <w:r>
              <w:t>Firmenich</w:t>
            </w:r>
            <w:proofErr w:type="spellEnd"/>
            <w:r>
              <w:t xml:space="preserve"> Corporation</w:t>
            </w:r>
          </w:p>
        </w:tc>
        <w:tc>
          <w:tcPr>
            <w:tcW w:w="4788" w:type="dxa"/>
          </w:tcPr>
          <w:p w14:paraId="059FA65C" w14:textId="77777777" w:rsidR="00CC6D13" w:rsidRDefault="00CC6D13" w:rsidP="00CC6D13">
            <w:r>
              <w:t xml:space="preserve">The Commission has incorporated this comment. </w:t>
            </w:r>
          </w:p>
          <w:p w14:paraId="58BDD4A3" w14:textId="77777777" w:rsidR="00CC6D13" w:rsidRDefault="00CC6D13" w:rsidP="00CC6D13"/>
          <w:p w14:paraId="54652E8F" w14:textId="05935A6B" w:rsidR="00B423D4" w:rsidRDefault="00CC6D13" w:rsidP="00CC6D13">
            <w:r>
              <w:t>Any document provided to the Commission pursuant to question 10 on the Information for Petitions form will be treated as CBI in accordance with 19 U.S.C 1332(g).</w:t>
            </w:r>
          </w:p>
        </w:tc>
      </w:tr>
      <w:tr w:rsidR="008C7E94" w14:paraId="4ACE7D50" w14:textId="77777777" w:rsidTr="00290365">
        <w:tc>
          <w:tcPr>
            <w:tcW w:w="4788" w:type="dxa"/>
          </w:tcPr>
          <w:p w14:paraId="439C1E9A" w14:textId="77777777" w:rsidR="00CC6D13" w:rsidRDefault="00CC6D13" w:rsidP="00CC6D13">
            <w:r>
              <w:t>Revise the</w:t>
            </w:r>
            <w:r w:rsidRPr="008C7E94">
              <w:t xml:space="preserve"> section</w:t>
            </w:r>
            <w:r>
              <w:t xml:space="preserve"> requiring a customs ruling</w:t>
            </w:r>
            <w:r w:rsidRPr="008C7E94">
              <w:t xml:space="preserve"> that would allow companies to indicate that they are not aware of the existence of an older ruling.</w:t>
            </w:r>
          </w:p>
          <w:p w14:paraId="574EC878" w14:textId="77777777" w:rsidR="00CC6D13" w:rsidRDefault="00CC6D13" w:rsidP="00CC6D13">
            <w:pPr>
              <w:tabs>
                <w:tab w:val="left" w:pos="4234"/>
              </w:tabs>
            </w:pPr>
            <w:r>
              <w:tab/>
            </w:r>
          </w:p>
          <w:p w14:paraId="60F0A00E" w14:textId="046D8B39" w:rsidR="008C7E94" w:rsidRDefault="00CC6D13" w:rsidP="00CC6D13">
            <w:pPr>
              <w:jc w:val="right"/>
            </w:pPr>
            <w:r>
              <w:t>NAM</w:t>
            </w:r>
          </w:p>
        </w:tc>
        <w:tc>
          <w:tcPr>
            <w:tcW w:w="4788" w:type="dxa"/>
          </w:tcPr>
          <w:p w14:paraId="294FE4B6" w14:textId="77777777" w:rsidR="00CC6D13" w:rsidRDefault="00CC6D13" w:rsidP="00CC6D13">
            <w:r>
              <w:t>The Commission has incorporated this comment.</w:t>
            </w:r>
          </w:p>
          <w:p w14:paraId="7905D9BA" w14:textId="77777777" w:rsidR="00CC6D13" w:rsidRDefault="00CC6D13" w:rsidP="00CC6D13"/>
          <w:p w14:paraId="0A39145A" w14:textId="707EBCF0" w:rsidR="008C7E94" w:rsidRDefault="00CC6D13" w:rsidP="00CC6D13">
            <w:r>
              <w:t>Please see question 9 on the Information for Petitions form.</w:t>
            </w:r>
          </w:p>
        </w:tc>
      </w:tr>
      <w:tr w:rsidR="00CC6D13" w14:paraId="1E32E87C" w14:textId="77777777" w:rsidTr="00290365">
        <w:tc>
          <w:tcPr>
            <w:tcW w:w="4788" w:type="dxa"/>
          </w:tcPr>
          <w:p w14:paraId="03E2B7F3" w14:textId="77777777" w:rsidR="00CC6D13" w:rsidRDefault="00CC6D13" w:rsidP="008768A7">
            <w:r>
              <w:t>Include an additional field to allow for the submission of other chemical synonyms to increase transparency.</w:t>
            </w:r>
          </w:p>
          <w:p w14:paraId="2BB7A844" w14:textId="77777777" w:rsidR="00CC6D13" w:rsidRDefault="00CC6D13" w:rsidP="008768A7"/>
          <w:p w14:paraId="3FBEFB04" w14:textId="77777777" w:rsidR="00CC6D13" w:rsidRDefault="00CC6D13" w:rsidP="008768A7"/>
          <w:p w14:paraId="1CB098C7" w14:textId="77777777" w:rsidR="00CC6D13" w:rsidRDefault="00CC6D13" w:rsidP="008768A7">
            <w:pPr>
              <w:jc w:val="right"/>
            </w:pPr>
          </w:p>
          <w:p w14:paraId="3DE1D958" w14:textId="77777777" w:rsidR="00CC6D13" w:rsidRDefault="00CC6D13" w:rsidP="008768A7">
            <w:pPr>
              <w:jc w:val="right"/>
            </w:pPr>
          </w:p>
          <w:p w14:paraId="1C5BD0A6" w14:textId="77777777" w:rsidR="00CC6D13" w:rsidRDefault="00CC6D13" w:rsidP="008768A7">
            <w:pPr>
              <w:jc w:val="right"/>
            </w:pPr>
          </w:p>
          <w:p w14:paraId="5A685C21" w14:textId="77777777" w:rsidR="00CC6D13" w:rsidRDefault="00CC6D13" w:rsidP="00AD5439">
            <w:pPr>
              <w:jc w:val="right"/>
            </w:pPr>
          </w:p>
          <w:p w14:paraId="21C9A766" w14:textId="09603551" w:rsidR="00CC6D13" w:rsidRDefault="00CC6D13" w:rsidP="00AD5439">
            <w:pPr>
              <w:jc w:val="right"/>
            </w:pPr>
            <w:r>
              <w:t>NAM</w:t>
            </w:r>
          </w:p>
        </w:tc>
        <w:tc>
          <w:tcPr>
            <w:tcW w:w="4788" w:type="dxa"/>
          </w:tcPr>
          <w:p w14:paraId="4A2B0D4B" w14:textId="77777777" w:rsidR="00CC6D13" w:rsidRDefault="00CC6D13" w:rsidP="008768A7">
            <w:r>
              <w:t>The Commission has chosen not to incorporate this comment at this time for the reasons set forth below.</w:t>
            </w:r>
          </w:p>
          <w:p w14:paraId="70A9CA03" w14:textId="77777777" w:rsidR="00CC6D13" w:rsidRDefault="00CC6D13" w:rsidP="008768A7"/>
          <w:p w14:paraId="5027B40B" w14:textId="3CB7D824" w:rsidR="00CC6D13" w:rsidRDefault="00CC6D13" w:rsidP="00AD5439">
            <w:r w:rsidRPr="00AB305B">
              <w:t>Based on experience from previous cycles, the Commission considers the structural name and CAS number to be</w:t>
            </w:r>
            <w:r>
              <w:t xml:space="preserve"> </w:t>
            </w:r>
            <w:r w:rsidRPr="00AB305B">
              <w:t>the clearest</w:t>
            </w:r>
            <w:r>
              <w:t xml:space="preserve"> </w:t>
            </w:r>
            <w:r w:rsidRPr="00AB305B">
              <w:t>ways to identify a product.  However, should petitioner wish to inc</w:t>
            </w:r>
            <w:r>
              <w:t xml:space="preserve">lude other chemical synonyms it </w:t>
            </w:r>
            <w:r w:rsidRPr="00AB305B">
              <w:t xml:space="preserve">may choose to do so in the article description </w:t>
            </w:r>
            <w:proofErr w:type="gramStart"/>
            <w:r w:rsidRPr="00AB305B">
              <w:t>field.</w:t>
            </w:r>
            <w:proofErr w:type="gramEnd"/>
            <w:r w:rsidRPr="00AB305B">
              <w:t xml:space="preserve">  </w:t>
            </w:r>
          </w:p>
        </w:tc>
      </w:tr>
      <w:tr w:rsidR="00CC6D13" w14:paraId="110DD014" w14:textId="77777777" w:rsidTr="00290365">
        <w:tc>
          <w:tcPr>
            <w:tcW w:w="4788" w:type="dxa"/>
          </w:tcPr>
          <w:p w14:paraId="562FB629" w14:textId="77777777" w:rsidR="00CC6D13" w:rsidRPr="004577D4" w:rsidRDefault="00CC6D13" w:rsidP="008768A7">
            <w:pPr>
              <w:rPr>
                <w:szCs w:val="23"/>
              </w:rPr>
            </w:pPr>
            <w:r w:rsidRPr="004577D4">
              <w:rPr>
                <w:szCs w:val="23"/>
              </w:rPr>
              <w:t>The online portal should include the ability to save information prior to submitting, so that the user and involved colleagues are able to review the information without the risk of losing the information already inputted due to a technological glitch, malfunction, or simple human error.</w:t>
            </w:r>
          </w:p>
          <w:p w14:paraId="7F6C1457" w14:textId="77777777" w:rsidR="00CC6D13" w:rsidRPr="004577D4" w:rsidRDefault="00CC6D13" w:rsidP="008768A7">
            <w:pPr>
              <w:rPr>
                <w:szCs w:val="23"/>
              </w:rPr>
            </w:pPr>
          </w:p>
          <w:p w14:paraId="42DB724A" w14:textId="705543EA" w:rsidR="00CC6D13" w:rsidRDefault="00CC6D13" w:rsidP="00FA3E74">
            <w:pPr>
              <w:jc w:val="right"/>
            </w:pPr>
            <w:r w:rsidRPr="004577D4">
              <w:rPr>
                <w:szCs w:val="23"/>
              </w:rPr>
              <w:t>Outdoor Industry Association</w:t>
            </w:r>
          </w:p>
        </w:tc>
        <w:tc>
          <w:tcPr>
            <w:tcW w:w="4788" w:type="dxa"/>
          </w:tcPr>
          <w:p w14:paraId="2C7A02FD" w14:textId="77777777" w:rsidR="00CC6D13" w:rsidRDefault="00CC6D13" w:rsidP="008768A7">
            <w:r>
              <w:t>The Commission has chosen not to incorporate this comment at this time for the reasons set forth below.</w:t>
            </w:r>
          </w:p>
          <w:p w14:paraId="5FD16D7D" w14:textId="77777777" w:rsidR="00CC6D13" w:rsidRDefault="00CC6D13" w:rsidP="008768A7"/>
          <w:p w14:paraId="77BC6223" w14:textId="00623C7D" w:rsidR="00CC6D13" w:rsidRDefault="00CC6D13" w:rsidP="00290365">
            <w:r>
              <w:t>While the Commission understands the utility of this functionality, time and resource constraints will not permit this feature to be included in the initial system build.</w:t>
            </w:r>
          </w:p>
        </w:tc>
      </w:tr>
      <w:tr w:rsidR="00CC6D13" w14:paraId="5C264094" w14:textId="77777777" w:rsidTr="00290365">
        <w:tc>
          <w:tcPr>
            <w:tcW w:w="4788" w:type="dxa"/>
          </w:tcPr>
          <w:p w14:paraId="765F025E" w14:textId="77777777" w:rsidR="00CC6D13" w:rsidRDefault="00CC6D13" w:rsidP="008768A7">
            <w:r>
              <w:t>Eliminate the requirement that petitioner indicate whether they are requesting a duty suspension or reduction and, if a reduction, require petitioner provide the requested rate.</w:t>
            </w:r>
          </w:p>
          <w:p w14:paraId="35EAC736" w14:textId="77777777" w:rsidR="00CC6D13" w:rsidRDefault="00CC6D13" w:rsidP="008768A7"/>
          <w:p w14:paraId="0AE92E39" w14:textId="77777777" w:rsidR="00CC6D13" w:rsidRDefault="00CC6D13" w:rsidP="008768A7"/>
          <w:p w14:paraId="2E9EFEC0" w14:textId="77777777" w:rsidR="00CC6D13" w:rsidRDefault="00CC6D13" w:rsidP="008768A7"/>
          <w:p w14:paraId="249FCE83" w14:textId="77777777" w:rsidR="00CC6D13" w:rsidRDefault="00CC6D13" w:rsidP="008768A7"/>
          <w:p w14:paraId="21C24B5D" w14:textId="77777777" w:rsidR="00CC6D13" w:rsidRDefault="00CC6D13" w:rsidP="008768A7">
            <w:pPr>
              <w:jc w:val="right"/>
            </w:pPr>
          </w:p>
          <w:p w14:paraId="35D1E51C" w14:textId="77777777" w:rsidR="00CC6D13" w:rsidRDefault="00CC6D13" w:rsidP="008768A7">
            <w:pPr>
              <w:jc w:val="right"/>
            </w:pPr>
          </w:p>
          <w:p w14:paraId="504F3119" w14:textId="77777777" w:rsidR="00CC6D13" w:rsidRDefault="00CC6D13" w:rsidP="008768A7">
            <w:pPr>
              <w:jc w:val="right"/>
            </w:pPr>
          </w:p>
          <w:p w14:paraId="091B6254" w14:textId="77777777" w:rsidR="00CC6D13" w:rsidRDefault="00CC6D13" w:rsidP="008768A7">
            <w:pPr>
              <w:jc w:val="right"/>
            </w:pPr>
          </w:p>
          <w:p w14:paraId="7A97E69C" w14:textId="77777777" w:rsidR="00CC6D13" w:rsidRDefault="00CC6D13" w:rsidP="008768A7">
            <w:pPr>
              <w:jc w:val="right"/>
            </w:pPr>
          </w:p>
          <w:p w14:paraId="3076F46C" w14:textId="77777777" w:rsidR="00CC6D13" w:rsidRDefault="00CC6D13" w:rsidP="008768A7"/>
          <w:p w14:paraId="628620E9" w14:textId="77777777" w:rsidR="00CC6D13" w:rsidRDefault="00CC6D13" w:rsidP="008768A7">
            <w:pPr>
              <w:jc w:val="right"/>
            </w:pPr>
          </w:p>
          <w:p w14:paraId="4EA97EEF" w14:textId="77777777" w:rsidR="00CC6D13" w:rsidRDefault="00CC6D13" w:rsidP="008768A7">
            <w:pPr>
              <w:jc w:val="right"/>
            </w:pPr>
          </w:p>
          <w:p w14:paraId="57776D11" w14:textId="77777777" w:rsidR="00CC6D13" w:rsidRDefault="00CC6D13" w:rsidP="008768A7">
            <w:pPr>
              <w:jc w:val="right"/>
            </w:pPr>
          </w:p>
          <w:p w14:paraId="1BA001A4" w14:textId="77777777" w:rsidR="00CC6D13" w:rsidRDefault="00CC6D13" w:rsidP="008768A7">
            <w:pPr>
              <w:jc w:val="right"/>
            </w:pPr>
          </w:p>
          <w:p w14:paraId="5E8B8F8D" w14:textId="77777777" w:rsidR="00CC6D13" w:rsidRDefault="00CC6D13" w:rsidP="008768A7">
            <w:pPr>
              <w:jc w:val="right"/>
            </w:pPr>
            <w:r>
              <w:t>NAM</w:t>
            </w:r>
          </w:p>
          <w:p w14:paraId="2B0EF688" w14:textId="77777777" w:rsidR="00CC6D13" w:rsidRDefault="00CC6D13" w:rsidP="008768A7">
            <w:pPr>
              <w:jc w:val="right"/>
            </w:pPr>
            <w:r>
              <w:t>IBC</w:t>
            </w:r>
          </w:p>
          <w:p w14:paraId="78147EDE" w14:textId="77777777" w:rsidR="00CC6D13" w:rsidRDefault="00CC6D13" w:rsidP="008768A7">
            <w:pPr>
              <w:jc w:val="right"/>
            </w:pPr>
            <w:r>
              <w:t>Valent U.S.A. Corporation</w:t>
            </w:r>
          </w:p>
          <w:p w14:paraId="1AABB539" w14:textId="45540515" w:rsidR="00CC6D13" w:rsidRDefault="00CC6D13" w:rsidP="00860DF0">
            <w:pPr>
              <w:jc w:val="right"/>
            </w:pPr>
            <w:proofErr w:type="spellStart"/>
            <w:r w:rsidRPr="00D71550">
              <w:t>Firmenich</w:t>
            </w:r>
            <w:proofErr w:type="spellEnd"/>
            <w:r w:rsidRPr="00D71550">
              <w:t xml:space="preserve"> Corporation</w:t>
            </w:r>
          </w:p>
        </w:tc>
        <w:tc>
          <w:tcPr>
            <w:tcW w:w="4788" w:type="dxa"/>
          </w:tcPr>
          <w:p w14:paraId="17A70D40" w14:textId="77777777" w:rsidR="00CC6D13" w:rsidRDefault="00CC6D13" w:rsidP="008768A7">
            <w:r>
              <w:lastRenderedPageBreak/>
              <w:t>The Commission has chosen not to incorporate this comment at this time for the reasons set forth below.</w:t>
            </w:r>
          </w:p>
          <w:p w14:paraId="7EB409F1" w14:textId="77777777" w:rsidR="00CC6D13" w:rsidRDefault="00CC6D13" w:rsidP="008768A7"/>
          <w:p w14:paraId="4854113E" w14:textId="5BEE5D82" w:rsidR="00CC6D13" w:rsidRDefault="00CC6D13" w:rsidP="00014F68">
            <w:r>
              <w:t xml:space="preserve">The Act requires the Commission, in Sec.  3(b)(3)(C)(i)(IV) of the Act, to provide, as part of its preliminary report, “An estimate of the amount of loss in revenue to the United States that would </w:t>
            </w:r>
            <w:r>
              <w:lastRenderedPageBreak/>
              <w:t>no longer be collected if the duty suspension or reduction takes effect” and in Sec.3(b)(3)(C)(ii)(III) of the Act “A list of petitions for duty suspensions and reductions for which the Commission recommends modifications to the amount of the duty suspension or reduction that is the subject of the petition to comply with the requirements of this Act, with the modification specified.” The comments presuppose that the Commission will know in all instances what a petitioner wants, and the Commission does not know this.  The Commission intends to provide help and support documentation that may provide guidance with respect to the concern raised by this comment.</w:t>
            </w:r>
          </w:p>
        </w:tc>
      </w:tr>
      <w:tr w:rsidR="00CC6D13" w14:paraId="6DA3BC3E" w14:textId="77777777" w:rsidTr="00290365">
        <w:tc>
          <w:tcPr>
            <w:tcW w:w="4788" w:type="dxa"/>
          </w:tcPr>
          <w:p w14:paraId="49C9B1AD" w14:textId="77777777" w:rsidR="00CC6D13" w:rsidRDefault="00CC6D13" w:rsidP="008768A7">
            <w:r>
              <w:lastRenderedPageBreak/>
              <w:t>Request that the ITC limit or eliminate the requirement to provide estimates of import data for the proposed product for the next five years.</w:t>
            </w:r>
          </w:p>
          <w:p w14:paraId="59B2187B" w14:textId="77777777" w:rsidR="00CC6D13" w:rsidRDefault="00CC6D13" w:rsidP="008768A7"/>
          <w:p w14:paraId="20621056" w14:textId="77777777" w:rsidR="00CC6D13" w:rsidRDefault="00CC6D13" w:rsidP="008768A7"/>
          <w:p w14:paraId="6D196B10" w14:textId="77777777" w:rsidR="00CC6D13" w:rsidRDefault="00CC6D13" w:rsidP="008768A7"/>
          <w:p w14:paraId="032D2B05" w14:textId="77777777" w:rsidR="00CC6D13" w:rsidRDefault="00CC6D13" w:rsidP="008768A7"/>
          <w:p w14:paraId="76D808FF" w14:textId="77777777" w:rsidR="00CC6D13" w:rsidRDefault="00CC6D13" w:rsidP="008768A7"/>
          <w:p w14:paraId="58DE28F5" w14:textId="77777777" w:rsidR="00CC6D13" w:rsidRDefault="00CC6D13" w:rsidP="008768A7"/>
          <w:p w14:paraId="5DD61565" w14:textId="77777777" w:rsidR="00CC6D13" w:rsidRDefault="00CC6D13" w:rsidP="008768A7"/>
          <w:p w14:paraId="78FFAE16" w14:textId="77777777" w:rsidR="00CC6D13" w:rsidRDefault="00CC6D13" w:rsidP="008768A7"/>
          <w:p w14:paraId="03C67F80" w14:textId="77777777" w:rsidR="00CC6D13" w:rsidRDefault="00CC6D13" w:rsidP="008768A7"/>
          <w:p w14:paraId="71160E90" w14:textId="77777777" w:rsidR="00CC6D13" w:rsidRDefault="00CC6D13" w:rsidP="008768A7">
            <w:pPr>
              <w:jc w:val="right"/>
            </w:pPr>
          </w:p>
          <w:p w14:paraId="7639ABEF" w14:textId="77777777" w:rsidR="00CC6D13" w:rsidRDefault="00CC6D13" w:rsidP="008768A7">
            <w:pPr>
              <w:jc w:val="right"/>
            </w:pPr>
          </w:p>
          <w:p w14:paraId="1D85F952" w14:textId="77777777" w:rsidR="00CC6D13" w:rsidRDefault="00CC6D13" w:rsidP="008768A7">
            <w:pPr>
              <w:jc w:val="right"/>
            </w:pPr>
          </w:p>
          <w:p w14:paraId="37BA7E41" w14:textId="77777777" w:rsidR="00CC6D13" w:rsidRDefault="00CC6D13" w:rsidP="008768A7">
            <w:pPr>
              <w:jc w:val="right"/>
            </w:pPr>
          </w:p>
          <w:p w14:paraId="088A57B0" w14:textId="77777777" w:rsidR="00CC6D13" w:rsidRDefault="00CC6D13" w:rsidP="008768A7">
            <w:pPr>
              <w:jc w:val="right"/>
            </w:pPr>
          </w:p>
          <w:p w14:paraId="7B22CF77" w14:textId="77777777" w:rsidR="00CC6D13" w:rsidRDefault="00CC6D13" w:rsidP="00B423D4">
            <w:pPr>
              <w:jc w:val="right"/>
            </w:pPr>
          </w:p>
          <w:p w14:paraId="017E00B8" w14:textId="77777777" w:rsidR="00CC6D13" w:rsidRDefault="00CC6D13" w:rsidP="00B423D4">
            <w:pPr>
              <w:jc w:val="right"/>
            </w:pPr>
          </w:p>
          <w:p w14:paraId="59EE4951" w14:textId="77777777" w:rsidR="00CC6D13" w:rsidRDefault="00CC6D13" w:rsidP="00B423D4">
            <w:pPr>
              <w:jc w:val="right"/>
            </w:pPr>
          </w:p>
          <w:p w14:paraId="257F844A" w14:textId="77777777" w:rsidR="00CC6D13" w:rsidRDefault="00CC6D13" w:rsidP="00B423D4">
            <w:pPr>
              <w:jc w:val="right"/>
            </w:pPr>
          </w:p>
          <w:p w14:paraId="2802E459" w14:textId="77777777" w:rsidR="00CC6D13" w:rsidRDefault="00CC6D13" w:rsidP="00B423D4">
            <w:pPr>
              <w:jc w:val="right"/>
            </w:pPr>
          </w:p>
          <w:p w14:paraId="11FEFF87" w14:textId="77777777" w:rsidR="00CC6D13" w:rsidRDefault="00CC6D13" w:rsidP="00B423D4">
            <w:pPr>
              <w:jc w:val="right"/>
            </w:pPr>
          </w:p>
          <w:p w14:paraId="4BA2333E" w14:textId="3E52A6C5" w:rsidR="00CC6D13" w:rsidRDefault="00CC6D13" w:rsidP="00B423D4">
            <w:pPr>
              <w:jc w:val="right"/>
            </w:pPr>
            <w:r>
              <w:t>NAM</w:t>
            </w:r>
          </w:p>
        </w:tc>
        <w:tc>
          <w:tcPr>
            <w:tcW w:w="4788" w:type="dxa"/>
          </w:tcPr>
          <w:p w14:paraId="7A69A0D7" w14:textId="77777777" w:rsidR="00CC6D13" w:rsidRDefault="00CC6D13" w:rsidP="00CC6D13">
            <w:r>
              <w:t>The Commission has chosen not to incorporate this comment at this time for the reasons set forth below.</w:t>
            </w:r>
          </w:p>
          <w:p w14:paraId="414C4BF2" w14:textId="77777777" w:rsidR="00CC6D13" w:rsidRDefault="00CC6D13" w:rsidP="00CC6D13"/>
          <w:p w14:paraId="270A55DD" w14:textId="77777777" w:rsidR="00CC6D13" w:rsidRDefault="00CC6D13" w:rsidP="00CC6D13">
            <w:r>
              <w:t>Sec. 3(b</w:t>
            </w:r>
            <w:proofErr w:type="gramStart"/>
            <w:r>
              <w:t>)(</w:t>
            </w:r>
            <w:proofErr w:type="gramEnd"/>
            <w:r>
              <w:t>2)(H) of the Act states that a petition shall include “An estimate of the total value, in United States dollars, of imports of the article for each of the 5 calendar years after the calendar year in which the petition is filed, including an estimate of the total value of such imports by the person who submits the petition and by any other importers, if available.”  Sec. 3(b</w:t>
            </w:r>
            <w:proofErr w:type="gramStart"/>
            <w:r>
              <w:t>)(</w:t>
            </w:r>
            <w:proofErr w:type="gramEnd"/>
            <w:r>
              <w:t>2)(K) of the Act states that  a petition shall include  “Such other information as the Commission may require.”  Sec. 3(b)(3)(C)(i)(IV) of the Act requires that the Commission provide, as part of its preliminary report, “An estimate of the amount of loss in revenue to the United States that would no longer be collected if the duty suspension or reduction</w:t>
            </w:r>
          </w:p>
          <w:p w14:paraId="2894C058" w14:textId="528CB5AF" w:rsidR="00CC6D13" w:rsidRDefault="00CC6D13" w:rsidP="00CC6D13">
            <w:proofErr w:type="gramStart"/>
            <w:r>
              <w:t>takes</w:t>
            </w:r>
            <w:proofErr w:type="gramEnd"/>
            <w:r>
              <w:t xml:space="preserve"> effect.”  The Commission has concluded it must collect this information from petitioner in order to meet its statutory obligations.  The Commission recognizes that these figures are estimates.</w:t>
            </w:r>
          </w:p>
        </w:tc>
      </w:tr>
      <w:tr w:rsidR="006F2AEA" w14:paraId="5D141D5D" w14:textId="77777777" w:rsidTr="00290365">
        <w:tc>
          <w:tcPr>
            <w:tcW w:w="4788" w:type="dxa"/>
          </w:tcPr>
          <w:p w14:paraId="30D1EBF6" w14:textId="77777777" w:rsidR="006F2AEA" w:rsidRDefault="006F2AEA" w:rsidP="008768A7">
            <w:r>
              <w:t>As providing import data may require submission of CBI, clarify that any such data will be handled accordingly.</w:t>
            </w:r>
          </w:p>
          <w:p w14:paraId="00560A72" w14:textId="77777777" w:rsidR="006F2AEA" w:rsidRDefault="006F2AEA" w:rsidP="008768A7">
            <w:pPr>
              <w:jc w:val="right"/>
            </w:pPr>
          </w:p>
          <w:p w14:paraId="7FDB753A" w14:textId="77777777" w:rsidR="006F2AEA" w:rsidRDefault="006F2AEA" w:rsidP="008768A7">
            <w:pPr>
              <w:jc w:val="right"/>
            </w:pPr>
            <w:r>
              <w:t>NAM</w:t>
            </w:r>
          </w:p>
          <w:p w14:paraId="212D2CA8" w14:textId="77777777" w:rsidR="006F2AEA" w:rsidRDefault="006F2AEA" w:rsidP="008768A7">
            <w:pPr>
              <w:jc w:val="right"/>
            </w:pPr>
            <w:r>
              <w:t>IBC</w:t>
            </w:r>
          </w:p>
          <w:p w14:paraId="62443D41" w14:textId="5D16F130" w:rsidR="006F2AEA" w:rsidRDefault="006F2AEA" w:rsidP="00014F68">
            <w:pPr>
              <w:jc w:val="right"/>
            </w:pPr>
            <w:r>
              <w:t>Valent U.S.A. Corporation</w:t>
            </w:r>
          </w:p>
        </w:tc>
        <w:tc>
          <w:tcPr>
            <w:tcW w:w="4788" w:type="dxa"/>
          </w:tcPr>
          <w:p w14:paraId="60DC5111" w14:textId="77777777" w:rsidR="006F2AEA" w:rsidRDefault="006F2AEA" w:rsidP="008768A7">
            <w:r w:rsidRPr="00CD0196">
              <w:t>The Commission has incorporated this comment</w:t>
            </w:r>
            <w:r>
              <w:t>.</w:t>
            </w:r>
            <w:r w:rsidRPr="00CD0196">
              <w:t xml:space="preserve"> </w:t>
            </w:r>
          </w:p>
          <w:p w14:paraId="7F1EDBEE" w14:textId="77777777" w:rsidR="006F2AEA" w:rsidRDefault="006F2AEA" w:rsidP="008768A7"/>
          <w:p w14:paraId="5DE822BC" w14:textId="77777777" w:rsidR="006F2AEA" w:rsidRDefault="006F2AEA" w:rsidP="008768A7"/>
          <w:p w14:paraId="6EEEDFFF" w14:textId="41F2251B" w:rsidR="006F2AEA" w:rsidRDefault="006F2AEA" w:rsidP="00FC0F88">
            <w:r>
              <w:t>Data provided in question 12</w:t>
            </w:r>
            <w:r w:rsidR="00FC0F88">
              <w:t>b</w:t>
            </w:r>
            <w:r>
              <w:t xml:space="preserve"> on the Information for Petitions form </w:t>
            </w:r>
            <w:r w:rsidR="00FC0F88">
              <w:t xml:space="preserve">may </w:t>
            </w:r>
            <w:r>
              <w:t>contain CBI and th</w:t>
            </w:r>
            <w:r w:rsidR="00FC0F88">
              <w:t>e</w:t>
            </w:r>
            <w:r>
              <w:t xml:space="preserve"> </w:t>
            </w:r>
            <w:r w:rsidRPr="00CD0196">
              <w:t>Commission will treat CBI in accordance with 19 U.S.C 1332(g).</w:t>
            </w:r>
            <w:bookmarkStart w:id="0" w:name="_GoBack"/>
            <w:bookmarkEnd w:id="0"/>
          </w:p>
        </w:tc>
      </w:tr>
      <w:tr w:rsidR="006F2AEA" w14:paraId="51958859" w14:textId="77777777" w:rsidTr="00290365">
        <w:tc>
          <w:tcPr>
            <w:tcW w:w="4788" w:type="dxa"/>
          </w:tcPr>
          <w:p w14:paraId="44B55289" w14:textId="77777777" w:rsidR="006F2AEA" w:rsidRDefault="006F2AEA" w:rsidP="008768A7">
            <w:r>
              <w:t>Clarify whether import data is provided by quantity or value.</w:t>
            </w:r>
          </w:p>
          <w:p w14:paraId="7B2C3B1E" w14:textId="77777777" w:rsidR="006F2AEA" w:rsidRDefault="006F2AEA" w:rsidP="008768A7"/>
          <w:p w14:paraId="0D9ABCAA" w14:textId="6AE4E209" w:rsidR="006F2AEA" w:rsidRDefault="006F2AEA" w:rsidP="00CD0196">
            <w:pPr>
              <w:jc w:val="right"/>
            </w:pPr>
            <w:r>
              <w:t>NAM</w:t>
            </w:r>
          </w:p>
        </w:tc>
        <w:tc>
          <w:tcPr>
            <w:tcW w:w="4788" w:type="dxa"/>
          </w:tcPr>
          <w:p w14:paraId="1659A585" w14:textId="77777777" w:rsidR="006F2AEA" w:rsidRDefault="006F2AEA" w:rsidP="008768A7">
            <w:r>
              <w:t xml:space="preserve">The Commission has incorporated this comment (value).  </w:t>
            </w:r>
          </w:p>
          <w:p w14:paraId="082F963E" w14:textId="77777777" w:rsidR="006F2AEA" w:rsidRDefault="006F2AEA" w:rsidP="008768A7"/>
          <w:p w14:paraId="044476FD" w14:textId="24A38179" w:rsidR="006F2AEA" w:rsidRPr="00CD0196" w:rsidRDefault="006F2AEA" w:rsidP="00CD0196">
            <w:r>
              <w:t xml:space="preserve">Please see question 12 on the Information for </w:t>
            </w:r>
            <w:r>
              <w:lastRenderedPageBreak/>
              <w:t>Petitions form.</w:t>
            </w:r>
          </w:p>
        </w:tc>
      </w:tr>
      <w:tr w:rsidR="006F2AEA" w14:paraId="565A1593" w14:textId="77777777" w:rsidTr="00290365">
        <w:tc>
          <w:tcPr>
            <w:tcW w:w="4788" w:type="dxa"/>
          </w:tcPr>
          <w:p w14:paraId="545D070F" w14:textId="77777777" w:rsidR="006F2AEA" w:rsidRDefault="006F2AEA" w:rsidP="008768A7">
            <w:r>
              <w:lastRenderedPageBreak/>
              <w:t>Clarify whether any data submitted would apply only to petitioner’s imports as opposed to all U.S. imports.</w:t>
            </w:r>
          </w:p>
          <w:p w14:paraId="0FE4BAB3" w14:textId="77777777" w:rsidR="006F2AEA" w:rsidRDefault="006F2AEA" w:rsidP="008768A7"/>
          <w:p w14:paraId="3916730E" w14:textId="54DB0CE3" w:rsidR="006F2AEA" w:rsidRDefault="006F2AEA" w:rsidP="00CD0196">
            <w:pPr>
              <w:jc w:val="right"/>
            </w:pPr>
            <w:r>
              <w:t>NAM</w:t>
            </w:r>
          </w:p>
        </w:tc>
        <w:tc>
          <w:tcPr>
            <w:tcW w:w="4788" w:type="dxa"/>
          </w:tcPr>
          <w:p w14:paraId="5C8E48F0" w14:textId="77777777" w:rsidR="006F2AEA" w:rsidRDefault="006F2AEA" w:rsidP="008768A7">
            <w:r>
              <w:t>The Commission has incorporated this comment.</w:t>
            </w:r>
          </w:p>
          <w:p w14:paraId="5990F821" w14:textId="77777777" w:rsidR="006F2AEA" w:rsidRDefault="006F2AEA" w:rsidP="008768A7"/>
          <w:p w14:paraId="2D48A120" w14:textId="298BE03C" w:rsidR="006F2AEA" w:rsidRDefault="006F2AEA" w:rsidP="0063506C">
            <w:r>
              <w:t>Please see question 12c on the Information for Petitions form.</w:t>
            </w:r>
          </w:p>
        </w:tc>
      </w:tr>
      <w:tr w:rsidR="006F2AEA" w14:paraId="4AE61BC5" w14:textId="77777777" w:rsidTr="00290365">
        <w:tc>
          <w:tcPr>
            <w:tcW w:w="4788" w:type="dxa"/>
          </w:tcPr>
          <w:p w14:paraId="3497E390" w14:textId="77777777" w:rsidR="006F2AEA" w:rsidRDefault="006F2AEA" w:rsidP="008768A7">
            <w:r>
              <w:t>Reformulate the section requiring certification that the proposed duty change is available to any person importing the article so as not to exclude patented compounds or other products for which there will be limited tariff benefits.</w:t>
            </w:r>
          </w:p>
          <w:p w14:paraId="4201CF1F" w14:textId="77777777" w:rsidR="006F2AEA" w:rsidRDefault="006F2AEA" w:rsidP="008768A7"/>
          <w:p w14:paraId="78668A7A" w14:textId="5A73C0DC" w:rsidR="006F2AEA" w:rsidRDefault="006F2AEA" w:rsidP="00CD0196">
            <w:pPr>
              <w:jc w:val="right"/>
            </w:pPr>
            <w:r>
              <w:t>NAM</w:t>
            </w:r>
          </w:p>
        </w:tc>
        <w:tc>
          <w:tcPr>
            <w:tcW w:w="4788" w:type="dxa"/>
          </w:tcPr>
          <w:p w14:paraId="10DB5F5D" w14:textId="03ADC8C2" w:rsidR="006F2AEA" w:rsidRDefault="006F2AEA" w:rsidP="00CD0196">
            <w:r>
              <w:t>The Commission has addressed this comment in question 15 on the Information for Petitions form.</w:t>
            </w:r>
          </w:p>
        </w:tc>
      </w:tr>
      <w:tr w:rsidR="006F2AEA" w14:paraId="0229F404" w14:textId="77777777" w:rsidTr="00290365">
        <w:tc>
          <w:tcPr>
            <w:tcW w:w="4788" w:type="dxa"/>
          </w:tcPr>
          <w:p w14:paraId="35D2290E" w14:textId="77777777" w:rsidR="006F2AEA" w:rsidRDefault="006F2AEA" w:rsidP="008768A7">
            <w:r>
              <w:t>Add a question to the Information for Petitions form: “Is the product an input or sold as a finished good in U.S. commerce?”</w:t>
            </w:r>
          </w:p>
          <w:p w14:paraId="5A7DE077" w14:textId="77777777" w:rsidR="006F2AEA" w:rsidRDefault="006F2AEA" w:rsidP="008768A7"/>
          <w:p w14:paraId="1DB7DDBC" w14:textId="2A192207" w:rsidR="006F2AEA" w:rsidRDefault="006F2AEA" w:rsidP="00212C91">
            <w:pPr>
              <w:jc w:val="right"/>
            </w:pPr>
            <w:r>
              <w:t>RPFMA</w:t>
            </w:r>
          </w:p>
        </w:tc>
        <w:tc>
          <w:tcPr>
            <w:tcW w:w="4788" w:type="dxa"/>
          </w:tcPr>
          <w:p w14:paraId="31C232F7" w14:textId="050E3F96" w:rsidR="006F2AEA" w:rsidRDefault="006F2AEA" w:rsidP="0063506C">
            <w:r>
              <w:t>The Commission has addressed this comment in question 11d on the Information for Petitions form.</w:t>
            </w:r>
          </w:p>
        </w:tc>
      </w:tr>
      <w:tr w:rsidR="006F2AEA" w14:paraId="613EF518" w14:textId="77777777" w:rsidTr="00290365">
        <w:tc>
          <w:tcPr>
            <w:tcW w:w="4788" w:type="dxa"/>
          </w:tcPr>
          <w:p w14:paraId="1C3E9014" w14:textId="77777777" w:rsidR="006F2AEA" w:rsidRDefault="006F2AEA" w:rsidP="008768A7">
            <w:r>
              <w:t>Add a question to the Information for Petitions form: “Provide estimates of the annual duty savings from a duty suspension for the product for full 2015 and 2016 and for the next 5 years.”</w:t>
            </w:r>
          </w:p>
          <w:p w14:paraId="272A1A45" w14:textId="77777777" w:rsidR="006F2AEA" w:rsidRDefault="006F2AEA" w:rsidP="008768A7"/>
          <w:p w14:paraId="4AAA798D" w14:textId="77777777" w:rsidR="006F2AEA" w:rsidRDefault="006F2AEA" w:rsidP="006F2AEA">
            <w:pPr>
              <w:jc w:val="right"/>
            </w:pPr>
          </w:p>
          <w:p w14:paraId="090601AC" w14:textId="77777777" w:rsidR="006F2AEA" w:rsidRDefault="006F2AEA" w:rsidP="006F2AEA">
            <w:pPr>
              <w:jc w:val="right"/>
            </w:pPr>
          </w:p>
          <w:p w14:paraId="467AE918" w14:textId="77777777" w:rsidR="006F2AEA" w:rsidRDefault="006F2AEA" w:rsidP="006F2AEA">
            <w:pPr>
              <w:jc w:val="right"/>
            </w:pPr>
          </w:p>
          <w:p w14:paraId="744D0DBD" w14:textId="77777777" w:rsidR="006F2AEA" w:rsidRDefault="006F2AEA" w:rsidP="006F2AEA">
            <w:pPr>
              <w:jc w:val="right"/>
            </w:pPr>
          </w:p>
          <w:p w14:paraId="4B150B90" w14:textId="77777777" w:rsidR="006F2AEA" w:rsidRDefault="006F2AEA" w:rsidP="006F2AEA">
            <w:pPr>
              <w:jc w:val="right"/>
            </w:pPr>
          </w:p>
          <w:p w14:paraId="6F71C388" w14:textId="153E9C17" w:rsidR="006F2AEA" w:rsidRDefault="006F2AEA" w:rsidP="006F2AEA">
            <w:pPr>
              <w:jc w:val="right"/>
            </w:pPr>
            <w:r>
              <w:t>RPFMA</w:t>
            </w:r>
          </w:p>
        </w:tc>
        <w:tc>
          <w:tcPr>
            <w:tcW w:w="4788" w:type="dxa"/>
          </w:tcPr>
          <w:p w14:paraId="4CB76A0C" w14:textId="77777777" w:rsidR="006F2AEA" w:rsidRDefault="006F2AEA" w:rsidP="008768A7">
            <w:r>
              <w:t>The Commission has chosen not to incorporate this comment at this time for the reasons set forth below.</w:t>
            </w:r>
          </w:p>
          <w:p w14:paraId="336C267A" w14:textId="77777777" w:rsidR="006F2AEA" w:rsidRDefault="006F2AEA" w:rsidP="008768A7"/>
          <w:p w14:paraId="7A671FE1" w14:textId="570CE12C" w:rsidR="006F2AEA" w:rsidRDefault="006F2AEA" w:rsidP="00212C91">
            <w:r>
              <w:t>The Commission is requiring petitioner provide the proposed rate of duty reduction and import data for the period specified in the comment. While the Commission understands the utility of this additional information, the Commission does not need this information in order to conduct its analysis.</w:t>
            </w:r>
          </w:p>
        </w:tc>
      </w:tr>
      <w:tr w:rsidR="006F2AEA" w14:paraId="5D39B6EF" w14:textId="77777777" w:rsidTr="00290365">
        <w:tc>
          <w:tcPr>
            <w:tcW w:w="4788" w:type="dxa"/>
          </w:tcPr>
          <w:p w14:paraId="56D2BA17" w14:textId="77777777" w:rsidR="006F2AEA" w:rsidRDefault="006F2AEA" w:rsidP="008768A7">
            <w:r>
              <w:t>Amend question 4 on the Comment form to clarify that information is sought for both current and past domestic producers.</w:t>
            </w:r>
          </w:p>
          <w:p w14:paraId="7E1D6461" w14:textId="6D39F711" w:rsidR="006F2AEA" w:rsidRDefault="006F2AEA" w:rsidP="00BB2DDE">
            <w:pPr>
              <w:jc w:val="right"/>
            </w:pPr>
            <w:r>
              <w:t>RPFMA</w:t>
            </w:r>
          </w:p>
        </w:tc>
        <w:tc>
          <w:tcPr>
            <w:tcW w:w="4788" w:type="dxa"/>
          </w:tcPr>
          <w:p w14:paraId="48A0D5DF" w14:textId="135B5505" w:rsidR="006F2AEA" w:rsidRDefault="006F2AEA" w:rsidP="00CD0196">
            <w:r>
              <w:t>The Commission has addressed this comment in question 4b on the Information for Comments form.</w:t>
            </w:r>
          </w:p>
        </w:tc>
      </w:tr>
      <w:tr w:rsidR="006F2AEA" w14:paraId="25E84BAF" w14:textId="77777777" w:rsidTr="00290365">
        <w:tc>
          <w:tcPr>
            <w:tcW w:w="4788" w:type="dxa"/>
          </w:tcPr>
          <w:p w14:paraId="79328905" w14:textId="77777777" w:rsidR="006F2AEA" w:rsidRDefault="006F2AEA" w:rsidP="008768A7">
            <w:r>
              <w:t xml:space="preserve">Add questions to the Information for Comments </w:t>
            </w:r>
            <w:proofErr w:type="spellStart"/>
            <w:r>
              <w:t>form</w:t>
            </w:r>
            <w:proofErr w:type="spellEnd"/>
            <w:r>
              <w:t xml:space="preserve"> regarding production of like or directly competitive products</w:t>
            </w:r>
          </w:p>
          <w:p w14:paraId="2C5E8AE9" w14:textId="22BF8CF7" w:rsidR="006F2AEA" w:rsidRDefault="006F2AEA" w:rsidP="00BB2DDE">
            <w:pPr>
              <w:jc w:val="right"/>
            </w:pPr>
            <w:r>
              <w:t>RPFMA</w:t>
            </w:r>
          </w:p>
        </w:tc>
        <w:tc>
          <w:tcPr>
            <w:tcW w:w="4788" w:type="dxa"/>
          </w:tcPr>
          <w:p w14:paraId="4203C6A4" w14:textId="18949D25" w:rsidR="006F2AEA" w:rsidRDefault="006F2AEA" w:rsidP="00BB2DDE">
            <w:r>
              <w:t>The Commission has addressed this comment in question 4a-c on the Information for Comments form.</w:t>
            </w:r>
          </w:p>
        </w:tc>
      </w:tr>
      <w:tr w:rsidR="00FA3E74" w14:paraId="30CA8864" w14:textId="77777777" w:rsidTr="00290365">
        <w:tc>
          <w:tcPr>
            <w:tcW w:w="4788" w:type="dxa"/>
          </w:tcPr>
          <w:p w14:paraId="704E9706" w14:textId="77777777" w:rsidR="006F2AEA" w:rsidRDefault="006F2AEA" w:rsidP="006F2AEA">
            <w:r>
              <w:t>Add a question to the Information for Comments form:  “Are you a domestic wholesaler or retailer of the article?”</w:t>
            </w:r>
          </w:p>
          <w:p w14:paraId="3D81C572" w14:textId="77777777" w:rsidR="006F2AEA" w:rsidRDefault="006F2AEA" w:rsidP="006F2AEA">
            <w:pPr>
              <w:jc w:val="right"/>
            </w:pPr>
          </w:p>
          <w:p w14:paraId="36807038" w14:textId="77777777" w:rsidR="006F2AEA" w:rsidRDefault="006F2AEA" w:rsidP="006F2AEA">
            <w:pPr>
              <w:jc w:val="right"/>
            </w:pPr>
          </w:p>
          <w:p w14:paraId="785DEAF5" w14:textId="77777777" w:rsidR="006F2AEA" w:rsidRDefault="006F2AEA" w:rsidP="006F2AEA">
            <w:pPr>
              <w:jc w:val="right"/>
            </w:pPr>
          </w:p>
          <w:p w14:paraId="460BB84F" w14:textId="77777777" w:rsidR="006F2AEA" w:rsidRDefault="006F2AEA" w:rsidP="006F2AEA">
            <w:pPr>
              <w:jc w:val="right"/>
            </w:pPr>
          </w:p>
          <w:p w14:paraId="445F1FC0" w14:textId="1204A85C" w:rsidR="00FA3E74" w:rsidRDefault="006F2AEA" w:rsidP="006F2AEA">
            <w:pPr>
              <w:jc w:val="right"/>
            </w:pPr>
            <w:r>
              <w:t>RPFMA</w:t>
            </w:r>
          </w:p>
        </w:tc>
        <w:tc>
          <w:tcPr>
            <w:tcW w:w="4788" w:type="dxa"/>
          </w:tcPr>
          <w:p w14:paraId="4DE46AF9" w14:textId="77777777" w:rsidR="006F2AEA" w:rsidRDefault="006F2AEA" w:rsidP="006F2AEA">
            <w:r>
              <w:t>The Commission has chosen not to incorporate this comment at this time for the reasons set forth below.</w:t>
            </w:r>
          </w:p>
          <w:p w14:paraId="4EE8BAC2" w14:textId="77777777" w:rsidR="006F2AEA" w:rsidRDefault="006F2AEA" w:rsidP="006F2AEA"/>
          <w:p w14:paraId="1051E4FD" w14:textId="51517852" w:rsidR="00FA3E74" w:rsidRDefault="006F2AEA" w:rsidP="006F2AEA">
            <w:r>
              <w:t>While the Commission understands the utility of this additional information, the Commission does not need this information in order to conduct its analysis.</w:t>
            </w:r>
          </w:p>
        </w:tc>
      </w:tr>
      <w:tr w:rsidR="006F2AEA" w14:paraId="06C41B7D" w14:textId="77777777" w:rsidTr="00290365">
        <w:tc>
          <w:tcPr>
            <w:tcW w:w="4788" w:type="dxa"/>
          </w:tcPr>
          <w:p w14:paraId="3F352F90" w14:textId="77777777" w:rsidR="006F2AEA" w:rsidRDefault="006F2AEA" w:rsidP="008768A7">
            <w:r>
              <w:t>Indicate that past, current, or future domestic producers may take the position that they do not object to the request.</w:t>
            </w:r>
          </w:p>
          <w:p w14:paraId="44A6B11D" w14:textId="766E8E43" w:rsidR="006F2AEA" w:rsidRDefault="006F2AEA" w:rsidP="008525E3">
            <w:pPr>
              <w:jc w:val="right"/>
            </w:pPr>
            <w:r>
              <w:t>RPFMA</w:t>
            </w:r>
          </w:p>
        </w:tc>
        <w:tc>
          <w:tcPr>
            <w:tcW w:w="4788" w:type="dxa"/>
          </w:tcPr>
          <w:p w14:paraId="49E58FA2" w14:textId="5F6715FC" w:rsidR="006F2AEA" w:rsidRDefault="006F2AEA" w:rsidP="008525E3">
            <w:r>
              <w:t>The Commission has addressed this comment in questions 4 and 6 on the Information for Comments form.</w:t>
            </w:r>
          </w:p>
        </w:tc>
      </w:tr>
      <w:tr w:rsidR="005D26C5" w14:paraId="702F5D49" w14:textId="77777777" w:rsidTr="00290365">
        <w:tc>
          <w:tcPr>
            <w:tcW w:w="4788" w:type="dxa"/>
          </w:tcPr>
          <w:p w14:paraId="364A73E0" w14:textId="77777777" w:rsidR="005D26C5" w:rsidRDefault="005D26C5" w:rsidP="008768A7">
            <w:r w:rsidRPr="008525E3">
              <w:lastRenderedPageBreak/>
              <w:t>Instead of requiring petitioners to supply contact information for other U.S. importers or beneficiaries, the Commission should ask petitioners to provide</w:t>
            </w:r>
            <w:r>
              <w:t xml:space="preserve"> such information “if possible”</w:t>
            </w:r>
          </w:p>
          <w:p w14:paraId="614C2EC4" w14:textId="77777777" w:rsidR="005D26C5" w:rsidRDefault="005D26C5" w:rsidP="008768A7"/>
          <w:p w14:paraId="42AAFF9A" w14:textId="77777777" w:rsidR="005D26C5" w:rsidRDefault="005D26C5" w:rsidP="008768A7">
            <w:pPr>
              <w:jc w:val="right"/>
            </w:pPr>
          </w:p>
          <w:p w14:paraId="7F9B5D95" w14:textId="77777777" w:rsidR="005D26C5" w:rsidRDefault="005D26C5" w:rsidP="008768A7">
            <w:pPr>
              <w:jc w:val="right"/>
            </w:pPr>
          </w:p>
          <w:p w14:paraId="351C8E17" w14:textId="77777777" w:rsidR="005D26C5" w:rsidRDefault="005D26C5" w:rsidP="008768A7">
            <w:pPr>
              <w:jc w:val="right"/>
            </w:pPr>
            <w:r>
              <w:t>IBC</w:t>
            </w:r>
          </w:p>
          <w:p w14:paraId="2383C559" w14:textId="77777777" w:rsidR="005D26C5" w:rsidRDefault="005D26C5" w:rsidP="008768A7">
            <w:pPr>
              <w:jc w:val="right"/>
            </w:pPr>
            <w:r>
              <w:t>Valent U.S.A. Corporation</w:t>
            </w:r>
          </w:p>
          <w:p w14:paraId="3DE9948B" w14:textId="1136BBA1" w:rsidR="005D26C5" w:rsidRDefault="005D26C5" w:rsidP="00517257">
            <w:pPr>
              <w:jc w:val="right"/>
            </w:pPr>
            <w:proofErr w:type="spellStart"/>
            <w:r w:rsidRPr="00D71550">
              <w:t>Firmenich</w:t>
            </w:r>
            <w:proofErr w:type="spellEnd"/>
            <w:r w:rsidRPr="00D71550">
              <w:t xml:space="preserve"> Corporation</w:t>
            </w:r>
          </w:p>
        </w:tc>
        <w:tc>
          <w:tcPr>
            <w:tcW w:w="4788" w:type="dxa"/>
          </w:tcPr>
          <w:p w14:paraId="3E7A1632" w14:textId="77777777" w:rsidR="005D26C5" w:rsidRDefault="005D26C5" w:rsidP="008768A7">
            <w:r>
              <w:t>The Commission has chosen not to incorporate this comment at this time for the reasons set forth below.</w:t>
            </w:r>
          </w:p>
          <w:p w14:paraId="6CB24657" w14:textId="77777777" w:rsidR="005D26C5" w:rsidRDefault="005D26C5" w:rsidP="008768A7"/>
          <w:p w14:paraId="44F46E11" w14:textId="0E417111" w:rsidR="005D26C5" w:rsidRDefault="005D26C5" w:rsidP="008525E3">
            <w:r>
              <w:t>Sec. 7(3</w:t>
            </w:r>
            <w:proofErr w:type="gramStart"/>
            <w:r>
              <w:t>)(</w:t>
            </w:r>
            <w:proofErr w:type="gramEnd"/>
            <w:r>
              <w:t>A) of the Act requires petitioners submit “The contact information for any known importers of the article to which the proposed duty suspension or reduction would apply.”  The Commission feels question 12c on the Information for Petitions form addresses what is required by the legislation.</w:t>
            </w:r>
          </w:p>
        </w:tc>
      </w:tr>
      <w:tr w:rsidR="005D26C5" w14:paraId="15F9E2C9" w14:textId="77777777" w:rsidTr="00290365">
        <w:tc>
          <w:tcPr>
            <w:tcW w:w="4788" w:type="dxa"/>
          </w:tcPr>
          <w:p w14:paraId="56AB5980" w14:textId="77777777" w:rsidR="005D26C5" w:rsidRPr="005D26C5" w:rsidRDefault="005D26C5" w:rsidP="008768A7">
            <w:r w:rsidRPr="005D26C5">
              <w:t>The ITC should create a standard that objecting companies must meet to show domestic production.  Instead of accepting claims of planned production at face value, the Commission should require companies to submit information showing substantial planning and investment sufficient to establish the likelihood of domestic production of the article during the period covered by the duty suspension petition.</w:t>
            </w:r>
          </w:p>
          <w:p w14:paraId="06955ED7" w14:textId="77777777" w:rsidR="005D26C5" w:rsidRPr="005D26C5" w:rsidRDefault="005D26C5" w:rsidP="008768A7"/>
          <w:p w14:paraId="2B6421B1" w14:textId="77777777" w:rsidR="005D26C5" w:rsidRPr="005D26C5" w:rsidRDefault="005D26C5" w:rsidP="008768A7">
            <w:pPr>
              <w:jc w:val="right"/>
            </w:pPr>
            <w:r w:rsidRPr="005D26C5">
              <w:t>IBC</w:t>
            </w:r>
          </w:p>
          <w:p w14:paraId="7082902F" w14:textId="3B6D56FF" w:rsidR="005D26C5" w:rsidRPr="005D26C5" w:rsidRDefault="005D26C5" w:rsidP="00517257">
            <w:pPr>
              <w:jc w:val="right"/>
            </w:pPr>
            <w:r w:rsidRPr="005D26C5">
              <w:t>Valent U.S.A. Corporation</w:t>
            </w:r>
          </w:p>
        </w:tc>
        <w:tc>
          <w:tcPr>
            <w:tcW w:w="4788" w:type="dxa"/>
          </w:tcPr>
          <w:p w14:paraId="35BC4A79" w14:textId="77777777" w:rsidR="005D26C5" w:rsidRPr="005D26C5" w:rsidRDefault="005D26C5" w:rsidP="008768A7">
            <w:r w:rsidRPr="005D26C5">
              <w:t>The Commission has chosen not to incorporate this comment at this time.</w:t>
            </w:r>
          </w:p>
          <w:p w14:paraId="1381CD04" w14:textId="77777777" w:rsidR="005D26C5" w:rsidRPr="005D26C5" w:rsidRDefault="005D26C5" w:rsidP="008768A7"/>
          <w:p w14:paraId="5BE25C40" w14:textId="75A2C9BF" w:rsidR="005D26C5" w:rsidRPr="005D26C5" w:rsidRDefault="005D26C5" w:rsidP="008525E3">
            <w:r w:rsidRPr="005D26C5">
              <w:t>The Commission notes that Sec. 7(5) of the Act defines the term “domestic production” and provides, in part, that the production be that “for which a domestic producer has demonstrated production, or imminent production, in the United States.”</w:t>
            </w:r>
          </w:p>
        </w:tc>
      </w:tr>
      <w:tr w:rsidR="005D26C5" w14:paraId="4C6F2D1E" w14:textId="77777777" w:rsidTr="00290365">
        <w:tc>
          <w:tcPr>
            <w:tcW w:w="4788" w:type="dxa"/>
          </w:tcPr>
          <w:p w14:paraId="433E8143" w14:textId="77777777" w:rsidR="005D26C5" w:rsidRPr="005D26C5" w:rsidRDefault="005D26C5" w:rsidP="008768A7">
            <w:r w:rsidRPr="005D26C5">
              <w:t>To prevent the inclusion of “use” descriptions in proposed Ch. 99 duty suspension or reduction provisions, we propose that the question regarding article descriptions be revised to state: “A precise physical description of the article, without reference to the article’s use, for the proposed duty suspension or reduction to be included in the amendment to subchapter II of chapter 99 of the HTS.”</w:t>
            </w:r>
          </w:p>
          <w:p w14:paraId="4FF1BD82" w14:textId="77777777" w:rsidR="005D26C5" w:rsidRPr="005D26C5" w:rsidRDefault="005D26C5" w:rsidP="008768A7"/>
          <w:p w14:paraId="28EEE6C2" w14:textId="07FFF9B9" w:rsidR="005D26C5" w:rsidRPr="005D26C5" w:rsidRDefault="005D26C5" w:rsidP="00EA69AB">
            <w:pPr>
              <w:jc w:val="right"/>
              <w:rPr>
                <w:sz w:val="23"/>
                <w:szCs w:val="23"/>
              </w:rPr>
            </w:pPr>
            <w:r w:rsidRPr="005D26C5">
              <w:t>CBP</w:t>
            </w:r>
          </w:p>
        </w:tc>
        <w:tc>
          <w:tcPr>
            <w:tcW w:w="4788" w:type="dxa"/>
          </w:tcPr>
          <w:p w14:paraId="3E95F694" w14:textId="77777777" w:rsidR="005D26C5" w:rsidRDefault="005D26C5" w:rsidP="008525E3">
            <w:r w:rsidRPr="005D26C5">
              <w:t xml:space="preserve">The Commission has incorporated this comment.  </w:t>
            </w:r>
          </w:p>
          <w:p w14:paraId="0AE283E9" w14:textId="77777777" w:rsidR="005D26C5" w:rsidRDefault="005D26C5" w:rsidP="008525E3"/>
          <w:p w14:paraId="70176449" w14:textId="1A214F0E" w:rsidR="005D26C5" w:rsidRPr="005D26C5" w:rsidRDefault="005D26C5" w:rsidP="008525E3">
            <w:r w:rsidRPr="005D26C5">
              <w:t>Please see question 6 on the Information for Petitions form.</w:t>
            </w:r>
          </w:p>
        </w:tc>
      </w:tr>
      <w:tr w:rsidR="003C5F01" w14:paraId="416D0317" w14:textId="77777777" w:rsidTr="00290365">
        <w:tc>
          <w:tcPr>
            <w:tcW w:w="4788" w:type="dxa"/>
          </w:tcPr>
          <w:p w14:paraId="6CEFE1CF" w14:textId="77777777" w:rsidR="003C5F01" w:rsidRPr="003C5F01" w:rsidRDefault="003C5F01" w:rsidP="008768A7">
            <w:r w:rsidRPr="003C5F01">
              <w:t xml:space="preserve">Add specific language to the questions on the Comments </w:t>
            </w:r>
            <w:proofErr w:type="spellStart"/>
            <w:r w:rsidRPr="003C5F01">
              <w:t>form</w:t>
            </w:r>
            <w:proofErr w:type="spellEnd"/>
            <w:r w:rsidRPr="003C5F01">
              <w:t xml:space="preserve"> addressing:</w:t>
            </w:r>
          </w:p>
          <w:p w14:paraId="49B6A0AF" w14:textId="77777777" w:rsidR="003C5F01" w:rsidRPr="003C5F01" w:rsidRDefault="003C5F01" w:rsidP="003C5F01">
            <w:pPr>
              <w:pStyle w:val="ListParagraph"/>
              <w:numPr>
                <w:ilvl w:val="0"/>
                <w:numId w:val="12"/>
              </w:numPr>
            </w:pPr>
            <w:r w:rsidRPr="003C5F01">
              <w:t>Intermediate goods</w:t>
            </w:r>
          </w:p>
          <w:p w14:paraId="7E3F355C" w14:textId="77777777" w:rsidR="003C5F01" w:rsidRPr="003C5F01" w:rsidRDefault="003C5F01" w:rsidP="003C5F01">
            <w:pPr>
              <w:pStyle w:val="ListParagraph"/>
              <w:numPr>
                <w:ilvl w:val="0"/>
                <w:numId w:val="12"/>
              </w:numPr>
            </w:pPr>
            <w:r w:rsidRPr="003C5F01">
              <w:t>Past production</w:t>
            </w:r>
          </w:p>
          <w:p w14:paraId="59EEF7D1" w14:textId="77777777" w:rsidR="003C5F01" w:rsidRPr="003C5F01" w:rsidRDefault="003C5F01" w:rsidP="003C5F01">
            <w:pPr>
              <w:pStyle w:val="ListParagraph"/>
              <w:numPr>
                <w:ilvl w:val="0"/>
                <w:numId w:val="12"/>
              </w:numPr>
            </w:pPr>
            <w:r w:rsidRPr="003C5F01">
              <w:t>Inventory</w:t>
            </w:r>
          </w:p>
          <w:p w14:paraId="3FA5EE42" w14:textId="77777777" w:rsidR="003C5F01" w:rsidRPr="003C5F01" w:rsidRDefault="003C5F01" w:rsidP="003C5F01">
            <w:pPr>
              <w:pStyle w:val="ListParagraph"/>
              <w:numPr>
                <w:ilvl w:val="0"/>
                <w:numId w:val="12"/>
              </w:numPr>
            </w:pPr>
            <w:r w:rsidRPr="003C5F01">
              <w:t>Production capacity</w:t>
            </w:r>
          </w:p>
          <w:p w14:paraId="5BB231F1" w14:textId="77777777" w:rsidR="003C5F01" w:rsidRPr="003C5F01" w:rsidRDefault="003C5F01" w:rsidP="003C5F01">
            <w:pPr>
              <w:pStyle w:val="ListParagraph"/>
              <w:numPr>
                <w:ilvl w:val="0"/>
                <w:numId w:val="12"/>
              </w:numPr>
            </w:pPr>
            <w:r w:rsidRPr="003C5F01">
              <w:t>Manufacturing limitations</w:t>
            </w:r>
          </w:p>
          <w:p w14:paraId="5E32CDD4" w14:textId="77777777" w:rsidR="003C5F01" w:rsidRPr="003C5F01" w:rsidRDefault="003C5F01" w:rsidP="003C5F01">
            <w:pPr>
              <w:pStyle w:val="ListParagraph"/>
              <w:numPr>
                <w:ilvl w:val="0"/>
                <w:numId w:val="12"/>
              </w:numPr>
            </w:pPr>
            <w:r w:rsidRPr="003C5F01">
              <w:t>Exclusive supply contracts and internal production</w:t>
            </w:r>
          </w:p>
          <w:p w14:paraId="5E0F31B4" w14:textId="77777777" w:rsidR="003C5F01" w:rsidRPr="003C5F01" w:rsidRDefault="003C5F01" w:rsidP="008768A7">
            <w:pPr>
              <w:pStyle w:val="ListParagraph"/>
            </w:pPr>
          </w:p>
          <w:p w14:paraId="772092AD" w14:textId="07F2B19E" w:rsidR="003C5F01" w:rsidRPr="003C5F01" w:rsidRDefault="003C5F01" w:rsidP="00E73C90">
            <w:pPr>
              <w:jc w:val="right"/>
              <w:rPr>
                <w:sz w:val="23"/>
                <w:szCs w:val="23"/>
              </w:rPr>
            </w:pPr>
            <w:r w:rsidRPr="003C5F01">
              <w:t>Unilever</w:t>
            </w:r>
          </w:p>
        </w:tc>
        <w:tc>
          <w:tcPr>
            <w:tcW w:w="4788" w:type="dxa"/>
          </w:tcPr>
          <w:p w14:paraId="5DC9F30E" w14:textId="77777777" w:rsidR="003C5F01" w:rsidRPr="003C5F01" w:rsidRDefault="003C5F01" w:rsidP="008768A7">
            <w:r w:rsidRPr="003C5F01">
              <w:t>The Commission has chosen not to incorporate this comment at this time.</w:t>
            </w:r>
          </w:p>
          <w:p w14:paraId="277E5653" w14:textId="77777777" w:rsidR="003C5F01" w:rsidRPr="003C5F01" w:rsidRDefault="003C5F01" w:rsidP="008768A7"/>
          <w:p w14:paraId="37A7F4F4" w14:textId="34C279C2" w:rsidR="003C5F01" w:rsidRPr="003C5F01" w:rsidRDefault="003C5F01" w:rsidP="008525E3">
            <w:r w:rsidRPr="003C5F01">
              <w:t>The Commission may choose to address the concerns raised in this comment in help and support documentation that will accompany the portal.</w:t>
            </w:r>
          </w:p>
        </w:tc>
      </w:tr>
      <w:tr w:rsidR="006E5E81" w14:paraId="67401258" w14:textId="77777777" w:rsidTr="00290365">
        <w:tc>
          <w:tcPr>
            <w:tcW w:w="4788" w:type="dxa"/>
          </w:tcPr>
          <w:p w14:paraId="6F295998" w14:textId="77777777" w:rsidR="006E5E81" w:rsidRPr="006E5E81" w:rsidRDefault="006E5E81" w:rsidP="008768A7">
            <w:r w:rsidRPr="006E5E81">
              <w:t xml:space="preserve">Amend the question regarding other beneficiaries to include “industry/trade association information, in case a larger group of users is known for use of </w:t>
            </w:r>
            <w:r w:rsidRPr="006E5E81">
              <w:lastRenderedPageBreak/>
              <w:t>the product.”</w:t>
            </w:r>
          </w:p>
          <w:p w14:paraId="205F0B6A" w14:textId="77777777" w:rsidR="006E5E81" w:rsidRPr="006E5E81" w:rsidRDefault="006E5E81" w:rsidP="008768A7"/>
          <w:p w14:paraId="7945AA43" w14:textId="77777777" w:rsidR="006E5E81" w:rsidRPr="006E5E81" w:rsidRDefault="006E5E81" w:rsidP="008768A7">
            <w:pPr>
              <w:jc w:val="right"/>
            </w:pPr>
          </w:p>
          <w:p w14:paraId="00A1B47F" w14:textId="77777777" w:rsidR="006E5E81" w:rsidRPr="006E5E81" w:rsidRDefault="006E5E81" w:rsidP="008768A7">
            <w:pPr>
              <w:jc w:val="right"/>
            </w:pPr>
          </w:p>
          <w:p w14:paraId="56960BD5" w14:textId="77777777" w:rsidR="006E5E81" w:rsidRPr="006E5E81" w:rsidRDefault="006E5E81" w:rsidP="008768A7">
            <w:pPr>
              <w:jc w:val="right"/>
            </w:pPr>
          </w:p>
          <w:p w14:paraId="5550BDD9" w14:textId="77777777" w:rsidR="006E5E81" w:rsidRPr="006E5E81" w:rsidRDefault="006E5E81" w:rsidP="008768A7">
            <w:pPr>
              <w:jc w:val="right"/>
            </w:pPr>
          </w:p>
          <w:p w14:paraId="1590207A" w14:textId="77777777" w:rsidR="006E5E81" w:rsidRPr="006E5E81" w:rsidRDefault="006E5E81" w:rsidP="008768A7">
            <w:pPr>
              <w:jc w:val="right"/>
            </w:pPr>
          </w:p>
          <w:p w14:paraId="448743F5" w14:textId="77777777" w:rsidR="006E5E81" w:rsidRDefault="006E5E81" w:rsidP="00E73C90">
            <w:pPr>
              <w:jc w:val="right"/>
            </w:pPr>
          </w:p>
          <w:p w14:paraId="1446F748" w14:textId="77777777" w:rsidR="006E5E81" w:rsidRDefault="006E5E81" w:rsidP="00E73C90">
            <w:pPr>
              <w:jc w:val="right"/>
            </w:pPr>
          </w:p>
          <w:p w14:paraId="662786D1" w14:textId="553A9859" w:rsidR="006E5E81" w:rsidRPr="006E5E81" w:rsidRDefault="006E5E81" w:rsidP="00E73C90">
            <w:pPr>
              <w:jc w:val="right"/>
              <w:rPr>
                <w:sz w:val="23"/>
                <w:szCs w:val="23"/>
              </w:rPr>
            </w:pPr>
            <w:r w:rsidRPr="006E5E81">
              <w:t>Unilever</w:t>
            </w:r>
          </w:p>
        </w:tc>
        <w:tc>
          <w:tcPr>
            <w:tcW w:w="4788" w:type="dxa"/>
          </w:tcPr>
          <w:p w14:paraId="6DBF8539" w14:textId="77777777" w:rsidR="006E5E81" w:rsidRPr="006E5E81" w:rsidRDefault="006E5E81" w:rsidP="008768A7">
            <w:r w:rsidRPr="006E5E81">
              <w:lastRenderedPageBreak/>
              <w:t>The Commission has chosen not to incorporate this comment at this time for the reasons set forth below.</w:t>
            </w:r>
          </w:p>
          <w:p w14:paraId="6766DC22" w14:textId="77777777" w:rsidR="006E5E81" w:rsidRPr="006E5E81" w:rsidRDefault="006E5E81" w:rsidP="008768A7"/>
          <w:p w14:paraId="156BE515" w14:textId="7017F950" w:rsidR="006E5E81" w:rsidRPr="006E5E81" w:rsidRDefault="006E5E81" w:rsidP="008525E3">
            <w:r w:rsidRPr="006E5E81">
              <w:t>While the Commission recognizes that some products may have a large number of beneficiaries, Section 3(C</w:t>
            </w:r>
            <w:proofErr w:type="gramStart"/>
            <w:r w:rsidRPr="006E5E81">
              <w:t>)(</w:t>
            </w:r>
            <w:proofErr w:type="gramEnd"/>
            <w:r w:rsidRPr="006E5E81">
              <w:t>V) of the Act requires the Commission to provide in its report to Congress “The likely beneficiaries of each duty suspension or reduction, including whether the petitioner is a likely beneficiary.” Providing the name of trade associations in place of likely beneficiaries will not help the Commission address this requirement.</w:t>
            </w:r>
          </w:p>
        </w:tc>
      </w:tr>
      <w:tr w:rsidR="006E5E81" w14:paraId="0A279CB2" w14:textId="77777777" w:rsidTr="00290365">
        <w:tc>
          <w:tcPr>
            <w:tcW w:w="4788" w:type="dxa"/>
          </w:tcPr>
          <w:p w14:paraId="704187DC" w14:textId="77777777" w:rsidR="006E5E81" w:rsidRPr="006E5E81" w:rsidRDefault="006E5E81" w:rsidP="008768A7">
            <w:r w:rsidRPr="006E5E81">
              <w:lastRenderedPageBreak/>
              <w:t>Amend the question regarding like or directly competitive products to require an explanation as to why domestically produced products are not like or directly competitive.</w:t>
            </w:r>
          </w:p>
          <w:p w14:paraId="1D05F75D" w14:textId="77777777" w:rsidR="006E5E81" w:rsidRPr="006E5E81" w:rsidRDefault="006E5E81" w:rsidP="008768A7"/>
          <w:p w14:paraId="1D49EF7D" w14:textId="08EF68C1" w:rsidR="006E5E81" w:rsidRPr="006E5E81" w:rsidRDefault="006E5E81" w:rsidP="00E73C90">
            <w:pPr>
              <w:jc w:val="right"/>
              <w:rPr>
                <w:sz w:val="23"/>
                <w:szCs w:val="23"/>
              </w:rPr>
            </w:pPr>
            <w:r w:rsidRPr="006E5E81">
              <w:t>Unilever</w:t>
            </w:r>
          </w:p>
        </w:tc>
        <w:tc>
          <w:tcPr>
            <w:tcW w:w="4788" w:type="dxa"/>
          </w:tcPr>
          <w:p w14:paraId="236BB17A" w14:textId="77777777" w:rsidR="006E5E81" w:rsidRPr="006E5E81" w:rsidRDefault="006E5E81" w:rsidP="008768A7">
            <w:r w:rsidRPr="006E5E81">
              <w:t xml:space="preserve">The Commission has incorporated this comment.  </w:t>
            </w:r>
          </w:p>
          <w:p w14:paraId="75844A84" w14:textId="77777777" w:rsidR="006E5E81" w:rsidRPr="006E5E81" w:rsidRDefault="006E5E81" w:rsidP="008768A7"/>
          <w:p w14:paraId="3875616E" w14:textId="6F2BA8CE" w:rsidR="006E5E81" w:rsidRPr="006E5E81" w:rsidRDefault="006E5E81" w:rsidP="008525E3">
            <w:r w:rsidRPr="006E5E81">
              <w:t>Please see question 13b on the Information for Petitions form.</w:t>
            </w:r>
          </w:p>
        </w:tc>
      </w:tr>
      <w:tr w:rsidR="006E5E81" w14:paraId="21A5F90D" w14:textId="77777777" w:rsidTr="00290365">
        <w:tc>
          <w:tcPr>
            <w:tcW w:w="4788" w:type="dxa"/>
          </w:tcPr>
          <w:p w14:paraId="1686D14D" w14:textId="77777777" w:rsidR="006E5E81" w:rsidRDefault="006E5E81" w:rsidP="008768A7">
            <w:r>
              <w:t>Clarify the question regarding independent representation.</w:t>
            </w:r>
          </w:p>
          <w:p w14:paraId="4D183C22" w14:textId="77777777" w:rsidR="006E5E81" w:rsidRDefault="006E5E81" w:rsidP="008768A7"/>
          <w:p w14:paraId="35C7B0EE" w14:textId="77777777" w:rsidR="006E5E81" w:rsidRDefault="006E5E81" w:rsidP="008768A7">
            <w:pPr>
              <w:jc w:val="right"/>
            </w:pPr>
          </w:p>
          <w:p w14:paraId="48DB665D" w14:textId="77777777" w:rsidR="006E5E81" w:rsidRDefault="006E5E81" w:rsidP="008768A7">
            <w:pPr>
              <w:jc w:val="right"/>
            </w:pPr>
          </w:p>
          <w:p w14:paraId="182BF130" w14:textId="23F2D7B3" w:rsidR="006E5E81" w:rsidRDefault="006E5E81" w:rsidP="00FA3E74">
            <w:pPr>
              <w:jc w:val="right"/>
              <w:rPr>
                <w:sz w:val="23"/>
                <w:szCs w:val="23"/>
              </w:rPr>
            </w:pPr>
            <w:r>
              <w:t>Outdoor Industry Association</w:t>
            </w:r>
          </w:p>
        </w:tc>
        <w:tc>
          <w:tcPr>
            <w:tcW w:w="4788" w:type="dxa"/>
          </w:tcPr>
          <w:p w14:paraId="54D24329" w14:textId="77777777" w:rsidR="006E5E81" w:rsidRDefault="006E5E81" w:rsidP="008768A7">
            <w:r>
              <w:t>The Commission has chosen not to incorporate this comment at this time for the reasons set forth below.</w:t>
            </w:r>
          </w:p>
          <w:p w14:paraId="216765FF" w14:textId="77777777" w:rsidR="006E5E81" w:rsidRDefault="006E5E81" w:rsidP="008768A7"/>
          <w:p w14:paraId="68D07F06" w14:textId="16C0A2E8" w:rsidR="006E5E81" w:rsidRDefault="006E5E81" w:rsidP="008525E3">
            <w:r>
              <w:t>The Commission intends to provide help and support documentation that will define this term.</w:t>
            </w:r>
          </w:p>
        </w:tc>
      </w:tr>
      <w:tr w:rsidR="006E5E81" w14:paraId="0A1C00D1" w14:textId="77777777" w:rsidTr="00290365">
        <w:tc>
          <w:tcPr>
            <w:tcW w:w="4788" w:type="dxa"/>
          </w:tcPr>
          <w:p w14:paraId="684C5BEB" w14:textId="77777777" w:rsidR="006E5E81" w:rsidRDefault="006E5E81" w:rsidP="008768A7">
            <w:r>
              <w:t>Define “commercially available” and require domestic opposition provide proof of production capacity including quality, price and volumes.</w:t>
            </w:r>
          </w:p>
          <w:p w14:paraId="546F3D22" w14:textId="77777777" w:rsidR="006E5E81" w:rsidRDefault="006E5E81" w:rsidP="008768A7"/>
          <w:p w14:paraId="4A89175E" w14:textId="77777777" w:rsidR="006E5E81" w:rsidRDefault="006E5E81" w:rsidP="008768A7"/>
          <w:p w14:paraId="28AC65FB" w14:textId="08525F12" w:rsidR="006E5E81" w:rsidRDefault="006E5E81" w:rsidP="00FA3E74">
            <w:pPr>
              <w:jc w:val="right"/>
            </w:pPr>
            <w:r>
              <w:t>Outdoor Industry Association</w:t>
            </w:r>
          </w:p>
        </w:tc>
        <w:tc>
          <w:tcPr>
            <w:tcW w:w="4788" w:type="dxa"/>
          </w:tcPr>
          <w:p w14:paraId="4CBAB11E" w14:textId="77777777" w:rsidR="006E5E81" w:rsidRPr="006E5E81" w:rsidRDefault="006E5E81" w:rsidP="008768A7">
            <w:r w:rsidRPr="006E5E81">
              <w:t>The Commission has chosen not to incorporate this comment at this time.</w:t>
            </w:r>
          </w:p>
          <w:p w14:paraId="3129AEF4" w14:textId="77777777" w:rsidR="006E5E81" w:rsidRPr="006E5E81" w:rsidRDefault="006E5E81" w:rsidP="008768A7"/>
          <w:p w14:paraId="78D12241" w14:textId="2729A56D" w:rsidR="006E5E81" w:rsidRPr="006E5E81" w:rsidRDefault="006E5E81" w:rsidP="008525E3">
            <w:r w:rsidRPr="006E5E81">
              <w:t>The Commission may choose to provide additional guidance in help and support documentation that will accompany the portal.</w:t>
            </w:r>
          </w:p>
        </w:tc>
      </w:tr>
    </w:tbl>
    <w:p w14:paraId="7E118C77" w14:textId="77777777" w:rsidR="00B84D2E" w:rsidRDefault="00B84D2E" w:rsidP="00410826">
      <w:pPr>
        <w:pStyle w:val="NoSpacing"/>
        <w:rPr>
          <w:sz w:val="22"/>
          <w:szCs w:val="22"/>
          <w:highlight w:val="white"/>
        </w:rPr>
      </w:pPr>
    </w:p>
    <w:p w14:paraId="6C8E183A" w14:textId="77777777" w:rsidR="00C95584" w:rsidRDefault="00C95584" w:rsidP="00084374">
      <w:pPr>
        <w:pStyle w:val="NoSpacing"/>
        <w:rPr>
          <w:sz w:val="24"/>
          <w:szCs w:val="24"/>
          <w:highlight w:val="white"/>
        </w:rPr>
      </w:pPr>
    </w:p>
    <w:p w14:paraId="22446A2D" w14:textId="77777777" w:rsidR="00410826" w:rsidRPr="00410826" w:rsidRDefault="00AF35D2" w:rsidP="00410826">
      <w:pPr>
        <w:pStyle w:val="NoSpacing"/>
        <w:numPr>
          <w:ilvl w:val="0"/>
          <w:numId w:val="8"/>
        </w:numPr>
        <w:rPr>
          <w:b/>
          <w:sz w:val="22"/>
          <w:szCs w:val="22"/>
          <w:highlight w:val="white"/>
        </w:rPr>
      </w:pPr>
      <w:r w:rsidRPr="00D54C3E">
        <w:rPr>
          <w:b/>
          <w:bCs/>
          <w:sz w:val="22"/>
          <w:szCs w:val="22"/>
          <w:highlight w:val="white"/>
        </w:rPr>
        <w:t>Payments or gifts</w:t>
      </w:r>
    </w:p>
    <w:p w14:paraId="35A9F2A0" w14:textId="77777777" w:rsidR="00AF35D2" w:rsidRPr="00050834" w:rsidRDefault="00AF35D2" w:rsidP="00064AEC">
      <w:pPr>
        <w:pStyle w:val="NoSpacing"/>
        <w:rPr>
          <w:sz w:val="22"/>
          <w:szCs w:val="22"/>
        </w:rPr>
      </w:pPr>
      <w:r w:rsidRPr="00050834">
        <w:rPr>
          <w:sz w:val="22"/>
          <w:szCs w:val="22"/>
        </w:rPr>
        <w:t xml:space="preserve">Not applicable. </w:t>
      </w:r>
      <w:r w:rsidR="00B86488" w:rsidRPr="00050834">
        <w:rPr>
          <w:sz w:val="22"/>
          <w:szCs w:val="22"/>
        </w:rPr>
        <w:t xml:space="preserve">Participants </w:t>
      </w:r>
      <w:r w:rsidRPr="00050834">
        <w:rPr>
          <w:sz w:val="22"/>
          <w:szCs w:val="22"/>
        </w:rPr>
        <w:t>will not be provided with any payments or gifts for their responses.</w:t>
      </w:r>
    </w:p>
    <w:p w14:paraId="53CDB964" w14:textId="77777777" w:rsidR="00AF35D2" w:rsidRPr="00050834" w:rsidRDefault="00AF35D2" w:rsidP="00064AEC">
      <w:pPr>
        <w:pStyle w:val="NoSpacing"/>
        <w:rPr>
          <w:sz w:val="22"/>
          <w:szCs w:val="22"/>
        </w:rPr>
      </w:pPr>
    </w:p>
    <w:p w14:paraId="164E264B" w14:textId="77777777" w:rsidR="00AF35D2" w:rsidRPr="00050834" w:rsidRDefault="00AF35D2" w:rsidP="00064AEC">
      <w:pPr>
        <w:pStyle w:val="NoSpacing"/>
        <w:numPr>
          <w:ilvl w:val="0"/>
          <w:numId w:val="8"/>
        </w:numPr>
        <w:rPr>
          <w:b/>
          <w:sz w:val="22"/>
          <w:szCs w:val="22"/>
        </w:rPr>
      </w:pPr>
      <w:r w:rsidRPr="00050834">
        <w:rPr>
          <w:b/>
          <w:bCs/>
          <w:sz w:val="22"/>
          <w:szCs w:val="22"/>
        </w:rPr>
        <w:t>Assurances of confidentiality</w:t>
      </w:r>
    </w:p>
    <w:p w14:paraId="36A47BF2" w14:textId="6B84C213" w:rsidR="00381E8C" w:rsidRPr="00DC1332" w:rsidRDefault="00944E54" w:rsidP="00381E8C">
      <w:pPr>
        <w:rPr>
          <w:rFonts w:eastAsia="Times New Roman"/>
          <w:sz w:val="22"/>
        </w:rPr>
      </w:pPr>
      <w:r w:rsidRPr="00050834">
        <w:rPr>
          <w:rFonts w:eastAsia="Times New Roman"/>
          <w:sz w:val="22"/>
        </w:rPr>
        <w:t xml:space="preserve">After a user logs into the portal, </w:t>
      </w:r>
      <w:r w:rsidR="008D0256">
        <w:rPr>
          <w:rFonts w:eastAsia="Times New Roman"/>
          <w:sz w:val="22"/>
        </w:rPr>
        <w:t>he/</w:t>
      </w:r>
      <w:r w:rsidRPr="00050834">
        <w:rPr>
          <w:rFonts w:eastAsia="Times New Roman"/>
          <w:sz w:val="22"/>
        </w:rPr>
        <w:t>she must acknowledge and accept the confidentiality provisions.  These provisions</w:t>
      </w:r>
      <w:r w:rsidR="00381E8C" w:rsidRPr="00050834">
        <w:rPr>
          <w:rFonts w:eastAsia="Times New Roman"/>
          <w:sz w:val="22"/>
        </w:rPr>
        <w:t xml:space="preserve"> provide an assurance of confidentiality, indicating that</w:t>
      </w:r>
      <w:r w:rsidR="0057563B" w:rsidRPr="0057563B">
        <w:t xml:space="preserve"> </w:t>
      </w:r>
      <w:r w:rsidR="0057563B">
        <w:t>t</w:t>
      </w:r>
      <w:r w:rsidR="0057563B" w:rsidRPr="0057563B">
        <w:rPr>
          <w:rFonts w:eastAsia="Times New Roman"/>
          <w:sz w:val="22"/>
        </w:rPr>
        <w:t>he Commission will not release information which the Commission considers to be confidential business information unless the party submitting the confidential business information had notice, at the time of submission, that such information would be released by the Commission, or such party subsequently consents to the release of the information</w:t>
      </w:r>
      <w:r w:rsidR="0057563B">
        <w:rPr>
          <w:rFonts w:eastAsia="Times New Roman"/>
          <w:sz w:val="22"/>
        </w:rPr>
        <w:t xml:space="preserve">.  The user will be provided notice, at the time of submission, that </w:t>
      </w:r>
      <w:r w:rsidR="0057563B">
        <w:rPr>
          <w:sz w:val="22"/>
          <w:szCs w:val="22"/>
        </w:rPr>
        <w:t>the Commission will share the petition information, including confidential business information, with staff at the Department of Commerce (DOC)</w:t>
      </w:r>
      <w:r w:rsidR="002E4252">
        <w:rPr>
          <w:sz w:val="22"/>
          <w:szCs w:val="22"/>
        </w:rPr>
        <w:t xml:space="preserve"> and U.S Customs and Border Protection (CBP)</w:t>
      </w:r>
      <w:r w:rsidR="0057563B">
        <w:rPr>
          <w:sz w:val="22"/>
          <w:szCs w:val="22"/>
        </w:rPr>
        <w:t xml:space="preserve"> </w:t>
      </w:r>
      <w:r w:rsidR="008D0256">
        <w:rPr>
          <w:sz w:val="22"/>
          <w:szCs w:val="22"/>
        </w:rPr>
        <w:t xml:space="preserve">who </w:t>
      </w:r>
      <w:r w:rsidR="0057563B">
        <w:rPr>
          <w:sz w:val="22"/>
          <w:szCs w:val="22"/>
        </w:rPr>
        <w:t>are responsible for producing the DOC report mandated by the legislation.</w:t>
      </w:r>
      <w:r w:rsidR="00DC1332">
        <w:rPr>
          <w:sz w:val="22"/>
          <w:szCs w:val="22"/>
        </w:rPr>
        <w:t xml:space="preserve">  In addition, the user will be provided notice that the Commission may use import data estimates to calculate the annual revenue loss estimate, a figure which will be provided to the Committees and made publicly available in the Commission’s preliminary and final reports, as the legislation requires.</w:t>
      </w:r>
    </w:p>
    <w:p w14:paraId="5F33C75B" w14:textId="77777777" w:rsidR="009049FC" w:rsidRPr="00D54C3E" w:rsidRDefault="009049FC" w:rsidP="00064AEC">
      <w:pPr>
        <w:pStyle w:val="NoSpacing"/>
        <w:rPr>
          <w:sz w:val="22"/>
          <w:szCs w:val="22"/>
        </w:rPr>
      </w:pPr>
    </w:p>
    <w:p w14:paraId="6073E318" w14:textId="77777777" w:rsidR="00AF35D2" w:rsidRPr="00D54C3E" w:rsidRDefault="00AF35D2" w:rsidP="00064AEC">
      <w:pPr>
        <w:pStyle w:val="NoSpacing"/>
        <w:numPr>
          <w:ilvl w:val="0"/>
          <w:numId w:val="8"/>
        </w:numPr>
        <w:rPr>
          <w:b/>
          <w:sz w:val="22"/>
          <w:szCs w:val="22"/>
          <w:highlight w:val="white"/>
        </w:rPr>
      </w:pPr>
      <w:r w:rsidRPr="00D54C3E">
        <w:rPr>
          <w:b/>
          <w:bCs/>
          <w:sz w:val="22"/>
          <w:szCs w:val="22"/>
          <w:highlight w:val="white"/>
        </w:rPr>
        <w:t>Sensitive information</w:t>
      </w:r>
    </w:p>
    <w:p w14:paraId="58DC0548" w14:textId="77777777" w:rsidR="00AF35D2" w:rsidRPr="00D54C3E" w:rsidRDefault="009649DD" w:rsidP="00064AEC">
      <w:pPr>
        <w:pStyle w:val="NoSpacing"/>
        <w:rPr>
          <w:sz w:val="22"/>
          <w:szCs w:val="22"/>
          <w:highlight w:val="white"/>
        </w:rPr>
      </w:pPr>
      <w:r w:rsidRPr="00D54C3E">
        <w:rPr>
          <w:sz w:val="22"/>
          <w:szCs w:val="22"/>
          <w:highlight w:val="white"/>
        </w:rPr>
        <w:t>The Commission is not seeking i</w:t>
      </w:r>
      <w:r w:rsidR="00AF35D2" w:rsidRPr="00D54C3E">
        <w:rPr>
          <w:sz w:val="22"/>
          <w:szCs w:val="22"/>
          <w:highlight w:val="white"/>
        </w:rPr>
        <w:t>nformation on issues of a sensitive nature involving persons</w:t>
      </w:r>
      <w:r w:rsidR="002B1B5F" w:rsidRPr="00D54C3E">
        <w:rPr>
          <w:sz w:val="22"/>
          <w:szCs w:val="22"/>
          <w:highlight w:val="white"/>
        </w:rPr>
        <w:t xml:space="preserve"> or firms</w:t>
      </w:r>
      <w:r w:rsidR="00AF35D2" w:rsidRPr="00D54C3E">
        <w:rPr>
          <w:sz w:val="22"/>
          <w:szCs w:val="22"/>
          <w:highlight w:val="white"/>
        </w:rPr>
        <w:t>.</w:t>
      </w:r>
    </w:p>
    <w:p w14:paraId="0BC374C6" w14:textId="77777777" w:rsidR="00AF35D2" w:rsidRPr="00D54C3E" w:rsidRDefault="00AF35D2" w:rsidP="00064AEC">
      <w:pPr>
        <w:pStyle w:val="NoSpacing"/>
        <w:rPr>
          <w:sz w:val="22"/>
          <w:szCs w:val="22"/>
          <w:highlight w:val="white"/>
        </w:rPr>
      </w:pPr>
    </w:p>
    <w:p w14:paraId="64638CB2" w14:textId="77777777" w:rsidR="00AF35D2" w:rsidRPr="00D54C3E" w:rsidRDefault="00AF35D2" w:rsidP="00064AEC">
      <w:pPr>
        <w:pStyle w:val="NoSpacing"/>
        <w:numPr>
          <w:ilvl w:val="0"/>
          <w:numId w:val="8"/>
        </w:numPr>
        <w:rPr>
          <w:b/>
          <w:sz w:val="22"/>
          <w:szCs w:val="22"/>
          <w:highlight w:val="white"/>
        </w:rPr>
      </w:pPr>
      <w:r w:rsidRPr="00D54C3E">
        <w:rPr>
          <w:b/>
          <w:bCs/>
          <w:sz w:val="22"/>
          <w:szCs w:val="22"/>
          <w:highlight w:val="white"/>
        </w:rPr>
        <w:t>Respondents’ project</w:t>
      </w:r>
      <w:r w:rsidR="009649DD" w:rsidRPr="00D54C3E">
        <w:rPr>
          <w:b/>
          <w:bCs/>
          <w:sz w:val="22"/>
          <w:szCs w:val="22"/>
          <w:highlight w:val="white"/>
        </w:rPr>
        <w:t>ed</w:t>
      </w:r>
      <w:r w:rsidRPr="00D54C3E">
        <w:rPr>
          <w:b/>
          <w:bCs/>
          <w:sz w:val="22"/>
          <w:szCs w:val="22"/>
          <w:highlight w:val="white"/>
        </w:rPr>
        <w:t xml:space="preserve"> cost</w:t>
      </w:r>
      <w:r w:rsidR="00092643" w:rsidRPr="00D54C3E">
        <w:rPr>
          <w:b/>
          <w:bCs/>
          <w:sz w:val="22"/>
          <w:szCs w:val="22"/>
          <w:highlight w:val="white"/>
        </w:rPr>
        <w:t xml:space="preserve"> burden</w:t>
      </w:r>
    </w:p>
    <w:p w14:paraId="5A196E6A" w14:textId="77777777" w:rsidR="00381E8C" w:rsidRPr="00381E8C" w:rsidRDefault="00381E8C" w:rsidP="00381E8C">
      <w:pPr>
        <w:pStyle w:val="NoSpacing"/>
        <w:rPr>
          <w:sz w:val="22"/>
          <w:szCs w:val="22"/>
        </w:rPr>
      </w:pPr>
      <w:r w:rsidRPr="00381E8C">
        <w:rPr>
          <w:sz w:val="22"/>
          <w:szCs w:val="22"/>
        </w:rPr>
        <w:t xml:space="preserve">The Commission has reduced the reporting burden on </w:t>
      </w:r>
      <w:r w:rsidR="008C7880">
        <w:rPr>
          <w:sz w:val="22"/>
          <w:szCs w:val="22"/>
        </w:rPr>
        <w:t>petitioners and commenters</w:t>
      </w:r>
      <w:r w:rsidRPr="00381E8C">
        <w:rPr>
          <w:sz w:val="22"/>
          <w:szCs w:val="22"/>
        </w:rPr>
        <w:t xml:space="preserve"> by limiting the length and complexity</w:t>
      </w:r>
      <w:r w:rsidR="00B86488">
        <w:rPr>
          <w:sz w:val="22"/>
          <w:szCs w:val="22"/>
        </w:rPr>
        <w:t xml:space="preserve"> of the information required</w:t>
      </w:r>
      <w:r w:rsidRPr="00381E8C">
        <w:rPr>
          <w:sz w:val="22"/>
          <w:szCs w:val="22"/>
        </w:rPr>
        <w:t xml:space="preserve">. Furthermore, the </w:t>
      </w:r>
      <w:r w:rsidR="00B86488">
        <w:rPr>
          <w:sz w:val="22"/>
          <w:szCs w:val="22"/>
        </w:rPr>
        <w:t xml:space="preserve">system </w:t>
      </w:r>
      <w:r w:rsidRPr="00381E8C">
        <w:rPr>
          <w:sz w:val="22"/>
          <w:szCs w:val="22"/>
        </w:rPr>
        <w:t xml:space="preserve">only </w:t>
      </w:r>
      <w:r w:rsidR="008C7880">
        <w:rPr>
          <w:sz w:val="22"/>
          <w:szCs w:val="22"/>
        </w:rPr>
        <w:t>requires</w:t>
      </w:r>
      <w:r w:rsidR="008C7880" w:rsidRPr="00381E8C">
        <w:rPr>
          <w:sz w:val="22"/>
          <w:szCs w:val="22"/>
        </w:rPr>
        <w:t xml:space="preserve"> </w:t>
      </w:r>
      <w:r w:rsidR="008C7880">
        <w:rPr>
          <w:sz w:val="22"/>
          <w:szCs w:val="22"/>
        </w:rPr>
        <w:t>responses</w:t>
      </w:r>
      <w:r w:rsidRPr="00381E8C">
        <w:rPr>
          <w:sz w:val="22"/>
          <w:szCs w:val="22"/>
        </w:rPr>
        <w:t xml:space="preserve"> that the Commission believes to be readily available from firms’ existing records.</w:t>
      </w:r>
      <w:r w:rsidR="00B86488">
        <w:rPr>
          <w:sz w:val="22"/>
          <w:szCs w:val="22"/>
        </w:rPr>
        <w:t xml:space="preserve"> </w:t>
      </w:r>
    </w:p>
    <w:p w14:paraId="1CADCBFA" w14:textId="77777777" w:rsidR="00381E8C" w:rsidRPr="00381E8C" w:rsidRDefault="00381E8C" w:rsidP="00381E8C">
      <w:pPr>
        <w:pStyle w:val="NoSpacing"/>
        <w:rPr>
          <w:sz w:val="22"/>
          <w:szCs w:val="22"/>
        </w:rPr>
      </w:pPr>
    </w:p>
    <w:p w14:paraId="5276E5C6" w14:textId="68EBA377" w:rsidR="00381E8C" w:rsidRPr="00381E8C" w:rsidRDefault="00381E8C" w:rsidP="00381E8C">
      <w:pPr>
        <w:pStyle w:val="NoSpacing"/>
        <w:rPr>
          <w:sz w:val="22"/>
          <w:szCs w:val="22"/>
        </w:rPr>
      </w:pPr>
      <w:r w:rsidRPr="00381E8C">
        <w:rPr>
          <w:sz w:val="22"/>
          <w:szCs w:val="22"/>
        </w:rPr>
        <w:t xml:space="preserve">The </w:t>
      </w:r>
      <w:r w:rsidR="003E72CB">
        <w:rPr>
          <w:sz w:val="22"/>
          <w:szCs w:val="22"/>
        </w:rPr>
        <w:t xml:space="preserve">average </w:t>
      </w:r>
      <w:r w:rsidRPr="00381E8C">
        <w:rPr>
          <w:sz w:val="22"/>
          <w:szCs w:val="22"/>
        </w:rPr>
        <w:t>reporting burden is estimated to be:</w:t>
      </w:r>
    </w:p>
    <w:p w14:paraId="3659C05C" w14:textId="77777777" w:rsidR="00381E8C" w:rsidRPr="00381E8C" w:rsidRDefault="00381E8C" w:rsidP="00381E8C">
      <w:pPr>
        <w:pStyle w:val="NoSpacing"/>
        <w:rPr>
          <w:sz w:val="22"/>
          <w:szCs w:val="22"/>
        </w:rPr>
      </w:pPr>
    </w:p>
    <w:p w14:paraId="2C3564B0" w14:textId="1099CF3E" w:rsidR="00381E8C" w:rsidRPr="00381E8C" w:rsidRDefault="00381E8C" w:rsidP="00381E8C">
      <w:pPr>
        <w:pStyle w:val="NoSpacing"/>
        <w:rPr>
          <w:sz w:val="22"/>
          <w:szCs w:val="22"/>
        </w:rPr>
      </w:pPr>
      <w:r w:rsidRPr="00381E8C">
        <w:rPr>
          <w:sz w:val="22"/>
          <w:szCs w:val="22"/>
        </w:rPr>
        <w:t xml:space="preserve">Number of </w:t>
      </w:r>
      <w:r w:rsidR="00B86488">
        <w:rPr>
          <w:sz w:val="22"/>
          <w:szCs w:val="22"/>
        </w:rPr>
        <w:t>petition entities</w:t>
      </w:r>
      <w:r w:rsidRPr="00381E8C">
        <w:rPr>
          <w:sz w:val="22"/>
          <w:szCs w:val="22"/>
        </w:rPr>
        <w:t>:</w:t>
      </w:r>
      <w:r w:rsidRPr="00381E8C">
        <w:rPr>
          <w:sz w:val="22"/>
          <w:szCs w:val="22"/>
        </w:rPr>
        <w:tab/>
      </w:r>
      <w:r w:rsidRPr="00381E8C">
        <w:rPr>
          <w:sz w:val="22"/>
          <w:szCs w:val="22"/>
        </w:rPr>
        <w:tab/>
      </w:r>
      <w:r w:rsidRPr="00381E8C">
        <w:rPr>
          <w:sz w:val="22"/>
          <w:szCs w:val="22"/>
        </w:rPr>
        <w:tab/>
        <w:t>(No.)</w:t>
      </w:r>
      <w:r w:rsidRPr="00381E8C">
        <w:rPr>
          <w:sz w:val="22"/>
          <w:szCs w:val="22"/>
        </w:rPr>
        <w:tab/>
      </w:r>
      <w:r w:rsidRPr="00381E8C">
        <w:rPr>
          <w:sz w:val="22"/>
          <w:szCs w:val="22"/>
        </w:rPr>
        <w:tab/>
      </w:r>
      <w:r w:rsidR="0046712C">
        <w:rPr>
          <w:sz w:val="22"/>
          <w:szCs w:val="22"/>
        </w:rPr>
        <w:t>5,000</w:t>
      </w:r>
    </w:p>
    <w:p w14:paraId="1764708F" w14:textId="3F3A68D1" w:rsidR="00381E8C" w:rsidRPr="00381E8C" w:rsidRDefault="00381E8C" w:rsidP="00381E8C">
      <w:pPr>
        <w:pStyle w:val="NoSpacing"/>
        <w:rPr>
          <w:sz w:val="22"/>
          <w:szCs w:val="22"/>
        </w:rPr>
      </w:pPr>
      <w:r w:rsidRPr="00381E8C">
        <w:rPr>
          <w:sz w:val="22"/>
          <w:szCs w:val="22"/>
        </w:rPr>
        <w:t>Frequency of response:</w:t>
      </w:r>
      <w:r w:rsidR="00B86488">
        <w:rPr>
          <w:sz w:val="22"/>
          <w:szCs w:val="22"/>
        </w:rPr>
        <w:tab/>
      </w:r>
      <w:r w:rsidRPr="00381E8C">
        <w:rPr>
          <w:sz w:val="22"/>
          <w:szCs w:val="22"/>
        </w:rPr>
        <w:tab/>
      </w:r>
      <w:r w:rsidRPr="00381E8C">
        <w:rPr>
          <w:sz w:val="22"/>
          <w:szCs w:val="22"/>
        </w:rPr>
        <w:tab/>
      </w:r>
      <w:r w:rsidRPr="00381E8C">
        <w:rPr>
          <w:sz w:val="22"/>
          <w:szCs w:val="22"/>
        </w:rPr>
        <w:tab/>
        <w:t>(No.)</w:t>
      </w:r>
      <w:r w:rsidRPr="00381E8C">
        <w:rPr>
          <w:sz w:val="22"/>
          <w:szCs w:val="22"/>
        </w:rPr>
        <w:tab/>
      </w:r>
      <w:r w:rsidRPr="00381E8C">
        <w:rPr>
          <w:sz w:val="22"/>
          <w:szCs w:val="22"/>
        </w:rPr>
        <w:tab/>
      </w:r>
      <w:r w:rsidR="0046712C">
        <w:rPr>
          <w:sz w:val="22"/>
          <w:szCs w:val="22"/>
        </w:rPr>
        <w:t>1</w:t>
      </w:r>
    </w:p>
    <w:p w14:paraId="033ECF68" w14:textId="004A8ACC" w:rsidR="00381E8C" w:rsidRPr="00381E8C" w:rsidRDefault="00381E8C" w:rsidP="00381E8C">
      <w:pPr>
        <w:pStyle w:val="NoSpacing"/>
        <w:rPr>
          <w:sz w:val="22"/>
          <w:szCs w:val="22"/>
        </w:rPr>
      </w:pPr>
      <w:r w:rsidRPr="00381E8C">
        <w:rPr>
          <w:sz w:val="22"/>
          <w:szCs w:val="22"/>
        </w:rPr>
        <w:t>Annual bur</w:t>
      </w:r>
      <w:r>
        <w:rPr>
          <w:sz w:val="22"/>
          <w:szCs w:val="22"/>
        </w:rPr>
        <w:t>den per respondent:</w:t>
      </w:r>
      <w:r w:rsidR="00B86488">
        <w:rPr>
          <w:sz w:val="22"/>
          <w:szCs w:val="22"/>
        </w:rPr>
        <w:tab/>
      </w:r>
      <w:r>
        <w:rPr>
          <w:sz w:val="22"/>
          <w:szCs w:val="22"/>
        </w:rPr>
        <w:tab/>
      </w:r>
      <w:r>
        <w:rPr>
          <w:sz w:val="22"/>
          <w:szCs w:val="22"/>
        </w:rPr>
        <w:tab/>
        <w:t>(hours)</w:t>
      </w:r>
      <w:r>
        <w:rPr>
          <w:sz w:val="22"/>
          <w:szCs w:val="22"/>
        </w:rPr>
        <w:tab/>
      </w:r>
      <w:r>
        <w:rPr>
          <w:sz w:val="22"/>
          <w:szCs w:val="22"/>
        </w:rPr>
        <w:tab/>
      </w:r>
      <w:r w:rsidR="001722C3">
        <w:rPr>
          <w:sz w:val="22"/>
          <w:szCs w:val="22"/>
        </w:rPr>
        <w:t>8</w:t>
      </w:r>
    </w:p>
    <w:p w14:paraId="1BA777C4" w14:textId="538E1BF3" w:rsidR="00381E8C" w:rsidRDefault="00381E8C" w:rsidP="00381E8C">
      <w:pPr>
        <w:pStyle w:val="NoSpacing"/>
        <w:rPr>
          <w:sz w:val="22"/>
          <w:szCs w:val="22"/>
        </w:rPr>
      </w:pPr>
      <w:r w:rsidRPr="00381E8C">
        <w:rPr>
          <w:sz w:val="22"/>
          <w:szCs w:val="22"/>
        </w:rPr>
        <w:t>Total burden</w:t>
      </w:r>
      <w:r w:rsidR="00B86488">
        <w:rPr>
          <w:sz w:val="22"/>
          <w:szCs w:val="22"/>
        </w:rPr>
        <w:t xml:space="preserve"> for petitioners</w:t>
      </w:r>
      <w:r w:rsidRPr="00381E8C">
        <w:rPr>
          <w:sz w:val="22"/>
          <w:szCs w:val="22"/>
        </w:rPr>
        <w:t>:</w:t>
      </w:r>
      <w:r w:rsidRPr="00381E8C">
        <w:rPr>
          <w:sz w:val="22"/>
          <w:szCs w:val="22"/>
        </w:rPr>
        <w:tab/>
      </w:r>
      <w:r w:rsidRPr="00381E8C">
        <w:rPr>
          <w:sz w:val="22"/>
          <w:szCs w:val="22"/>
        </w:rPr>
        <w:tab/>
      </w:r>
      <w:r w:rsidR="00B86488">
        <w:rPr>
          <w:sz w:val="22"/>
          <w:szCs w:val="22"/>
        </w:rPr>
        <w:tab/>
      </w:r>
      <w:r w:rsidRPr="00381E8C">
        <w:rPr>
          <w:sz w:val="22"/>
          <w:szCs w:val="22"/>
        </w:rPr>
        <w:t>(hours)</w:t>
      </w:r>
      <w:r w:rsidRPr="00381E8C">
        <w:rPr>
          <w:sz w:val="22"/>
          <w:szCs w:val="22"/>
        </w:rPr>
        <w:tab/>
      </w:r>
      <w:r w:rsidRPr="00381E8C">
        <w:rPr>
          <w:sz w:val="22"/>
          <w:szCs w:val="22"/>
        </w:rPr>
        <w:tab/>
      </w:r>
      <w:r w:rsidR="00001D56">
        <w:rPr>
          <w:sz w:val="22"/>
          <w:szCs w:val="22"/>
        </w:rPr>
        <w:t>4</w:t>
      </w:r>
      <w:r w:rsidR="000E31A0">
        <w:rPr>
          <w:sz w:val="22"/>
          <w:szCs w:val="22"/>
        </w:rPr>
        <w:t>0</w:t>
      </w:r>
      <w:r w:rsidR="008C4821">
        <w:rPr>
          <w:sz w:val="22"/>
          <w:szCs w:val="22"/>
        </w:rPr>
        <w:t>,000</w:t>
      </w:r>
    </w:p>
    <w:p w14:paraId="02AA496A" w14:textId="77777777" w:rsidR="00B86488" w:rsidRDefault="00B86488" w:rsidP="00381E8C">
      <w:pPr>
        <w:pStyle w:val="NoSpacing"/>
        <w:rPr>
          <w:sz w:val="22"/>
          <w:szCs w:val="22"/>
        </w:rPr>
      </w:pPr>
    </w:p>
    <w:p w14:paraId="614C0A57" w14:textId="46BFC3B0" w:rsidR="00EF5AD3" w:rsidRPr="00381E8C" w:rsidRDefault="00EF5AD3" w:rsidP="00EF5AD3">
      <w:pPr>
        <w:pStyle w:val="NoSpacing"/>
        <w:rPr>
          <w:sz w:val="22"/>
          <w:szCs w:val="22"/>
        </w:rPr>
      </w:pPr>
      <w:r w:rsidRPr="00381E8C">
        <w:rPr>
          <w:sz w:val="22"/>
          <w:szCs w:val="22"/>
        </w:rPr>
        <w:t xml:space="preserve">These estimates are based on </w:t>
      </w:r>
      <w:r w:rsidR="008C4821" w:rsidRPr="00A77F9A">
        <w:rPr>
          <w:sz w:val="22"/>
          <w:szCs w:val="22"/>
        </w:rPr>
        <w:t>engagement with the public and comments and feedback received, as well as industry knowledge</w:t>
      </w:r>
      <w:r w:rsidRPr="00A77F9A">
        <w:rPr>
          <w:sz w:val="22"/>
          <w:szCs w:val="22"/>
        </w:rPr>
        <w:t>.</w:t>
      </w:r>
      <w:r>
        <w:rPr>
          <w:sz w:val="22"/>
          <w:szCs w:val="22"/>
        </w:rPr>
        <w:t xml:space="preserve"> </w:t>
      </w:r>
      <w:r w:rsidRPr="00381E8C">
        <w:rPr>
          <w:sz w:val="22"/>
          <w:szCs w:val="22"/>
        </w:rPr>
        <w:t xml:space="preserve">It is estimated that </w:t>
      </w:r>
      <w:r>
        <w:rPr>
          <w:sz w:val="22"/>
          <w:szCs w:val="22"/>
        </w:rPr>
        <w:t>submitting a petition</w:t>
      </w:r>
      <w:r w:rsidRPr="00381E8C">
        <w:rPr>
          <w:sz w:val="22"/>
          <w:szCs w:val="22"/>
        </w:rPr>
        <w:t xml:space="preserve">, including time to gather necessary information, would take approximately </w:t>
      </w:r>
      <w:r w:rsidR="001722C3">
        <w:rPr>
          <w:sz w:val="22"/>
          <w:szCs w:val="22"/>
        </w:rPr>
        <w:t>8</w:t>
      </w:r>
      <w:r w:rsidR="0011389E">
        <w:rPr>
          <w:sz w:val="22"/>
          <w:szCs w:val="22"/>
        </w:rPr>
        <w:t xml:space="preserve"> </w:t>
      </w:r>
      <w:r w:rsidRPr="00381E8C">
        <w:rPr>
          <w:sz w:val="22"/>
          <w:szCs w:val="22"/>
        </w:rPr>
        <w:t>hours depending on the size and complexity of the firm. The burden on individual respondents may vary.</w:t>
      </w:r>
    </w:p>
    <w:p w14:paraId="1F858BAC" w14:textId="77777777" w:rsidR="00EF5AD3" w:rsidRDefault="00EF5AD3" w:rsidP="00381E8C">
      <w:pPr>
        <w:pStyle w:val="NoSpacing"/>
        <w:rPr>
          <w:sz w:val="22"/>
          <w:szCs w:val="22"/>
        </w:rPr>
      </w:pPr>
    </w:p>
    <w:p w14:paraId="59CF1C42" w14:textId="2957E6F3" w:rsidR="00B86488" w:rsidRPr="00381E8C" w:rsidRDefault="00B86488" w:rsidP="00B86488">
      <w:pPr>
        <w:pStyle w:val="NoSpacing"/>
        <w:rPr>
          <w:sz w:val="22"/>
          <w:szCs w:val="22"/>
        </w:rPr>
      </w:pPr>
      <w:r w:rsidRPr="00381E8C">
        <w:rPr>
          <w:sz w:val="22"/>
          <w:szCs w:val="22"/>
        </w:rPr>
        <w:t xml:space="preserve">Number of </w:t>
      </w:r>
      <w:r>
        <w:rPr>
          <w:sz w:val="22"/>
          <w:szCs w:val="22"/>
        </w:rPr>
        <w:t>commenting entities</w:t>
      </w:r>
      <w:r w:rsidRPr="00381E8C">
        <w:rPr>
          <w:sz w:val="22"/>
          <w:szCs w:val="22"/>
        </w:rPr>
        <w:t>:</w:t>
      </w:r>
      <w:r w:rsidRPr="00381E8C">
        <w:rPr>
          <w:sz w:val="22"/>
          <w:szCs w:val="22"/>
        </w:rPr>
        <w:tab/>
      </w:r>
      <w:r w:rsidRPr="00381E8C">
        <w:rPr>
          <w:sz w:val="22"/>
          <w:szCs w:val="22"/>
        </w:rPr>
        <w:tab/>
      </w:r>
      <w:r w:rsidRPr="00381E8C">
        <w:rPr>
          <w:sz w:val="22"/>
          <w:szCs w:val="22"/>
        </w:rPr>
        <w:tab/>
        <w:t>(No.)</w:t>
      </w:r>
      <w:r w:rsidRPr="00381E8C">
        <w:rPr>
          <w:sz w:val="22"/>
          <w:szCs w:val="22"/>
        </w:rPr>
        <w:tab/>
      </w:r>
      <w:r w:rsidRPr="00381E8C">
        <w:rPr>
          <w:sz w:val="22"/>
          <w:szCs w:val="22"/>
        </w:rPr>
        <w:tab/>
      </w:r>
      <w:r w:rsidR="0046712C">
        <w:rPr>
          <w:sz w:val="22"/>
          <w:szCs w:val="22"/>
        </w:rPr>
        <w:t>14,000</w:t>
      </w:r>
    </w:p>
    <w:p w14:paraId="797BE505" w14:textId="402B82B8" w:rsidR="00B86488" w:rsidRPr="00381E8C" w:rsidRDefault="00B86488" w:rsidP="00B86488">
      <w:pPr>
        <w:pStyle w:val="NoSpacing"/>
        <w:rPr>
          <w:sz w:val="22"/>
          <w:szCs w:val="22"/>
        </w:rPr>
      </w:pPr>
      <w:r w:rsidRPr="00381E8C">
        <w:rPr>
          <w:sz w:val="22"/>
          <w:szCs w:val="22"/>
        </w:rPr>
        <w:t>Frequency of response:</w:t>
      </w:r>
      <w:r>
        <w:rPr>
          <w:sz w:val="22"/>
          <w:szCs w:val="22"/>
        </w:rPr>
        <w:tab/>
      </w:r>
      <w:r w:rsidRPr="00381E8C">
        <w:rPr>
          <w:sz w:val="22"/>
          <w:szCs w:val="22"/>
        </w:rPr>
        <w:tab/>
      </w:r>
      <w:r w:rsidRPr="00381E8C">
        <w:rPr>
          <w:sz w:val="22"/>
          <w:szCs w:val="22"/>
        </w:rPr>
        <w:tab/>
      </w:r>
      <w:r w:rsidRPr="00381E8C">
        <w:rPr>
          <w:sz w:val="22"/>
          <w:szCs w:val="22"/>
        </w:rPr>
        <w:tab/>
        <w:t>(No.)</w:t>
      </w:r>
      <w:r w:rsidRPr="00381E8C">
        <w:rPr>
          <w:sz w:val="22"/>
          <w:szCs w:val="22"/>
        </w:rPr>
        <w:tab/>
      </w:r>
      <w:r w:rsidRPr="00381E8C">
        <w:rPr>
          <w:sz w:val="22"/>
          <w:szCs w:val="22"/>
        </w:rPr>
        <w:tab/>
      </w:r>
      <w:r w:rsidR="0046712C">
        <w:rPr>
          <w:sz w:val="22"/>
          <w:szCs w:val="22"/>
        </w:rPr>
        <w:t>1</w:t>
      </w:r>
    </w:p>
    <w:p w14:paraId="210DE7E1" w14:textId="2DEF5F8D" w:rsidR="00B86488" w:rsidRPr="00381E8C" w:rsidRDefault="00B86488" w:rsidP="00B86488">
      <w:pPr>
        <w:pStyle w:val="NoSpacing"/>
        <w:rPr>
          <w:sz w:val="22"/>
          <w:szCs w:val="22"/>
        </w:rPr>
      </w:pPr>
      <w:r w:rsidRPr="00381E8C">
        <w:rPr>
          <w:sz w:val="22"/>
          <w:szCs w:val="22"/>
        </w:rPr>
        <w:t>Annual bur</w:t>
      </w:r>
      <w:r>
        <w:rPr>
          <w:sz w:val="22"/>
          <w:szCs w:val="22"/>
        </w:rPr>
        <w:t>den per respondent:</w:t>
      </w:r>
      <w:r>
        <w:rPr>
          <w:sz w:val="22"/>
          <w:szCs w:val="22"/>
        </w:rPr>
        <w:tab/>
      </w:r>
      <w:r>
        <w:rPr>
          <w:sz w:val="22"/>
          <w:szCs w:val="22"/>
        </w:rPr>
        <w:tab/>
      </w:r>
      <w:r>
        <w:rPr>
          <w:sz w:val="22"/>
          <w:szCs w:val="22"/>
        </w:rPr>
        <w:tab/>
        <w:t>(hours)</w:t>
      </w:r>
      <w:r>
        <w:rPr>
          <w:sz w:val="22"/>
          <w:szCs w:val="22"/>
        </w:rPr>
        <w:tab/>
      </w:r>
      <w:r>
        <w:rPr>
          <w:sz w:val="22"/>
          <w:szCs w:val="22"/>
        </w:rPr>
        <w:tab/>
      </w:r>
      <w:r w:rsidR="001722C3">
        <w:rPr>
          <w:sz w:val="22"/>
          <w:szCs w:val="22"/>
        </w:rPr>
        <w:t>2</w:t>
      </w:r>
    </w:p>
    <w:p w14:paraId="2D856E58" w14:textId="769A0969" w:rsidR="00B86488" w:rsidRPr="00381E8C" w:rsidRDefault="00B86488" w:rsidP="00B86488">
      <w:pPr>
        <w:pStyle w:val="NoSpacing"/>
        <w:rPr>
          <w:sz w:val="22"/>
          <w:szCs w:val="22"/>
        </w:rPr>
      </w:pPr>
      <w:r w:rsidRPr="00381E8C">
        <w:rPr>
          <w:sz w:val="22"/>
          <w:szCs w:val="22"/>
        </w:rPr>
        <w:t>Total burden</w:t>
      </w:r>
      <w:r>
        <w:rPr>
          <w:sz w:val="22"/>
          <w:szCs w:val="22"/>
        </w:rPr>
        <w:t xml:space="preserve"> for </w:t>
      </w:r>
      <w:r w:rsidR="008C4821">
        <w:rPr>
          <w:sz w:val="22"/>
          <w:szCs w:val="22"/>
        </w:rPr>
        <w:t>commenters</w:t>
      </w:r>
      <w:r w:rsidRPr="00381E8C">
        <w:rPr>
          <w:sz w:val="22"/>
          <w:szCs w:val="22"/>
        </w:rPr>
        <w:t>:</w:t>
      </w:r>
      <w:r w:rsidRPr="00381E8C">
        <w:rPr>
          <w:sz w:val="22"/>
          <w:szCs w:val="22"/>
        </w:rPr>
        <w:tab/>
      </w:r>
      <w:r w:rsidRPr="00381E8C">
        <w:rPr>
          <w:sz w:val="22"/>
          <w:szCs w:val="22"/>
        </w:rPr>
        <w:tab/>
      </w:r>
      <w:r w:rsidR="00A77F9A">
        <w:rPr>
          <w:sz w:val="22"/>
          <w:szCs w:val="22"/>
        </w:rPr>
        <w:tab/>
      </w:r>
      <w:r w:rsidRPr="00381E8C">
        <w:rPr>
          <w:sz w:val="22"/>
          <w:szCs w:val="22"/>
        </w:rPr>
        <w:t>(hours)</w:t>
      </w:r>
      <w:r w:rsidRPr="00381E8C">
        <w:rPr>
          <w:sz w:val="22"/>
          <w:szCs w:val="22"/>
        </w:rPr>
        <w:tab/>
      </w:r>
      <w:r w:rsidRPr="00381E8C">
        <w:rPr>
          <w:sz w:val="22"/>
          <w:szCs w:val="22"/>
        </w:rPr>
        <w:tab/>
      </w:r>
      <w:r w:rsidR="00001D56">
        <w:rPr>
          <w:sz w:val="22"/>
          <w:szCs w:val="22"/>
        </w:rPr>
        <w:t>2</w:t>
      </w:r>
      <w:r w:rsidR="0046712C">
        <w:rPr>
          <w:sz w:val="22"/>
          <w:szCs w:val="22"/>
        </w:rPr>
        <w:t>8</w:t>
      </w:r>
      <w:r w:rsidR="008C4821">
        <w:rPr>
          <w:sz w:val="22"/>
          <w:szCs w:val="22"/>
        </w:rPr>
        <w:t>,000</w:t>
      </w:r>
    </w:p>
    <w:p w14:paraId="72E6E402" w14:textId="77777777" w:rsidR="00B86488" w:rsidRPr="00381E8C" w:rsidRDefault="00B86488" w:rsidP="00381E8C">
      <w:pPr>
        <w:pStyle w:val="NoSpacing"/>
        <w:rPr>
          <w:sz w:val="22"/>
          <w:szCs w:val="22"/>
        </w:rPr>
      </w:pPr>
    </w:p>
    <w:p w14:paraId="2E74C40B" w14:textId="412023A9" w:rsidR="00381E8C" w:rsidRPr="00381E8C" w:rsidRDefault="00381E8C" w:rsidP="00381E8C">
      <w:pPr>
        <w:pStyle w:val="NoSpacing"/>
        <w:rPr>
          <w:sz w:val="22"/>
          <w:szCs w:val="22"/>
        </w:rPr>
      </w:pPr>
      <w:r w:rsidRPr="00381E8C">
        <w:rPr>
          <w:sz w:val="22"/>
          <w:szCs w:val="22"/>
        </w:rPr>
        <w:t xml:space="preserve">These estimates are based on </w:t>
      </w:r>
      <w:r w:rsidR="008C4821" w:rsidRPr="00A77F9A">
        <w:rPr>
          <w:sz w:val="22"/>
          <w:szCs w:val="22"/>
        </w:rPr>
        <w:t xml:space="preserve">the estimated number of petition </w:t>
      </w:r>
      <w:r w:rsidR="00622405">
        <w:rPr>
          <w:sz w:val="22"/>
          <w:szCs w:val="22"/>
        </w:rPr>
        <w:t>submissions</w:t>
      </w:r>
      <w:r w:rsidR="008C4821" w:rsidRPr="00A77F9A">
        <w:rPr>
          <w:sz w:val="22"/>
          <w:szCs w:val="22"/>
        </w:rPr>
        <w:t>, as well as industry knowledge</w:t>
      </w:r>
      <w:r w:rsidR="00B86488" w:rsidRPr="00A77F9A">
        <w:rPr>
          <w:sz w:val="22"/>
          <w:szCs w:val="22"/>
        </w:rPr>
        <w:t>.</w:t>
      </w:r>
      <w:r w:rsidR="00B86488">
        <w:rPr>
          <w:sz w:val="22"/>
          <w:szCs w:val="22"/>
        </w:rPr>
        <w:t xml:space="preserve"> </w:t>
      </w:r>
      <w:r w:rsidRPr="00381E8C">
        <w:rPr>
          <w:sz w:val="22"/>
          <w:szCs w:val="22"/>
        </w:rPr>
        <w:t xml:space="preserve">It is estimated that </w:t>
      </w:r>
      <w:r w:rsidR="00B86488">
        <w:rPr>
          <w:sz w:val="22"/>
          <w:szCs w:val="22"/>
        </w:rPr>
        <w:t xml:space="preserve">submitting a </w:t>
      </w:r>
      <w:r w:rsidR="00EF5AD3">
        <w:rPr>
          <w:sz w:val="22"/>
          <w:szCs w:val="22"/>
        </w:rPr>
        <w:t>comment</w:t>
      </w:r>
      <w:r w:rsidRPr="00381E8C">
        <w:rPr>
          <w:sz w:val="22"/>
          <w:szCs w:val="22"/>
        </w:rPr>
        <w:t xml:space="preserve">, including time to gather necessary information, would take approximately </w:t>
      </w:r>
      <w:r w:rsidR="001722C3">
        <w:rPr>
          <w:sz w:val="22"/>
          <w:szCs w:val="22"/>
        </w:rPr>
        <w:t>2</w:t>
      </w:r>
      <w:r w:rsidR="008C4821" w:rsidRPr="00381E8C">
        <w:rPr>
          <w:sz w:val="22"/>
          <w:szCs w:val="22"/>
        </w:rPr>
        <w:t xml:space="preserve"> </w:t>
      </w:r>
      <w:r w:rsidRPr="00381E8C">
        <w:rPr>
          <w:sz w:val="22"/>
          <w:szCs w:val="22"/>
        </w:rPr>
        <w:t>hours depending on the size and complexity of the firm. The burden on individual respondents may vary.</w:t>
      </w:r>
    </w:p>
    <w:p w14:paraId="50919749" w14:textId="77777777" w:rsidR="00381E8C" w:rsidRPr="00381E8C" w:rsidRDefault="00381E8C" w:rsidP="00381E8C">
      <w:pPr>
        <w:pStyle w:val="NoSpacing"/>
        <w:rPr>
          <w:sz w:val="22"/>
          <w:szCs w:val="22"/>
        </w:rPr>
      </w:pPr>
    </w:p>
    <w:p w14:paraId="7C65BBAF" w14:textId="77777777" w:rsidR="00381E8C" w:rsidRPr="00381E8C" w:rsidRDefault="00381E8C" w:rsidP="00381E8C">
      <w:pPr>
        <w:pStyle w:val="NoSpacing"/>
        <w:rPr>
          <w:sz w:val="22"/>
          <w:szCs w:val="22"/>
        </w:rPr>
      </w:pPr>
      <w:r w:rsidRPr="00381E8C">
        <w:rPr>
          <w:sz w:val="22"/>
          <w:szCs w:val="22"/>
        </w:rPr>
        <w:t xml:space="preserve">The Commission has included a notice of the above </w:t>
      </w:r>
      <w:r w:rsidR="00B86488">
        <w:rPr>
          <w:sz w:val="22"/>
          <w:szCs w:val="22"/>
        </w:rPr>
        <w:t>response burden averages</w:t>
      </w:r>
      <w:r w:rsidRPr="00381E8C">
        <w:rPr>
          <w:sz w:val="22"/>
          <w:szCs w:val="22"/>
        </w:rPr>
        <w:t>, along with a request that respondents send comments to the Commission and to OMB.</w:t>
      </w:r>
    </w:p>
    <w:p w14:paraId="65DE258D" w14:textId="77777777" w:rsidR="00381E8C" w:rsidRPr="00381E8C" w:rsidRDefault="00381E8C" w:rsidP="00381E8C">
      <w:pPr>
        <w:pStyle w:val="NoSpacing"/>
        <w:rPr>
          <w:sz w:val="22"/>
          <w:szCs w:val="22"/>
        </w:rPr>
      </w:pPr>
    </w:p>
    <w:p w14:paraId="16539187" w14:textId="77777777" w:rsidR="00381E8C" w:rsidRPr="00381E8C" w:rsidRDefault="00381E8C" w:rsidP="00381E8C">
      <w:pPr>
        <w:pStyle w:val="NoSpacing"/>
        <w:rPr>
          <w:sz w:val="22"/>
          <w:szCs w:val="22"/>
        </w:rPr>
      </w:pPr>
      <w:r w:rsidRPr="00381E8C">
        <w:rPr>
          <w:sz w:val="22"/>
          <w:szCs w:val="22"/>
        </w:rPr>
        <w:t>The combined annualized cost to all respondents for the estimated hour burdens identified above is as follows:</w:t>
      </w:r>
    </w:p>
    <w:p w14:paraId="1F02B2D3" w14:textId="77777777" w:rsidR="00381E8C" w:rsidRPr="00381E8C" w:rsidRDefault="00381E8C" w:rsidP="00381E8C">
      <w:pPr>
        <w:pStyle w:val="NoSpacing"/>
        <w:rPr>
          <w:sz w:val="22"/>
          <w:szCs w:val="22"/>
        </w:rPr>
      </w:pPr>
    </w:p>
    <w:p w14:paraId="459306C5" w14:textId="6DB66BB5" w:rsidR="00381E8C" w:rsidRPr="002E4252" w:rsidRDefault="00060EF8" w:rsidP="00381E8C">
      <w:pPr>
        <w:pStyle w:val="NoSpacing"/>
        <w:rPr>
          <w:sz w:val="22"/>
          <w:szCs w:val="22"/>
        </w:rPr>
      </w:pPr>
      <w:r>
        <w:rPr>
          <w:sz w:val="22"/>
          <w:szCs w:val="22"/>
        </w:rPr>
        <w:tab/>
      </w:r>
      <w:r w:rsidR="00B86488">
        <w:rPr>
          <w:sz w:val="22"/>
          <w:szCs w:val="22"/>
        </w:rPr>
        <w:t xml:space="preserve">Petition: </w:t>
      </w:r>
      <w:r w:rsidR="00B86488">
        <w:rPr>
          <w:sz w:val="22"/>
          <w:szCs w:val="22"/>
        </w:rPr>
        <w:tab/>
      </w:r>
      <w:r>
        <w:rPr>
          <w:sz w:val="22"/>
          <w:szCs w:val="22"/>
        </w:rPr>
        <w:t xml:space="preserve">Cost = </w:t>
      </w:r>
      <w:r w:rsidR="002E4252">
        <w:rPr>
          <w:sz w:val="22"/>
          <w:szCs w:val="22"/>
        </w:rPr>
        <w:t>40</w:t>
      </w:r>
      <w:r w:rsidR="0011389E">
        <w:rPr>
          <w:sz w:val="22"/>
          <w:szCs w:val="22"/>
        </w:rPr>
        <w:t>,000</w:t>
      </w:r>
      <w:r w:rsidR="0011389E" w:rsidRPr="00381E8C">
        <w:rPr>
          <w:sz w:val="22"/>
          <w:szCs w:val="22"/>
        </w:rPr>
        <w:t xml:space="preserve"> </w:t>
      </w:r>
      <w:r w:rsidR="00381E8C" w:rsidRPr="00381E8C">
        <w:rPr>
          <w:sz w:val="22"/>
          <w:szCs w:val="22"/>
        </w:rPr>
        <w:t xml:space="preserve">hours x </w:t>
      </w:r>
      <w:r w:rsidR="00381E8C" w:rsidRPr="002E4252">
        <w:rPr>
          <w:sz w:val="22"/>
          <w:szCs w:val="22"/>
        </w:rPr>
        <w:t>$68.</w:t>
      </w:r>
      <w:r w:rsidRPr="002E4252">
        <w:rPr>
          <w:sz w:val="22"/>
          <w:szCs w:val="22"/>
        </w:rPr>
        <w:t>75</w:t>
      </w:r>
      <w:r w:rsidR="00381E8C" w:rsidRPr="002E4252">
        <w:rPr>
          <w:sz w:val="22"/>
          <w:szCs w:val="22"/>
        </w:rPr>
        <w:t>* per hour = $</w:t>
      </w:r>
      <w:r w:rsidR="000E31A0" w:rsidRPr="002E4252">
        <w:rPr>
          <w:sz w:val="22"/>
          <w:szCs w:val="22"/>
        </w:rPr>
        <w:t>2,750</w:t>
      </w:r>
      <w:r w:rsidR="00001D56" w:rsidRPr="002E4252">
        <w:rPr>
          <w:sz w:val="22"/>
          <w:szCs w:val="22"/>
        </w:rPr>
        <w:t>,000</w:t>
      </w:r>
    </w:p>
    <w:p w14:paraId="34777D4C" w14:textId="2D8CAC08" w:rsidR="00B86488" w:rsidRDefault="00B86488" w:rsidP="00381E8C">
      <w:pPr>
        <w:pStyle w:val="NoSpacing"/>
        <w:rPr>
          <w:sz w:val="22"/>
          <w:szCs w:val="22"/>
        </w:rPr>
      </w:pPr>
      <w:r w:rsidRPr="002E4252">
        <w:rPr>
          <w:sz w:val="22"/>
          <w:szCs w:val="22"/>
        </w:rPr>
        <w:tab/>
        <w:t xml:space="preserve">Comment: </w:t>
      </w:r>
      <w:r w:rsidRPr="002E4252">
        <w:rPr>
          <w:sz w:val="22"/>
          <w:szCs w:val="22"/>
        </w:rPr>
        <w:tab/>
        <w:t xml:space="preserve">Cost = </w:t>
      </w:r>
      <w:r w:rsidR="00001D56" w:rsidRPr="002E4252">
        <w:rPr>
          <w:sz w:val="22"/>
          <w:szCs w:val="22"/>
        </w:rPr>
        <w:t>2</w:t>
      </w:r>
      <w:r w:rsidR="0046712C">
        <w:rPr>
          <w:sz w:val="22"/>
          <w:szCs w:val="22"/>
        </w:rPr>
        <w:t>8</w:t>
      </w:r>
      <w:r w:rsidR="0011389E" w:rsidRPr="002E4252">
        <w:rPr>
          <w:sz w:val="22"/>
          <w:szCs w:val="22"/>
        </w:rPr>
        <w:t xml:space="preserve">,000 </w:t>
      </w:r>
      <w:r w:rsidRPr="002E4252">
        <w:rPr>
          <w:sz w:val="22"/>
          <w:szCs w:val="22"/>
        </w:rPr>
        <w:t>hours x $68.75</w:t>
      </w:r>
      <w:r w:rsidRPr="00381E8C">
        <w:rPr>
          <w:sz w:val="22"/>
          <w:szCs w:val="22"/>
        </w:rPr>
        <w:t>* per hour = $</w:t>
      </w:r>
      <w:r w:rsidR="00001D56" w:rsidRPr="0046712C">
        <w:rPr>
          <w:sz w:val="22"/>
          <w:szCs w:val="22"/>
        </w:rPr>
        <w:t>1,</w:t>
      </w:r>
      <w:r w:rsidR="0046712C" w:rsidRPr="0046712C">
        <w:rPr>
          <w:sz w:val="22"/>
          <w:szCs w:val="22"/>
        </w:rPr>
        <w:t>925</w:t>
      </w:r>
      <w:r w:rsidR="00001D56" w:rsidRPr="0046712C">
        <w:rPr>
          <w:sz w:val="22"/>
          <w:szCs w:val="22"/>
        </w:rPr>
        <w:t>,000</w:t>
      </w:r>
    </w:p>
    <w:p w14:paraId="670E9C42" w14:textId="6313C8B2" w:rsidR="00B86488" w:rsidRPr="00381E8C" w:rsidRDefault="00B86488" w:rsidP="00381E8C">
      <w:pPr>
        <w:pStyle w:val="NoSpacing"/>
        <w:rPr>
          <w:sz w:val="22"/>
          <w:szCs w:val="22"/>
        </w:rPr>
      </w:pPr>
      <w:r>
        <w:rPr>
          <w:sz w:val="22"/>
          <w:szCs w:val="22"/>
        </w:rPr>
        <w:tab/>
        <w:t>Total Cost:</w:t>
      </w:r>
      <w:r>
        <w:rPr>
          <w:sz w:val="22"/>
          <w:szCs w:val="22"/>
        </w:rPr>
        <w:tab/>
      </w:r>
      <w:r w:rsidR="00A77F9A">
        <w:rPr>
          <w:sz w:val="22"/>
          <w:szCs w:val="22"/>
        </w:rPr>
        <w:t>$</w:t>
      </w:r>
      <w:r w:rsidR="00001D56">
        <w:rPr>
          <w:sz w:val="22"/>
          <w:szCs w:val="22"/>
        </w:rPr>
        <w:t>4,</w:t>
      </w:r>
      <w:r w:rsidR="0046712C">
        <w:rPr>
          <w:sz w:val="22"/>
          <w:szCs w:val="22"/>
        </w:rPr>
        <w:t>675</w:t>
      </w:r>
      <w:r w:rsidR="00A77F9A">
        <w:rPr>
          <w:sz w:val="22"/>
          <w:szCs w:val="22"/>
        </w:rPr>
        <w:t>,000</w:t>
      </w:r>
    </w:p>
    <w:p w14:paraId="368D6D0A" w14:textId="77777777" w:rsidR="00381E8C" w:rsidRPr="00381E8C" w:rsidRDefault="00381E8C" w:rsidP="00381E8C">
      <w:pPr>
        <w:pStyle w:val="NoSpacing"/>
        <w:rPr>
          <w:sz w:val="22"/>
          <w:szCs w:val="22"/>
        </w:rPr>
      </w:pPr>
    </w:p>
    <w:p w14:paraId="6A9CE309" w14:textId="77777777" w:rsidR="00432E73" w:rsidRDefault="00381E8C" w:rsidP="00381E8C">
      <w:pPr>
        <w:pStyle w:val="NoSpacing"/>
        <w:rPr>
          <w:sz w:val="22"/>
          <w:szCs w:val="22"/>
        </w:rPr>
      </w:pPr>
      <w:r w:rsidRPr="00381E8C">
        <w:rPr>
          <w:sz w:val="22"/>
          <w:szCs w:val="22"/>
        </w:rPr>
        <w:t xml:space="preserve">*This is the same hourly cost estimate used in item 14 below. The Commission projects that this is an accurate hourly cost estimate for personnel who will likely complete </w:t>
      </w:r>
      <w:r w:rsidR="008C7880">
        <w:rPr>
          <w:sz w:val="22"/>
          <w:szCs w:val="22"/>
        </w:rPr>
        <w:t>the petition</w:t>
      </w:r>
      <w:r w:rsidRPr="00381E8C">
        <w:rPr>
          <w:sz w:val="22"/>
          <w:szCs w:val="22"/>
        </w:rPr>
        <w:t>.</w:t>
      </w:r>
    </w:p>
    <w:p w14:paraId="1FBEB846" w14:textId="77777777" w:rsidR="00381E8C" w:rsidRPr="00D54C3E" w:rsidRDefault="00381E8C" w:rsidP="00381E8C">
      <w:pPr>
        <w:pStyle w:val="NoSpacing"/>
        <w:rPr>
          <w:sz w:val="22"/>
          <w:szCs w:val="22"/>
          <w:highlight w:val="white"/>
        </w:rPr>
      </w:pPr>
    </w:p>
    <w:p w14:paraId="72B00D66" w14:textId="77777777" w:rsidR="00AF35D2" w:rsidRPr="00D54C3E" w:rsidRDefault="00AF35D2" w:rsidP="00904D03">
      <w:pPr>
        <w:pStyle w:val="NoSpacing"/>
        <w:numPr>
          <w:ilvl w:val="0"/>
          <w:numId w:val="8"/>
        </w:numPr>
        <w:rPr>
          <w:b/>
          <w:sz w:val="22"/>
          <w:szCs w:val="22"/>
          <w:highlight w:val="white"/>
        </w:rPr>
      </w:pPr>
      <w:r w:rsidRPr="00D54C3E">
        <w:rPr>
          <w:b/>
          <w:bCs/>
          <w:sz w:val="22"/>
          <w:szCs w:val="22"/>
          <w:highlight w:val="white"/>
        </w:rPr>
        <w:t>Annual public response burden</w:t>
      </w:r>
    </w:p>
    <w:p w14:paraId="66FEF631" w14:textId="558D7C55" w:rsidR="00AF35D2" w:rsidRPr="00D54C3E" w:rsidRDefault="00A77F9A" w:rsidP="00064AEC">
      <w:pPr>
        <w:pStyle w:val="NoSpacing"/>
        <w:rPr>
          <w:sz w:val="22"/>
          <w:szCs w:val="22"/>
          <w:highlight w:val="white"/>
        </w:rPr>
      </w:pPr>
      <w:r>
        <w:rPr>
          <w:sz w:val="22"/>
          <w:szCs w:val="22"/>
          <w:highlight w:val="white"/>
        </w:rPr>
        <w:t xml:space="preserve">This </w:t>
      </w:r>
      <w:r w:rsidR="00AF35D2" w:rsidRPr="00D54C3E">
        <w:rPr>
          <w:sz w:val="22"/>
          <w:szCs w:val="22"/>
          <w:highlight w:val="white"/>
        </w:rPr>
        <w:t>collection of information</w:t>
      </w:r>
      <w:r w:rsidR="00001719">
        <w:rPr>
          <w:sz w:val="22"/>
          <w:szCs w:val="22"/>
          <w:highlight w:val="white"/>
        </w:rPr>
        <w:t xml:space="preserve"> will recur once in 2019.  The Commission estimates that the public response burden in 2016 and 2019 will be the same.</w:t>
      </w:r>
    </w:p>
    <w:p w14:paraId="5E37A49E" w14:textId="77777777" w:rsidR="00AF35D2" w:rsidRPr="00D54C3E" w:rsidRDefault="00AF35D2" w:rsidP="00064AEC">
      <w:pPr>
        <w:pStyle w:val="NoSpacing"/>
        <w:rPr>
          <w:sz w:val="22"/>
          <w:szCs w:val="22"/>
          <w:highlight w:val="white"/>
        </w:rPr>
      </w:pPr>
    </w:p>
    <w:p w14:paraId="17B3340B" w14:textId="77777777" w:rsidR="00AF35D2" w:rsidRPr="00D54C3E" w:rsidRDefault="00AF35D2" w:rsidP="00064AEC">
      <w:pPr>
        <w:pStyle w:val="NoSpacing"/>
        <w:rPr>
          <w:sz w:val="22"/>
          <w:szCs w:val="22"/>
          <w:highlight w:val="white"/>
        </w:rPr>
      </w:pPr>
      <w:r w:rsidRPr="00D54C3E">
        <w:rPr>
          <w:sz w:val="22"/>
          <w:szCs w:val="22"/>
          <w:highlight w:val="white"/>
        </w:rPr>
        <w:t>a. Total capital and start-up cost component: The Commission does not expect any capital and start-up costs because all information likely already exists in firms’ records storage facilities.</w:t>
      </w:r>
    </w:p>
    <w:p w14:paraId="50E03A06" w14:textId="77777777" w:rsidR="00AF35D2" w:rsidRPr="00D54C3E" w:rsidRDefault="00AF35D2" w:rsidP="00064AEC">
      <w:pPr>
        <w:pStyle w:val="NoSpacing"/>
        <w:rPr>
          <w:sz w:val="22"/>
          <w:szCs w:val="22"/>
          <w:highlight w:val="white"/>
        </w:rPr>
      </w:pPr>
      <w:r w:rsidRPr="00D54C3E">
        <w:rPr>
          <w:sz w:val="22"/>
          <w:szCs w:val="22"/>
          <w:highlight w:val="white"/>
        </w:rPr>
        <w:tab/>
      </w:r>
      <w:r w:rsidRPr="00D54C3E">
        <w:rPr>
          <w:sz w:val="22"/>
          <w:szCs w:val="22"/>
          <w:highlight w:val="white"/>
        </w:rPr>
        <w:tab/>
      </w:r>
    </w:p>
    <w:p w14:paraId="451EE294" w14:textId="77777777" w:rsidR="00AF35D2" w:rsidRPr="00D54C3E" w:rsidRDefault="00AF35D2" w:rsidP="00064AEC">
      <w:pPr>
        <w:pStyle w:val="NoSpacing"/>
        <w:rPr>
          <w:sz w:val="22"/>
          <w:szCs w:val="22"/>
          <w:highlight w:val="white"/>
        </w:rPr>
      </w:pPr>
      <w:r w:rsidRPr="00D54C3E">
        <w:rPr>
          <w:sz w:val="22"/>
          <w:szCs w:val="22"/>
          <w:highlight w:val="white"/>
        </w:rPr>
        <w:lastRenderedPageBreak/>
        <w:t xml:space="preserve">b. Total operation and maintenance and purchase of service component: The Commission does not expect </w:t>
      </w:r>
      <w:r w:rsidR="008C7880">
        <w:rPr>
          <w:sz w:val="22"/>
          <w:szCs w:val="22"/>
          <w:highlight w:val="white"/>
        </w:rPr>
        <w:t>petitioner</w:t>
      </w:r>
      <w:r w:rsidR="008C7880" w:rsidRPr="00D54C3E">
        <w:rPr>
          <w:sz w:val="22"/>
          <w:szCs w:val="22"/>
          <w:highlight w:val="white"/>
        </w:rPr>
        <w:t xml:space="preserve">s </w:t>
      </w:r>
      <w:r w:rsidRPr="00D54C3E">
        <w:rPr>
          <w:sz w:val="22"/>
          <w:szCs w:val="22"/>
          <w:highlight w:val="white"/>
        </w:rPr>
        <w:t>will need to purchase any services in completing the questionnaire.</w:t>
      </w:r>
    </w:p>
    <w:p w14:paraId="4CE71EE8" w14:textId="77777777" w:rsidR="00904D03" w:rsidRPr="00D54C3E" w:rsidRDefault="00904D03" w:rsidP="00064AEC">
      <w:pPr>
        <w:pStyle w:val="NoSpacing"/>
        <w:rPr>
          <w:b/>
          <w:bCs/>
          <w:sz w:val="22"/>
          <w:szCs w:val="22"/>
          <w:highlight w:val="white"/>
        </w:rPr>
      </w:pPr>
    </w:p>
    <w:p w14:paraId="59998DA3" w14:textId="77777777" w:rsidR="00AF35D2" w:rsidRPr="00D54C3E" w:rsidRDefault="00AF35D2" w:rsidP="00904D03">
      <w:pPr>
        <w:pStyle w:val="NoSpacing"/>
        <w:numPr>
          <w:ilvl w:val="0"/>
          <w:numId w:val="8"/>
        </w:numPr>
        <w:rPr>
          <w:b/>
          <w:sz w:val="22"/>
          <w:szCs w:val="22"/>
        </w:rPr>
      </w:pPr>
      <w:r w:rsidRPr="00D54C3E">
        <w:rPr>
          <w:b/>
          <w:bCs/>
          <w:sz w:val="22"/>
          <w:szCs w:val="22"/>
        </w:rPr>
        <w:t>Federal change in burden</w:t>
      </w:r>
    </w:p>
    <w:p w14:paraId="01CDD1F6" w14:textId="77D29F39" w:rsidR="005E0F6E" w:rsidRPr="005E0F6E" w:rsidRDefault="005E0F6E" w:rsidP="005E0F6E">
      <w:pPr>
        <w:pStyle w:val="NoSpacing"/>
        <w:rPr>
          <w:sz w:val="22"/>
          <w:szCs w:val="22"/>
        </w:rPr>
      </w:pPr>
      <w:r w:rsidRPr="005E0F6E">
        <w:rPr>
          <w:sz w:val="22"/>
          <w:szCs w:val="22"/>
        </w:rPr>
        <w:t xml:space="preserve">The estimated total cost to the Federal Government is </w:t>
      </w:r>
      <w:r w:rsidR="00397423" w:rsidRPr="00187052">
        <w:rPr>
          <w:sz w:val="22"/>
          <w:szCs w:val="22"/>
        </w:rPr>
        <w:t>$</w:t>
      </w:r>
      <w:r w:rsidR="00397423">
        <w:rPr>
          <w:sz w:val="22"/>
          <w:szCs w:val="22"/>
        </w:rPr>
        <w:t>8</w:t>
      </w:r>
      <w:r w:rsidR="00397423" w:rsidRPr="00187052">
        <w:rPr>
          <w:sz w:val="22"/>
          <w:szCs w:val="22"/>
        </w:rPr>
        <w:t>,</w:t>
      </w:r>
      <w:r w:rsidR="00766875">
        <w:rPr>
          <w:sz w:val="22"/>
          <w:szCs w:val="22"/>
        </w:rPr>
        <w:t>08</w:t>
      </w:r>
      <w:r w:rsidR="00397423">
        <w:rPr>
          <w:sz w:val="22"/>
          <w:szCs w:val="22"/>
        </w:rPr>
        <w:t>2</w:t>
      </w:r>
      <w:r w:rsidR="00397423" w:rsidRPr="00187052">
        <w:rPr>
          <w:sz w:val="22"/>
          <w:szCs w:val="22"/>
        </w:rPr>
        <w:t>,500</w:t>
      </w:r>
      <w:r w:rsidR="00397423">
        <w:rPr>
          <w:sz w:val="22"/>
          <w:szCs w:val="22"/>
        </w:rPr>
        <w:t xml:space="preserve"> </w:t>
      </w:r>
      <w:r w:rsidRPr="005E0F6E">
        <w:rPr>
          <w:sz w:val="22"/>
          <w:szCs w:val="22"/>
        </w:rPr>
        <w:t xml:space="preserve">as detailed below. No new equipment will be purchased because existing equipment will be used to process the </w:t>
      </w:r>
      <w:r w:rsidR="00444460">
        <w:rPr>
          <w:sz w:val="22"/>
          <w:szCs w:val="22"/>
        </w:rPr>
        <w:t>petitions and comments</w:t>
      </w:r>
      <w:r w:rsidRPr="005E0F6E">
        <w:rPr>
          <w:sz w:val="22"/>
          <w:szCs w:val="22"/>
        </w:rPr>
        <w:t xml:space="preserve">. </w:t>
      </w:r>
    </w:p>
    <w:p w14:paraId="4FFC7CDE" w14:textId="77777777" w:rsidR="005E0F6E" w:rsidRPr="005E0F6E" w:rsidRDefault="005E0F6E" w:rsidP="005E0F6E">
      <w:pPr>
        <w:pStyle w:val="NoSpacing"/>
        <w:rPr>
          <w:sz w:val="22"/>
          <w:szCs w:val="22"/>
        </w:rPr>
      </w:pPr>
    </w:p>
    <w:p w14:paraId="244F3AD4" w14:textId="2EBBBE1B" w:rsidR="005E0F6E" w:rsidRPr="00187052" w:rsidRDefault="005E0F6E" w:rsidP="005E0F6E">
      <w:pPr>
        <w:pStyle w:val="NoSpacing"/>
        <w:rPr>
          <w:sz w:val="22"/>
          <w:szCs w:val="22"/>
        </w:rPr>
      </w:pPr>
      <w:r w:rsidRPr="005E0F6E">
        <w:rPr>
          <w:sz w:val="22"/>
          <w:szCs w:val="22"/>
        </w:rPr>
        <w:tab/>
      </w:r>
      <w:r w:rsidRPr="00187052">
        <w:rPr>
          <w:sz w:val="22"/>
          <w:szCs w:val="22"/>
        </w:rPr>
        <w:t xml:space="preserve">Personnel cost* </w:t>
      </w:r>
      <w:r w:rsidRPr="00187052">
        <w:rPr>
          <w:sz w:val="22"/>
          <w:szCs w:val="22"/>
        </w:rPr>
        <w:tab/>
        <w:t>= $</w:t>
      </w:r>
      <w:r w:rsidR="00187052" w:rsidRPr="00187052">
        <w:rPr>
          <w:sz w:val="22"/>
          <w:szCs w:val="22"/>
        </w:rPr>
        <w:t>7,617,500</w:t>
      </w:r>
    </w:p>
    <w:p w14:paraId="0E9089E5" w14:textId="6A4F05AA" w:rsidR="005E0F6E" w:rsidRPr="00187052" w:rsidRDefault="00187052" w:rsidP="005E0F6E">
      <w:pPr>
        <w:pStyle w:val="NoSpacing"/>
        <w:rPr>
          <w:sz w:val="22"/>
          <w:szCs w:val="22"/>
        </w:rPr>
      </w:pPr>
      <w:r w:rsidRPr="00187052">
        <w:rPr>
          <w:sz w:val="22"/>
          <w:szCs w:val="22"/>
        </w:rPr>
        <w:tab/>
        <w:t>Operational costs</w:t>
      </w:r>
      <w:r w:rsidR="00AE5156">
        <w:rPr>
          <w:sz w:val="22"/>
          <w:szCs w:val="22"/>
        </w:rPr>
        <w:t>**</w:t>
      </w:r>
      <w:r w:rsidRPr="00187052">
        <w:rPr>
          <w:sz w:val="22"/>
          <w:szCs w:val="22"/>
        </w:rPr>
        <w:t xml:space="preserve"> </w:t>
      </w:r>
      <w:r w:rsidRPr="00187052">
        <w:rPr>
          <w:sz w:val="22"/>
          <w:szCs w:val="22"/>
        </w:rPr>
        <w:tab/>
        <w:t xml:space="preserve">= </w:t>
      </w:r>
      <w:r w:rsidR="00060EF8" w:rsidRPr="00187052">
        <w:rPr>
          <w:sz w:val="22"/>
          <w:szCs w:val="22"/>
        </w:rPr>
        <w:t>$</w:t>
      </w:r>
      <w:r w:rsidRPr="00187052">
        <w:rPr>
          <w:sz w:val="22"/>
          <w:szCs w:val="22"/>
        </w:rPr>
        <w:t xml:space="preserve">   </w:t>
      </w:r>
      <w:r w:rsidR="00397423">
        <w:rPr>
          <w:sz w:val="22"/>
          <w:szCs w:val="22"/>
        </w:rPr>
        <w:t>4</w:t>
      </w:r>
      <w:r w:rsidR="00DC1332">
        <w:rPr>
          <w:sz w:val="22"/>
          <w:szCs w:val="22"/>
        </w:rPr>
        <w:t>6</w:t>
      </w:r>
      <w:r w:rsidR="00397423">
        <w:rPr>
          <w:sz w:val="22"/>
          <w:szCs w:val="22"/>
        </w:rPr>
        <w:t>5</w:t>
      </w:r>
      <w:r w:rsidRPr="00187052">
        <w:rPr>
          <w:sz w:val="22"/>
          <w:szCs w:val="22"/>
        </w:rPr>
        <w:t>,000</w:t>
      </w:r>
    </w:p>
    <w:p w14:paraId="5A06D67B" w14:textId="33572529" w:rsidR="005E0F6E" w:rsidRPr="00187052" w:rsidRDefault="00060EF8" w:rsidP="005E0F6E">
      <w:pPr>
        <w:pStyle w:val="NoSpacing"/>
        <w:rPr>
          <w:sz w:val="22"/>
          <w:szCs w:val="22"/>
        </w:rPr>
      </w:pPr>
      <w:r w:rsidRPr="00187052">
        <w:rPr>
          <w:sz w:val="22"/>
          <w:szCs w:val="22"/>
        </w:rPr>
        <w:tab/>
        <w:t>Total cost</w:t>
      </w:r>
      <w:r w:rsidRPr="00187052">
        <w:rPr>
          <w:sz w:val="22"/>
          <w:szCs w:val="22"/>
        </w:rPr>
        <w:tab/>
      </w:r>
      <w:r w:rsidRPr="00187052">
        <w:rPr>
          <w:sz w:val="22"/>
          <w:szCs w:val="22"/>
        </w:rPr>
        <w:tab/>
        <w:t>= $</w:t>
      </w:r>
      <w:r w:rsidR="00397423">
        <w:rPr>
          <w:sz w:val="22"/>
          <w:szCs w:val="22"/>
        </w:rPr>
        <w:t>8</w:t>
      </w:r>
      <w:r w:rsidR="00187052" w:rsidRPr="00187052">
        <w:rPr>
          <w:sz w:val="22"/>
          <w:szCs w:val="22"/>
        </w:rPr>
        <w:t>,</w:t>
      </w:r>
      <w:r w:rsidR="00397423">
        <w:rPr>
          <w:sz w:val="22"/>
          <w:szCs w:val="22"/>
        </w:rPr>
        <w:t>0</w:t>
      </w:r>
      <w:r w:rsidR="00DC1332">
        <w:rPr>
          <w:sz w:val="22"/>
          <w:szCs w:val="22"/>
        </w:rPr>
        <w:t>8</w:t>
      </w:r>
      <w:r w:rsidR="00397423">
        <w:rPr>
          <w:sz w:val="22"/>
          <w:szCs w:val="22"/>
        </w:rPr>
        <w:t>2</w:t>
      </w:r>
      <w:r w:rsidR="00187052" w:rsidRPr="00187052">
        <w:rPr>
          <w:sz w:val="22"/>
          <w:szCs w:val="22"/>
        </w:rPr>
        <w:t>,500</w:t>
      </w:r>
    </w:p>
    <w:p w14:paraId="535F00AD" w14:textId="77777777" w:rsidR="005E0F6E" w:rsidRPr="00187052" w:rsidRDefault="005E0F6E" w:rsidP="005E0F6E">
      <w:pPr>
        <w:pStyle w:val="NoSpacing"/>
        <w:rPr>
          <w:sz w:val="22"/>
          <w:szCs w:val="22"/>
        </w:rPr>
      </w:pPr>
    </w:p>
    <w:p w14:paraId="7EA9DE6F" w14:textId="0F7396A2" w:rsidR="005E0F6E" w:rsidRDefault="005E0F6E" w:rsidP="005E0F6E">
      <w:pPr>
        <w:pStyle w:val="NoSpacing"/>
        <w:rPr>
          <w:sz w:val="22"/>
          <w:szCs w:val="22"/>
        </w:rPr>
      </w:pPr>
      <w:r w:rsidRPr="00187052">
        <w:rPr>
          <w:sz w:val="22"/>
          <w:szCs w:val="22"/>
        </w:rPr>
        <w:t xml:space="preserve">*The hourly figure was approximated by dividing the </w:t>
      </w:r>
      <w:r w:rsidRPr="00F33629">
        <w:rPr>
          <w:sz w:val="22"/>
          <w:szCs w:val="22"/>
        </w:rPr>
        <w:t>Commission’s average salary level ($143,000)</w:t>
      </w:r>
      <w:r w:rsidRPr="00187052">
        <w:rPr>
          <w:sz w:val="22"/>
          <w:szCs w:val="22"/>
        </w:rPr>
        <w:t xml:space="preserve"> by the number of work hours per year (2,080), which is equivalent to an average cost of $68.75 per hour. Personnel costs </w:t>
      </w:r>
      <w:r w:rsidR="00A77F9A" w:rsidRPr="00187052">
        <w:rPr>
          <w:sz w:val="22"/>
          <w:szCs w:val="22"/>
        </w:rPr>
        <w:t xml:space="preserve">include </w:t>
      </w:r>
      <w:r w:rsidR="002E4252">
        <w:rPr>
          <w:sz w:val="22"/>
          <w:szCs w:val="22"/>
        </w:rPr>
        <w:t>staff time</w:t>
      </w:r>
      <w:r w:rsidR="00A77F9A" w:rsidRPr="00187052">
        <w:rPr>
          <w:sz w:val="22"/>
          <w:szCs w:val="22"/>
        </w:rPr>
        <w:t xml:space="preserve"> devoted to development and maintenance of the web portal</w:t>
      </w:r>
      <w:r w:rsidR="003E72CB">
        <w:rPr>
          <w:sz w:val="22"/>
          <w:szCs w:val="22"/>
        </w:rPr>
        <w:t>;</w:t>
      </w:r>
      <w:r w:rsidRPr="00187052">
        <w:rPr>
          <w:sz w:val="22"/>
          <w:szCs w:val="22"/>
        </w:rPr>
        <w:t xml:space="preserve"> </w:t>
      </w:r>
      <w:r w:rsidR="003E72CB">
        <w:rPr>
          <w:sz w:val="22"/>
          <w:szCs w:val="22"/>
        </w:rPr>
        <w:t xml:space="preserve">development of an effective process and documentation; </w:t>
      </w:r>
      <w:r w:rsidR="00B23C55" w:rsidRPr="00187052">
        <w:rPr>
          <w:sz w:val="22"/>
          <w:szCs w:val="22"/>
        </w:rPr>
        <w:t>intake o</w:t>
      </w:r>
      <w:r w:rsidR="00A77F9A" w:rsidRPr="00187052">
        <w:rPr>
          <w:sz w:val="22"/>
          <w:szCs w:val="22"/>
        </w:rPr>
        <w:t xml:space="preserve">f petitions and comments, </w:t>
      </w:r>
      <w:r w:rsidR="00B23C55" w:rsidRPr="00187052">
        <w:rPr>
          <w:sz w:val="22"/>
          <w:szCs w:val="22"/>
        </w:rPr>
        <w:t>analysis</w:t>
      </w:r>
      <w:r w:rsidR="00A77F9A" w:rsidRPr="00187052">
        <w:rPr>
          <w:sz w:val="22"/>
          <w:szCs w:val="22"/>
        </w:rPr>
        <w:t xml:space="preserve"> and review of the submissions</w:t>
      </w:r>
      <w:r w:rsidR="00B23C55" w:rsidRPr="00187052">
        <w:rPr>
          <w:sz w:val="22"/>
          <w:szCs w:val="22"/>
        </w:rPr>
        <w:t xml:space="preserve">, </w:t>
      </w:r>
      <w:r w:rsidR="003E72CB">
        <w:rPr>
          <w:sz w:val="22"/>
          <w:szCs w:val="22"/>
        </w:rPr>
        <w:t xml:space="preserve">as well as related research; </w:t>
      </w:r>
      <w:r w:rsidRPr="00187052">
        <w:rPr>
          <w:sz w:val="22"/>
          <w:szCs w:val="22"/>
        </w:rPr>
        <w:t xml:space="preserve">calls to </w:t>
      </w:r>
      <w:r w:rsidR="00B23C55" w:rsidRPr="00187052">
        <w:rPr>
          <w:sz w:val="22"/>
          <w:szCs w:val="22"/>
        </w:rPr>
        <w:t>petitioners and commenters</w:t>
      </w:r>
      <w:r w:rsidRPr="00187052">
        <w:rPr>
          <w:sz w:val="22"/>
          <w:szCs w:val="22"/>
        </w:rPr>
        <w:t xml:space="preserve"> from Commission staff to ensure that</w:t>
      </w:r>
      <w:r w:rsidR="00B23C55" w:rsidRPr="00187052">
        <w:rPr>
          <w:sz w:val="22"/>
          <w:szCs w:val="22"/>
        </w:rPr>
        <w:t xml:space="preserve"> the</w:t>
      </w:r>
      <w:r w:rsidRPr="00187052">
        <w:rPr>
          <w:sz w:val="22"/>
          <w:szCs w:val="22"/>
        </w:rPr>
        <w:t xml:space="preserve"> organizations</w:t>
      </w:r>
      <w:r w:rsidR="00B23C55" w:rsidRPr="00187052">
        <w:rPr>
          <w:sz w:val="22"/>
          <w:szCs w:val="22"/>
        </w:rPr>
        <w:t>’</w:t>
      </w:r>
      <w:r w:rsidRPr="00187052">
        <w:rPr>
          <w:sz w:val="22"/>
          <w:szCs w:val="22"/>
        </w:rPr>
        <w:t xml:space="preserve"> </w:t>
      </w:r>
      <w:r w:rsidR="00B23C55" w:rsidRPr="00187052">
        <w:rPr>
          <w:sz w:val="22"/>
          <w:szCs w:val="22"/>
        </w:rPr>
        <w:t>petitions and comments</w:t>
      </w:r>
      <w:r w:rsidR="00A77F9A" w:rsidRPr="00187052">
        <w:rPr>
          <w:sz w:val="22"/>
          <w:szCs w:val="22"/>
        </w:rPr>
        <w:t xml:space="preserve"> </w:t>
      </w:r>
      <w:r w:rsidRPr="00187052">
        <w:rPr>
          <w:sz w:val="22"/>
          <w:szCs w:val="22"/>
        </w:rPr>
        <w:t>are accurate</w:t>
      </w:r>
      <w:r w:rsidR="008A1FAE" w:rsidRPr="00187052">
        <w:rPr>
          <w:sz w:val="22"/>
          <w:szCs w:val="22"/>
        </w:rPr>
        <w:t xml:space="preserve"> and to clarify any issues</w:t>
      </w:r>
      <w:r w:rsidR="003E72CB">
        <w:rPr>
          <w:sz w:val="22"/>
          <w:szCs w:val="22"/>
        </w:rPr>
        <w:t>; and preparation of the preliminary and final reports</w:t>
      </w:r>
      <w:r w:rsidRPr="00187052">
        <w:rPr>
          <w:sz w:val="22"/>
          <w:szCs w:val="22"/>
        </w:rPr>
        <w:t>. The Commission estimates</w:t>
      </w:r>
      <w:r w:rsidR="00187052" w:rsidRPr="00187052">
        <w:rPr>
          <w:sz w:val="22"/>
          <w:szCs w:val="22"/>
        </w:rPr>
        <w:t xml:space="preserve"> approximately 70 staff will spend a total of</w:t>
      </w:r>
      <w:r w:rsidRPr="00187052">
        <w:rPr>
          <w:sz w:val="22"/>
          <w:szCs w:val="22"/>
        </w:rPr>
        <w:t xml:space="preserve"> </w:t>
      </w:r>
      <w:r w:rsidR="00730683" w:rsidRPr="00187052">
        <w:rPr>
          <w:sz w:val="22"/>
          <w:szCs w:val="22"/>
        </w:rPr>
        <w:t>110,800</w:t>
      </w:r>
      <w:r w:rsidRPr="00187052">
        <w:rPr>
          <w:sz w:val="22"/>
          <w:szCs w:val="22"/>
        </w:rPr>
        <w:t xml:space="preserve"> personnel hours (</w:t>
      </w:r>
      <w:r w:rsidR="00730683" w:rsidRPr="00187052">
        <w:rPr>
          <w:sz w:val="22"/>
          <w:szCs w:val="22"/>
        </w:rPr>
        <w:t>2,770</w:t>
      </w:r>
      <w:r w:rsidRPr="00187052">
        <w:rPr>
          <w:sz w:val="22"/>
          <w:szCs w:val="22"/>
        </w:rPr>
        <w:t xml:space="preserve"> personnel weeks) on the </w:t>
      </w:r>
      <w:r w:rsidR="00187052" w:rsidRPr="00187052">
        <w:rPr>
          <w:sz w:val="22"/>
          <w:szCs w:val="22"/>
        </w:rPr>
        <w:t>activities described above</w:t>
      </w:r>
      <w:r w:rsidRPr="00187052">
        <w:rPr>
          <w:sz w:val="22"/>
          <w:szCs w:val="22"/>
        </w:rPr>
        <w:t xml:space="preserve">, which is approximately </w:t>
      </w:r>
      <w:r w:rsidR="00730683" w:rsidRPr="00187052">
        <w:rPr>
          <w:sz w:val="22"/>
          <w:szCs w:val="22"/>
        </w:rPr>
        <w:t xml:space="preserve">100 </w:t>
      </w:r>
      <w:r w:rsidRPr="00187052">
        <w:rPr>
          <w:sz w:val="22"/>
          <w:szCs w:val="22"/>
        </w:rPr>
        <w:t xml:space="preserve">percent of the total personnel hours the Commission budgeted for the </w:t>
      </w:r>
      <w:r w:rsidR="00BC7C40">
        <w:rPr>
          <w:sz w:val="22"/>
          <w:szCs w:val="22"/>
        </w:rPr>
        <w:t>program</w:t>
      </w:r>
      <w:r w:rsidRPr="00187052">
        <w:rPr>
          <w:sz w:val="22"/>
          <w:szCs w:val="22"/>
        </w:rPr>
        <w:t>.</w:t>
      </w:r>
    </w:p>
    <w:p w14:paraId="5D55BBFF" w14:textId="055A2ED8" w:rsidR="00AE5156" w:rsidRPr="005E0F6E" w:rsidRDefault="00AE5156" w:rsidP="005E0F6E">
      <w:pPr>
        <w:pStyle w:val="NoSpacing"/>
        <w:rPr>
          <w:sz w:val="22"/>
          <w:szCs w:val="22"/>
        </w:rPr>
      </w:pPr>
      <w:r>
        <w:rPr>
          <w:sz w:val="22"/>
          <w:szCs w:val="22"/>
        </w:rPr>
        <w:t>**Operational costs include certain costs associated with the development and maintenance of the web portal</w:t>
      </w:r>
      <w:r w:rsidR="00397423">
        <w:rPr>
          <w:sz w:val="22"/>
          <w:szCs w:val="22"/>
        </w:rPr>
        <w:t>, as well as, office space</w:t>
      </w:r>
      <w:r>
        <w:rPr>
          <w:sz w:val="22"/>
          <w:szCs w:val="22"/>
        </w:rPr>
        <w:t>.</w:t>
      </w:r>
    </w:p>
    <w:p w14:paraId="55C7569D" w14:textId="77777777" w:rsidR="005E0F6E" w:rsidRPr="005E0F6E" w:rsidRDefault="005E0F6E" w:rsidP="005E0F6E">
      <w:pPr>
        <w:pStyle w:val="NoSpacing"/>
        <w:ind w:left="720"/>
        <w:rPr>
          <w:b/>
          <w:sz w:val="22"/>
          <w:szCs w:val="22"/>
          <w:highlight w:val="white"/>
        </w:rPr>
      </w:pPr>
    </w:p>
    <w:p w14:paraId="5B529C7A" w14:textId="77777777" w:rsidR="00AF35D2" w:rsidRPr="00D54C3E" w:rsidRDefault="00AF35D2" w:rsidP="00904D03">
      <w:pPr>
        <w:pStyle w:val="NoSpacing"/>
        <w:numPr>
          <w:ilvl w:val="0"/>
          <w:numId w:val="8"/>
        </w:numPr>
        <w:rPr>
          <w:b/>
          <w:sz w:val="22"/>
          <w:szCs w:val="22"/>
          <w:highlight w:val="white"/>
        </w:rPr>
      </w:pPr>
      <w:r w:rsidRPr="00D54C3E">
        <w:rPr>
          <w:b/>
          <w:bCs/>
          <w:sz w:val="22"/>
          <w:szCs w:val="22"/>
          <w:highlight w:val="white"/>
        </w:rPr>
        <w:t>Program change justification</w:t>
      </w:r>
    </w:p>
    <w:p w14:paraId="33FF4F7D" w14:textId="53CDFCF7" w:rsidR="005E0F6E" w:rsidRPr="00D54C3E" w:rsidRDefault="005E0F6E" w:rsidP="005E0F6E">
      <w:pPr>
        <w:pStyle w:val="NoSpacing"/>
        <w:rPr>
          <w:sz w:val="22"/>
          <w:szCs w:val="22"/>
          <w:highlight w:val="white"/>
        </w:rPr>
      </w:pPr>
      <w:r w:rsidRPr="00D54C3E">
        <w:rPr>
          <w:sz w:val="22"/>
          <w:szCs w:val="22"/>
          <w:highlight w:val="white"/>
        </w:rPr>
        <w:t xml:space="preserve">The Commission currently imposes no reporting burden on firms with respect to </w:t>
      </w:r>
      <w:r w:rsidR="00430F7B">
        <w:rPr>
          <w:sz w:val="22"/>
          <w:szCs w:val="22"/>
          <w:highlight w:val="white"/>
        </w:rPr>
        <w:t>requests for temporary duty suspensions and reductions</w:t>
      </w:r>
      <w:r>
        <w:rPr>
          <w:sz w:val="22"/>
          <w:szCs w:val="22"/>
          <w:highlight w:val="white"/>
        </w:rPr>
        <w:t>.</w:t>
      </w:r>
      <w:r w:rsidRPr="00D54C3E">
        <w:rPr>
          <w:sz w:val="22"/>
          <w:szCs w:val="22"/>
          <w:highlight w:val="white"/>
        </w:rPr>
        <w:t xml:space="preserve"> The burden on firms increased because of </w:t>
      </w:r>
      <w:r w:rsidR="00430F7B">
        <w:rPr>
          <w:sz w:val="22"/>
          <w:szCs w:val="22"/>
          <w:highlight w:val="white"/>
        </w:rPr>
        <w:t>legislation mandating a process whereby the Commission will be receiving and reporting on petitions for temporary duty suspensions and reductions</w:t>
      </w:r>
      <w:r w:rsidRPr="00D54C3E">
        <w:rPr>
          <w:sz w:val="22"/>
          <w:szCs w:val="22"/>
          <w:highlight w:val="white"/>
        </w:rPr>
        <w:t>. This collection</w:t>
      </w:r>
      <w:r w:rsidR="00001719">
        <w:rPr>
          <w:sz w:val="22"/>
          <w:szCs w:val="22"/>
          <w:highlight w:val="white"/>
        </w:rPr>
        <w:t xml:space="preserve"> of information will occur in 2016 and 2019</w:t>
      </w:r>
      <w:r w:rsidRPr="00D54C3E">
        <w:rPr>
          <w:sz w:val="22"/>
          <w:szCs w:val="22"/>
          <w:highlight w:val="white"/>
        </w:rPr>
        <w:t xml:space="preserve">. </w:t>
      </w:r>
    </w:p>
    <w:p w14:paraId="649937C3" w14:textId="77777777" w:rsidR="00AF35D2" w:rsidRPr="00D54C3E" w:rsidRDefault="00AF35D2" w:rsidP="00064AEC">
      <w:pPr>
        <w:pStyle w:val="NoSpacing"/>
        <w:rPr>
          <w:sz w:val="22"/>
          <w:szCs w:val="22"/>
          <w:highlight w:val="white"/>
        </w:rPr>
      </w:pPr>
    </w:p>
    <w:p w14:paraId="64FD2D5F" w14:textId="77777777" w:rsidR="00AF35D2" w:rsidRPr="00D54C3E" w:rsidRDefault="00AF35D2" w:rsidP="00904D03">
      <w:pPr>
        <w:pStyle w:val="NoSpacing"/>
        <w:numPr>
          <w:ilvl w:val="0"/>
          <w:numId w:val="8"/>
        </w:numPr>
        <w:rPr>
          <w:b/>
          <w:sz w:val="22"/>
          <w:szCs w:val="22"/>
          <w:highlight w:val="white"/>
        </w:rPr>
      </w:pPr>
      <w:r w:rsidRPr="00D54C3E">
        <w:rPr>
          <w:b/>
          <w:bCs/>
          <w:sz w:val="22"/>
          <w:szCs w:val="22"/>
          <w:highlight w:val="white"/>
        </w:rPr>
        <w:t>Project plan and schedule</w:t>
      </w:r>
    </w:p>
    <w:p w14:paraId="5FC2872D" w14:textId="342915C4" w:rsidR="005E0F6E" w:rsidRPr="00D54C3E" w:rsidRDefault="00AD1960" w:rsidP="005E0F6E">
      <w:pPr>
        <w:pStyle w:val="NoSpacing"/>
        <w:rPr>
          <w:sz w:val="22"/>
          <w:szCs w:val="22"/>
        </w:rPr>
      </w:pPr>
      <w:r>
        <w:rPr>
          <w:sz w:val="22"/>
          <w:szCs w:val="22"/>
        </w:rPr>
        <w:t xml:space="preserve">For the 2016 cycle, the Commission must begin accepting petitions not later than October 15, 2016.  The public then has </w:t>
      </w:r>
      <w:r w:rsidR="002E4252">
        <w:rPr>
          <w:sz w:val="22"/>
          <w:szCs w:val="22"/>
        </w:rPr>
        <w:t>sixty (</w:t>
      </w:r>
      <w:r>
        <w:rPr>
          <w:sz w:val="22"/>
          <w:szCs w:val="22"/>
        </w:rPr>
        <w:t>60</w:t>
      </w:r>
      <w:r w:rsidR="002E4252">
        <w:rPr>
          <w:sz w:val="22"/>
          <w:szCs w:val="22"/>
        </w:rPr>
        <w:t>)</w:t>
      </w:r>
      <w:r>
        <w:rPr>
          <w:sz w:val="22"/>
          <w:szCs w:val="22"/>
        </w:rPr>
        <w:t xml:space="preserve"> days to submit their petitions.  Thirty </w:t>
      </w:r>
      <w:r w:rsidR="007B7FD4">
        <w:rPr>
          <w:sz w:val="22"/>
          <w:szCs w:val="22"/>
        </w:rPr>
        <w:t xml:space="preserve">(30) </w:t>
      </w:r>
      <w:r>
        <w:rPr>
          <w:sz w:val="22"/>
          <w:szCs w:val="22"/>
        </w:rPr>
        <w:t>days after the expiration of the submission period, the Commission must publish the petitions it has received</w:t>
      </w:r>
      <w:r w:rsidR="00D63F74">
        <w:rPr>
          <w:sz w:val="22"/>
          <w:szCs w:val="22"/>
        </w:rPr>
        <w:t xml:space="preserve"> that meet the requirements set forth in the legislation</w:t>
      </w:r>
      <w:r>
        <w:rPr>
          <w:sz w:val="22"/>
          <w:szCs w:val="22"/>
        </w:rPr>
        <w:t xml:space="preserve">.  The public has </w:t>
      </w:r>
      <w:r w:rsidR="002E4252">
        <w:rPr>
          <w:sz w:val="22"/>
          <w:szCs w:val="22"/>
        </w:rPr>
        <w:t>forty-five (</w:t>
      </w:r>
      <w:r>
        <w:rPr>
          <w:sz w:val="22"/>
          <w:szCs w:val="22"/>
        </w:rPr>
        <w:t>45</w:t>
      </w:r>
      <w:r w:rsidR="002E4252">
        <w:rPr>
          <w:sz w:val="22"/>
          <w:szCs w:val="22"/>
        </w:rPr>
        <w:t>)</w:t>
      </w:r>
      <w:r>
        <w:rPr>
          <w:sz w:val="22"/>
          <w:szCs w:val="22"/>
        </w:rPr>
        <w:t xml:space="preserve"> days from publication of the petitions to comment on those that were published.  </w:t>
      </w:r>
      <w:r w:rsidR="002E4252">
        <w:rPr>
          <w:sz w:val="22"/>
          <w:szCs w:val="22"/>
        </w:rPr>
        <w:t>Forty-five (45)</w:t>
      </w:r>
      <w:r>
        <w:rPr>
          <w:sz w:val="22"/>
          <w:szCs w:val="22"/>
        </w:rPr>
        <w:t xml:space="preserve"> days after the close of the comment period, the Department of Commerce must submit, to Congress and the Commission</w:t>
      </w:r>
      <w:r w:rsidR="00EF5AD3">
        <w:rPr>
          <w:sz w:val="22"/>
          <w:szCs w:val="22"/>
        </w:rPr>
        <w:t>, its</w:t>
      </w:r>
      <w:r>
        <w:rPr>
          <w:sz w:val="22"/>
          <w:szCs w:val="22"/>
        </w:rPr>
        <w:t xml:space="preserve"> statutorily required report on the petitions.  </w:t>
      </w:r>
      <w:r w:rsidR="002E4252">
        <w:rPr>
          <w:sz w:val="22"/>
          <w:szCs w:val="22"/>
        </w:rPr>
        <w:t>Sixty (60)</w:t>
      </w:r>
      <w:r>
        <w:rPr>
          <w:sz w:val="22"/>
          <w:szCs w:val="22"/>
        </w:rPr>
        <w:t xml:space="preserve"> days after the Commerce report is due, the Commission’s preliminary report is due to Congress and will be published on the Commission’s website.  Not later than sixty</w:t>
      </w:r>
      <w:r w:rsidR="002E4252">
        <w:rPr>
          <w:sz w:val="22"/>
          <w:szCs w:val="22"/>
        </w:rPr>
        <w:t xml:space="preserve"> (60)</w:t>
      </w:r>
      <w:r>
        <w:rPr>
          <w:sz w:val="22"/>
          <w:szCs w:val="22"/>
        </w:rPr>
        <w:t xml:space="preserve"> days after submission of the preliminary report, the Commission’s final report is due to </w:t>
      </w:r>
      <w:r w:rsidR="00DC1332">
        <w:rPr>
          <w:sz w:val="22"/>
          <w:szCs w:val="22"/>
        </w:rPr>
        <w:t>the Committees</w:t>
      </w:r>
      <w:r>
        <w:rPr>
          <w:sz w:val="22"/>
          <w:szCs w:val="22"/>
        </w:rPr>
        <w:t xml:space="preserve"> and will be published on the Commission’s website.  The entire process at the Commission is, therefore, </w:t>
      </w:r>
      <w:r w:rsidR="002E4252">
        <w:rPr>
          <w:sz w:val="22"/>
          <w:szCs w:val="22"/>
        </w:rPr>
        <w:t xml:space="preserve">approximately </w:t>
      </w:r>
      <w:r>
        <w:rPr>
          <w:sz w:val="22"/>
          <w:szCs w:val="22"/>
        </w:rPr>
        <w:t xml:space="preserve">300 days from start to finish.  Congress has expressed a sense that it will consider a miscellaneous tariff bill within </w:t>
      </w:r>
      <w:r w:rsidR="002E4252">
        <w:rPr>
          <w:sz w:val="22"/>
          <w:szCs w:val="22"/>
        </w:rPr>
        <w:t>ninety (</w:t>
      </w:r>
      <w:r>
        <w:rPr>
          <w:sz w:val="22"/>
          <w:szCs w:val="22"/>
        </w:rPr>
        <w:t>90</w:t>
      </w:r>
      <w:r w:rsidR="002E4252">
        <w:rPr>
          <w:sz w:val="22"/>
          <w:szCs w:val="22"/>
        </w:rPr>
        <w:t>)</w:t>
      </w:r>
      <w:r>
        <w:rPr>
          <w:sz w:val="22"/>
          <w:szCs w:val="22"/>
        </w:rPr>
        <w:t xml:space="preserve"> days of the Commission submitting its final report.</w:t>
      </w:r>
    </w:p>
    <w:p w14:paraId="44C8B83E" w14:textId="77777777" w:rsidR="00AF35D2" w:rsidRPr="00D54C3E" w:rsidRDefault="00AF35D2" w:rsidP="00064AEC">
      <w:pPr>
        <w:pStyle w:val="NoSpacing"/>
        <w:rPr>
          <w:sz w:val="22"/>
          <w:szCs w:val="22"/>
        </w:rPr>
      </w:pPr>
    </w:p>
    <w:p w14:paraId="6350F5C4" w14:textId="77777777" w:rsidR="00AF35D2" w:rsidRPr="00D54C3E" w:rsidRDefault="00AF35D2" w:rsidP="00904D03">
      <w:pPr>
        <w:pStyle w:val="NoSpacing"/>
        <w:numPr>
          <w:ilvl w:val="0"/>
          <w:numId w:val="8"/>
        </w:numPr>
        <w:rPr>
          <w:b/>
          <w:sz w:val="22"/>
          <w:szCs w:val="22"/>
          <w:highlight w:val="white"/>
        </w:rPr>
      </w:pPr>
      <w:r w:rsidRPr="00D54C3E">
        <w:rPr>
          <w:b/>
          <w:bCs/>
          <w:sz w:val="22"/>
          <w:szCs w:val="22"/>
          <w:highlight w:val="white"/>
        </w:rPr>
        <w:t>Non-display of expiration date</w:t>
      </w:r>
    </w:p>
    <w:p w14:paraId="33F158D7" w14:textId="2FA480CB" w:rsidR="00AF35D2" w:rsidRPr="00D54C3E" w:rsidRDefault="002E4252" w:rsidP="00064AEC">
      <w:pPr>
        <w:pStyle w:val="NoSpacing"/>
        <w:rPr>
          <w:sz w:val="22"/>
          <w:szCs w:val="22"/>
          <w:highlight w:val="white"/>
        </w:rPr>
      </w:pPr>
      <w:r>
        <w:rPr>
          <w:sz w:val="22"/>
          <w:szCs w:val="22"/>
          <w:highlight w:val="white"/>
        </w:rPr>
        <w:t>Not applicable</w:t>
      </w:r>
      <w:r w:rsidR="00E73EE5" w:rsidRPr="00D54C3E">
        <w:rPr>
          <w:sz w:val="22"/>
          <w:szCs w:val="22"/>
          <w:highlight w:val="white"/>
        </w:rPr>
        <w:t>.</w:t>
      </w:r>
    </w:p>
    <w:p w14:paraId="4CE9F484" w14:textId="77777777" w:rsidR="00AF35D2" w:rsidRPr="00D54C3E" w:rsidRDefault="00430F7B" w:rsidP="00064AEC">
      <w:pPr>
        <w:pStyle w:val="NoSpacing"/>
        <w:rPr>
          <w:sz w:val="22"/>
          <w:szCs w:val="22"/>
          <w:highlight w:val="white"/>
        </w:rPr>
      </w:pPr>
      <w:r>
        <w:rPr>
          <w:sz w:val="22"/>
          <w:szCs w:val="22"/>
          <w:highlight w:val="white"/>
        </w:rPr>
        <w:t xml:space="preserve"> </w:t>
      </w:r>
    </w:p>
    <w:p w14:paraId="46563F93" w14:textId="77777777" w:rsidR="00AF35D2" w:rsidRPr="00D54C3E" w:rsidRDefault="00AF35D2" w:rsidP="00904D03">
      <w:pPr>
        <w:pStyle w:val="NoSpacing"/>
        <w:numPr>
          <w:ilvl w:val="0"/>
          <w:numId w:val="8"/>
        </w:numPr>
        <w:rPr>
          <w:b/>
          <w:sz w:val="22"/>
          <w:szCs w:val="22"/>
          <w:highlight w:val="white"/>
        </w:rPr>
      </w:pPr>
      <w:r w:rsidRPr="00D54C3E">
        <w:rPr>
          <w:b/>
          <w:bCs/>
          <w:sz w:val="22"/>
          <w:szCs w:val="22"/>
          <w:highlight w:val="white"/>
        </w:rPr>
        <w:t>Exceptions to certification statement to form OMB 83-I</w:t>
      </w:r>
    </w:p>
    <w:p w14:paraId="75D1B926" w14:textId="77777777" w:rsidR="004A3754" w:rsidRPr="00D54C3E" w:rsidRDefault="00E73EE5" w:rsidP="00064AEC">
      <w:pPr>
        <w:pStyle w:val="NoSpacing"/>
        <w:rPr>
          <w:sz w:val="22"/>
          <w:szCs w:val="22"/>
          <w:highlight w:val="white"/>
        </w:rPr>
      </w:pPr>
      <w:r w:rsidRPr="00D54C3E">
        <w:rPr>
          <w:sz w:val="22"/>
          <w:szCs w:val="22"/>
          <w:highlight w:val="white"/>
        </w:rPr>
        <w:t>Not applicable.</w:t>
      </w:r>
    </w:p>
    <w:sectPr w:rsidR="004A3754" w:rsidRPr="00D54C3E" w:rsidSect="00AF35D2">
      <w:footerReference w:type="default" r:id="rId11"/>
      <w:pgSz w:w="12240" w:h="15840"/>
      <w:pgMar w:top="1440" w:right="1440" w:bottom="1440" w:left="1440" w:header="1440" w:footer="144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2BF85A" w15:done="0"/>
  <w15:commentEx w15:paraId="02E35270" w15:done="0"/>
  <w15:commentEx w15:paraId="65DE31F2" w15:done="0"/>
  <w15:commentEx w15:paraId="182EF7D4" w15:done="0"/>
  <w15:commentEx w15:paraId="5CE64240" w15:done="0"/>
  <w15:commentEx w15:paraId="4009238C" w15:done="0"/>
  <w15:commentEx w15:paraId="088880F9" w15:done="0"/>
  <w15:commentEx w15:paraId="77C87D43" w15:done="0"/>
  <w15:commentEx w15:paraId="617A6501" w15:done="0"/>
  <w15:commentEx w15:paraId="2F81C655" w15:done="0"/>
  <w15:commentEx w15:paraId="20A28518" w15:done="0"/>
  <w15:commentEx w15:paraId="15D8B7DF" w15:done="0"/>
  <w15:commentEx w15:paraId="3D35A909" w15:done="0"/>
  <w15:commentEx w15:paraId="3612AACC" w15:done="0"/>
  <w15:commentEx w15:paraId="052F2436" w15:done="0"/>
  <w15:commentEx w15:paraId="7C8CE5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AD694" w14:textId="77777777" w:rsidR="00581567" w:rsidRDefault="00581567" w:rsidP="00FF3FF8">
      <w:r>
        <w:separator/>
      </w:r>
    </w:p>
  </w:endnote>
  <w:endnote w:type="continuationSeparator" w:id="0">
    <w:p w14:paraId="0CE446E3" w14:textId="77777777" w:rsidR="00581567" w:rsidRDefault="00581567" w:rsidP="00FF3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BADEE" w14:textId="77777777" w:rsidR="00287328" w:rsidRDefault="00287328">
    <w:pPr>
      <w:pStyle w:val="Footer"/>
      <w:jc w:val="center"/>
    </w:pPr>
    <w:r>
      <w:fldChar w:fldCharType="begin"/>
    </w:r>
    <w:r>
      <w:instrText xml:space="preserve"> PAGE   \* MERGEFORMAT </w:instrText>
    </w:r>
    <w:r>
      <w:fldChar w:fldCharType="separate"/>
    </w:r>
    <w:r w:rsidR="00FC0F88">
      <w:rPr>
        <w:noProof/>
      </w:rPr>
      <w:t>5</w:t>
    </w:r>
    <w:r>
      <w:rPr>
        <w:noProof/>
      </w:rPr>
      <w:fldChar w:fldCharType="end"/>
    </w:r>
  </w:p>
  <w:p w14:paraId="3D1C6BB0" w14:textId="77777777" w:rsidR="00287328" w:rsidRDefault="002873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73F0F" w14:textId="77777777" w:rsidR="00581567" w:rsidRDefault="00581567" w:rsidP="00FF3FF8">
      <w:r>
        <w:separator/>
      </w:r>
    </w:p>
  </w:footnote>
  <w:footnote w:type="continuationSeparator" w:id="0">
    <w:p w14:paraId="684A6305" w14:textId="77777777" w:rsidR="00581567" w:rsidRDefault="00581567" w:rsidP="00FF3F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94820"/>
    <w:multiLevelType w:val="hybridMultilevel"/>
    <w:tmpl w:val="081A2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C766F"/>
    <w:multiLevelType w:val="hybridMultilevel"/>
    <w:tmpl w:val="C2FCF3F6"/>
    <w:lvl w:ilvl="0" w:tplc="DC58DB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AF1090"/>
    <w:multiLevelType w:val="hybridMultilevel"/>
    <w:tmpl w:val="37AC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FA2147"/>
    <w:multiLevelType w:val="hybridMultilevel"/>
    <w:tmpl w:val="62027F56"/>
    <w:lvl w:ilvl="0" w:tplc="DC58DB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E021E7"/>
    <w:multiLevelType w:val="hybridMultilevel"/>
    <w:tmpl w:val="D4CAF738"/>
    <w:lvl w:ilvl="0" w:tplc="FD0669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7106B6"/>
    <w:multiLevelType w:val="hybridMultilevel"/>
    <w:tmpl w:val="CFC66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9C772B"/>
    <w:multiLevelType w:val="hybridMultilevel"/>
    <w:tmpl w:val="AA80709C"/>
    <w:lvl w:ilvl="0" w:tplc="D2E2D4C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2F7771"/>
    <w:multiLevelType w:val="hybridMultilevel"/>
    <w:tmpl w:val="CDEC6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1E35E1"/>
    <w:multiLevelType w:val="hybridMultilevel"/>
    <w:tmpl w:val="83AE5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084916"/>
    <w:multiLevelType w:val="hybridMultilevel"/>
    <w:tmpl w:val="B3CAD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5D1660"/>
    <w:multiLevelType w:val="hybridMultilevel"/>
    <w:tmpl w:val="45FEB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37512F7"/>
    <w:multiLevelType w:val="hybridMultilevel"/>
    <w:tmpl w:val="20D01C3A"/>
    <w:lvl w:ilvl="0" w:tplc="1886187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6"/>
  </w:num>
  <w:num w:numId="5">
    <w:abstractNumId w:val="10"/>
  </w:num>
  <w:num w:numId="6">
    <w:abstractNumId w:val="3"/>
  </w:num>
  <w:num w:numId="7">
    <w:abstractNumId w:val="1"/>
  </w:num>
  <w:num w:numId="8">
    <w:abstractNumId w:val="11"/>
  </w:num>
  <w:num w:numId="9">
    <w:abstractNumId w:val="7"/>
  </w:num>
  <w:num w:numId="10">
    <w:abstractNumId w:val="0"/>
  </w:num>
  <w:num w:numId="11">
    <w:abstractNumId w:val="9"/>
  </w:num>
  <w:num w:numId="1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se, Jeremy">
    <w15:presenceInfo w15:providerId="AD" w15:userId="S-1-5-21-1409082233-179605362-725345543-70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5D2"/>
    <w:rsid w:val="00001719"/>
    <w:rsid w:val="00001D56"/>
    <w:rsid w:val="00002851"/>
    <w:rsid w:val="0000656D"/>
    <w:rsid w:val="00014F68"/>
    <w:rsid w:val="000276E6"/>
    <w:rsid w:val="00034561"/>
    <w:rsid w:val="000405B8"/>
    <w:rsid w:val="00044259"/>
    <w:rsid w:val="00050834"/>
    <w:rsid w:val="00055E72"/>
    <w:rsid w:val="00057DE6"/>
    <w:rsid w:val="00060E36"/>
    <w:rsid w:val="00060EF8"/>
    <w:rsid w:val="00064AEC"/>
    <w:rsid w:val="000702FD"/>
    <w:rsid w:val="00073F85"/>
    <w:rsid w:val="00084374"/>
    <w:rsid w:val="000865CE"/>
    <w:rsid w:val="0009113B"/>
    <w:rsid w:val="00092643"/>
    <w:rsid w:val="0009507B"/>
    <w:rsid w:val="00097BF6"/>
    <w:rsid w:val="000A06A8"/>
    <w:rsid w:val="000A24D7"/>
    <w:rsid w:val="000C2D37"/>
    <w:rsid w:val="000E31A0"/>
    <w:rsid w:val="000E7006"/>
    <w:rsid w:val="000F03CF"/>
    <w:rsid w:val="00105F8D"/>
    <w:rsid w:val="0011389E"/>
    <w:rsid w:val="00120A5B"/>
    <w:rsid w:val="00124497"/>
    <w:rsid w:val="00133153"/>
    <w:rsid w:val="001348AC"/>
    <w:rsid w:val="00136568"/>
    <w:rsid w:val="00137D0D"/>
    <w:rsid w:val="00145109"/>
    <w:rsid w:val="00152DE7"/>
    <w:rsid w:val="00156722"/>
    <w:rsid w:val="0016172F"/>
    <w:rsid w:val="001722C3"/>
    <w:rsid w:val="0017566F"/>
    <w:rsid w:val="00187052"/>
    <w:rsid w:val="001A242E"/>
    <w:rsid w:val="001A4521"/>
    <w:rsid w:val="001B1096"/>
    <w:rsid w:val="001B661C"/>
    <w:rsid w:val="001C09F6"/>
    <w:rsid w:val="001C0E63"/>
    <w:rsid w:val="001C7D1D"/>
    <w:rsid w:val="001D17FE"/>
    <w:rsid w:val="001D37C2"/>
    <w:rsid w:val="001E3F12"/>
    <w:rsid w:val="001F2CAA"/>
    <w:rsid w:val="001F3B66"/>
    <w:rsid w:val="001F3D8D"/>
    <w:rsid w:val="00201F62"/>
    <w:rsid w:val="00212C91"/>
    <w:rsid w:val="00213C33"/>
    <w:rsid w:val="00223A8F"/>
    <w:rsid w:val="00242497"/>
    <w:rsid w:val="0025105B"/>
    <w:rsid w:val="002510A5"/>
    <w:rsid w:val="0025356B"/>
    <w:rsid w:val="002539E1"/>
    <w:rsid w:val="00257A8A"/>
    <w:rsid w:val="00264A09"/>
    <w:rsid w:val="00270231"/>
    <w:rsid w:val="00270C09"/>
    <w:rsid w:val="00272A80"/>
    <w:rsid w:val="00287328"/>
    <w:rsid w:val="00290F53"/>
    <w:rsid w:val="00297BFF"/>
    <w:rsid w:val="002A4AF0"/>
    <w:rsid w:val="002B1B5F"/>
    <w:rsid w:val="002C3674"/>
    <w:rsid w:val="002C650D"/>
    <w:rsid w:val="002C797A"/>
    <w:rsid w:val="002C7C78"/>
    <w:rsid w:val="002D61B0"/>
    <w:rsid w:val="002E0662"/>
    <w:rsid w:val="002E4252"/>
    <w:rsid w:val="002E60A3"/>
    <w:rsid w:val="002E6D78"/>
    <w:rsid w:val="002F1467"/>
    <w:rsid w:val="002F620C"/>
    <w:rsid w:val="002F7E78"/>
    <w:rsid w:val="00300348"/>
    <w:rsid w:val="0030219E"/>
    <w:rsid w:val="00305797"/>
    <w:rsid w:val="003100B0"/>
    <w:rsid w:val="00311784"/>
    <w:rsid w:val="003148A6"/>
    <w:rsid w:val="00322F71"/>
    <w:rsid w:val="00346CD3"/>
    <w:rsid w:val="00355AD3"/>
    <w:rsid w:val="00361D0D"/>
    <w:rsid w:val="00373024"/>
    <w:rsid w:val="00381E8C"/>
    <w:rsid w:val="00392197"/>
    <w:rsid w:val="00396066"/>
    <w:rsid w:val="00397423"/>
    <w:rsid w:val="003A3E70"/>
    <w:rsid w:val="003B258A"/>
    <w:rsid w:val="003B3A62"/>
    <w:rsid w:val="003B664C"/>
    <w:rsid w:val="003C1624"/>
    <w:rsid w:val="003C2628"/>
    <w:rsid w:val="003C43C2"/>
    <w:rsid w:val="003C4EC3"/>
    <w:rsid w:val="003C5F01"/>
    <w:rsid w:val="003C6AAB"/>
    <w:rsid w:val="003C6EBE"/>
    <w:rsid w:val="003E72CB"/>
    <w:rsid w:val="0040239C"/>
    <w:rsid w:val="00410826"/>
    <w:rsid w:val="004219A0"/>
    <w:rsid w:val="00426CE4"/>
    <w:rsid w:val="004274C0"/>
    <w:rsid w:val="00430F7B"/>
    <w:rsid w:val="00432E73"/>
    <w:rsid w:val="00434F75"/>
    <w:rsid w:val="00443A38"/>
    <w:rsid w:val="00444460"/>
    <w:rsid w:val="004478F1"/>
    <w:rsid w:val="004542E1"/>
    <w:rsid w:val="0045459F"/>
    <w:rsid w:val="00454A2C"/>
    <w:rsid w:val="0046712C"/>
    <w:rsid w:val="00470738"/>
    <w:rsid w:val="0047082F"/>
    <w:rsid w:val="004713B4"/>
    <w:rsid w:val="004741C4"/>
    <w:rsid w:val="00482947"/>
    <w:rsid w:val="0048383A"/>
    <w:rsid w:val="00486C9D"/>
    <w:rsid w:val="004A0905"/>
    <w:rsid w:val="004A3754"/>
    <w:rsid w:val="004A410A"/>
    <w:rsid w:val="004A6FDE"/>
    <w:rsid w:val="004A7839"/>
    <w:rsid w:val="004B2891"/>
    <w:rsid w:val="004C0B6A"/>
    <w:rsid w:val="004C74EB"/>
    <w:rsid w:val="004D32DB"/>
    <w:rsid w:val="004E2DBC"/>
    <w:rsid w:val="004F107B"/>
    <w:rsid w:val="00517257"/>
    <w:rsid w:val="00521D2C"/>
    <w:rsid w:val="00526814"/>
    <w:rsid w:val="00535516"/>
    <w:rsid w:val="0053657E"/>
    <w:rsid w:val="00536707"/>
    <w:rsid w:val="005547A9"/>
    <w:rsid w:val="00554F50"/>
    <w:rsid w:val="0055589E"/>
    <w:rsid w:val="005601C7"/>
    <w:rsid w:val="00562458"/>
    <w:rsid w:val="00564C8F"/>
    <w:rsid w:val="0056601D"/>
    <w:rsid w:val="005670C0"/>
    <w:rsid w:val="0057563B"/>
    <w:rsid w:val="00581567"/>
    <w:rsid w:val="0058248E"/>
    <w:rsid w:val="005A6E0D"/>
    <w:rsid w:val="005B348D"/>
    <w:rsid w:val="005B44E2"/>
    <w:rsid w:val="005C3CA6"/>
    <w:rsid w:val="005D26C5"/>
    <w:rsid w:val="005E064C"/>
    <w:rsid w:val="005E0F6E"/>
    <w:rsid w:val="005E149B"/>
    <w:rsid w:val="0060645C"/>
    <w:rsid w:val="00614094"/>
    <w:rsid w:val="00622405"/>
    <w:rsid w:val="0063506C"/>
    <w:rsid w:val="00641BE3"/>
    <w:rsid w:val="006630EF"/>
    <w:rsid w:val="00667272"/>
    <w:rsid w:val="00692D0A"/>
    <w:rsid w:val="00696E0C"/>
    <w:rsid w:val="006A6F69"/>
    <w:rsid w:val="006D77A5"/>
    <w:rsid w:val="006D78D3"/>
    <w:rsid w:val="006E01BE"/>
    <w:rsid w:val="006E2A78"/>
    <w:rsid w:val="006E5E81"/>
    <w:rsid w:val="006F2AEA"/>
    <w:rsid w:val="006F550D"/>
    <w:rsid w:val="0070295F"/>
    <w:rsid w:val="007047C7"/>
    <w:rsid w:val="00706845"/>
    <w:rsid w:val="007068C0"/>
    <w:rsid w:val="00721486"/>
    <w:rsid w:val="00726830"/>
    <w:rsid w:val="00730683"/>
    <w:rsid w:val="0073091F"/>
    <w:rsid w:val="00737A81"/>
    <w:rsid w:val="00751522"/>
    <w:rsid w:val="00766875"/>
    <w:rsid w:val="00772FFD"/>
    <w:rsid w:val="0077456C"/>
    <w:rsid w:val="007749FD"/>
    <w:rsid w:val="0077772B"/>
    <w:rsid w:val="00786C2C"/>
    <w:rsid w:val="00796760"/>
    <w:rsid w:val="007B7FD4"/>
    <w:rsid w:val="007C1227"/>
    <w:rsid w:val="007C64CF"/>
    <w:rsid w:val="007D09C8"/>
    <w:rsid w:val="007D1DAC"/>
    <w:rsid w:val="007F4AF0"/>
    <w:rsid w:val="0080457C"/>
    <w:rsid w:val="008269D5"/>
    <w:rsid w:val="00833B35"/>
    <w:rsid w:val="008349A6"/>
    <w:rsid w:val="00834D9A"/>
    <w:rsid w:val="00847B03"/>
    <w:rsid w:val="008525E3"/>
    <w:rsid w:val="00853BA1"/>
    <w:rsid w:val="00853F26"/>
    <w:rsid w:val="00855010"/>
    <w:rsid w:val="0085784A"/>
    <w:rsid w:val="00860CF9"/>
    <w:rsid w:val="00860DF0"/>
    <w:rsid w:val="008669C3"/>
    <w:rsid w:val="00880BE1"/>
    <w:rsid w:val="00886E2A"/>
    <w:rsid w:val="008A1FAE"/>
    <w:rsid w:val="008A4F38"/>
    <w:rsid w:val="008B0CDA"/>
    <w:rsid w:val="008B1C73"/>
    <w:rsid w:val="008C4821"/>
    <w:rsid w:val="008C5D34"/>
    <w:rsid w:val="008C7880"/>
    <w:rsid w:val="008C7E94"/>
    <w:rsid w:val="008D0256"/>
    <w:rsid w:val="008D33B4"/>
    <w:rsid w:val="008D35E8"/>
    <w:rsid w:val="008D6D51"/>
    <w:rsid w:val="008E7D9E"/>
    <w:rsid w:val="008F5712"/>
    <w:rsid w:val="0090401C"/>
    <w:rsid w:val="009049FC"/>
    <w:rsid w:val="00904D03"/>
    <w:rsid w:val="00905177"/>
    <w:rsid w:val="00907841"/>
    <w:rsid w:val="00910C53"/>
    <w:rsid w:val="00912C01"/>
    <w:rsid w:val="00920C04"/>
    <w:rsid w:val="00921561"/>
    <w:rsid w:val="00921E2C"/>
    <w:rsid w:val="00924A3D"/>
    <w:rsid w:val="00934BB1"/>
    <w:rsid w:val="0094346A"/>
    <w:rsid w:val="00944E54"/>
    <w:rsid w:val="00950FAF"/>
    <w:rsid w:val="00957E13"/>
    <w:rsid w:val="00957FB9"/>
    <w:rsid w:val="009649DD"/>
    <w:rsid w:val="009717CA"/>
    <w:rsid w:val="00972538"/>
    <w:rsid w:val="00986A76"/>
    <w:rsid w:val="00986CEC"/>
    <w:rsid w:val="00990771"/>
    <w:rsid w:val="00992AF4"/>
    <w:rsid w:val="009A385D"/>
    <w:rsid w:val="009B0841"/>
    <w:rsid w:val="009C2D04"/>
    <w:rsid w:val="009D6B7C"/>
    <w:rsid w:val="009F6489"/>
    <w:rsid w:val="00A042BE"/>
    <w:rsid w:val="00A12B25"/>
    <w:rsid w:val="00A3192B"/>
    <w:rsid w:val="00A35334"/>
    <w:rsid w:val="00A517DE"/>
    <w:rsid w:val="00A6333B"/>
    <w:rsid w:val="00A65362"/>
    <w:rsid w:val="00A67168"/>
    <w:rsid w:val="00A77F9A"/>
    <w:rsid w:val="00A80F9A"/>
    <w:rsid w:val="00A81656"/>
    <w:rsid w:val="00A81D76"/>
    <w:rsid w:val="00A86E0B"/>
    <w:rsid w:val="00A908BB"/>
    <w:rsid w:val="00A942E1"/>
    <w:rsid w:val="00A944E2"/>
    <w:rsid w:val="00AA153A"/>
    <w:rsid w:val="00AA554F"/>
    <w:rsid w:val="00AB2C76"/>
    <w:rsid w:val="00AC2E09"/>
    <w:rsid w:val="00AC6C06"/>
    <w:rsid w:val="00AD1960"/>
    <w:rsid w:val="00AD5439"/>
    <w:rsid w:val="00AD647B"/>
    <w:rsid w:val="00AE478D"/>
    <w:rsid w:val="00AE5156"/>
    <w:rsid w:val="00AE6069"/>
    <w:rsid w:val="00AF2C70"/>
    <w:rsid w:val="00AF35D2"/>
    <w:rsid w:val="00AF73C2"/>
    <w:rsid w:val="00B04905"/>
    <w:rsid w:val="00B0644F"/>
    <w:rsid w:val="00B07DAA"/>
    <w:rsid w:val="00B1022F"/>
    <w:rsid w:val="00B15065"/>
    <w:rsid w:val="00B224B4"/>
    <w:rsid w:val="00B23C55"/>
    <w:rsid w:val="00B24293"/>
    <w:rsid w:val="00B32C3C"/>
    <w:rsid w:val="00B422E7"/>
    <w:rsid w:val="00B423D4"/>
    <w:rsid w:val="00B43DFB"/>
    <w:rsid w:val="00B45532"/>
    <w:rsid w:val="00B54F56"/>
    <w:rsid w:val="00B54FED"/>
    <w:rsid w:val="00B66460"/>
    <w:rsid w:val="00B7235A"/>
    <w:rsid w:val="00B84D2E"/>
    <w:rsid w:val="00B86488"/>
    <w:rsid w:val="00B86BDF"/>
    <w:rsid w:val="00B90D23"/>
    <w:rsid w:val="00B97AE8"/>
    <w:rsid w:val="00BA3632"/>
    <w:rsid w:val="00BB2DDE"/>
    <w:rsid w:val="00BB3444"/>
    <w:rsid w:val="00BC7C40"/>
    <w:rsid w:val="00BD508A"/>
    <w:rsid w:val="00BE3980"/>
    <w:rsid w:val="00BE4C5C"/>
    <w:rsid w:val="00BE5142"/>
    <w:rsid w:val="00BE652C"/>
    <w:rsid w:val="00C02F45"/>
    <w:rsid w:val="00C107C8"/>
    <w:rsid w:val="00C260A1"/>
    <w:rsid w:val="00C345C2"/>
    <w:rsid w:val="00C50B8F"/>
    <w:rsid w:val="00C5103C"/>
    <w:rsid w:val="00C63B56"/>
    <w:rsid w:val="00C66DF3"/>
    <w:rsid w:val="00C675FC"/>
    <w:rsid w:val="00C72412"/>
    <w:rsid w:val="00C73F16"/>
    <w:rsid w:val="00C77195"/>
    <w:rsid w:val="00C85C29"/>
    <w:rsid w:val="00C91C7D"/>
    <w:rsid w:val="00C95584"/>
    <w:rsid w:val="00CA35D4"/>
    <w:rsid w:val="00CC0B2D"/>
    <w:rsid w:val="00CC2EF8"/>
    <w:rsid w:val="00CC3398"/>
    <w:rsid w:val="00CC6D13"/>
    <w:rsid w:val="00CD0196"/>
    <w:rsid w:val="00CD402A"/>
    <w:rsid w:val="00CE241D"/>
    <w:rsid w:val="00CF4A66"/>
    <w:rsid w:val="00CF5024"/>
    <w:rsid w:val="00CF5F67"/>
    <w:rsid w:val="00CF6890"/>
    <w:rsid w:val="00D01306"/>
    <w:rsid w:val="00D049B7"/>
    <w:rsid w:val="00D13698"/>
    <w:rsid w:val="00D17716"/>
    <w:rsid w:val="00D2049C"/>
    <w:rsid w:val="00D24B5D"/>
    <w:rsid w:val="00D30BF6"/>
    <w:rsid w:val="00D32C65"/>
    <w:rsid w:val="00D53AFD"/>
    <w:rsid w:val="00D54242"/>
    <w:rsid w:val="00D54C3E"/>
    <w:rsid w:val="00D63F74"/>
    <w:rsid w:val="00D677FA"/>
    <w:rsid w:val="00D76D2A"/>
    <w:rsid w:val="00DA233F"/>
    <w:rsid w:val="00DB4D85"/>
    <w:rsid w:val="00DB5089"/>
    <w:rsid w:val="00DC1332"/>
    <w:rsid w:val="00DC1CCB"/>
    <w:rsid w:val="00DC681D"/>
    <w:rsid w:val="00DD2C58"/>
    <w:rsid w:val="00E01A78"/>
    <w:rsid w:val="00E02112"/>
    <w:rsid w:val="00E22E34"/>
    <w:rsid w:val="00E33906"/>
    <w:rsid w:val="00E45E0D"/>
    <w:rsid w:val="00E5755B"/>
    <w:rsid w:val="00E640B8"/>
    <w:rsid w:val="00E65F4A"/>
    <w:rsid w:val="00E7029D"/>
    <w:rsid w:val="00E73608"/>
    <w:rsid w:val="00E73C90"/>
    <w:rsid w:val="00E73EE5"/>
    <w:rsid w:val="00E748A4"/>
    <w:rsid w:val="00E74CB3"/>
    <w:rsid w:val="00E8386E"/>
    <w:rsid w:val="00EA69AB"/>
    <w:rsid w:val="00EB10E4"/>
    <w:rsid w:val="00EB2561"/>
    <w:rsid w:val="00EB7EB4"/>
    <w:rsid w:val="00ED6CE2"/>
    <w:rsid w:val="00EE39B1"/>
    <w:rsid w:val="00EF176C"/>
    <w:rsid w:val="00EF272F"/>
    <w:rsid w:val="00EF515B"/>
    <w:rsid w:val="00EF52C1"/>
    <w:rsid w:val="00EF5AB5"/>
    <w:rsid w:val="00EF5AD3"/>
    <w:rsid w:val="00EF6C40"/>
    <w:rsid w:val="00F017E8"/>
    <w:rsid w:val="00F070FC"/>
    <w:rsid w:val="00F15D0E"/>
    <w:rsid w:val="00F17923"/>
    <w:rsid w:val="00F27118"/>
    <w:rsid w:val="00F33629"/>
    <w:rsid w:val="00F3392A"/>
    <w:rsid w:val="00F35189"/>
    <w:rsid w:val="00F36F7F"/>
    <w:rsid w:val="00F4510C"/>
    <w:rsid w:val="00F52AC8"/>
    <w:rsid w:val="00F60A03"/>
    <w:rsid w:val="00F60F07"/>
    <w:rsid w:val="00F70A5F"/>
    <w:rsid w:val="00F770EC"/>
    <w:rsid w:val="00F95CE9"/>
    <w:rsid w:val="00FA24DC"/>
    <w:rsid w:val="00FA3E74"/>
    <w:rsid w:val="00FC0F88"/>
    <w:rsid w:val="00FC278F"/>
    <w:rsid w:val="00FC4999"/>
    <w:rsid w:val="00FC5949"/>
    <w:rsid w:val="00FD4C4E"/>
    <w:rsid w:val="00FD55E1"/>
    <w:rsid w:val="00FE44EB"/>
    <w:rsid w:val="00FF3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F77A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5D2"/>
    <w:pPr>
      <w:autoSpaceDE w:val="0"/>
      <w:autoSpaceDN w:val="0"/>
      <w:adjustRightInd w:val="0"/>
    </w:pPr>
    <w:rPr>
      <w:rFonts w:ascii="Times New Roman" w:hAnsi="Times New Roman"/>
    </w:rPr>
  </w:style>
  <w:style w:type="paragraph" w:styleId="Heading2">
    <w:name w:val="heading 2"/>
    <w:basedOn w:val="Normal"/>
    <w:next w:val="Normal"/>
    <w:link w:val="Heading2Char"/>
    <w:uiPriority w:val="9"/>
    <w:unhideWhenUsed/>
    <w:qFormat/>
    <w:rsid w:val="002510A5"/>
    <w:pPr>
      <w:keepNext/>
      <w:keepLines/>
      <w:autoSpaceDE/>
      <w:autoSpaceDN/>
      <w:adjustRightInd/>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41D"/>
    <w:rPr>
      <w:color w:val="0000FF"/>
      <w:u w:val="single"/>
    </w:rPr>
  </w:style>
  <w:style w:type="paragraph" w:styleId="PlainText">
    <w:name w:val="Plain Text"/>
    <w:basedOn w:val="Normal"/>
    <w:link w:val="PlainTextChar"/>
    <w:uiPriority w:val="99"/>
    <w:unhideWhenUsed/>
    <w:rsid w:val="006630EF"/>
    <w:pPr>
      <w:autoSpaceDE/>
      <w:autoSpaceDN/>
      <w:adjustRightInd/>
    </w:pPr>
    <w:rPr>
      <w:rFonts w:ascii="Calibri" w:hAnsi="Calibri"/>
      <w:sz w:val="22"/>
      <w:szCs w:val="21"/>
      <w:lang w:val="x-none" w:eastAsia="x-none"/>
    </w:rPr>
  </w:style>
  <w:style w:type="character" w:customStyle="1" w:styleId="PlainTextChar">
    <w:name w:val="Plain Text Char"/>
    <w:link w:val="PlainText"/>
    <w:uiPriority w:val="99"/>
    <w:rsid w:val="006630EF"/>
    <w:rPr>
      <w:rFonts w:cs="Consolas"/>
      <w:sz w:val="22"/>
      <w:szCs w:val="21"/>
    </w:rPr>
  </w:style>
  <w:style w:type="paragraph" w:styleId="BalloonText">
    <w:name w:val="Balloon Text"/>
    <w:basedOn w:val="Normal"/>
    <w:link w:val="BalloonTextChar"/>
    <w:uiPriority w:val="99"/>
    <w:semiHidden/>
    <w:unhideWhenUsed/>
    <w:rsid w:val="002E6D78"/>
    <w:rPr>
      <w:rFonts w:ascii="Tahoma" w:hAnsi="Tahoma"/>
      <w:sz w:val="16"/>
      <w:szCs w:val="16"/>
      <w:lang w:val="x-none" w:eastAsia="x-none"/>
    </w:rPr>
  </w:style>
  <w:style w:type="character" w:customStyle="1" w:styleId="BalloonTextChar">
    <w:name w:val="Balloon Text Char"/>
    <w:link w:val="BalloonText"/>
    <w:uiPriority w:val="99"/>
    <w:semiHidden/>
    <w:rsid w:val="002E6D78"/>
    <w:rPr>
      <w:rFonts w:ascii="Tahoma" w:hAnsi="Tahoma" w:cs="Tahoma"/>
      <w:sz w:val="16"/>
      <w:szCs w:val="16"/>
    </w:rPr>
  </w:style>
  <w:style w:type="paragraph" w:styleId="NoSpacing">
    <w:name w:val="No Spacing"/>
    <w:uiPriority w:val="1"/>
    <w:qFormat/>
    <w:rsid w:val="00064AEC"/>
    <w:pPr>
      <w:autoSpaceDE w:val="0"/>
      <w:autoSpaceDN w:val="0"/>
      <w:adjustRightInd w:val="0"/>
    </w:pPr>
    <w:rPr>
      <w:rFonts w:ascii="Times New Roman" w:hAnsi="Times New Roman"/>
    </w:rPr>
  </w:style>
  <w:style w:type="paragraph" w:styleId="ListParagraph">
    <w:name w:val="List Paragraph"/>
    <w:basedOn w:val="Normal"/>
    <w:uiPriority w:val="34"/>
    <w:qFormat/>
    <w:rsid w:val="00F35189"/>
    <w:pPr>
      <w:autoSpaceDE/>
      <w:autoSpaceDN/>
      <w:adjustRightInd/>
      <w:ind w:left="720"/>
      <w:contextualSpacing/>
    </w:pPr>
    <w:rPr>
      <w:rFonts w:eastAsia="Times New Roman"/>
      <w:sz w:val="22"/>
    </w:rPr>
  </w:style>
  <w:style w:type="paragraph" w:styleId="Header">
    <w:name w:val="header"/>
    <w:basedOn w:val="Normal"/>
    <w:link w:val="HeaderChar"/>
    <w:uiPriority w:val="99"/>
    <w:unhideWhenUsed/>
    <w:rsid w:val="00FF3FF8"/>
    <w:pPr>
      <w:tabs>
        <w:tab w:val="center" w:pos="4680"/>
        <w:tab w:val="right" w:pos="9360"/>
      </w:tabs>
    </w:pPr>
    <w:rPr>
      <w:lang w:val="x-none" w:eastAsia="x-none"/>
    </w:rPr>
  </w:style>
  <w:style w:type="character" w:customStyle="1" w:styleId="HeaderChar">
    <w:name w:val="Header Char"/>
    <w:link w:val="Header"/>
    <w:uiPriority w:val="99"/>
    <w:rsid w:val="00FF3FF8"/>
    <w:rPr>
      <w:rFonts w:ascii="Times New Roman" w:hAnsi="Times New Roman"/>
    </w:rPr>
  </w:style>
  <w:style w:type="paragraph" w:styleId="Footer">
    <w:name w:val="footer"/>
    <w:basedOn w:val="Normal"/>
    <w:link w:val="FooterChar"/>
    <w:uiPriority w:val="99"/>
    <w:unhideWhenUsed/>
    <w:rsid w:val="00FF3FF8"/>
    <w:pPr>
      <w:tabs>
        <w:tab w:val="center" w:pos="4680"/>
        <w:tab w:val="right" w:pos="9360"/>
      </w:tabs>
    </w:pPr>
    <w:rPr>
      <w:lang w:val="x-none" w:eastAsia="x-none"/>
    </w:rPr>
  </w:style>
  <w:style w:type="character" w:customStyle="1" w:styleId="FooterChar">
    <w:name w:val="Footer Char"/>
    <w:link w:val="Footer"/>
    <w:uiPriority w:val="99"/>
    <w:rsid w:val="00FF3FF8"/>
    <w:rPr>
      <w:rFonts w:ascii="Times New Roman" w:hAnsi="Times New Roman"/>
    </w:rPr>
  </w:style>
  <w:style w:type="character" w:styleId="CommentReference">
    <w:name w:val="annotation reference"/>
    <w:uiPriority w:val="99"/>
    <w:semiHidden/>
    <w:unhideWhenUsed/>
    <w:rsid w:val="00297BFF"/>
    <w:rPr>
      <w:sz w:val="16"/>
      <w:szCs w:val="16"/>
    </w:rPr>
  </w:style>
  <w:style w:type="paragraph" w:styleId="CommentText">
    <w:name w:val="annotation text"/>
    <w:basedOn w:val="Normal"/>
    <w:link w:val="CommentTextChar"/>
    <w:uiPriority w:val="99"/>
    <w:semiHidden/>
    <w:unhideWhenUsed/>
    <w:rsid w:val="00297BFF"/>
    <w:rPr>
      <w:lang w:val="x-none" w:eastAsia="x-none"/>
    </w:rPr>
  </w:style>
  <w:style w:type="character" w:customStyle="1" w:styleId="CommentTextChar">
    <w:name w:val="Comment Text Char"/>
    <w:link w:val="CommentText"/>
    <w:uiPriority w:val="99"/>
    <w:semiHidden/>
    <w:rsid w:val="00297BF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97BFF"/>
    <w:rPr>
      <w:b/>
      <w:bCs/>
    </w:rPr>
  </w:style>
  <w:style w:type="character" w:customStyle="1" w:styleId="CommentSubjectChar">
    <w:name w:val="Comment Subject Char"/>
    <w:link w:val="CommentSubject"/>
    <w:uiPriority w:val="99"/>
    <w:semiHidden/>
    <w:rsid w:val="00297BFF"/>
    <w:rPr>
      <w:rFonts w:ascii="Times New Roman" w:hAnsi="Times New Roman"/>
      <w:b/>
      <w:bCs/>
    </w:rPr>
  </w:style>
  <w:style w:type="table" w:styleId="TableGrid">
    <w:name w:val="Table Grid"/>
    <w:basedOn w:val="TableNormal"/>
    <w:uiPriority w:val="59"/>
    <w:rsid w:val="00D54C3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510A5"/>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073F85"/>
    <w:rPr>
      <w:color w:val="800080" w:themeColor="followedHyperlink"/>
      <w:u w:val="single"/>
    </w:rPr>
  </w:style>
  <w:style w:type="paragraph" w:customStyle="1" w:styleId="Default">
    <w:name w:val="Default"/>
    <w:rsid w:val="00EA69AB"/>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5D2"/>
    <w:pPr>
      <w:autoSpaceDE w:val="0"/>
      <w:autoSpaceDN w:val="0"/>
      <w:adjustRightInd w:val="0"/>
    </w:pPr>
    <w:rPr>
      <w:rFonts w:ascii="Times New Roman" w:hAnsi="Times New Roman"/>
    </w:rPr>
  </w:style>
  <w:style w:type="paragraph" w:styleId="Heading2">
    <w:name w:val="heading 2"/>
    <w:basedOn w:val="Normal"/>
    <w:next w:val="Normal"/>
    <w:link w:val="Heading2Char"/>
    <w:uiPriority w:val="9"/>
    <w:unhideWhenUsed/>
    <w:qFormat/>
    <w:rsid w:val="002510A5"/>
    <w:pPr>
      <w:keepNext/>
      <w:keepLines/>
      <w:autoSpaceDE/>
      <w:autoSpaceDN/>
      <w:adjustRightInd/>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41D"/>
    <w:rPr>
      <w:color w:val="0000FF"/>
      <w:u w:val="single"/>
    </w:rPr>
  </w:style>
  <w:style w:type="paragraph" w:styleId="PlainText">
    <w:name w:val="Plain Text"/>
    <w:basedOn w:val="Normal"/>
    <w:link w:val="PlainTextChar"/>
    <w:uiPriority w:val="99"/>
    <w:unhideWhenUsed/>
    <w:rsid w:val="006630EF"/>
    <w:pPr>
      <w:autoSpaceDE/>
      <w:autoSpaceDN/>
      <w:adjustRightInd/>
    </w:pPr>
    <w:rPr>
      <w:rFonts w:ascii="Calibri" w:hAnsi="Calibri"/>
      <w:sz w:val="22"/>
      <w:szCs w:val="21"/>
      <w:lang w:val="x-none" w:eastAsia="x-none"/>
    </w:rPr>
  </w:style>
  <w:style w:type="character" w:customStyle="1" w:styleId="PlainTextChar">
    <w:name w:val="Plain Text Char"/>
    <w:link w:val="PlainText"/>
    <w:uiPriority w:val="99"/>
    <w:rsid w:val="006630EF"/>
    <w:rPr>
      <w:rFonts w:cs="Consolas"/>
      <w:sz w:val="22"/>
      <w:szCs w:val="21"/>
    </w:rPr>
  </w:style>
  <w:style w:type="paragraph" w:styleId="BalloonText">
    <w:name w:val="Balloon Text"/>
    <w:basedOn w:val="Normal"/>
    <w:link w:val="BalloonTextChar"/>
    <w:uiPriority w:val="99"/>
    <w:semiHidden/>
    <w:unhideWhenUsed/>
    <w:rsid w:val="002E6D78"/>
    <w:rPr>
      <w:rFonts w:ascii="Tahoma" w:hAnsi="Tahoma"/>
      <w:sz w:val="16"/>
      <w:szCs w:val="16"/>
      <w:lang w:val="x-none" w:eastAsia="x-none"/>
    </w:rPr>
  </w:style>
  <w:style w:type="character" w:customStyle="1" w:styleId="BalloonTextChar">
    <w:name w:val="Balloon Text Char"/>
    <w:link w:val="BalloonText"/>
    <w:uiPriority w:val="99"/>
    <w:semiHidden/>
    <w:rsid w:val="002E6D78"/>
    <w:rPr>
      <w:rFonts w:ascii="Tahoma" w:hAnsi="Tahoma" w:cs="Tahoma"/>
      <w:sz w:val="16"/>
      <w:szCs w:val="16"/>
    </w:rPr>
  </w:style>
  <w:style w:type="paragraph" w:styleId="NoSpacing">
    <w:name w:val="No Spacing"/>
    <w:uiPriority w:val="1"/>
    <w:qFormat/>
    <w:rsid w:val="00064AEC"/>
    <w:pPr>
      <w:autoSpaceDE w:val="0"/>
      <w:autoSpaceDN w:val="0"/>
      <w:adjustRightInd w:val="0"/>
    </w:pPr>
    <w:rPr>
      <w:rFonts w:ascii="Times New Roman" w:hAnsi="Times New Roman"/>
    </w:rPr>
  </w:style>
  <w:style w:type="paragraph" w:styleId="ListParagraph">
    <w:name w:val="List Paragraph"/>
    <w:basedOn w:val="Normal"/>
    <w:uiPriority w:val="34"/>
    <w:qFormat/>
    <w:rsid w:val="00F35189"/>
    <w:pPr>
      <w:autoSpaceDE/>
      <w:autoSpaceDN/>
      <w:adjustRightInd/>
      <w:ind w:left="720"/>
      <w:contextualSpacing/>
    </w:pPr>
    <w:rPr>
      <w:rFonts w:eastAsia="Times New Roman"/>
      <w:sz w:val="22"/>
    </w:rPr>
  </w:style>
  <w:style w:type="paragraph" w:styleId="Header">
    <w:name w:val="header"/>
    <w:basedOn w:val="Normal"/>
    <w:link w:val="HeaderChar"/>
    <w:uiPriority w:val="99"/>
    <w:unhideWhenUsed/>
    <w:rsid w:val="00FF3FF8"/>
    <w:pPr>
      <w:tabs>
        <w:tab w:val="center" w:pos="4680"/>
        <w:tab w:val="right" w:pos="9360"/>
      </w:tabs>
    </w:pPr>
    <w:rPr>
      <w:lang w:val="x-none" w:eastAsia="x-none"/>
    </w:rPr>
  </w:style>
  <w:style w:type="character" w:customStyle="1" w:styleId="HeaderChar">
    <w:name w:val="Header Char"/>
    <w:link w:val="Header"/>
    <w:uiPriority w:val="99"/>
    <w:rsid w:val="00FF3FF8"/>
    <w:rPr>
      <w:rFonts w:ascii="Times New Roman" w:hAnsi="Times New Roman"/>
    </w:rPr>
  </w:style>
  <w:style w:type="paragraph" w:styleId="Footer">
    <w:name w:val="footer"/>
    <w:basedOn w:val="Normal"/>
    <w:link w:val="FooterChar"/>
    <w:uiPriority w:val="99"/>
    <w:unhideWhenUsed/>
    <w:rsid w:val="00FF3FF8"/>
    <w:pPr>
      <w:tabs>
        <w:tab w:val="center" w:pos="4680"/>
        <w:tab w:val="right" w:pos="9360"/>
      </w:tabs>
    </w:pPr>
    <w:rPr>
      <w:lang w:val="x-none" w:eastAsia="x-none"/>
    </w:rPr>
  </w:style>
  <w:style w:type="character" w:customStyle="1" w:styleId="FooterChar">
    <w:name w:val="Footer Char"/>
    <w:link w:val="Footer"/>
    <w:uiPriority w:val="99"/>
    <w:rsid w:val="00FF3FF8"/>
    <w:rPr>
      <w:rFonts w:ascii="Times New Roman" w:hAnsi="Times New Roman"/>
    </w:rPr>
  </w:style>
  <w:style w:type="character" w:styleId="CommentReference">
    <w:name w:val="annotation reference"/>
    <w:uiPriority w:val="99"/>
    <w:semiHidden/>
    <w:unhideWhenUsed/>
    <w:rsid w:val="00297BFF"/>
    <w:rPr>
      <w:sz w:val="16"/>
      <w:szCs w:val="16"/>
    </w:rPr>
  </w:style>
  <w:style w:type="paragraph" w:styleId="CommentText">
    <w:name w:val="annotation text"/>
    <w:basedOn w:val="Normal"/>
    <w:link w:val="CommentTextChar"/>
    <w:uiPriority w:val="99"/>
    <w:semiHidden/>
    <w:unhideWhenUsed/>
    <w:rsid w:val="00297BFF"/>
    <w:rPr>
      <w:lang w:val="x-none" w:eastAsia="x-none"/>
    </w:rPr>
  </w:style>
  <w:style w:type="character" w:customStyle="1" w:styleId="CommentTextChar">
    <w:name w:val="Comment Text Char"/>
    <w:link w:val="CommentText"/>
    <w:uiPriority w:val="99"/>
    <w:semiHidden/>
    <w:rsid w:val="00297BF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97BFF"/>
    <w:rPr>
      <w:b/>
      <w:bCs/>
    </w:rPr>
  </w:style>
  <w:style w:type="character" w:customStyle="1" w:styleId="CommentSubjectChar">
    <w:name w:val="Comment Subject Char"/>
    <w:link w:val="CommentSubject"/>
    <w:uiPriority w:val="99"/>
    <w:semiHidden/>
    <w:rsid w:val="00297BFF"/>
    <w:rPr>
      <w:rFonts w:ascii="Times New Roman" w:hAnsi="Times New Roman"/>
      <w:b/>
      <w:bCs/>
    </w:rPr>
  </w:style>
  <w:style w:type="table" w:styleId="TableGrid">
    <w:name w:val="Table Grid"/>
    <w:basedOn w:val="TableNormal"/>
    <w:uiPriority w:val="59"/>
    <w:rsid w:val="00D54C3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510A5"/>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073F85"/>
    <w:rPr>
      <w:color w:val="800080" w:themeColor="followedHyperlink"/>
      <w:u w:val="single"/>
    </w:rPr>
  </w:style>
  <w:style w:type="paragraph" w:customStyle="1" w:styleId="Default">
    <w:name w:val="Default"/>
    <w:rsid w:val="00EA69A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2508">
      <w:bodyDiv w:val="1"/>
      <w:marLeft w:val="0"/>
      <w:marRight w:val="0"/>
      <w:marTop w:val="0"/>
      <w:marBottom w:val="0"/>
      <w:divBdr>
        <w:top w:val="none" w:sz="0" w:space="0" w:color="auto"/>
        <w:left w:val="none" w:sz="0" w:space="0" w:color="auto"/>
        <w:bottom w:val="none" w:sz="0" w:space="0" w:color="auto"/>
        <w:right w:val="none" w:sz="0" w:space="0" w:color="auto"/>
      </w:divBdr>
    </w:div>
    <w:div w:id="342245700">
      <w:bodyDiv w:val="1"/>
      <w:marLeft w:val="0"/>
      <w:marRight w:val="0"/>
      <w:marTop w:val="0"/>
      <w:marBottom w:val="0"/>
      <w:divBdr>
        <w:top w:val="none" w:sz="0" w:space="0" w:color="auto"/>
        <w:left w:val="none" w:sz="0" w:space="0" w:color="auto"/>
        <w:bottom w:val="none" w:sz="0" w:space="0" w:color="auto"/>
        <w:right w:val="none" w:sz="0" w:space="0" w:color="auto"/>
      </w:divBdr>
    </w:div>
    <w:div w:id="396131911">
      <w:bodyDiv w:val="1"/>
      <w:marLeft w:val="0"/>
      <w:marRight w:val="0"/>
      <w:marTop w:val="0"/>
      <w:marBottom w:val="0"/>
      <w:divBdr>
        <w:top w:val="none" w:sz="0" w:space="0" w:color="auto"/>
        <w:left w:val="none" w:sz="0" w:space="0" w:color="auto"/>
        <w:bottom w:val="none" w:sz="0" w:space="0" w:color="auto"/>
        <w:right w:val="none" w:sz="0" w:space="0" w:color="auto"/>
      </w:divBdr>
    </w:div>
    <w:div w:id="488442714">
      <w:bodyDiv w:val="1"/>
      <w:marLeft w:val="0"/>
      <w:marRight w:val="0"/>
      <w:marTop w:val="0"/>
      <w:marBottom w:val="0"/>
      <w:divBdr>
        <w:top w:val="none" w:sz="0" w:space="0" w:color="auto"/>
        <w:left w:val="none" w:sz="0" w:space="0" w:color="auto"/>
        <w:bottom w:val="none" w:sz="0" w:space="0" w:color="auto"/>
        <w:right w:val="none" w:sz="0" w:space="0" w:color="auto"/>
      </w:divBdr>
    </w:div>
    <w:div w:id="562521131">
      <w:bodyDiv w:val="1"/>
      <w:marLeft w:val="0"/>
      <w:marRight w:val="0"/>
      <w:marTop w:val="0"/>
      <w:marBottom w:val="0"/>
      <w:divBdr>
        <w:top w:val="none" w:sz="0" w:space="0" w:color="auto"/>
        <w:left w:val="none" w:sz="0" w:space="0" w:color="auto"/>
        <w:bottom w:val="none" w:sz="0" w:space="0" w:color="auto"/>
        <w:right w:val="none" w:sz="0" w:space="0" w:color="auto"/>
      </w:divBdr>
    </w:div>
    <w:div w:id="569273769">
      <w:bodyDiv w:val="1"/>
      <w:marLeft w:val="0"/>
      <w:marRight w:val="0"/>
      <w:marTop w:val="0"/>
      <w:marBottom w:val="0"/>
      <w:divBdr>
        <w:top w:val="none" w:sz="0" w:space="0" w:color="auto"/>
        <w:left w:val="none" w:sz="0" w:space="0" w:color="auto"/>
        <w:bottom w:val="none" w:sz="0" w:space="0" w:color="auto"/>
        <w:right w:val="none" w:sz="0" w:space="0" w:color="auto"/>
      </w:divBdr>
    </w:div>
    <w:div w:id="609046614">
      <w:bodyDiv w:val="1"/>
      <w:marLeft w:val="0"/>
      <w:marRight w:val="0"/>
      <w:marTop w:val="0"/>
      <w:marBottom w:val="0"/>
      <w:divBdr>
        <w:top w:val="none" w:sz="0" w:space="0" w:color="auto"/>
        <w:left w:val="none" w:sz="0" w:space="0" w:color="auto"/>
        <w:bottom w:val="none" w:sz="0" w:space="0" w:color="auto"/>
        <w:right w:val="none" w:sz="0" w:space="0" w:color="auto"/>
      </w:divBdr>
    </w:div>
    <w:div w:id="609237148">
      <w:bodyDiv w:val="1"/>
      <w:marLeft w:val="0"/>
      <w:marRight w:val="0"/>
      <w:marTop w:val="0"/>
      <w:marBottom w:val="0"/>
      <w:divBdr>
        <w:top w:val="none" w:sz="0" w:space="0" w:color="auto"/>
        <w:left w:val="none" w:sz="0" w:space="0" w:color="auto"/>
        <w:bottom w:val="none" w:sz="0" w:space="0" w:color="auto"/>
        <w:right w:val="none" w:sz="0" w:space="0" w:color="auto"/>
      </w:divBdr>
    </w:div>
    <w:div w:id="736972779">
      <w:bodyDiv w:val="1"/>
      <w:marLeft w:val="0"/>
      <w:marRight w:val="0"/>
      <w:marTop w:val="0"/>
      <w:marBottom w:val="0"/>
      <w:divBdr>
        <w:top w:val="none" w:sz="0" w:space="0" w:color="auto"/>
        <w:left w:val="none" w:sz="0" w:space="0" w:color="auto"/>
        <w:bottom w:val="none" w:sz="0" w:space="0" w:color="auto"/>
        <w:right w:val="none" w:sz="0" w:space="0" w:color="auto"/>
      </w:divBdr>
    </w:div>
    <w:div w:id="779107541">
      <w:bodyDiv w:val="1"/>
      <w:marLeft w:val="0"/>
      <w:marRight w:val="0"/>
      <w:marTop w:val="0"/>
      <w:marBottom w:val="0"/>
      <w:divBdr>
        <w:top w:val="none" w:sz="0" w:space="0" w:color="auto"/>
        <w:left w:val="none" w:sz="0" w:space="0" w:color="auto"/>
        <w:bottom w:val="none" w:sz="0" w:space="0" w:color="auto"/>
        <w:right w:val="none" w:sz="0" w:space="0" w:color="auto"/>
      </w:divBdr>
    </w:div>
    <w:div w:id="806780216">
      <w:bodyDiv w:val="1"/>
      <w:marLeft w:val="0"/>
      <w:marRight w:val="0"/>
      <w:marTop w:val="0"/>
      <w:marBottom w:val="0"/>
      <w:divBdr>
        <w:top w:val="none" w:sz="0" w:space="0" w:color="auto"/>
        <w:left w:val="none" w:sz="0" w:space="0" w:color="auto"/>
        <w:bottom w:val="none" w:sz="0" w:space="0" w:color="auto"/>
        <w:right w:val="none" w:sz="0" w:space="0" w:color="auto"/>
      </w:divBdr>
    </w:div>
    <w:div w:id="822047391">
      <w:bodyDiv w:val="1"/>
      <w:marLeft w:val="0"/>
      <w:marRight w:val="0"/>
      <w:marTop w:val="0"/>
      <w:marBottom w:val="0"/>
      <w:divBdr>
        <w:top w:val="none" w:sz="0" w:space="0" w:color="auto"/>
        <w:left w:val="none" w:sz="0" w:space="0" w:color="auto"/>
        <w:bottom w:val="none" w:sz="0" w:space="0" w:color="auto"/>
        <w:right w:val="none" w:sz="0" w:space="0" w:color="auto"/>
      </w:divBdr>
    </w:div>
    <w:div w:id="837421788">
      <w:bodyDiv w:val="1"/>
      <w:marLeft w:val="0"/>
      <w:marRight w:val="0"/>
      <w:marTop w:val="0"/>
      <w:marBottom w:val="0"/>
      <w:divBdr>
        <w:top w:val="none" w:sz="0" w:space="0" w:color="auto"/>
        <w:left w:val="none" w:sz="0" w:space="0" w:color="auto"/>
        <w:bottom w:val="none" w:sz="0" w:space="0" w:color="auto"/>
        <w:right w:val="none" w:sz="0" w:space="0" w:color="auto"/>
      </w:divBdr>
    </w:div>
    <w:div w:id="911231069">
      <w:bodyDiv w:val="1"/>
      <w:marLeft w:val="0"/>
      <w:marRight w:val="0"/>
      <w:marTop w:val="0"/>
      <w:marBottom w:val="0"/>
      <w:divBdr>
        <w:top w:val="none" w:sz="0" w:space="0" w:color="auto"/>
        <w:left w:val="none" w:sz="0" w:space="0" w:color="auto"/>
        <w:bottom w:val="none" w:sz="0" w:space="0" w:color="auto"/>
        <w:right w:val="none" w:sz="0" w:space="0" w:color="auto"/>
      </w:divBdr>
    </w:div>
    <w:div w:id="937100858">
      <w:bodyDiv w:val="1"/>
      <w:marLeft w:val="0"/>
      <w:marRight w:val="0"/>
      <w:marTop w:val="0"/>
      <w:marBottom w:val="0"/>
      <w:divBdr>
        <w:top w:val="none" w:sz="0" w:space="0" w:color="auto"/>
        <w:left w:val="none" w:sz="0" w:space="0" w:color="auto"/>
        <w:bottom w:val="none" w:sz="0" w:space="0" w:color="auto"/>
        <w:right w:val="none" w:sz="0" w:space="0" w:color="auto"/>
      </w:divBdr>
    </w:div>
    <w:div w:id="941112788">
      <w:bodyDiv w:val="1"/>
      <w:marLeft w:val="0"/>
      <w:marRight w:val="0"/>
      <w:marTop w:val="0"/>
      <w:marBottom w:val="0"/>
      <w:divBdr>
        <w:top w:val="none" w:sz="0" w:space="0" w:color="auto"/>
        <w:left w:val="none" w:sz="0" w:space="0" w:color="auto"/>
        <w:bottom w:val="none" w:sz="0" w:space="0" w:color="auto"/>
        <w:right w:val="none" w:sz="0" w:space="0" w:color="auto"/>
      </w:divBdr>
    </w:div>
    <w:div w:id="1135024707">
      <w:bodyDiv w:val="1"/>
      <w:marLeft w:val="0"/>
      <w:marRight w:val="0"/>
      <w:marTop w:val="0"/>
      <w:marBottom w:val="0"/>
      <w:divBdr>
        <w:top w:val="none" w:sz="0" w:space="0" w:color="auto"/>
        <w:left w:val="none" w:sz="0" w:space="0" w:color="auto"/>
        <w:bottom w:val="none" w:sz="0" w:space="0" w:color="auto"/>
        <w:right w:val="none" w:sz="0" w:space="0" w:color="auto"/>
      </w:divBdr>
    </w:div>
    <w:div w:id="1199777671">
      <w:bodyDiv w:val="1"/>
      <w:marLeft w:val="0"/>
      <w:marRight w:val="0"/>
      <w:marTop w:val="0"/>
      <w:marBottom w:val="0"/>
      <w:divBdr>
        <w:top w:val="none" w:sz="0" w:space="0" w:color="auto"/>
        <w:left w:val="none" w:sz="0" w:space="0" w:color="auto"/>
        <w:bottom w:val="none" w:sz="0" w:space="0" w:color="auto"/>
        <w:right w:val="none" w:sz="0" w:space="0" w:color="auto"/>
      </w:divBdr>
    </w:div>
    <w:div w:id="1218201988">
      <w:bodyDiv w:val="1"/>
      <w:marLeft w:val="0"/>
      <w:marRight w:val="0"/>
      <w:marTop w:val="0"/>
      <w:marBottom w:val="0"/>
      <w:divBdr>
        <w:top w:val="none" w:sz="0" w:space="0" w:color="auto"/>
        <w:left w:val="none" w:sz="0" w:space="0" w:color="auto"/>
        <w:bottom w:val="none" w:sz="0" w:space="0" w:color="auto"/>
        <w:right w:val="none" w:sz="0" w:space="0" w:color="auto"/>
      </w:divBdr>
    </w:div>
    <w:div w:id="1307584562">
      <w:bodyDiv w:val="1"/>
      <w:marLeft w:val="0"/>
      <w:marRight w:val="0"/>
      <w:marTop w:val="0"/>
      <w:marBottom w:val="0"/>
      <w:divBdr>
        <w:top w:val="none" w:sz="0" w:space="0" w:color="auto"/>
        <w:left w:val="none" w:sz="0" w:space="0" w:color="auto"/>
        <w:bottom w:val="none" w:sz="0" w:space="0" w:color="auto"/>
        <w:right w:val="none" w:sz="0" w:space="0" w:color="auto"/>
      </w:divBdr>
    </w:div>
    <w:div w:id="1372874959">
      <w:bodyDiv w:val="1"/>
      <w:marLeft w:val="0"/>
      <w:marRight w:val="0"/>
      <w:marTop w:val="0"/>
      <w:marBottom w:val="0"/>
      <w:divBdr>
        <w:top w:val="none" w:sz="0" w:space="0" w:color="auto"/>
        <w:left w:val="none" w:sz="0" w:space="0" w:color="auto"/>
        <w:bottom w:val="none" w:sz="0" w:space="0" w:color="auto"/>
        <w:right w:val="none" w:sz="0" w:space="0" w:color="auto"/>
      </w:divBdr>
    </w:div>
    <w:div w:id="1458178085">
      <w:bodyDiv w:val="1"/>
      <w:marLeft w:val="0"/>
      <w:marRight w:val="0"/>
      <w:marTop w:val="0"/>
      <w:marBottom w:val="0"/>
      <w:divBdr>
        <w:top w:val="none" w:sz="0" w:space="0" w:color="auto"/>
        <w:left w:val="none" w:sz="0" w:space="0" w:color="auto"/>
        <w:bottom w:val="none" w:sz="0" w:space="0" w:color="auto"/>
        <w:right w:val="none" w:sz="0" w:space="0" w:color="auto"/>
      </w:divBdr>
    </w:div>
    <w:div w:id="206190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usitc.gov/mtbps" TargetMode="External"/><Relationship Id="rId4" Type="http://schemas.microsoft.com/office/2007/relationships/stylesWithEffects" Target="stylesWithEffects.xml"/><Relationship Id="rId9" Type="http://schemas.openxmlformats.org/officeDocument/2006/relationships/hyperlink" Target="http://www.usitc.gov/mtb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7B2F6-649A-4D26-BA47-7D3CF7F6D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4168</Words>
  <Characters>23764</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USITC</Company>
  <LinksUpToDate>false</LinksUpToDate>
  <CharactersWithSpaces>27877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Wise, Jeremy</dc:creator>
  <cp:lastModifiedBy>Rohrbach, Jennifer</cp:lastModifiedBy>
  <cp:revision>2</cp:revision>
  <cp:lastPrinted>2016-08-22T12:49:00Z</cp:lastPrinted>
  <dcterms:created xsi:type="dcterms:W3CDTF">2016-08-25T19:16:00Z</dcterms:created>
  <dcterms:modified xsi:type="dcterms:W3CDTF">2016-08-25T19:16:00Z</dcterms:modified>
</cp:coreProperties>
</file>