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BE574" w14:textId="77777777" w:rsidR="007F4005" w:rsidRDefault="007F4005" w:rsidP="00770366">
      <w:pPr>
        <w:jc w:val="center"/>
        <w:rPr>
          <w:b/>
          <w:sz w:val="48"/>
          <w:szCs w:val="48"/>
        </w:rPr>
      </w:pPr>
      <w:bookmarkStart w:id="0" w:name="_Toc390342966"/>
      <w:bookmarkStart w:id="1" w:name="_GoBack"/>
      <w:bookmarkEnd w:id="1"/>
    </w:p>
    <w:p w14:paraId="08BE7C2F" w14:textId="77777777" w:rsidR="007F4005" w:rsidRDefault="007F4005" w:rsidP="00770366">
      <w:pPr>
        <w:jc w:val="center"/>
        <w:rPr>
          <w:b/>
          <w:sz w:val="48"/>
          <w:szCs w:val="48"/>
        </w:rPr>
      </w:pPr>
    </w:p>
    <w:p w14:paraId="0EAED498" w14:textId="77777777" w:rsidR="007F4005" w:rsidRDefault="007F4005" w:rsidP="00770366">
      <w:pPr>
        <w:jc w:val="center"/>
        <w:rPr>
          <w:b/>
          <w:sz w:val="48"/>
          <w:szCs w:val="48"/>
        </w:rPr>
      </w:pPr>
    </w:p>
    <w:p w14:paraId="641E8390" w14:textId="77777777" w:rsidR="007F4005" w:rsidRDefault="007F4005" w:rsidP="00770366">
      <w:pPr>
        <w:jc w:val="center"/>
        <w:rPr>
          <w:b/>
          <w:sz w:val="48"/>
          <w:szCs w:val="48"/>
        </w:rPr>
      </w:pPr>
    </w:p>
    <w:p w14:paraId="01AA1BEF" w14:textId="454BE6D4" w:rsidR="007B0088" w:rsidRPr="00C71131" w:rsidRDefault="007B0088" w:rsidP="007B0088">
      <w:pPr>
        <w:jc w:val="center"/>
        <w:rPr>
          <w:b/>
          <w:sz w:val="48"/>
          <w:szCs w:val="48"/>
        </w:rPr>
      </w:pPr>
      <w:r>
        <w:rPr>
          <w:b/>
          <w:sz w:val="48"/>
          <w:szCs w:val="48"/>
        </w:rPr>
        <w:t>ConnectHome</w:t>
      </w:r>
      <w:r w:rsidR="00284835">
        <w:rPr>
          <w:b/>
          <w:sz w:val="48"/>
          <w:szCs w:val="48"/>
        </w:rPr>
        <w:t xml:space="preserve"> Internet Subscribers</w:t>
      </w:r>
      <w:r>
        <w:rPr>
          <w:b/>
          <w:sz w:val="48"/>
          <w:szCs w:val="48"/>
        </w:rPr>
        <w:t xml:space="preserve"> Telephone Survey </w:t>
      </w:r>
    </w:p>
    <w:p w14:paraId="75FE5386" w14:textId="77777777" w:rsidR="007F4005" w:rsidRPr="00C71131" w:rsidRDefault="007F4005" w:rsidP="00770366">
      <w:pPr>
        <w:jc w:val="center"/>
        <w:rPr>
          <w:b/>
          <w:sz w:val="48"/>
          <w:szCs w:val="48"/>
        </w:rPr>
      </w:pPr>
    </w:p>
    <w:p w14:paraId="38D72242" w14:textId="77777777" w:rsidR="007F4005" w:rsidRPr="00C71131" w:rsidRDefault="007F4005" w:rsidP="00770366">
      <w:pPr>
        <w:jc w:val="center"/>
        <w:rPr>
          <w:b/>
          <w:sz w:val="48"/>
          <w:szCs w:val="48"/>
        </w:rPr>
      </w:pPr>
    </w:p>
    <w:p w14:paraId="304A169E" w14:textId="77777777" w:rsidR="007F4005" w:rsidRDefault="007F4005" w:rsidP="00770366">
      <w:pPr>
        <w:jc w:val="center"/>
        <w:rPr>
          <w:b/>
          <w:sz w:val="44"/>
          <w:szCs w:val="44"/>
        </w:rPr>
      </w:pPr>
    </w:p>
    <w:p w14:paraId="255280AB" w14:textId="77777777" w:rsidR="007F4005" w:rsidRDefault="007F4005" w:rsidP="00770366">
      <w:pPr>
        <w:jc w:val="center"/>
        <w:rPr>
          <w:b/>
          <w:sz w:val="44"/>
          <w:szCs w:val="44"/>
        </w:rPr>
      </w:pPr>
    </w:p>
    <w:p w14:paraId="691EEEB8" w14:textId="77777777" w:rsidR="007F4005" w:rsidRPr="00C71131" w:rsidRDefault="007F4005" w:rsidP="00770366">
      <w:pPr>
        <w:jc w:val="center"/>
        <w:rPr>
          <w:b/>
          <w:sz w:val="44"/>
          <w:szCs w:val="44"/>
        </w:rPr>
      </w:pPr>
      <w:r w:rsidRPr="00C71131">
        <w:rPr>
          <w:b/>
          <w:sz w:val="44"/>
          <w:szCs w:val="44"/>
        </w:rPr>
        <w:t xml:space="preserve">Supporting Statement for Paperwork Reduction Act Submission, Part </w:t>
      </w:r>
      <w:r>
        <w:rPr>
          <w:b/>
          <w:sz w:val="44"/>
          <w:szCs w:val="44"/>
        </w:rPr>
        <w:t>B</w:t>
      </w:r>
    </w:p>
    <w:p w14:paraId="62B8F770" w14:textId="77777777" w:rsidR="007F4005" w:rsidRDefault="007F4005" w:rsidP="00770366">
      <w:pPr>
        <w:jc w:val="center"/>
        <w:rPr>
          <w:b/>
          <w:sz w:val="32"/>
          <w:szCs w:val="32"/>
        </w:rPr>
      </w:pPr>
    </w:p>
    <w:p w14:paraId="6CF9616C" w14:textId="77777777" w:rsidR="00310C79" w:rsidRDefault="00310C79" w:rsidP="00770366">
      <w:pPr>
        <w:jc w:val="center"/>
        <w:rPr>
          <w:b/>
          <w:sz w:val="32"/>
          <w:szCs w:val="32"/>
        </w:rPr>
      </w:pPr>
    </w:p>
    <w:p w14:paraId="361B4EFE" w14:textId="77777777" w:rsidR="00310C79" w:rsidRDefault="00310C79" w:rsidP="00770366">
      <w:pPr>
        <w:jc w:val="center"/>
        <w:rPr>
          <w:b/>
          <w:sz w:val="32"/>
          <w:szCs w:val="32"/>
        </w:rPr>
      </w:pPr>
    </w:p>
    <w:p w14:paraId="50B22955" w14:textId="77777777" w:rsidR="00310C79" w:rsidRDefault="00310C79" w:rsidP="00770366">
      <w:pPr>
        <w:jc w:val="center"/>
        <w:rPr>
          <w:b/>
          <w:sz w:val="32"/>
          <w:szCs w:val="32"/>
        </w:rPr>
      </w:pPr>
    </w:p>
    <w:p w14:paraId="5DE89185" w14:textId="77777777" w:rsidR="00310C79" w:rsidRDefault="00310C79" w:rsidP="00770366">
      <w:pPr>
        <w:jc w:val="center"/>
        <w:rPr>
          <w:b/>
          <w:sz w:val="32"/>
          <w:szCs w:val="32"/>
        </w:rPr>
      </w:pPr>
    </w:p>
    <w:p w14:paraId="3E238DE2" w14:textId="77777777" w:rsidR="00310C79" w:rsidRDefault="00310C79" w:rsidP="00770366">
      <w:pPr>
        <w:jc w:val="center"/>
        <w:rPr>
          <w:b/>
          <w:sz w:val="32"/>
          <w:szCs w:val="32"/>
        </w:rPr>
      </w:pPr>
    </w:p>
    <w:p w14:paraId="7506E686" w14:textId="77777777" w:rsidR="00310C79" w:rsidRDefault="00310C79" w:rsidP="00770366">
      <w:pPr>
        <w:jc w:val="center"/>
        <w:rPr>
          <w:b/>
          <w:sz w:val="32"/>
          <w:szCs w:val="32"/>
        </w:rPr>
      </w:pPr>
    </w:p>
    <w:p w14:paraId="24C69133" w14:textId="77777777" w:rsidR="00E85900" w:rsidRDefault="00E85900" w:rsidP="00E85900">
      <w:pPr>
        <w:jc w:val="center"/>
        <w:rPr>
          <w:b/>
          <w:sz w:val="32"/>
          <w:szCs w:val="32"/>
        </w:rPr>
      </w:pPr>
      <w:r>
        <w:rPr>
          <w:b/>
          <w:sz w:val="32"/>
          <w:szCs w:val="32"/>
        </w:rPr>
        <w:t>Submitted to:</w:t>
      </w:r>
    </w:p>
    <w:p w14:paraId="70BD285E" w14:textId="77777777" w:rsidR="00E85900" w:rsidRDefault="00E85900" w:rsidP="00E85900">
      <w:pPr>
        <w:jc w:val="center"/>
        <w:rPr>
          <w:b/>
          <w:sz w:val="32"/>
          <w:szCs w:val="32"/>
        </w:rPr>
      </w:pPr>
    </w:p>
    <w:p w14:paraId="23C28BFF" w14:textId="77777777" w:rsidR="00E85900" w:rsidRDefault="00E85900" w:rsidP="00E85900">
      <w:pPr>
        <w:jc w:val="center"/>
        <w:rPr>
          <w:b/>
          <w:sz w:val="32"/>
          <w:szCs w:val="32"/>
        </w:rPr>
      </w:pPr>
      <w:r>
        <w:rPr>
          <w:b/>
          <w:sz w:val="32"/>
          <w:szCs w:val="32"/>
        </w:rPr>
        <w:t>Office of Management &amp; Budget (OMB)</w:t>
      </w:r>
    </w:p>
    <w:p w14:paraId="79817433" w14:textId="77777777" w:rsidR="00E85900" w:rsidRDefault="00E85900" w:rsidP="00E85900">
      <w:pPr>
        <w:jc w:val="center"/>
        <w:rPr>
          <w:b/>
          <w:sz w:val="32"/>
          <w:szCs w:val="32"/>
        </w:rPr>
      </w:pPr>
    </w:p>
    <w:p w14:paraId="7653BC10" w14:textId="77777777" w:rsidR="00E85900" w:rsidRDefault="00E85900" w:rsidP="00E85900">
      <w:pPr>
        <w:jc w:val="center"/>
        <w:rPr>
          <w:b/>
          <w:sz w:val="32"/>
          <w:szCs w:val="32"/>
        </w:rPr>
      </w:pPr>
      <w:r>
        <w:rPr>
          <w:b/>
          <w:sz w:val="32"/>
          <w:szCs w:val="32"/>
        </w:rPr>
        <w:t>Submitted by:</w:t>
      </w:r>
    </w:p>
    <w:p w14:paraId="0562B59E" w14:textId="77777777" w:rsidR="00E85900" w:rsidRDefault="00E85900" w:rsidP="00E85900">
      <w:pPr>
        <w:jc w:val="center"/>
        <w:rPr>
          <w:b/>
          <w:sz w:val="32"/>
          <w:szCs w:val="32"/>
        </w:rPr>
      </w:pPr>
    </w:p>
    <w:p w14:paraId="36DE0EFE" w14:textId="77777777" w:rsidR="00E85900" w:rsidRDefault="00E85900" w:rsidP="00E85900">
      <w:pPr>
        <w:jc w:val="center"/>
        <w:rPr>
          <w:b/>
          <w:sz w:val="32"/>
          <w:szCs w:val="32"/>
        </w:rPr>
      </w:pPr>
      <w:r>
        <w:rPr>
          <w:b/>
          <w:sz w:val="32"/>
          <w:szCs w:val="32"/>
        </w:rPr>
        <w:t>U.S. Department of Housing &amp; Urban Development (HUD)</w:t>
      </w:r>
    </w:p>
    <w:p w14:paraId="7FF200A2" w14:textId="77777777" w:rsidR="00E85900" w:rsidRDefault="00E85900" w:rsidP="00E85900">
      <w:pPr>
        <w:jc w:val="center"/>
        <w:rPr>
          <w:b/>
          <w:sz w:val="32"/>
          <w:szCs w:val="32"/>
        </w:rPr>
      </w:pPr>
    </w:p>
    <w:p w14:paraId="020F494E" w14:textId="77777777" w:rsidR="00E85900" w:rsidRDefault="00E85900" w:rsidP="00E85900">
      <w:pPr>
        <w:jc w:val="center"/>
        <w:rPr>
          <w:b/>
          <w:sz w:val="32"/>
          <w:szCs w:val="32"/>
        </w:rPr>
      </w:pPr>
    </w:p>
    <w:p w14:paraId="1F7BF1F5" w14:textId="5E2A85E3" w:rsidR="00E85900" w:rsidRDefault="00B65CD7" w:rsidP="00E85900">
      <w:pPr>
        <w:jc w:val="center"/>
        <w:rPr>
          <w:b/>
          <w:sz w:val="32"/>
          <w:szCs w:val="32"/>
        </w:rPr>
      </w:pPr>
      <w:r>
        <w:rPr>
          <w:b/>
          <w:sz w:val="32"/>
          <w:szCs w:val="32"/>
        </w:rPr>
        <w:t xml:space="preserve">August </w:t>
      </w:r>
      <w:r w:rsidR="00C1335C">
        <w:rPr>
          <w:b/>
          <w:sz w:val="32"/>
          <w:szCs w:val="32"/>
        </w:rPr>
        <w:t>24</w:t>
      </w:r>
      <w:r w:rsidR="00E85900">
        <w:rPr>
          <w:b/>
          <w:sz w:val="32"/>
          <w:szCs w:val="32"/>
        </w:rPr>
        <w:t>, 2016</w:t>
      </w:r>
    </w:p>
    <w:p w14:paraId="70FDF575" w14:textId="77777777" w:rsidR="00E85900" w:rsidRDefault="00E85900" w:rsidP="00E85900">
      <w:pPr>
        <w:jc w:val="center"/>
        <w:rPr>
          <w:b/>
          <w:sz w:val="32"/>
          <w:szCs w:val="32"/>
        </w:rPr>
      </w:pPr>
    </w:p>
    <w:p w14:paraId="59BE75D9" w14:textId="77777777" w:rsidR="00E609BA" w:rsidRDefault="00E609BA" w:rsidP="00E609BA">
      <w:pPr>
        <w:jc w:val="center"/>
        <w:rPr>
          <w:b/>
          <w:sz w:val="32"/>
          <w:szCs w:val="32"/>
        </w:rPr>
      </w:pPr>
    </w:p>
    <w:p w14:paraId="7ABBF8D8" w14:textId="77777777" w:rsidR="00E609BA" w:rsidRDefault="00E609BA" w:rsidP="00C9525C">
      <w:pPr>
        <w:pStyle w:val="Heading2"/>
        <w:numPr>
          <w:ilvl w:val="0"/>
          <w:numId w:val="0"/>
        </w:numPr>
        <w:spacing w:after="200"/>
        <w:ind w:left="432" w:hanging="432"/>
        <w:rPr>
          <w:rFonts w:ascii="Times New Roman" w:hAnsi="Times New Roman" w:cs="Times New Roman"/>
          <w:color w:val="auto"/>
          <w:sz w:val="24"/>
        </w:rPr>
      </w:pPr>
      <w:r>
        <w:rPr>
          <w:rFonts w:ascii="Times New Roman" w:hAnsi="Times New Roman" w:cs="Times New Roman"/>
          <w:color w:val="auto"/>
          <w:sz w:val="24"/>
        </w:rPr>
        <w:t>B. Collections of Information Employing Statistical Methods</w:t>
      </w:r>
    </w:p>
    <w:p w14:paraId="18466FB5" w14:textId="77777777" w:rsidR="00E609BA" w:rsidRDefault="00E609BA" w:rsidP="00C9525C">
      <w:pPr>
        <w:spacing w:after="200"/>
      </w:pPr>
      <w:r>
        <w:t xml:space="preserve">1. </w:t>
      </w:r>
      <w:r w:rsidRPr="00BB6A1B">
        <w:rPr>
          <w:u w:val="single"/>
        </w:rPr>
        <w:t>Respondent Universe, Sampling Selection, and Expected Response Rates</w:t>
      </w:r>
    </w:p>
    <w:p w14:paraId="61382255" w14:textId="77777777" w:rsidR="006D6958" w:rsidRPr="006D6958" w:rsidRDefault="006D6958" w:rsidP="00E97D18">
      <w:pPr>
        <w:spacing w:after="240"/>
        <w:rPr>
          <w:rFonts w:eastAsiaTheme="minorHAnsi"/>
          <w:i/>
        </w:rPr>
      </w:pPr>
      <w:r w:rsidRPr="006D6958">
        <w:rPr>
          <w:rFonts w:eastAsiaTheme="minorHAnsi"/>
          <w:i/>
        </w:rPr>
        <w:t>Overview of Survey Materials</w:t>
      </w:r>
    </w:p>
    <w:p w14:paraId="4189FDD5" w14:textId="77777777" w:rsidR="00E97D18" w:rsidRPr="00E97D18" w:rsidRDefault="00E97D18" w:rsidP="00E97D18">
      <w:pPr>
        <w:spacing w:after="240"/>
        <w:rPr>
          <w:rFonts w:eastAsiaTheme="minorHAnsi"/>
        </w:rPr>
      </w:pPr>
      <w:r w:rsidRPr="00E97D18">
        <w:rPr>
          <w:rFonts w:eastAsiaTheme="minorHAnsi"/>
        </w:rPr>
        <w:t>The materials used to administer the ConnectHome Internet Subscribers Telephone Survey will include an advance notification letter (</w:t>
      </w:r>
      <w:r w:rsidR="00D344C1">
        <w:rPr>
          <w:rFonts w:eastAsiaTheme="minorHAnsi"/>
        </w:rPr>
        <w:t>Appendix A</w:t>
      </w:r>
      <w:r w:rsidRPr="00E97D18">
        <w:rPr>
          <w:rFonts w:eastAsiaTheme="minorHAnsi"/>
        </w:rPr>
        <w:t>) and the survey instrument, which will be available in English and Spanish (</w:t>
      </w:r>
      <w:r w:rsidR="00D344C1">
        <w:rPr>
          <w:rFonts w:eastAsiaTheme="minorHAnsi"/>
        </w:rPr>
        <w:t>Appendix B</w:t>
      </w:r>
      <w:r w:rsidRPr="00E97D18">
        <w:rPr>
          <w:rFonts w:eastAsiaTheme="minorHAnsi"/>
        </w:rPr>
        <w:t>).</w:t>
      </w:r>
    </w:p>
    <w:p w14:paraId="65DB9DE2" w14:textId="77777777" w:rsidR="006D6958" w:rsidRPr="006D6958" w:rsidRDefault="006D6958" w:rsidP="00E97D18">
      <w:pPr>
        <w:spacing w:after="240"/>
        <w:rPr>
          <w:rFonts w:eastAsiaTheme="minorHAnsi"/>
          <w:i/>
        </w:rPr>
      </w:pPr>
      <w:r w:rsidRPr="006D6958">
        <w:rPr>
          <w:rFonts w:eastAsiaTheme="minorHAnsi"/>
          <w:i/>
        </w:rPr>
        <w:t>Advance Notification Letter</w:t>
      </w:r>
    </w:p>
    <w:p w14:paraId="3544C836" w14:textId="5248775A" w:rsidR="00FB4ABD" w:rsidRPr="00E97D18" w:rsidRDefault="00E97D18" w:rsidP="00E97D18">
      <w:pPr>
        <w:spacing w:after="240"/>
        <w:rPr>
          <w:rFonts w:eastAsiaTheme="minorHAnsi"/>
          <w:color w:val="FF0000"/>
        </w:rPr>
      </w:pPr>
      <w:r w:rsidRPr="00E97D18">
        <w:rPr>
          <w:rFonts w:eastAsiaTheme="minorHAnsi"/>
        </w:rPr>
        <w:t xml:space="preserve">All households </w:t>
      </w:r>
      <w:r w:rsidR="00002B1D">
        <w:rPr>
          <w:rFonts w:eastAsiaTheme="minorHAnsi"/>
        </w:rPr>
        <w:t>selected</w:t>
      </w:r>
      <w:r w:rsidR="00002B1D" w:rsidRPr="00E97D18">
        <w:rPr>
          <w:rFonts w:eastAsiaTheme="minorHAnsi"/>
        </w:rPr>
        <w:t xml:space="preserve"> </w:t>
      </w:r>
      <w:r w:rsidRPr="00E97D18">
        <w:rPr>
          <w:rFonts w:eastAsiaTheme="minorHAnsi"/>
        </w:rPr>
        <w:t xml:space="preserve">to participate in the ConnectHome Internet Subscribers Telephone Survey will receive an advance notification letter 2 to 3 weeks prior to receiving a telephone call to complete the survey. The advance notification letter will provide a detailed description of the ConnectHome initiative and the importance of participating in the survey. The letter will notify participants that the information they provide will be kept confidential and that their housing benefits will not be affected by taking part in the survey. </w:t>
      </w:r>
      <w:r w:rsidR="00CE5143">
        <w:rPr>
          <w:rFonts w:eastAsiaTheme="minorHAnsi"/>
        </w:rPr>
        <w:t xml:space="preserve">Households will be offered a </w:t>
      </w:r>
      <w:r w:rsidR="00D344C1">
        <w:rPr>
          <w:rFonts w:eastAsiaTheme="minorHAnsi"/>
        </w:rPr>
        <w:t>$</w:t>
      </w:r>
      <w:r w:rsidR="00CE5143">
        <w:rPr>
          <w:rFonts w:eastAsiaTheme="minorHAnsi"/>
        </w:rPr>
        <w:t>15</w:t>
      </w:r>
      <w:r w:rsidR="00D344C1">
        <w:rPr>
          <w:rFonts w:eastAsiaTheme="minorHAnsi"/>
        </w:rPr>
        <w:t xml:space="preserve"> gift card</w:t>
      </w:r>
      <w:r w:rsidRPr="00E97D18">
        <w:rPr>
          <w:rFonts w:eastAsiaTheme="minorHAnsi"/>
        </w:rPr>
        <w:t xml:space="preserve"> incentive for participation to boost response rates; the advance notification letter describe</w:t>
      </w:r>
      <w:r w:rsidR="00D344C1">
        <w:rPr>
          <w:rFonts w:eastAsiaTheme="minorHAnsi"/>
        </w:rPr>
        <w:t>s</w:t>
      </w:r>
      <w:r w:rsidRPr="00E97D18">
        <w:rPr>
          <w:rFonts w:eastAsiaTheme="minorHAnsi"/>
        </w:rPr>
        <w:t xml:space="preserve"> </w:t>
      </w:r>
      <w:r w:rsidR="00CE5143">
        <w:rPr>
          <w:rFonts w:eastAsiaTheme="minorHAnsi"/>
        </w:rPr>
        <w:t>the $15 gift card</w:t>
      </w:r>
      <w:r w:rsidRPr="00E97D18">
        <w:rPr>
          <w:rFonts w:eastAsiaTheme="minorHAnsi"/>
        </w:rPr>
        <w:t>.</w:t>
      </w:r>
      <w:r w:rsidRPr="00E97D18">
        <w:rPr>
          <w:rFonts w:eastAsiaTheme="minorHAnsi"/>
          <w:color w:val="FF0000"/>
        </w:rPr>
        <w:t xml:space="preserve"> </w:t>
      </w:r>
    </w:p>
    <w:p w14:paraId="2AC182AE" w14:textId="77777777" w:rsidR="00E97D18" w:rsidRPr="00E97D18" w:rsidRDefault="00E97D18" w:rsidP="00E97D18">
      <w:pPr>
        <w:spacing w:after="240"/>
        <w:rPr>
          <w:rFonts w:eastAsiaTheme="minorHAnsi"/>
          <w:color w:val="FF0000"/>
        </w:rPr>
      </w:pPr>
      <w:r w:rsidRPr="00E97D18">
        <w:rPr>
          <w:rFonts w:eastAsiaTheme="minorHAnsi"/>
        </w:rPr>
        <w:t>The advance notification letter will be signed by Everyone On, a partner of the ConnectHome initiative, in an effort to assure potential respondents of the legitimacy of the survey data collection. The letter appears in appendix A.</w:t>
      </w:r>
    </w:p>
    <w:p w14:paraId="5CBF167D" w14:textId="77777777" w:rsidR="00A35A8F" w:rsidRPr="00A35A8F" w:rsidRDefault="00A35A8F" w:rsidP="00E97D18">
      <w:pPr>
        <w:spacing w:after="240"/>
        <w:rPr>
          <w:rFonts w:eastAsiaTheme="minorHAnsi"/>
          <w:i/>
        </w:rPr>
      </w:pPr>
      <w:r w:rsidRPr="00A35A8F">
        <w:rPr>
          <w:rFonts w:eastAsiaTheme="minorHAnsi"/>
          <w:i/>
        </w:rPr>
        <w:t>Survey Instrument</w:t>
      </w:r>
    </w:p>
    <w:p w14:paraId="29CEABFA" w14:textId="0107F998" w:rsidR="00E97D18" w:rsidRPr="00A35A8F" w:rsidRDefault="00E97D18" w:rsidP="00E97D18">
      <w:pPr>
        <w:spacing w:after="240"/>
        <w:rPr>
          <w:rFonts w:eastAsiaTheme="minorHAnsi"/>
        </w:rPr>
      </w:pPr>
      <w:r w:rsidRPr="00E97D18">
        <w:rPr>
          <w:rFonts w:eastAsiaTheme="minorHAnsi"/>
        </w:rPr>
        <w:t xml:space="preserve">The draft ConnectHome Internet Subscribers Telephone Survey includes approximately 80 questions. Initial estimates suggest the </w:t>
      </w:r>
      <w:r w:rsidR="00CE5143">
        <w:rPr>
          <w:rFonts w:eastAsiaTheme="minorHAnsi"/>
        </w:rPr>
        <w:t>average interview length will be no more than 20 minutes</w:t>
      </w:r>
      <w:r w:rsidRPr="00E97D18">
        <w:rPr>
          <w:rFonts w:eastAsiaTheme="minorHAnsi"/>
        </w:rPr>
        <w:t xml:space="preserve">, </w:t>
      </w:r>
      <w:r w:rsidR="00C1335C">
        <w:rPr>
          <w:rFonts w:eastAsiaTheme="minorHAnsi"/>
        </w:rPr>
        <w:t>and these</w:t>
      </w:r>
      <w:r w:rsidRPr="00E97D18">
        <w:rPr>
          <w:rFonts w:eastAsiaTheme="minorHAnsi"/>
        </w:rPr>
        <w:t xml:space="preserve"> estimate</w:t>
      </w:r>
      <w:r w:rsidR="00C1335C">
        <w:rPr>
          <w:rFonts w:eastAsiaTheme="minorHAnsi"/>
        </w:rPr>
        <w:t>s were c</w:t>
      </w:r>
      <w:r w:rsidRPr="00E97D18">
        <w:rPr>
          <w:rFonts w:eastAsiaTheme="minorHAnsi"/>
        </w:rPr>
        <w:t xml:space="preserve">onfirmed during the pretest phase in </w:t>
      </w:r>
      <w:r w:rsidR="00D344C1">
        <w:rPr>
          <w:rFonts w:eastAsiaTheme="minorHAnsi"/>
        </w:rPr>
        <w:t>July</w:t>
      </w:r>
      <w:r w:rsidRPr="00E97D18">
        <w:rPr>
          <w:rFonts w:eastAsiaTheme="minorHAnsi"/>
        </w:rPr>
        <w:t xml:space="preserve">. The survey covers the following topics: households’ use of Internet and technology in general; households’ use of Internet for education, employment, and health purposes; digital literacy; and demographic characteristics. </w:t>
      </w:r>
      <w:r w:rsidR="008023E4">
        <w:rPr>
          <w:rFonts w:eastAsiaTheme="minorHAnsi"/>
        </w:rPr>
        <w:t>Housing and Urban Development (</w:t>
      </w:r>
      <w:r w:rsidRPr="00E97D18">
        <w:rPr>
          <w:rFonts w:eastAsiaTheme="minorHAnsi"/>
        </w:rPr>
        <w:t>HUD</w:t>
      </w:r>
      <w:r w:rsidR="008023E4">
        <w:rPr>
          <w:rFonts w:eastAsiaTheme="minorHAnsi"/>
        </w:rPr>
        <w:t>)</w:t>
      </w:r>
      <w:r w:rsidRPr="00E97D18">
        <w:rPr>
          <w:rFonts w:eastAsiaTheme="minorHAnsi"/>
        </w:rPr>
        <w:t xml:space="preserve"> will translate the survey into</w:t>
      </w:r>
      <w:r w:rsidR="00D344C1">
        <w:rPr>
          <w:rFonts w:eastAsiaTheme="minorHAnsi"/>
        </w:rPr>
        <w:t xml:space="preserve"> Spanish. </w:t>
      </w:r>
      <w:r w:rsidRPr="00E97D18">
        <w:rPr>
          <w:rFonts w:eastAsiaTheme="minorHAnsi"/>
        </w:rPr>
        <w:t xml:space="preserve">The draft survey instrument is shown in appendix B. </w:t>
      </w:r>
    </w:p>
    <w:p w14:paraId="78A8653E" w14:textId="77777777" w:rsidR="006D6958" w:rsidRPr="00A35A8F" w:rsidRDefault="006D6958" w:rsidP="006D6958">
      <w:pPr>
        <w:spacing w:after="200"/>
        <w:jc w:val="both"/>
        <w:rPr>
          <w:i/>
        </w:rPr>
      </w:pPr>
      <w:r w:rsidRPr="00A35A8F">
        <w:rPr>
          <w:i/>
        </w:rPr>
        <w:t>Sampling</w:t>
      </w:r>
    </w:p>
    <w:p w14:paraId="6F40EA0A" w14:textId="2CFE4A7D" w:rsidR="006D6958" w:rsidRPr="007B0088" w:rsidRDefault="008023E4" w:rsidP="006D6958">
      <w:pPr>
        <w:spacing w:after="240"/>
      </w:pPr>
      <w:r>
        <w:t>Housing and Urban Development (</w:t>
      </w:r>
      <w:r w:rsidR="006D6958" w:rsidRPr="007B0088">
        <w:t>HUD</w:t>
      </w:r>
      <w:r>
        <w:t>)</w:t>
      </w:r>
      <w:r w:rsidR="006D6958" w:rsidRPr="007B0088">
        <w:t xml:space="preserve">—or a partner of HUD, such as a PHA in a participating community—will </w:t>
      </w:r>
      <w:r w:rsidR="00D344C1">
        <w:t xml:space="preserve">be providing </w:t>
      </w:r>
      <w:r w:rsidR="006D6958" w:rsidRPr="007B0088">
        <w:t xml:space="preserve">Insight the sampling frame of phone numbers and names for the heads of household for households that have recently obtained high-speed Internet access in their homes through ConnectHome. If possible, a secondary phone number for these households will be provided to increase the likelihood of reaching selected households. </w:t>
      </w:r>
    </w:p>
    <w:p w14:paraId="285F7ED7" w14:textId="0DF7150E" w:rsidR="006D6958" w:rsidRPr="007B0088" w:rsidRDefault="006D6958" w:rsidP="006D6958">
      <w:pPr>
        <w:spacing w:after="240"/>
        <w:rPr>
          <w:rFonts w:eastAsiaTheme="minorHAnsi"/>
        </w:rPr>
      </w:pPr>
      <w:r w:rsidRPr="007B0088">
        <w:t xml:space="preserve">HUD will provide a preliminary estimate of the size of the frame to Insight by early </w:t>
      </w:r>
      <w:r w:rsidR="00D344C1">
        <w:t>July</w:t>
      </w:r>
      <w:r w:rsidRPr="007B0088">
        <w:t xml:space="preserve">. If </w:t>
      </w:r>
      <w:r w:rsidR="00002B1D">
        <w:t xml:space="preserve">fewer </w:t>
      </w:r>
      <w:r w:rsidR="00895BE2">
        <w:t>than</w:t>
      </w:r>
      <w:r w:rsidRPr="007B0088">
        <w:t xml:space="preserve"> </w:t>
      </w:r>
      <w:r w:rsidR="00895BE2">
        <w:t>2,</w:t>
      </w:r>
      <w:r w:rsidR="00002B1D">
        <w:t>500</w:t>
      </w:r>
      <w:r w:rsidR="00002B1D" w:rsidRPr="007B0088">
        <w:t xml:space="preserve"> </w:t>
      </w:r>
      <w:r w:rsidRPr="007B0088">
        <w:t xml:space="preserve">households are included in the frame, </w:t>
      </w:r>
      <w:r w:rsidR="00895BE2">
        <w:t xml:space="preserve">Insight will conduct the survey using a </w:t>
      </w:r>
      <w:r w:rsidR="00895BE2">
        <w:lastRenderedPageBreak/>
        <w:t>census instead of a sample</w:t>
      </w:r>
      <w:r w:rsidRPr="007B0088">
        <w:t>. </w:t>
      </w:r>
      <w:r w:rsidRPr="007B0088">
        <w:rPr>
          <w:rFonts w:eastAsiaTheme="minorHAnsi"/>
        </w:rPr>
        <w:t xml:space="preserve">Insight will </w:t>
      </w:r>
      <w:r w:rsidR="00895BE2">
        <w:rPr>
          <w:rFonts w:eastAsiaTheme="minorHAnsi"/>
        </w:rPr>
        <w:t>be providing</w:t>
      </w:r>
      <w:r w:rsidRPr="007B0088">
        <w:rPr>
          <w:rFonts w:eastAsiaTheme="minorHAnsi"/>
        </w:rPr>
        <w:t xml:space="preserve"> a memo summarizing this approach by </w:t>
      </w:r>
      <w:r w:rsidR="00895BE2">
        <w:rPr>
          <w:rFonts w:eastAsiaTheme="minorHAnsi"/>
        </w:rPr>
        <w:t>July 27</w:t>
      </w:r>
      <w:r w:rsidRPr="007B0088">
        <w:rPr>
          <w:rFonts w:eastAsiaTheme="minorHAnsi"/>
        </w:rPr>
        <w:t>.</w:t>
      </w:r>
      <w:r w:rsidR="00895BE2">
        <w:rPr>
          <w:rFonts w:eastAsiaTheme="minorHAnsi"/>
        </w:rPr>
        <w:t xml:space="preserve"> </w:t>
      </w:r>
      <w:r w:rsidR="00895BE2" w:rsidRPr="007B0088">
        <w:rPr>
          <w:rFonts w:eastAsiaTheme="minorHAnsi"/>
        </w:rPr>
        <w:t xml:space="preserve"> </w:t>
      </w:r>
      <w:r w:rsidRPr="007B0088">
        <w:rPr>
          <w:rFonts w:eastAsiaTheme="minorHAnsi"/>
        </w:rPr>
        <w:t xml:space="preserve">HUD will provide a final estimate of the frame size and a preliminary list of names and phone numbers to Insight by </w:t>
      </w:r>
      <w:r w:rsidR="00895BE2">
        <w:rPr>
          <w:rFonts w:eastAsiaTheme="minorHAnsi"/>
        </w:rPr>
        <w:t xml:space="preserve">August </w:t>
      </w:r>
      <w:r w:rsidR="00002B1D">
        <w:rPr>
          <w:rFonts w:eastAsiaTheme="minorHAnsi"/>
        </w:rPr>
        <w:t>17</w:t>
      </w:r>
      <w:r w:rsidRPr="007B0088">
        <w:rPr>
          <w:rFonts w:eastAsiaTheme="minorHAnsi"/>
        </w:rPr>
        <w:t xml:space="preserve">. HUD has indicated that the </w:t>
      </w:r>
      <w:r w:rsidR="00895BE2">
        <w:rPr>
          <w:rFonts w:eastAsiaTheme="minorHAnsi"/>
        </w:rPr>
        <w:t>August 10</w:t>
      </w:r>
      <w:r w:rsidRPr="007B0088">
        <w:rPr>
          <w:rFonts w:eastAsiaTheme="minorHAnsi"/>
        </w:rPr>
        <w:t xml:space="preserve"> list may represent only a portion of the total sample frame because of the timing of the ConnectHome rollout period. HUD may need to provide additional names and phone numbers 1 or 2 months after </w:t>
      </w:r>
      <w:r w:rsidR="00895BE2">
        <w:rPr>
          <w:rFonts w:eastAsiaTheme="minorHAnsi"/>
        </w:rPr>
        <w:t>August 10</w:t>
      </w:r>
      <w:r w:rsidRPr="007B0088">
        <w:rPr>
          <w:rFonts w:eastAsiaTheme="minorHAnsi"/>
        </w:rPr>
        <w:t xml:space="preserve">. However, Insight will need to know the total size of the sample frame by </w:t>
      </w:r>
      <w:r w:rsidR="00002B1D">
        <w:rPr>
          <w:rFonts w:eastAsiaTheme="minorHAnsi"/>
        </w:rPr>
        <w:t>July 13</w:t>
      </w:r>
      <w:r w:rsidR="00895BE2">
        <w:rPr>
          <w:rFonts w:eastAsiaTheme="minorHAnsi"/>
        </w:rPr>
        <w:t xml:space="preserve"> </w:t>
      </w:r>
      <w:r w:rsidRPr="007B0088">
        <w:rPr>
          <w:rFonts w:eastAsiaTheme="minorHAnsi"/>
        </w:rPr>
        <w:t xml:space="preserve">to design the sampling approach, </w:t>
      </w:r>
      <w:r w:rsidR="00002B1D">
        <w:rPr>
          <w:rFonts w:eastAsiaTheme="minorHAnsi"/>
        </w:rPr>
        <w:t xml:space="preserve">and to receive the frame file by August 17 to </w:t>
      </w:r>
      <w:r w:rsidRPr="007B0088">
        <w:rPr>
          <w:rFonts w:eastAsiaTheme="minorHAnsi"/>
        </w:rPr>
        <w:t>conduct the sampling and QA process. Phone numbers provided later in the fielding period would reduce the time available for the call center to attempt to reach the households and complete the surveys.</w:t>
      </w:r>
    </w:p>
    <w:p w14:paraId="7291C5A9" w14:textId="77777777" w:rsidR="00F24622" w:rsidRDefault="00F24622" w:rsidP="00C9525C">
      <w:pPr>
        <w:spacing w:after="200"/>
      </w:pPr>
      <w:r>
        <w:rPr>
          <w:i/>
        </w:rPr>
        <w:t>Expected response rates</w:t>
      </w:r>
    </w:p>
    <w:p w14:paraId="3335D6B6" w14:textId="77777777" w:rsidR="00C9525C" w:rsidRPr="00D344C1" w:rsidRDefault="00C9525C" w:rsidP="00C9525C">
      <w:pPr>
        <w:spacing w:after="200"/>
        <w:rPr>
          <w:u w:val="single"/>
        </w:rPr>
      </w:pPr>
      <w:r>
        <w:t xml:space="preserve">2. </w:t>
      </w:r>
      <w:r w:rsidRPr="00D344C1">
        <w:rPr>
          <w:u w:val="single"/>
        </w:rPr>
        <w:t>Procedures for the collection of information</w:t>
      </w:r>
    </w:p>
    <w:p w14:paraId="337AD198" w14:textId="13DDE2BE" w:rsidR="005D1FF1" w:rsidRPr="00D344C1" w:rsidRDefault="007B0088" w:rsidP="005D1FF1">
      <w:pPr>
        <w:pStyle w:val="BodyText-IPR"/>
        <w:rPr>
          <w:rFonts w:ascii="Times New Roman" w:hAnsi="Times New Roman" w:cs="Times New Roman"/>
          <w:sz w:val="24"/>
          <w:szCs w:val="24"/>
        </w:rPr>
      </w:pPr>
      <w:r w:rsidRPr="00D344C1">
        <w:rPr>
          <w:rFonts w:ascii="Times New Roman" w:hAnsi="Times New Roman" w:cs="Times New Roman"/>
          <w:sz w:val="24"/>
          <w:szCs w:val="24"/>
        </w:rPr>
        <w:t xml:space="preserve">Once the instrument is finalized and the sampling is completed, </w:t>
      </w:r>
      <w:r w:rsidR="00002B1D">
        <w:rPr>
          <w:rFonts w:ascii="Times New Roman" w:hAnsi="Times New Roman" w:cs="Times New Roman"/>
          <w:sz w:val="24"/>
          <w:szCs w:val="24"/>
        </w:rPr>
        <w:t xml:space="preserve">Insight’s subcontractor, </w:t>
      </w:r>
      <w:r w:rsidRPr="00D344C1">
        <w:rPr>
          <w:rFonts w:ascii="Times New Roman" w:hAnsi="Times New Roman" w:cs="Times New Roman"/>
          <w:sz w:val="24"/>
          <w:szCs w:val="24"/>
        </w:rPr>
        <w:t xml:space="preserve">ICF </w:t>
      </w:r>
      <w:r w:rsidR="00D344C1">
        <w:rPr>
          <w:rFonts w:ascii="Times New Roman" w:hAnsi="Times New Roman" w:cs="Times New Roman"/>
          <w:sz w:val="24"/>
          <w:szCs w:val="24"/>
        </w:rPr>
        <w:t>International</w:t>
      </w:r>
      <w:r w:rsidR="008023E4">
        <w:rPr>
          <w:rFonts w:ascii="Times New Roman" w:hAnsi="Times New Roman" w:cs="Times New Roman"/>
          <w:sz w:val="24"/>
          <w:szCs w:val="24"/>
        </w:rPr>
        <w:t xml:space="preserve"> (ICF)</w:t>
      </w:r>
      <w:r w:rsidR="00002B1D">
        <w:rPr>
          <w:rFonts w:ascii="Times New Roman" w:hAnsi="Times New Roman" w:cs="Times New Roman"/>
          <w:sz w:val="24"/>
          <w:szCs w:val="24"/>
        </w:rPr>
        <w:t>,</w:t>
      </w:r>
      <w:r w:rsidR="00D344C1">
        <w:rPr>
          <w:rFonts w:ascii="Times New Roman" w:hAnsi="Times New Roman" w:cs="Times New Roman"/>
          <w:sz w:val="24"/>
          <w:szCs w:val="24"/>
        </w:rPr>
        <w:t xml:space="preserve"> </w:t>
      </w:r>
      <w:r w:rsidRPr="00D344C1">
        <w:rPr>
          <w:rFonts w:ascii="Times New Roman" w:hAnsi="Times New Roman" w:cs="Times New Roman"/>
          <w:sz w:val="24"/>
          <w:szCs w:val="24"/>
        </w:rPr>
        <w:t xml:space="preserve">will prepare to field the survey. This section describes the process for programming the survey and training call center interviewers for the </w:t>
      </w:r>
      <w:r w:rsidRPr="00D344C1">
        <w:rPr>
          <w:rFonts w:ascii="Times New Roman" w:eastAsia="Calibri" w:hAnsi="Times New Roman" w:cs="Times New Roman"/>
          <w:sz w:val="24"/>
          <w:szCs w:val="24"/>
        </w:rPr>
        <w:t xml:space="preserve">ConnectHome Internet Subscribers </w:t>
      </w:r>
      <w:r w:rsidRPr="00D344C1">
        <w:rPr>
          <w:rFonts w:ascii="Times New Roman" w:hAnsi="Times New Roman" w:cs="Times New Roman"/>
          <w:sz w:val="24"/>
          <w:szCs w:val="24"/>
        </w:rPr>
        <w:t>Telephone Survey.</w:t>
      </w:r>
    </w:p>
    <w:p w14:paraId="09C78705" w14:textId="77777777" w:rsidR="007B0088" w:rsidRPr="00A35A8F" w:rsidRDefault="007B0088" w:rsidP="005D1FF1">
      <w:pPr>
        <w:pStyle w:val="BodyText-IPR"/>
        <w:rPr>
          <w:rFonts w:ascii="Times New Roman" w:hAnsi="Times New Roman" w:cs="Times New Roman"/>
          <w:i/>
          <w:sz w:val="24"/>
          <w:szCs w:val="24"/>
        </w:rPr>
      </w:pPr>
      <w:r w:rsidRPr="00A35A8F">
        <w:rPr>
          <w:rFonts w:ascii="Times New Roman" w:hAnsi="Times New Roman" w:cs="Times New Roman"/>
          <w:i/>
          <w:sz w:val="24"/>
          <w:szCs w:val="24"/>
        </w:rPr>
        <w:t>Programming the Survey</w:t>
      </w:r>
    </w:p>
    <w:p w14:paraId="46937347" w14:textId="5A2BC689" w:rsidR="007B0088" w:rsidRPr="00A35A8F" w:rsidRDefault="007B0088" w:rsidP="007B0088">
      <w:pPr>
        <w:pStyle w:val="BodyText-IPR"/>
        <w:rPr>
          <w:rFonts w:ascii="Times New Roman" w:hAnsi="Times New Roman" w:cs="Times New Roman"/>
          <w:sz w:val="24"/>
          <w:szCs w:val="24"/>
        </w:rPr>
      </w:pPr>
      <w:r w:rsidRPr="00A35A8F">
        <w:rPr>
          <w:rFonts w:ascii="Times New Roman" w:hAnsi="Times New Roman" w:cs="Times New Roman"/>
          <w:sz w:val="24"/>
          <w:szCs w:val="24"/>
        </w:rPr>
        <w:t xml:space="preserve">Upon receipt of the final survey document, the first step in </w:t>
      </w:r>
      <w:r w:rsidR="008023E4" w:rsidRPr="00E14BFC">
        <w:rPr>
          <w:rFonts w:ascii="Times New Roman" w:hAnsi="Times New Roman" w:cs="Times New Roman"/>
          <w:sz w:val="24"/>
          <w:szCs w:val="24"/>
        </w:rPr>
        <w:t xml:space="preserve">computer-assisted telephone interviewing </w:t>
      </w:r>
      <w:r w:rsidR="008023E4">
        <w:rPr>
          <w:rFonts w:ascii="Times New Roman" w:hAnsi="Times New Roman" w:cs="Times New Roman"/>
          <w:sz w:val="24"/>
          <w:szCs w:val="24"/>
        </w:rPr>
        <w:t>(</w:t>
      </w:r>
      <w:r w:rsidRPr="00A35A8F">
        <w:rPr>
          <w:rFonts w:ascii="Times New Roman" w:hAnsi="Times New Roman" w:cs="Times New Roman"/>
          <w:sz w:val="24"/>
          <w:szCs w:val="24"/>
        </w:rPr>
        <w:t>CATI</w:t>
      </w:r>
      <w:r w:rsidR="008023E4">
        <w:rPr>
          <w:rFonts w:ascii="Times New Roman" w:hAnsi="Times New Roman" w:cs="Times New Roman"/>
          <w:sz w:val="24"/>
          <w:szCs w:val="24"/>
        </w:rPr>
        <w:t>)</w:t>
      </w:r>
      <w:r w:rsidRPr="00A35A8F">
        <w:rPr>
          <w:rFonts w:ascii="Times New Roman" w:hAnsi="Times New Roman" w:cs="Times New Roman"/>
          <w:sz w:val="24"/>
          <w:szCs w:val="24"/>
        </w:rPr>
        <w:t xml:space="preserve"> programming will be to reformat the questionnaire to ensure all questions are included in the survey for the location specified. Logic statements will be added at the beginning of each question to make it clear to the survey programmer which respondents should be asked each question and for which respondents certain questions should be skipped. Once the questionnaire document is prepared for CATI programming, the document will be sent back to Insight for final approval. After receiving approval, ICF </w:t>
      </w:r>
      <w:r w:rsidR="00D344C1">
        <w:rPr>
          <w:rFonts w:ascii="Times New Roman" w:hAnsi="Times New Roman" w:cs="Times New Roman"/>
          <w:sz w:val="24"/>
          <w:szCs w:val="24"/>
        </w:rPr>
        <w:t xml:space="preserve">International </w:t>
      </w:r>
      <w:r w:rsidR="00C1335C">
        <w:rPr>
          <w:rFonts w:ascii="Times New Roman" w:hAnsi="Times New Roman" w:cs="Times New Roman"/>
          <w:sz w:val="24"/>
          <w:szCs w:val="24"/>
        </w:rPr>
        <w:t xml:space="preserve">(ICF) </w:t>
      </w:r>
      <w:r w:rsidRPr="00A35A8F">
        <w:rPr>
          <w:rFonts w:ascii="Times New Roman" w:hAnsi="Times New Roman" w:cs="Times New Roman"/>
          <w:sz w:val="24"/>
          <w:szCs w:val="24"/>
        </w:rPr>
        <w:t>will program the survey.</w:t>
      </w:r>
    </w:p>
    <w:p w14:paraId="21BA47EE" w14:textId="29FEF7F0" w:rsidR="005D1FF1" w:rsidRPr="00A35A8F" w:rsidRDefault="007B0088" w:rsidP="005D1FF1">
      <w:pPr>
        <w:pStyle w:val="BodyText-IPR"/>
        <w:rPr>
          <w:rFonts w:ascii="Times New Roman" w:hAnsi="Times New Roman" w:cs="Times New Roman"/>
          <w:sz w:val="24"/>
          <w:szCs w:val="24"/>
        </w:rPr>
      </w:pPr>
      <w:r w:rsidRPr="00A35A8F">
        <w:rPr>
          <w:rFonts w:ascii="Times New Roman" w:hAnsi="Times New Roman" w:cs="Times New Roman"/>
          <w:sz w:val="24"/>
          <w:szCs w:val="24"/>
        </w:rPr>
        <w:t xml:space="preserve">ICF </w:t>
      </w:r>
      <w:r w:rsidR="00D344C1">
        <w:rPr>
          <w:rFonts w:ascii="Times New Roman" w:hAnsi="Times New Roman" w:cs="Times New Roman"/>
          <w:sz w:val="24"/>
          <w:szCs w:val="24"/>
        </w:rPr>
        <w:t xml:space="preserve">International </w:t>
      </w:r>
      <w:r w:rsidRPr="00A35A8F">
        <w:rPr>
          <w:rFonts w:ascii="Times New Roman" w:hAnsi="Times New Roman" w:cs="Times New Roman"/>
          <w:sz w:val="24"/>
          <w:szCs w:val="24"/>
        </w:rPr>
        <w:t xml:space="preserve">has Spanish-speaking interviewers; the survey may be conducted in Spanish as needed. </w:t>
      </w:r>
    </w:p>
    <w:p w14:paraId="026646D6" w14:textId="77777777" w:rsidR="007B0088" w:rsidRPr="00A35A8F" w:rsidRDefault="007B0088" w:rsidP="005D1FF1">
      <w:pPr>
        <w:pStyle w:val="BodyText-IPR"/>
        <w:rPr>
          <w:rFonts w:ascii="Times New Roman" w:hAnsi="Times New Roman" w:cs="Times New Roman"/>
          <w:i/>
          <w:sz w:val="24"/>
          <w:szCs w:val="24"/>
        </w:rPr>
      </w:pPr>
      <w:r w:rsidRPr="00A35A8F">
        <w:rPr>
          <w:rFonts w:ascii="Times New Roman" w:hAnsi="Times New Roman" w:cs="Times New Roman"/>
          <w:i/>
          <w:sz w:val="24"/>
          <w:szCs w:val="24"/>
        </w:rPr>
        <w:t>New Hire Training</w:t>
      </w:r>
    </w:p>
    <w:p w14:paraId="28B83D43" w14:textId="77777777" w:rsidR="007B0088" w:rsidRPr="00A35A8F" w:rsidRDefault="007B0088" w:rsidP="007B0088">
      <w:pPr>
        <w:pStyle w:val="BodyText-IPR"/>
        <w:rPr>
          <w:rFonts w:ascii="Times New Roman" w:hAnsi="Times New Roman" w:cs="Times New Roman"/>
          <w:sz w:val="24"/>
          <w:szCs w:val="24"/>
        </w:rPr>
      </w:pPr>
      <w:r w:rsidRPr="00A35A8F">
        <w:rPr>
          <w:rFonts w:ascii="Times New Roman" w:hAnsi="Times New Roman" w:cs="Times New Roman"/>
          <w:sz w:val="24"/>
          <w:szCs w:val="24"/>
        </w:rPr>
        <w:t xml:space="preserve">Superior data collection performance depends on call center staff prepared with training beyond basic question-by-question reviews. This training begins with new hire training. New interviewers participate in a rigorous 2-day training that— </w:t>
      </w:r>
    </w:p>
    <w:p w14:paraId="3F12EBB0" w14:textId="77777777" w:rsidR="007B0088" w:rsidRPr="00A35A8F" w:rsidRDefault="007B0088" w:rsidP="007B0088">
      <w:pPr>
        <w:pStyle w:val="BulletsRed-IPR"/>
        <w:rPr>
          <w:rFonts w:ascii="Times New Roman" w:hAnsi="Times New Roman"/>
          <w:sz w:val="24"/>
        </w:rPr>
      </w:pPr>
      <w:r w:rsidRPr="00A35A8F">
        <w:rPr>
          <w:rFonts w:ascii="Times New Roman" w:hAnsi="Times New Roman"/>
          <w:sz w:val="24"/>
        </w:rPr>
        <w:t>Gives them an excellent foundation in proper interviewing techniques</w:t>
      </w:r>
    </w:p>
    <w:p w14:paraId="53E8A032" w14:textId="77777777" w:rsidR="007B0088" w:rsidRPr="00A35A8F" w:rsidRDefault="007B0088" w:rsidP="007B0088">
      <w:pPr>
        <w:pStyle w:val="BulletsRed-IPR"/>
        <w:rPr>
          <w:rFonts w:ascii="Times New Roman" w:hAnsi="Times New Roman"/>
          <w:sz w:val="24"/>
        </w:rPr>
      </w:pPr>
      <w:r w:rsidRPr="00A35A8F">
        <w:rPr>
          <w:rFonts w:ascii="Times New Roman" w:hAnsi="Times New Roman"/>
          <w:sz w:val="24"/>
        </w:rPr>
        <w:t xml:space="preserve">Teaches them techniques for gaining respondent trust and cooperation </w:t>
      </w:r>
    </w:p>
    <w:p w14:paraId="1E566F2A" w14:textId="77777777" w:rsidR="007B0088" w:rsidRPr="00A35A8F" w:rsidRDefault="007B0088" w:rsidP="007B0088">
      <w:pPr>
        <w:pStyle w:val="BulletsRed-IPR"/>
        <w:rPr>
          <w:rFonts w:ascii="Times New Roman" w:hAnsi="Times New Roman"/>
          <w:sz w:val="24"/>
        </w:rPr>
      </w:pPr>
      <w:r w:rsidRPr="00A35A8F">
        <w:rPr>
          <w:rFonts w:ascii="Times New Roman" w:hAnsi="Times New Roman"/>
          <w:sz w:val="24"/>
        </w:rPr>
        <w:t xml:space="preserve">Instructs them on how to work efficiently within the CATI program software </w:t>
      </w:r>
    </w:p>
    <w:p w14:paraId="74F35F4B" w14:textId="77777777" w:rsidR="007B0088" w:rsidRPr="00A35A8F" w:rsidRDefault="007B0088" w:rsidP="007B0088">
      <w:pPr>
        <w:pStyle w:val="BulletsRed-IPR"/>
        <w:spacing w:after="240"/>
        <w:rPr>
          <w:rFonts w:ascii="Times New Roman" w:hAnsi="Times New Roman"/>
          <w:sz w:val="24"/>
        </w:rPr>
      </w:pPr>
      <w:r w:rsidRPr="00A35A8F">
        <w:rPr>
          <w:rFonts w:ascii="Times New Roman" w:hAnsi="Times New Roman"/>
          <w:sz w:val="24"/>
        </w:rPr>
        <w:t>Emphasizes the importance of survey work and their role within the project</w:t>
      </w:r>
    </w:p>
    <w:p w14:paraId="379BB390" w14:textId="77777777" w:rsidR="007B0088" w:rsidRPr="00A35A8F" w:rsidRDefault="007B0088" w:rsidP="007B0088">
      <w:pPr>
        <w:pStyle w:val="BodyText-IPR"/>
        <w:rPr>
          <w:rFonts w:ascii="Times New Roman" w:hAnsi="Times New Roman" w:cs="Times New Roman"/>
          <w:sz w:val="24"/>
          <w:szCs w:val="24"/>
        </w:rPr>
      </w:pPr>
      <w:r w:rsidRPr="00A35A8F">
        <w:rPr>
          <w:rFonts w:ascii="Times New Roman" w:hAnsi="Times New Roman" w:cs="Times New Roman"/>
          <w:sz w:val="24"/>
          <w:szCs w:val="24"/>
        </w:rPr>
        <w:t>New interviewers then receive extensive hands-on practice with the CATI system and work through an exhaustive series of practice interviews and interviewing situations.</w:t>
      </w:r>
    </w:p>
    <w:p w14:paraId="6B4463C4" w14:textId="77777777" w:rsidR="007B0088" w:rsidRPr="00A35A8F" w:rsidRDefault="007B0088" w:rsidP="007B0088">
      <w:pPr>
        <w:pStyle w:val="BodyText-IPR"/>
        <w:rPr>
          <w:rFonts w:ascii="Times New Roman" w:hAnsi="Times New Roman" w:cs="Times New Roman"/>
          <w:sz w:val="24"/>
          <w:szCs w:val="24"/>
        </w:rPr>
      </w:pPr>
      <w:r w:rsidRPr="00A35A8F">
        <w:rPr>
          <w:rFonts w:ascii="Times New Roman" w:hAnsi="Times New Roman" w:cs="Times New Roman"/>
          <w:sz w:val="24"/>
          <w:szCs w:val="24"/>
        </w:rPr>
        <w:lastRenderedPageBreak/>
        <w:t>On the second day of training, trainers discuss techniques for—</w:t>
      </w:r>
    </w:p>
    <w:p w14:paraId="39B448D8" w14:textId="77777777" w:rsidR="007B0088" w:rsidRPr="00A35A8F" w:rsidRDefault="007B0088" w:rsidP="007B0088">
      <w:pPr>
        <w:pStyle w:val="BulletsRed-IPR"/>
        <w:rPr>
          <w:rFonts w:ascii="Times New Roman" w:hAnsi="Times New Roman"/>
          <w:sz w:val="24"/>
        </w:rPr>
      </w:pPr>
      <w:r w:rsidRPr="00A35A8F">
        <w:rPr>
          <w:rFonts w:ascii="Times New Roman" w:hAnsi="Times New Roman"/>
          <w:sz w:val="24"/>
        </w:rPr>
        <w:t xml:space="preserve">Handling difficult situations </w:t>
      </w:r>
    </w:p>
    <w:p w14:paraId="545B5D03" w14:textId="77777777" w:rsidR="007B0088" w:rsidRPr="00A35A8F" w:rsidRDefault="007B0088" w:rsidP="007B0088">
      <w:pPr>
        <w:pStyle w:val="BulletsRed-IPR"/>
        <w:rPr>
          <w:rFonts w:ascii="Times New Roman" w:hAnsi="Times New Roman"/>
          <w:sz w:val="24"/>
        </w:rPr>
      </w:pPr>
      <w:r w:rsidRPr="00A35A8F">
        <w:rPr>
          <w:rFonts w:ascii="Times New Roman" w:hAnsi="Times New Roman"/>
          <w:sz w:val="24"/>
        </w:rPr>
        <w:t>Probing for answers in challenging situations</w:t>
      </w:r>
    </w:p>
    <w:p w14:paraId="500C0E10" w14:textId="77777777" w:rsidR="007B0088" w:rsidRPr="00A35A8F" w:rsidRDefault="007B0088" w:rsidP="007B0088">
      <w:pPr>
        <w:pStyle w:val="BulletsRed-IPR"/>
        <w:rPr>
          <w:rFonts w:ascii="Times New Roman" w:hAnsi="Times New Roman"/>
          <w:sz w:val="24"/>
        </w:rPr>
      </w:pPr>
      <w:r w:rsidRPr="00A35A8F">
        <w:rPr>
          <w:rFonts w:ascii="Times New Roman" w:hAnsi="Times New Roman"/>
          <w:sz w:val="24"/>
        </w:rPr>
        <w:t>Identifying a member of the household</w:t>
      </w:r>
    </w:p>
    <w:p w14:paraId="79844AB5" w14:textId="77777777" w:rsidR="007B0088" w:rsidRPr="00A35A8F" w:rsidRDefault="007B0088" w:rsidP="007B0088">
      <w:pPr>
        <w:pStyle w:val="BulletsRed-IPR"/>
        <w:spacing w:after="240"/>
        <w:rPr>
          <w:rFonts w:ascii="Times New Roman" w:hAnsi="Times New Roman"/>
          <w:sz w:val="24"/>
        </w:rPr>
      </w:pPr>
      <w:r w:rsidRPr="00A35A8F">
        <w:rPr>
          <w:rFonts w:ascii="Times New Roman" w:hAnsi="Times New Roman"/>
          <w:sz w:val="24"/>
        </w:rPr>
        <w:t xml:space="preserve">Handling additional refusal aversion/conversion techniques </w:t>
      </w:r>
    </w:p>
    <w:p w14:paraId="63330C38" w14:textId="77777777" w:rsidR="007B0088" w:rsidRPr="00A35A8F" w:rsidRDefault="007B0088" w:rsidP="005D1FF1">
      <w:pPr>
        <w:pStyle w:val="BodyText-IPR"/>
        <w:rPr>
          <w:rFonts w:ascii="Times New Roman" w:hAnsi="Times New Roman" w:cs="Times New Roman"/>
          <w:sz w:val="24"/>
          <w:szCs w:val="24"/>
          <w:u w:val="single"/>
        </w:rPr>
      </w:pPr>
      <w:r w:rsidRPr="00A35A8F">
        <w:rPr>
          <w:rFonts w:ascii="Times New Roman" w:hAnsi="Times New Roman" w:cs="Times New Roman"/>
          <w:sz w:val="24"/>
          <w:szCs w:val="24"/>
        </w:rPr>
        <w:t xml:space="preserve">All interviewers participate in monthly interviewer enhancement courses. ICF </w:t>
      </w:r>
      <w:r w:rsidR="00D344C1">
        <w:rPr>
          <w:rFonts w:ascii="Times New Roman" w:hAnsi="Times New Roman" w:cs="Times New Roman"/>
          <w:sz w:val="24"/>
          <w:szCs w:val="24"/>
        </w:rPr>
        <w:t xml:space="preserve">International </w:t>
      </w:r>
      <w:r w:rsidRPr="00A35A8F">
        <w:rPr>
          <w:rFonts w:ascii="Times New Roman" w:hAnsi="Times New Roman" w:cs="Times New Roman"/>
          <w:sz w:val="24"/>
          <w:szCs w:val="24"/>
        </w:rPr>
        <w:t xml:space="preserve">has developed 12 refresher courses, one for each month, on topics for which skills can continually be honed and improved, such as bypassing gatekeepers and countering refusal aversion. </w:t>
      </w:r>
    </w:p>
    <w:p w14:paraId="3868B3F5" w14:textId="77777777" w:rsidR="00A35A8F" w:rsidRDefault="00A35A8F" w:rsidP="00A35A8F">
      <w:pPr>
        <w:spacing w:after="200"/>
        <w:rPr>
          <w:u w:val="single"/>
        </w:rPr>
      </w:pPr>
      <w:r>
        <w:t xml:space="preserve">3. </w:t>
      </w:r>
      <w:r w:rsidRPr="00A35A8F">
        <w:rPr>
          <w:u w:val="single"/>
        </w:rPr>
        <w:t>Methods to maximize response rates</w:t>
      </w:r>
    </w:p>
    <w:p w14:paraId="23CCA243" w14:textId="77777777" w:rsidR="00A35A8F" w:rsidRPr="00A35A8F" w:rsidRDefault="00A35A8F" w:rsidP="005D1FF1">
      <w:pPr>
        <w:pStyle w:val="BodyText-IPR"/>
        <w:rPr>
          <w:rFonts w:ascii="Times New Roman" w:hAnsi="Times New Roman" w:cs="Times New Roman"/>
          <w:i/>
          <w:sz w:val="24"/>
          <w:szCs w:val="24"/>
        </w:rPr>
      </w:pPr>
      <w:r w:rsidRPr="00A35A8F">
        <w:rPr>
          <w:rFonts w:ascii="Times New Roman" w:hAnsi="Times New Roman" w:cs="Times New Roman"/>
          <w:i/>
          <w:sz w:val="24"/>
          <w:szCs w:val="24"/>
        </w:rPr>
        <w:t>Fielding the Survey: Data Collection</w:t>
      </w:r>
    </w:p>
    <w:p w14:paraId="7C799929" w14:textId="03E2E455" w:rsidR="005D1FF1" w:rsidRPr="00A35A8F" w:rsidRDefault="005D1FF1" w:rsidP="005D1FF1">
      <w:pPr>
        <w:pStyle w:val="BodyText-IPR"/>
        <w:rPr>
          <w:rFonts w:ascii="Times New Roman" w:hAnsi="Times New Roman" w:cs="Times New Roman"/>
          <w:sz w:val="24"/>
          <w:szCs w:val="24"/>
        </w:rPr>
      </w:pPr>
      <w:r w:rsidRPr="00A35A8F">
        <w:rPr>
          <w:rFonts w:ascii="Times New Roman" w:hAnsi="Times New Roman" w:cs="Times New Roman"/>
          <w:sz w:val="24"/>
          <w:szCs w:val="24"/>
        </w:rPr>
        <w:t xml:space="preserve">The advance notification letters will be mailed to </w:t>
      </w:r>
      <w:r w:rsidRPr="00B65CD7">
        <w:rPr>
          <w:rFonts w:ascii="Times New Roman" w:hAnsi="Times New Roman" w:cs="Times New Roman"/>
          <w:sz w:val="24"/>
          <w:szCs w:val="24"/>
        </w:rPr>
        <w:t>sampled</w:t>
      </w:r>
      <w:r w:rsidRPr="00A35A8F">
        <w:rPr>
          <w:rFonts w:ascii="Times New Roman" w:hAnsi="Times New Roman" w:cs="Times New Roman"/>
          <w:sz w:val="24"/>
          <w:szCs w:val="24"/>
        </w:rPr>
        <w:t xml:space="preserve"> households 2–3 weeks prior to ICF</w:t>
      </w:r>
      <w:r w:rsidR="00D344C1">
        <w:rPr>
          <w:rFonts w:ascii="Times New Roman" w:hAnsi="Times New Roman" w:cs="Times New Roman"/>
          <w:sz w:val="24"/>
          <w:szCs w:val="24"/>
        </w:rPr>
        <w:t xml:space="preserve"> International</w:t>
      </w:r>
      <w:r w:rsidRPr="00A35A8F">
        <w:rPr>
          <w:rFonts w:ascii="Times New Roman" w:hAnsi="Times New Roman" w:cs="Times New Roman"/>
          <w:sz w:val="24"/>
          <w:szCs w:val="24"/>
        </w:rPr>
        <w:t xml:space="preserve"> initiating data collection. </w:t>
      </w:r>
      <w:r w:rsidR="00B96866">
        <w:rPr>
          <w:rFonts w:ascii="Times New Roman" w:hAnsi="Times New Roman" w:cs="Times New Roman"/>
          <w:sz w:val="24"/>
          <w:szCs w:val="24"/>
        </w:rPr>
        <w:t xml:space="preserve">The data collection period will be three months, from October through December 2016. </w:t>
      </w:r>
    </w:p>
    <w:p w14:paraId="5FF5BC45" w14:textId="325E4960" w:rsidR="005D1FF1" w:rsidRPr="00A35A8F" w:rsidRDefault="005D1FF1" w:rsidP="005D1FF1">
      <w:pPr>
        <w:pStyle w:val="BodyText-IPR"/>
        <w:rPr>
          <w:rFonts w:ascii="Times New Roman" w:hAnsi="Times New Roman" w:cs="Times New Roman"/>
          <w:sz w:val="24"/>
          <w:szCs w:val="24"/>
        </w:rPr>
      </w:pPr>
      <w:r w:rsidRPr="00A35A8F">
        <w:rPr>
          <w:rFonts w:ascii="Times New Roman" w:hAnsi="Times New Roman" w:cs="Times New Roman"/>
          <w:sz w:val="24"/>
          <w:szCs w:val="24"/>
        </w:rPr>
        <w:t xml:space="preserve">The survey instrument will use a screener question at the beginning of the survey to </w:t>
      </w:r>
      <w:r w:rsidR="00FC5E81">
        <w:rPr>
          <w:rFonts w:ascii="Times New Roman" w:hAnsi="Times New Roman" w:cs="Times New Roman"/>
          <w:sz w:val="24"/>
          <w:szCs w:val="24"/>
        </w:rPr>
        <w:t xml:space="preserve">confirm respondent households include children under age 19. </w:t>
      </w:r>
      <w:r w:rsidRPr="00A35A8F">
        <w:rPr>
          <w:rFonts w:ascii="Times New Roman" w:hAnsi="Times New Roman" w:cs="Times New Roman"/>
          <w:sz w:val="24"/>
          <w:szCs w:val="24"/>
        </w:rPr>
        <w:t>ICF</w:t>
      </w:r>
      <w:r w:rsidR="00D344C1">
        <w:rPr>
          <w:rFonts w:ascii="Times New Roman" w:hAnsi="Times New Roman" w:cs="Times New Roman"/>
          <w:sz w:val="24"/>
          <w:szCs w:val="24"/>
        </w:rPr>
        <w:t xml:space="preserve"> International</w:t>
      </w:r>
      <w:r w:rsidRPr="00A35A8F">
        <w:rPr>
          <w:rFonts w:ascii="Times New Roman" w:hAnsi="Times New Roman" w:cs="Times New Roman"/>
          <w:sz w:val="24"/>
          <w:szCs w:val="24"/>
        </w:rPr>
        <w:t>’s CATI software package will release sample records as needed throughout fielding of the phone survey to allow for up to 10 attempts by telephone to reach each sample household. The CATI software will be programmed to adhere to the following best practice dialing protocols:</w:t>
      </w:r>
    </w:p>
    <w:p w14:paraId="71447F00" w14:textId="77777777" w:rsidR="005D1FF1" w:rsidRPr="00AB568B" w:rsidRDefault="005D1FF1" w:rsidP="00AB568B">
      <w:pPr>
        <w:pStyle w:val="BulletsRed-IPR"/>
        <w:numPr>
          <w:ilvl w:val="0"/>
          <w:numId w:val="14"/>
        </w:numPr>
        <w:rPr>
          <w:rFonts w:ascii="Times New Roman" w:hAnsi="Times New Roman"/>
          <w:sz w:val="24"/>
        </w:rPr>
      </w:pPr>
      <w:r w:rsidRPr="00AB568B">
        <w:rPr>
          <w:rFonts w:ascii="Times New Roman" w:hAnsi="Times New Roman"/>
          <w:sz w:val="24"/>
        </w:rPr>
        <w:t>Setting allowable calling times</w:t>
      </w:r>
    </w:p>
    <w:p w14:paraId="6BC91E54" w14:textId="77777777" w:rsidR="005D1FF1" w:rsidRPr="00AB568B" w:rsidRDefault="005D1FF1" w:rsidP="00AB568B">
      <w:pPr>
        <w:pStyle w:val="BulletsRed-IPR"/>
        <w:numPr>
          <w:ilvl w:val="0"/>
          <w:numId w:val="14"/>
        </w:numPr>
        <w:rPr>
          <w:rFonts w:ascii="Times New Roman" w:hAnsi="Times New Roman"/>
          <w:sz w:val="24"/>
        </w:rPr>
      </w:pPr>
      <w:r w:rsidRPr="00AB568B">
        <w:rPr>
          <w:rFonts w:ascii="Times New Roman" w:hAnsi="Times New Roman"/>
          <w:sz w:val="24"/>
        </w:rPr>
        <w:t>Defining maximum number of contact attempts</w:t>
      </w:r>
    </w:p>
    <w:p w14:paraId="1D9D7C1F" w14:textId="77777777" w:rsidR="005D1FF1" w:rsidRPr="00AB568B" w:rsidRDefault="005D1FF1" w:rsidP="00AB568B">
      <w:pPr>
        <w:pStyle w:val="BulletsRed-IPR"/>
        <w:numPr>
          <w:ilvl w:val="0"/>
          <w:numId w:val="14"/>
        </w:numPr>
        <w:rPr>
          <w:rFonts w:ascii="Times New Roman" w:hAnsi="Times New Roman"/>
          <w:sz w:val="24"/>
        </w:rPr>
      </w:pPr>
      <w:r w:rsidRPr="00AB568B">
        <w:rPr>
          <w:rFonts w:ascii="Times New Roman" w:hAnsi="Times New Roman"/>
          <w:sz w:val="24"/>
        </w:rPr>
        <w:t>Rotating the day of the week call attempts are made</w:t>
      </w:r>
    </w:p>
    <w:p w14:paraId="3DAF71A0" w14:textId="77777777" w:rsidR="005D1FF1" w:rsidRPr="00AB568B" w:rsidRDefault="005D1FF1" w:rsidP="00AB568B">
      <w:pPr>
        <w:pStyle w:val="BulletsRed-IPR"/>
        <w:numPr>
          <w:ilvl w:val="0"/>
          <w:numId w:val="14"/>
        </w:numPr>
        <w:rPr>
          <w:rFonts w:ascii="Times New Roman" w:hAnsi="Times New Roman"/>
          <w:sz w:val="24"/>
        </w:rPr>
      </w:pPr>
      <w:r w:rsidRPr="00AB568B">
        <w:rPr>
          <w:rFonts w:ascii="Times New Roman" w:hAnsi="Times New Roman"/>
          <w:sz w:val="24"/>
        </w:rPr>
        <w:t>Prioritizing scheduled callback appointments</w:t>
      </w:r>
    </w:p>
    <w:p w14:paraId="0EA6E217" w14:textId="77777777" w:rsidR="005D1FF1" w:rsidRPr="00AB568B" w:rsidRDefault="005D1FF1" w:rsidP="00AB568B">
      <w:pPr>
        <w:pStyle w:val="BulletsRed-IPR"/>
        <w:numPr>
          <w:ilvl w:val="0"/>
          <w:numId w:val="14"/>
        </w:numPr>
        <w:rPr>
          <w:rFonts w:ascii="Times New Roman" w:hAnsi="Times New Roman"/>
          <w:sz w:val="24"/>
        </w:rPr>
      </w:pPr>
      <w:r w:rsidRPr="00AB568B">
        <w:rPr>
          <w:rFonts w:ascii="Times New Roman" w:hAnsi="Times New Roman"/>
          <w:sz w:val="24"/>
        </w:rPr>
        <w:t>Suspending interviews as necessary</w:t>
      </w:r>
    </w:p>
    <w:p w14:paraId="333C5377"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Calling busy lines back at a minimum of 10-minute intervals</w:t>
      </w:r>
    </w:p>
    <w:p w14:paraId="2C5ABE2B"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Automatically attempting a second call for partial completes</w:t>
      </w:r>
    </w:p>
    <w:p w14:paraId="303E4B78" w14:textId="77777777" w:rsidR="005D1FF1" w:rsidRPr="00A35A8F" w:rsidRDefault="005D1FF1" w:rsidP="005D1FF1">
      <w:pPr>
        <w:pStyle w:val="BulletsRed-IPR"/>
        <w:spacing w:after="240"/>
        <w:rPr>
          <w:rFonts w:ascii="Times New Roman" w:hAnsi="Times New Roman"/>
          <w:sz w:val="24"/>
        </w:rPr>
      </w:pPr>
      <w:r w:rsidRPr="00A35A8F">
        <w:rPr>
          <w:rFonts w:ascii="Times New Roman" w:hAnsi="Times New Roman"/>
          <w:sz w:val="24"/>
        </w:rPr>
        <w:t>Disposing of fax lines</w:t>
      </w:r>
    </w:p>
    <w:p w14:paraId="60E1F7E2" w14:textId="77777777" w:rsidR="005D1FF1" w:rsidRPr="00A35A8F" w:rsidRDefault="005D1FF1" w:rsidP="005D1FF1">
      <w:pPr>
        <w:pStyle w:val="BodyText-IPR"/>
        <w:rPr>
          <w:rFonts w:ascii="Times New Roman" w:hAnsi="Times New Roman" w:cs="Times New Roman"/>
          <w:sz w:val="24"/>
          <w:szCs w:val="24"/>
        </w:rPr>
      </w:pPr>
      <w:r w:rsidRPr="00A35A8F">
        <w:rPr>
          <w:rFonts w:ascii="Times New Roman" w:hAnsi="Times New Roman" w:cs="Times New Roman"/>
          <w:sz w:val="24"/>
          <w:szCs w:val="24"/>
        </w:rPr>
        <w:t xml:space="preserve">ICF </w:t>
      </w:r>
      <w:r w:rsidR="00D344C1">
        <w:rPr>
          <w:rFonts w:ascii="Times New Roman" w:hAnsi="Times New Roman" w:cs="Times New Roman"/>
          <w:sz w:val="24"/>
          <w:szCs w:val="24"/>
        </w:rPr>
        <w:t xml:space="preserve">International </w:t>
      </w:r>
      <w:r w:rsidRPr="00A35A8F">
        <w:rPr>
          <w:rFonts w:ascii="Times New Roman" w:hAnsi="Times New Roman" w:cs="Times New Roman"/>
          <w:sz w:val="24"/>
          <w:szCs w:val="24"/>
        </w:rPr>
        <w:t>will employ a proven strategy for achieving excellent response rates. Tactics will include the following:</w:t>
      </w:r>
    </w:p>
    <w:p w14:paraId="57EF8945"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Displaying caller identification</w:t>
      </w:r>
    </w:p>
    <w:p w14:paraId="1B71F2B0"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Prioritizing scheduled appointments</w:t>
      </w:r>
    </w:p>
    <w:p w14:paraId="7D77FC83"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Allowing appointments outside usual calling hours</w:t>
      </w:r>
    </w:p>
    <w:p w14:paraId="7F1F1EBA"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Focusing on completing first contacts</w:t>
      </w:r>
    </w:p>
    <w:p w14:paraId="67EAD08F"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Streamlining interviewer screens</w:t>
      </w:r>
    </w:p>
    <w:p w14:paraId="364FFC0E"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lastRenderedPageBreak/>
        <w:t>Ongoing training</w:t>
      </w:r>
    </w:p>
    <w:p w14:paraId="35857376" w14:textId="77777777" w:rsidR="005D1FF1" w:rsidRPr="00A35A8F" w:rsidRDefault="005D1FF1" w:rsidP="005D1FF1">
      <w:pPr>
        <w:pStyle w:val="BulletsRed-IPR"/>
        <w:rPr>
          <w:rFonts w:ascii="Times New Roman" w:hAnsi="Times New Roman"/>
          <w:sz w:val="24"/>
        </w:rPr>
      </w:pPr>
      <w:r w:rsidRPr="00A35A8F">
        <w:rPr>
          <w:rFonts w:ascii="Times New Roman" w:hAnsi="Times New Roman"/>
          <w:sz w:val="24"/>
        </w:rPr>
        <w:t xml:space="preserve">Tracking response and cooperation rates </w:t>
      </w:r>
    </w:p>
    <w:p w14:paraId="5BAB4F8E" w14:textId="77777777" w:rsidR="005D1FF1" w:rsidRPr="00A35A8F" w:rsidRDefault="005D1FF1" w:rsidP="005D1FF1">
      <w:pPr>
        <w:pStyle w:val="BulletsRed-IPR"/>
        <w:spacing w:after="240"/>
        <w:rPr>
          <w:rFonts w:ascii="Times New Roman" w:hAnsi="Times New Roman"/>
          <w:sz w:val="24"/>
        </w:rPr>
      </w:pPr>
      <w:r w:rsidRPr="00A35A8F">
        <w:rPr>
          <w:rFonts w:ascii="Times New Roman" w:hAnsi="Times New Roman"/>
          <w:sz w:val="24"/>
        </w:rPr>
        <w:t>Using an optimal interviewing protocol</w:t>
      </w:r>
    </w:p>
    <w:p w14:paraId="5617E4AF" w14:textId="77777777" w:rsidR="0063397A" w:rsidRPr="0018116F" w:rsidRDefault="0063397A" w:rsidP="00C9525C">
      <w:pPr>
        <w:spacing w:after="200"/>
      </w:pPr>
      <w:r>
        <w:t xml:space="preserve">4. </w:t>
      </w:r>
      <w:r w:rsidRPr="0018116F">
        <w:rPr>
          <w:u w:val="single"/>
        </w:rPr>
        <w:t>Pre-Testing</w:t>
      </w:r>
    </w:p>
    <w:p w14:paraId="6DACEF34" w14:textId="4899E79F" w:rsidR="00E97D18" w:rsidRPr="0018116F" w:rsidRDefault="00E97D18" w:rsidP="00E97D18">
      <w:pPr>
        <w:spacing w:after="240"/>
        <w:rPr>
          <w:rFonts w:eastAsiaTheme="minorHAnsi"/>
        </w:rPr>
      </w:pPr>
      <w:r w:rsidRPr="0018116F">
        <w:rPr>
          <w:rFonts w:eastAsiaTheme="minorHAnsi"/>
        </w:rPr>
        <w:t xml:space="preserve">The survey instrument will be refined to incorporate feedback from HUD, ConnectHome stakeholders, and pretest participants. </w:t>
      </w:r>
    </w:p>
    <w:p w14:paraId="1E6191BB" w14:textId="3804B51B" w:rsidR="00E97D18" w:rsidRDefault="00002B1D" w:rsidP="00E97D18">
      <w:pPr>
        <w:spacing w:after="240"/>
        <w:rPr>
          <w:rFonts w:eastAsiaTheme="minorHAnsi"/>
        </w:rPr>
      </w:pPr>
      <w:r>
        <w:rPr>
          <w:rFonts w:eastAsiaTheme="minorHAnsi"/>
        </w:rPr>
        <w:t>T</w:t>
      </w:r>
      <w:r w:rsidRPr="0018116F">
        <w:rPr>
          <w:rFonts w:eastAsiaTheme="minorHAnsi"/>
        </w:rPr>
        <w:t>o obtain feedback on the materials’ clarity, relevance, and design</w:t>
      </w:r>
      <w:r>
        <w:rPr>
          <w:rFonts w:eastAsiaTheme="minorHAnsi"/>
        </w:rPr>
        <w:t>, Insight will pretest the instrument with</w:t>
      </w:r>
      <w:r w:rsidR="00E97D18" w:rsidRPr="0018116F">
        <w:rPr>
          <w:rFonts w:eastAsiaTheme="minorHAnsi"/>
        </w:rPr>
        <w:t xml:space="preserve"> up to 5 participants that have recently received high-speed Internet access in their homes through ConnectHome. The pretest interviews will last 45 minutes to an hour, and Insight will provide a $</w:t>
      </w:r>
      <w:r w:rsidR="00521C61">
        <w:rPr>
          <w:rFonts w:eastAsiaTheme="minorHAnsi"/>
        </w:rPr>
        <w:t>1</w:t>
      </w:r>
      <w:r w:rsidR="00E97D18" w:rsidRPr="0018116F">
        <w:rPr>
          <w:rFonts w:eastAsiaTheme="minorHAnsi"/>
        </w:rPr>
        <w:t>5 gift card as a token of appreciation for participants’ time. Insight will use the feedback from the pretest to recommend revisions to the instrument and cover letter, and HUD will translate the instrument and cover letter into Spanish.</w:t>
      </w:r>
      <w:r w:rsidR="00B65CD7">
        <w:rPr>
          <w:rFonts w:eastAsiaTheme="minorHAnsi"/>
        </w:rPr>
        <w:t xml:space="preserve"> </w:t>
      </w:r>
    </w:p>
    <w:p w14:paraId="717DEFC1" w14:textId="737D15C2" w:rsidR="00B65CD7" w:rsidRPr="00B65CD7" w:rsidRDefault="00B65CD7" w:rsidP="00B65CD7">
      <w:pPr>
        <w:pStyle w:val="BodyText-IPR"/>
        <w:rPr>
          <w:rFonts w:ascii="Times New Roman" w:hAnsi="Times New Roman" w:cs="Times New Roman"/>
          <w:sz w:val="24"/>
          <w:szCs w:val="24"/>
        </w:rPr>
      </w:pPr>
      <w:r w:rsidRPr="00B65CD7">
        <w:rPr>
          <w:rFonts w:ascii="Times New Roman" w:hAnsi="Times New Roman" w:cs="Times New Roman"/>
          <w:sz w:val="24"/>
          <w:szCs w:val="24"/>
        </w:rPr>
        <w:t xml:space="preserve">The results of the pre-test are in Appendix </w:t>
      </w:r>
      <w:r w:rsidR="00521C61">
        <w:rPr>
          <w:rFonts w:ascii="Times New Roman" w:hAnsi="Times New Roman" w:cs="Times New Roman"/>
          <w:sz w:val="24"/>
          <w:szCs w:val="24"/>
        </w:rPr>
        <w:t>D</w:t>
      </w:r>
      <w:r w:rsidRPr="00B65CD7">
        <w:rPr>
          <w:rFonts w:ascii="Times New Roman" w:hAnsi="Times New Roman" w:cs="Times New Roman"/>
          <w:sz w:val="24"/>
          <w:szCs w:val="24"/>
        </w:rPr>
        <w:t xml:space="preserve"> and resulted in a revision of the telephone Survey in Appendix </w:t>
      </w:r>
      <w:r w:rsidR="00521C61">
        <w:rPr>
          <w:rFonts w:ascii="Times New Roman" w:hAnsi="Times New Roman" w:cs="Times New Roman"/>
          <w:sz w:val="24"/>
          <w:szCs w:val="24"/>
        </w:rPr>
        <w:t>B</w:t>
      </w:r>
      <w:r w:rsidRPr="00B65CD7">
        <w:rPr>
          <w:rFonts w:ascii="Times New Roman" w:eastAsia="Times New Roman" w:hAnsi="Times New Roman" w:cs="Times New Roman"/>
          <w:sz w:val="24"/>
          <w:szCs w:val="24"/>
        </w:rPr>
        <w:t xml:space="preserve">. </w:t>
      </w:r>
    </w:p>
    <w:p w14:paraId="202085E2" w14:textId="77777777" w:rsidR="00FD1FFE" w:rsidRPr="0018116F" w:rsidRDefault="00FD1FFE" w:rsidP="00C9525C">
      <w:pPr>
        <w:spacing w:after="200"/>
        <w:rPr>
          <w:u w:val="single"/>
        </w:rPr>
      </w:pPr>
      <w:r w:rsidRPr="0018116F">
        <w:t xml:space="preserve">5. </w:t>
      </w:r>
      <w:r w:rsidRPr="0018116F">
        <w:rPr>
          <w:u w:val="single"/>
        </w:rPr>
        <w:t>Individuals consulted on statistical aspects and individuals collecting and/or analyzing data</w:t>
      </w:r>
    </w:p>
    <w:p w14:paraId="1ABCE581" w14:textId="3B9F3838" w:rsidR="007F4005" w:rsidRPr="0018116F" w:rsidRDefault="00E97D18" w:rsidP="00BC2E52">
      <w:pPr>
        <w:spacing w:after="200"/>
      </w:pPr>
      <w:r w:rsidRPr="0018116F">
        <w:t xml:space="preserve">Insight Policy Research </w:t>
      </w:r>
      <w:r w:rsidR="00FD1FFE" w:rsidRPr="0018116F">
        <w:t>and its subcontractor</w:t>
      </w:r>
      <w:r w:rsidRPr="0018116F">
        <w:t xml:space="preserve"> ICF International </w:t>
      </w:r>
      <w:r w:rsidR="00AB547D" w:rsidRPr="0018116F">
        <w:t xml:space="preserve">are </w:t>
      </w:r>
      <w:r w:rsidR="00FD1FFE" w:rsidRPr="0018116F">
        <w:t xml:space="preserve">collecting the information for the </w:t>
      </w:r>
      <w:r w:rsidR="001A2842" w:rsidRPr="0018116F">
        <w:t xml:space="preserve">ConnectHome </w:t>
      </w:r>
      <w:r w:rsidR="00284835">
        <w:t>Internet Subscribers</w:t>
      </w:r>
      <w:r w:rsidR="001A2842" w:rsidRPr="0018116F">
        <w:t xml:space="preserve"> Telephone Survey</w:t>
      </w:r>
      <w:r w:rsidR="00FD1FFE" w:rsidRPr="0018116F">
        <w:t xml:space="preserve">. With HUD oversight, </w:t>
      </w:r>
      <w:r w:rsidR="001A2842" w:rsidRPr="0018116F">
        <w:t>Insight Policy Research a</w:t>
      </w:r>
      <w:r w:rsidR="00FD1FFE" w:rsidRPr="0018116F">
        <w:t>nd its subcontractors are responsible for developing the s</w:t>
      </w:r>
      <w:r w:rsidR="001A2842" w:rsidRPr="0018116F">
        <w:t>urvey</w:t>
      </w:r>
      <w:r w:rsidR="00FD1FFE" w:rsidRPr="0018116F">
        <w:t xml:space="preserve"> documen</w:t>
      </w:r>
      <w:r w:rsidR="00BC2E52" w:rsidRPr="0018116F">
        <w:t xml:space="preserve">ts included in this submission. </w:t>
      </w:r>
      <w:bookmarkEnd w:id="0"/>
      <w:r w:rsidR="00866039" w:rsidRPr="0018116F">
        <w:t>Key Staff include:</w:t>
      </w:r>
    </w:p>
    <w:p w14:paraId="5BBD3464" w14:textId="77777777" w:rsidR="00866039" w:rsidRPr="0018116F" w:rsidRDefault="001A2842" w:rsidP="00866039">
      <w:pPr>
        <w:pStyle w:val="ListParagraph"/>
        <w:numPr>
          <w:ilvl w:val="0"/>
          <w:numId w:val="8"/>
        </w:numPr>
        <w:spacing w:after="200"/>
      </w:pPr>
      <w:r w:rsidRPr="0018116F">
        <w:t>Brittany McGill</w:t>
      </w:r>
      <w:r w:rsidR="00866039" w:rsidRPr="0018116F">
        <w:t xml:space="preserve">, </w:t>
      </w:r>
      <w:r w:rsidRPr="0018116F">
        <w:t>Insight Policy Research</w:t>
      </w:r>
      <w:r w:rsidR="00866039" w:rsidRPr="0018116F">
        <w:t>, (</w:t>
      </w:r>
      <w:r w:rsidRPr="0018116F">
        <w:t>703</w:t>
      </w:r>
      <w:r w:rsidR="00866039" w:rsidRPr="0018116F">
        <w:t xml:space="preserve">) </w:t>
      </w:r>
      <w:r w:rsidRPr="0018116F">
        <w:t>504</w:t>
      </w:r>
      <w:r w:rsidR="00866039" w:rsidRPr="0018116F">
        <w:t>-</w:t>
      </w:r>
      <w:r w:rsidRPr="0018116F">
        <w:t>9485</w:t>
      </w:r>
    </w:p>
    <w:p w14:paraId="1D7D8067" w14:textId="77777777" w:rsidR="00866039" w:rsidRPr="0018116F" w:rsidRDefault="001A2842" w:rsidP="009C4711">
      <w:pPr>
        <w:pStyle w:val="ListParagraph"/>
        <w:numPr>
          <w:ilvl w:val="0"/>
          <w:numId w:val="8"/>
        </w:numPr>
        <w:spacing w:after="200"/>
      </w:pPr>
      <w:r w:rsidRPr="0018116F">
        <w:t>Carole Trip</w:t>
      </w:r>
      <w:r w:rsidR="00C14F87" w:rsidRPr="0018116F">
        <w:t>pe, Insight Policy Research, (703) 504-9498</w:t>
      </w:r>
    </w:p>
    <w:p w14:paraId="72B3A4EA" w14:textId="3399B2E0" w:rsidR="005D1FF1" w:rsidRPr="0018116F" w:rsidRDefault="005D1FF1" w:rsidP="00B65CD7">
      <w:pPr>
        <w:pStyle w:val="ListParagraph"/>
        <w:spacing w:after="200"/>
      </w:pPr>
    </w:p>
    <w:sectPr w:rsidR="005D1FF1" w:rsidRPr="0018116F" w:rsidSect="00CA57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5C92" w14:textId="77777777" w:rsidR="006175DB" w:rsidRDefault="006175DB" w:rsidP="007F4005">
      <w:r>
        <w:separator/>
      </w:r>
    </w:p>
  </w:endnote>
  <w:endnote w:type="continuationSeparator" w:id="0">
    <w:p w14:paraId="518243C0" w14:textId="77777777" w:rsidR="006175DB" w:rsidRDefault="006175DB" w:rsidP="007F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4DB2" w14:textId="3A65EDE9" w:rsidR="00770366" w:rsidRDefault="00770366">
    <w:pPr>
      <w:pStyle w:val="Footer"/>
      <w:jc w:val="center"/>
    </w:pPr>
    <w:r>
      <w:t xml:space="preserve">Page </w:t>
    </w:r>
    <w:sdt>
      <w:sdtPr>
        <w:id w:val="2138380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0F87">
          <w:rPr>
            <w:noProof/>
          </w:rPr>
          <w:t>1</w:t>
        </w:r>
        <w:r>
          <w:rPr>
            <w:noProof/>
          </w:rPr>
          <w:fldChar w:fldCharType="end"/>
        </w:r>
        <w:r>
          <w:rPr>
            <w:noProof/>
          </w:rPr>
          <w:t xml:space="preserve"> – Part B Supporting Statement</w:t>
        </w:r>
      </w:sdtContent>
    </w:sdt>
  </w:p>
  <w:p w14:paraId="3AC07C0F" w14:textId="77777777" w:rsidR="00D60B73" w:rsidRPr="007F4005" w:rsidRDefault="006175DB" w:rsidP="007F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2E5A0" w14:textId="77777777" w:rsidR="006175DB" w:rsidRDefault="006175DB" w:rsidP="007F4005">
      <w:r>
        <w:separator/>
      </w:r>
    </w:p>
  </w:footnote>
  <w:footnote w:type="continuationSeparator" w:id="0">
    <w:p w14:paraId="0B04E7ED" w14:textId="77777777" w:rsidR="006175DB" w:rsidRDefault="006175DB" w:rsidP="007F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772A"/>
    <w:multiLevelType w:val="multilevel"/>
    <w:tmpl w:val="2A8E05AC"/>
    <w:lvl w:ilvl="0">
      <w:start w:val="1"/>
      <w:numFmt w:val="decimal"/>
      <w:pStyle w:val="Heading1"/>
      <w:suff w:val="space"/>
      <w:lvlText w:val="Chapter %1:"/>
      <w:lvlJc w:val="left"/>
      <w:pPr>
        <w:ind w:left="432" w:hanging="432"/>
      </w:pPr>
      <w:rPr>
        <w:rFonts w:hint="default"/>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720" w:hanging="720"/>
      </w:pPr>
      <w:rPr>
        <w:rFonts w:hint="default"/>
      </w:rPr>
    </w:lvl>
    <w:lvl w:ilvl="3">
      <w:start w:val="1"/>
      <w:numFmt w:val="none"/>
      <w:pStyle w:val="Heading4"/>
      <w:suff w:val="space"/>
      <w:lvlText w:val=""/>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 w15:restartNumberingAfterBreak="0">
    <w:nsid w:val="0D0F2A33"/>
    <w:multiLevelType w:val="hybridMultilevel"/>
    <w:tmpl w:val="E72069CC"/>
    <w:lvl w:ilvl="0" w:tplc="4450FF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27EE4"/>
    <w:multiLevelType w:val="hybridMultilevel"/>
    <w:tmpl w:val="6966E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5">
      <w:start w:val="1"/>
      <w:numFmt w:val="upp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A3246"/>
    <w:multiLevelType w:val="hybridMultilevel"/>
    <w:tmpl w:val="A8CAC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3B2D37"/>
    <w:multiLevelType w:val="hybridMultilevel"/>
    <w:tmpl w:val="B2B67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90C68"/>
    <w:multiLevelType w:val="hybridMultilevel"/>
    <w:tmpl w:val="5AA4C06E"/>
    <w:lvl w:ilvl="0" w:tplc="CCEE4860">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1053B"/>
    <w:multiLevelType w:val="hybridMultilevel"/>
    <w:tmpl w:val="99E8FB8C"/>
    <w:lvl w:ilvl="0" w:tplc="EE92002E">
      <w:start w:val="1"/>
      <w:numFmt w:val="bullet"/>
      <w:pStyle w:val="BulletsRed-IPR"/>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652717"/>
    <w:multiLevelType w:val="hybridMultilevel"/>
    <w:tmpl w:val="D2FEF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3E7828"/>
    <w:multiLevelType w:val="hybridMultilevel"/>
    <w:tmpl w:val="439C1740"/>
    <w:lvl w:ilvl="0" w:tplc="5556371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35A68C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3242C"/>
    <w:multiLevelType w:val="hybridMultilevel"/>
    <w:tmpl w:val="A112AA64"/>
    <w:lvl w:ilvl="0" w:tplc="04090019">
      <w:start w:val="1"/>
      <w:numFmt w:val="lowerLetter"/>
      <w:lvlText w:val="%1."/>
      <w:lvlJc w:val="left"/>
      <w:pPr>
        <w:ind w:left="720" w:hanging="360"/>
      </w:pPr>
    </w:lvl>
    <w:lvl w:ilvl="1" w:tplc="46D0EC7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41CC7"/>
    <w:multiLevelType w:val="hybridMultilevel"/>
    <w:tmpl w:val="FDF65054"/>
    <w:lvl w:ilvl="0" w:tplc="E7B8FC76">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E8245F56" w:tentative="1">
      <w:start w:val="1"/>
      <w:numFmt w:val="lowerLetter"/>
      <w:lvlText w:val="%2."/>
      <w:lvlJc w:val="left"/>
      <w:pPr>
        <w:ind w:left="1440" w:hanging="360"/>
      </w:pPr>
    </w:lvl>
    <w:lvl w:ilvl="2" w:tplc="E81ACE46" w:tentative="1">
      <w:start w:val="1"/>
      <w:numFmt w:val="lowerRoman"/>
      <w:lvlText w:val="%3."/>
      <w:lvlJc w:val="right"/>
      <w:pPr>
        <w:ind w:left="2160" w:hanging="180"/>
      </w:pPr>
    </w:lvl>
    <w:lvl w:ilvl="3" w:tplc="0EA8BFCA" w:tentative="1">
      <w:start w:val="1"/>
      <w:numFmt w:val="decimal"/>
      <w:lvlText w:val="%4."/>
      <w:lvlJc w:val="left"/>
      <w:pPr>
        <w:ind w:left="2880" w:hanging="360"/>
      </w:pPr>
    </w:lvl>
    <w:lvl w:ilvl="4" w:tplc="433A56B8" w:tentative="1">
      <w:start w:val="1"/>
      <w:numFmt w:val="lowerLetter"/>
      <w:lvlText w:val="%5."/>
      <w:lvlJc w:val="left"/>
      <w:pPr>
        <w:ind w:left="3600" w:hanging="360"/>
      </w:pPr>
    </w:lvl>
    <w:lvl w:ilvl="5" w:tplc="21E0EF06" w:tentative="1">
      <w:start w:val="1"/>
      <w:numFmt w:val="lowerRoman"/>
      <w:lvlText w:val="%6."/>
      <w:lvlJc w:val="right"/>
      <w:pPr>
        <w:ind w:left="4320" w:hanging="180"/>
      </w:pPr>
    </w:lvl>
    <w:lvl w:ilvl="6" w:tplc="8106414C" w:tentative="1">
      <w:start w:val="1"/>
      <w:numFmt w:val="decimal"/>
      <w:lvlText w:val="%7."/>
      <w:lvlJc w:val="left"/>
      <w:pPr>
        <w:ind w:left="5040" w:hanging="360"/>
      </w:pPr>
    </w:lvl>
    <w:lvl w:ilvl="7" w:tplc="874CD0D4" w:tentative="1">
      <w:start w:val="1"/>
      <w:numFmt w:val="lowerLetter"/>
      <w:lvlText w:val="%8."/>
      <w:lvlJc w:val="left"/>
      <w:pPr>
        <w:ind w:left="5760" w:hanging="360"/>
      </w:pPr>
    </w:lvl>
    <w:lvl w:ilvl="8" w:tplc="06240E36" w:tentative="1">
      <w:start w:val="1"/>
      <w:numFmt w:val="lowerRoman"/>
      <w:lvlText w:val="%9."/>
      <w:lvlJc w:val="right"/>
      <w:pPr>
        <w:ind w:left="6480" w:hanging="180"/>
      </w:pPr>
    </w:lvl>
  </w:abstractNum>
  <w:abstractNum w:abstractNumId="12" w15:restartNumberingAfterBreak="0">
    <w:nsid w:val="7A795990"/>
    <w:multiLevelType w:val="hybridMultilevel"/>
    <w:tmpl w:val="6BE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9"/>
  </w:num>
  <w:num w:numId="4">
    <w:abstractNumId w:val="10"/>
  </w:num>
  <w:num w:numId="5">
    <w:abstractNumId w:val="2"/>
  </w:num>
  <w:num w:numId="6">
    <w:abstractNumId w:val="8"/>
  </w:num>
  <w:num w:numId="7">
    <w:abstractNumId w:val="5"/>
  </w:num>
  <w:num w:numId="8">
    <w:abstractNumId w:val="12"/>
  </w:num>
  <w:num w:numId="9">
    <w:abstractNumId w:val="1"/>
  </w:num>
  <w:num w:numId="10">
    <w:abstractNumId w:val="11"/>
  </w:num>
  <w:num w:numId="11">
    <w:abstractNumId w:val="3"/>
  </w:num>
  <w:num w:numId="12">
    <w:abstractNumId w:val="11"/>
    <w:lvlOverride w:ilvl="0">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05"/>
    <w:rsid w:val="00002B1D"/>
    <w:rsid w:val="00006ED4"/>
    <w:rsid w:val="00044313"/>
    <w:rsid w:val="00046D07"/>
    <w:rsid w:val="000703D2"/>
    <w:rsid w:val="0009412C"/>
    <w:rsid w:val="00103302"/>
    <w:rsid w:val="00117A39"/>
    <w:rsid w:val="00120CD4"/>
    <w:rsid w:val="00142F79"/>
    <w:rsid w:val="001447C2"/>
    <w:rsid w:val="00144AF1"/>
    <w:rsid w:val="001650F6"/>
    <w:rsid w:val="0018116F"/>
    <w:rsid w:val="00194578"/>
    <w:rsid w:val="001A2842"/>
    <w:rsid w:val="001B3F4E"/>
    <w:rsid w:val="00217223"/>
    <w:rsid w:val="00252F65"/>
    <w:rsid w:val="0028186D"/>
    <w:rsid w:val="00284835"/>
    <w:rsid w:val="00303418"/>
    <w:rsid w:val="00310C79"/>
    <w:rsid w:val="0033485C"/>
    <w:rsid w:val="00374B8B"/>
    <w:rsid w:val="0039613F"/>
    <w:rsid w:val="003E10C8"/>
    <w:rsid w:val="00400BC6"/>
    <w:rsid w:val="00402609"/>
    <w:rsid w:val="00413880"/>
    <w:rsid w:val="0042012A"/>
    <w:rsid w:val="00424346"/>
    <w:rsid w:val="004510AA"/>
    <w:rsid w:val="004A2959"/>
    <w:rsid w:val="004E00CF"/>
    <w:rsid w:val="005123E4"/>
    <w:rsid w:val="00521C61"/>
    <w:rsid w:val="00522F4E"/>
    <w:rsid w:val="005D1FF1"/>
    <w:rsid w:val="005D622F"/>
    <w:rsid w:val="006175DB"/>
    <w:rsid w:val="0063397A"/>
    <w:rsid w:val="006346C7"/>
    <w:rsid w:val="0064209E"/>
    <w:rsid w:val="00651A14"/>
    <w:rsid w:val="00690F87"/>
    <w:rsid w:val="00697A2A"/>
    <w:rsid w:val="006B1FED"/>
    <w:rsid w:val="006C1A39"/>
    <w:rsid w:val="006D186C"/>
    <w:rsid w:val="006D6958"/>
    <w:rsid w:val="006F6526"/>
    <w:rsid w:val="006F7E80"/>
    <w:rsid w:val="00735A39"/>
    <w:rsid w:val="00736CD9"/>
    <w:rsid w:val="007413CD"/>
    <w:rsid w:val="00743647"/>
    <w:rsid w:val="00770366"/>
    <w:rsid w:val="007B0088"/>
    <w:rsid w:val="007F4005"/>
    <w:rsid w:val="008023E4"/>
    <w:rsid w:val="008414C5"/>
    <w:rsid w:val="008463CD"/>
    <w:rsid w:val="00863559"/>
    <w:rsid w:val="008641CB"/>
    <w:rsid w:val="00866039"/>
    <w:rsid w:val="008718B4"/>
    <w:rsid w:val="00893C81"/>
    <w:rsid w:val="00895231"/>
    <w:rsid w:val="00895BE2"/>
    <w:rsid w:val="008C0869"/>
    <w:rsid w:val="008C0966"/>
    <w:rsid w:val="008C70AE"/>
    <w:rsid w:val="009211F5"/>
    <w:rsid w:val="0093176D"/>
    <w:rsid w:val="00941D8B"/>
    <w:rsid w:val="00965947"/>
    <w:rsid w:val="009966BE"/>
    <w:rsid w:val="009C5DBC"/>
    <w:rsid w:val="009D2D38"/>
    <w:rsid w:val="009E29D8"/>
    <w:rsid w:val="00A24679"/>
    <w:rsid w:val="00A35A8F"/>
    <w:rsid w:val="00A4780F"/>
    <w:rsid w:val="00A63A77"/>
    <w:rsid w:val="00A84CE0"/>
    <w:rsid w:val="00A879E8"/>
    <w:rsid w:val="00AB547D"/>
    <w:rsid w:val="00AB568B"/>
    <w:rsid w:val="00AC4070"/>
    <w:rsid w:val="00AD00BD"/>
    <w:rsid w:val="00B455DB"/>
    <w:rsid w:val="00B65CD7"/>
    <w:rsid w:val="00B87D30"/>
    <w:rsid w:val="00B9082C"/>
    <w:rsid w:val="00B96866"/>
    <w:rsid w:val="00BB6A1B"/>
    <w:rsid w:val="00BC2E52"/>
    <w:rsid w:val="00BD079B"/>
    <w:rsid w:val="00BE03BB"/>
    <w:rsid w:val="00BE11A6"/>
    <w:rsid w:val="00C1335C"/>
    <w:rsid w:val="00C14F87"/>
    <w:rsid w:val="00C3676A"/>
    <w:rsid w:val="00C4459D"/>
    <w:rsid w:val="00C55EDA"/>
    <w:rsid w:val="00C9525C"/>
    <w:rsid w:val="00CE508B"/>
    <w:rsid w:val="00CE5143"/>
    <w:rsid w:val="00D12039"/>
    <w:rsid w:val="00D344C1"/>
    <w:rsid w:val="00D37257"/>
    <w:rsid w:val="00D373C3"/>
    <w:rsid w:val="00D5488D"/>
    <w:rsid w:val="00D55402"/>
    <w:rsid w:val="00D67C04"/>
    <w:rsid w:val="00DA10B8"/>
    <w:rsid w:val="00DB7FCD"/>
    <w:rsid w:val="00E25A0C"/>
    <w:rsid w:val="00E609BA"/>
    <w:rsid w:val="00E6198F"/>
    <w:rsid w:val="00E647A8"/>
    <w:rsid w:val="00E66E2A"/>
    <w:rsid w:val="00E85900"/>
    <w:rsid w:val="00E97D18"/>
    <w:rsid w:val="00EB4E44"/>
    <w:rsid w:val="00EF6138"/>
    <w:rsid w:val="00F036D8"/>
    <w:rsid w:val="00F158B0"/>
    <w:rsid w:val="00F24622"/>
    <w:rsid w:val="00F40527"/>
    <w:rsid w:val="00F47B87"/>
    <w:rsid w:val="00FA6533"/>
    <w:rsid w:val="00FB4ABD"/>
    <w:rsid w:val="00FC5E81"/>
    <w:rsid w:val="00FD1FFE"/>
    <w:rsid w:val="00FE0213"/>
    <w:rsid w:val="00FF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9B0B"/>
  <w15:docId w15:val="{D22A5676-7CC4-4B68-B420-19E482C2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40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4005"/>
    <w:pPr>
      <w:keepNext/>
      <w:numPr>
        <w:numId w:val="2"/>
      </w:numPr>
      <w:spacing w:after="240"/>
      <w:outlineLvl w:val="0"/>
    </w:pPr>
    <w:rPr>
      <w:rFonts w:ascii="Arial" w:hAnsi="Arial" w:cs="Arial"/>
      <w:b/>
      <w:bCs/>
      <w:color w:val="0096FF"/>
      <w:kern w:val="32"/>
      <w:sz w:val="32"/>
      <w:szCs w:val="32"/>
    </w:rPr>
  </w:style>
  <w:style w:type="paragraph" w:styleId="Heading2">
    <w:name w:val="heading 2"/>
    <w:basedOn w:val="Normal"/>
    <w:next w:val="Normal"/>
    <w:link w:val="Heading2Char"/>
    <w:qFormat/>
    <w:rsid w:val="007F4005"/>
    <w:pPr>
      <w:keepNext/>
      <w:numPr>
        <w:ilvl w:val="1"/>
        <w:numId w:val="2"/>
      </w:numPr>
      <w:spacing w:before="180" w:after="120"/>
      <w:outlineLvl w:val="1"/>
    </w:pPr>
    <w:rPr>
      <w:rFonts w:ascii="Arial" w:hAnsi="Arial" w:cs="Arial"/>
      <w:b/>
      <w:bCs/>
      <w:iCs/>
      <w:color w:val="0096FF"/>
      <w:sz w:val="28"/>
      <w:szCs w:val="28"/>
    </w:rPr>
  </w:style>
  <w:style w:type="paragraph" w:styleId="Heading3">
    <w:name w:val="heading 3"/>
    <w:basedOn w:val="Normal"/>
    <w:next w:val="Normal"/>
    <w:link w:val="Heading3Char"/>
    <w:qFormat/>
    <w:rsid w:val="007F4005"/>
    <w:pPr>
      <w:keepNext/>
      <w:numPr>
        <w:ilvl w:val="2"/>
        <w:numId w:val="2"/>
      </w:numPr>
      <w:outlineLvl w:val="2"/>
    </w:pPr>
    <w:rPr>
      <w:rFonts w:ascii="Arial Bold" w:hAnsi="Arial Bold" w:cs="Arial"/>
      <w:b/>
      <w:bCs/>
      <w:color w:val="0096FF"/>
      <w:szCs w:val="26"/>
    </w:rPr>
  </w:style>
  <w:style w:type="paragraph" w:styleId="Heading4">
    <w:name w:val="heading 4"/>
    <w:basedOn w:val="Normal"/>
    <w:next w:val="Normal"/>
    <w:link w:val="Heading4Char"/>
    <w:unhideWhenUsed/>
    <w:qFormat/>
    <w:rsid w:val="007F4005"/>
    <w:pPr>
      <w:keepNext/>
      <w:numPr>
        <w:ilvl w:val="3"/>
        <w:numId w:val="2"/>
      </w:numPr>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4005"/>
    <w:rPr>
      <w:rFonts w:ascii="Arial" w:eastAsia="Times New Roman" w:hAnsi="Arial" w:cs="Arial"/>
      <w:b/>
      <w:bCs/>
      <w:color w:val="0096FF"/>
      <w:kern w:val="32"/>
      <w:sz w:val="32"/>
      <w:szCs w:val="32"/>
    </w:rPr>
  </w:style>
  <w:style w:type="character" w:customStyle="1" w:styleId="Heading2Char">
    <w:name w:val="Heading 2 Char"/>
    <w:basedOn w:val="DefaultParagraphFont"/>
    <w:link w:val="Heading2"/>
    <w:rsid w:val="007F4005"/>
    <w:rPr>
      <w:rFonts w:ascii="Arial" w:eastAsia="Times New Roman" w:hAnsi="Arial" w:cs="Arial"/>
      <w:b/>
      <w:bCs/>
      <w:iCs/>
      <w:color w:val="0096FF"/>
      <w:sz w:val="28"/>
      <w:szCs w:val="28"/>
    </w:rPr>
  </w:style>
  <w:style w:type="character" w:customStyle="1" w:styleId="Heading3Char">
    <w:name w:val="Heading 3 Char"/>
    <w:basedOn w:val="DefaultParagraphFont"/>
    <w:link w:val="Heading3"/>
    <w:rsid w:val="007F4005"/>
    <w:rPr>
      <w:rFonts w:ascii="Arial Bold" w:eastAsia="Times New Roman" w:hAnsi="Arial Bold" w:cs="Arial"/>
      <w:b/>
      <w:bCs/>
      <w:color w:val="0096FF"/>
      <w:sz w:val="24"/>
      <w:szCs w:val="26"/>
    </w:rPr>
  </w:style>
  <w:style w:type="character" w:customStyle="1" w:styleId="Heading4Char">
    <w:name w:val="Heading 4 Char"/>
    <w:basedOn w:val="DefaultParagraphFont"/>
    <w:link w:val="Heading4"/>
    <w:rsid w:val="007F4005"/>
    <w:rPr>
      <w:rFonts w:ascii="Arial" w:eastAsia="Times New Roman" w:hAnsi="Arial" w:cs="Times New Roman"/>
      <w:b/>
      <w:bCs/>
      <w:szCs w:val="28"/>
    </w:rPr>
  </w:style>
  <w:style w:type="paragraph" w:customStyle="1" w:styleId="CharCharCharChar1">
    <w:name w:val="Char Char Char Char1"/>
    <w:basedOn w:val="Normal"/>
    <w:rsid w:val="007F4005"/>
    <w:pPr>
      <w:spacing w:after="160"/>
    </w:pPr>
    <w:rPr>
      <w:rFonts w:ascii="Verdana" w:hAnsi="Verdana"/>
    </w:rPr>
  </w:style>
  <w:style w:type="paragraph" w:styleId="FootnoteText">
    <w:name w:val="footnote text"/>
    <w:aliases w:val="F1,F11,Footnote Text-no space,Footnote Text Char Char Char Char,Footnote Text Char Char,Footnote Text Char1 Char"/>
    <w:basedOn w:val="Normal"/>
    <w:link w:val="FootnoteTextChar"/>
    <w:uiPriority w:val="99"/>
    <w:rsid w:val="007F4005"/>
    <w:rPr>
      <w:sz w:val="20"/>
      <w:szCs w:val="20"/>
    </w:rPr>
  </w:style>
  <w:style w:type="character" w:customStyle="1" w:styleId="FootnoteTextChar">
    <w:name w:val="Footnote Text Char"/>
    <w:aliases w:val="F1 Char,F11 Char,Footnote Text-no space Char,Footnote Text Char Char Char Char Char,Footnote Text Char Char Char,Footnote Text Char1 Char Char"/>
    <w:basedOn w:val="DefaultParagraphFont"/>
    <w:link w:val="FootnoteText"/>
    <w:uiPriority w:val="99"/>
    <w:rsid w:val="007F4005"/>
    <w:rPr>
      <w:rFonts w:ascii="Times New Roman" w:eastAsia="Times New Roman" w:hAnsi="Times New Roman" w:cs="Times New Roman"/>
      <w:sz w:val="20"/>
      <w:szCs w:val="20"/>
    </w:rPr>
  </w:style>
  <w:style w:type="character" w:styleId="FootnoteReference">
    <w:name w:val="footnote reference"/>
    <w:rsid w:val="007F4005"/>
    <w:rPr>
      <w:vertAlign w:val="superscript"/>
    </w:rPr>
  </w:style>
  <w:style w:type="paragraph" w:customStyle="1" w:styleId="3">
    <w:name w:val="3"/>
    <w:rsid w:val="007F4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F4005"/>
    <w:pPr>
      <w:tabs>
        <w:tab w:val="center" w:pos="4680"/>
        <w:tab w:val="right" w:pos="9360"/>
      </w:tabs>
    </w:pPr>
  </w:style>
  <w:style w:type="character" w:customStyle="1" w:styleId="HeaderChar">
    <w:name w:val="Header Char"/>
    <w:basedOn w:val="DefaultParagraphFont"/>
    <w:link w:val="Header"/>
    <w:uiPriority w:val="99"/>
    <w:rsid w:val="007F40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4005"/>
    <w:pPr>
      <w:tabs>
        <w:tab w:val="center" w:pos="4680"/>
        <w:tab w:val="right" w:pos="9360"/>
      </w:tabs>
    </w:pPr>
  </w:style>
  <w:style w:type="character" w:customStyle="1" w:styleId="FooterChar">
    <w:name w:val="Footer Char"/>
    <w:basedOn w:val="DefaultParagraphFont"/>
    <w:link w:val="Footer"/>
    <w:uiPriority w:val="99"/>
    <w:rsid w:val="007F40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508B"/>
    <w:rPr>
      <w:sz w:val="16"/>
      <w:szCs w:val="16"/>
    </w:rPr>
  </w:style>
  <w:style w:type="paragraph" w:styleId="CommentText">
    <w:name w:val="annotation text"/>
    <w:basedOn w:val="Normal"/>
    <w:link w:val="CommentTextChar"/>
    <w:uiPriority w:val="99"/>
    <w:semiHidden/>
    <w:unhideWhenUsed/>
    <w:rsid w:val="00CE508B"/>
    <w:rPr>
      <w:sz w:val="20"/>
      <w:szCs w:val="20"/>
    </w:rPr>
  </w:style>
  <w:style w:type="character" w:customStyle="1" w:styleId="CommentTextChar">
    <w:name w:val="Comment Text Char"/>
    <w:basedOn w:val="DefaultParagraphFont"/>
    <w:link w:val="CommentText"/>
    <w:uiPriority w:val="99"/>
    <w:semiHidden/>
    <w:rsid w:val="00CE5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08B"/>
    <w:rPr>
      <w:b/>
      <w:bCs/>
    </w:rPr>
  </w:style>
  <w:style w:type="character" w:customStyle="1" w:styleId="CommentSubjectChar">
    <w:name w:val="Comment Subject Char"/>
    <w:basedOn w:val="CommentTextChar"/>
    <w:link w:val="CommentSubject"/>
    <w:uiPriority w:val="99"/>
    <w:semiHidden/>
    <w:rsid w:val="00CE50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508B"/>
    <w:rPr>
      <w:rFonts w:ascii="Tahoma" w:hAnsi="Tahoma" w:cs="Tahoma"/>
      <w:sz w:val="16"/>
      <w:szCs w:val="16"/>
    </w:rPr>
  </w:style>
  <w:style w:type="character" w:customStyle="1" w:styleId="BalloonTextChar">
    <w:name w:val="Balloon Text Char"/>
    <w:basedOn w:val="DefaultParagraphFont"/>
    <w:link w:val="BalloonText"/>
    <w:uiPriority w:val="99"/>
    <w:semiHidden/>
    <w:rsid w:val="00CE508B"/>
    <w:rPr>
      <w:rFonts w:ascii="Tahoma" w:eastAsia="Times New Roman" w:hAnsi="Tahoma" w:cs="Tahoma"/>
      <w:sz w:val="16"/>
      <w:szCs w:val="16"/>
    </w:rPr>
  </w:style>
  <w:style w:type="table" w:styleId="TableGrid">
    <w:name w:val="Table Grid"/>
    <w:basedOn w:val="TableNormal"/>
    <w:uiPriority w:val="59"/>
    <w:rsid w:val="005D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B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7B87"/>
    <w:rPr>
      <w:color w:val="0000FF"/>
      <w:u w:val="single"/>
    </w:rPr>
  </w:style>
  <w:style w:type="paragraph" w:styleId="ListParagraph">
    <w:name w:val="List Paragraph"/>
    <w:basedOn w:val="Normal"/>
    <w:uiPriority w:val="34"/>
    <w:qFormat/>
    <w:rsid w:val="00866039"/>
    <w:pPr>
      <w:ind w:left="720"/>
      <w:contextualSpacing/>
    </w:pPr>
  </w:style>
  <w:style w:type="paragraph" w:customStyle="1" w:styleId="BulletsRed-IPR">
    <w:name w:val="BulletsRed-IPR"/>
    <w:link w:val="BulletsRed-IPRChar"/>
    <w:qFormat/>
    <w:rsid w:val="007B0088"/>
    <w:pPr>
      <w:numPr>
        <w:numId w:val="13"/>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7B0088"/>
    <w:rPr>
      <w:rFonts w:ascii="Calibri" w:hAnsi="Calibri" w:cs="Times New Roman"/>
      <w:szCs w:val="24"/>
    </w:rPr>
  </w:style>
  <w:style w:type="paragraph" w:customStyle="1" w:styleId="Heading2-IPR">
    <w:name w:val="Heading2-IPR"/>
    <w:link w:val="Heading2-IPRChar"/>
    <w:qFormat/>
    <w:rsid w:val="007B0088"/>
    <w:pPr>
      <w:keepNext/>
      <w:numPr>
        <w:numId w:val="1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Heading3-IPR">
    <w:name w:val="Heading3-IPR"/>
    <w:link w:val="Heading3-IPRChar"/>
    <w:qFormat/>
    <w:rsid w:val="007B0088"/>
    <w:pPr>
      <w:keepNext/>
      <w:numPr>
        <w:numId w:val="10"/>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B0088"/>
    <w:rPr>
      <w:rFonts w:ascii="Candara" w:eastAsia="Calibri" w:hAnsi="Candara" w:cs="Arial"/>
      <w:b/>
      <w:bCs/>
      <w:color w:val="B12732"/>
      <w:sz w:val="24"/>
      <w:szCs w:val="24"/>
    </w:rPr>
  </w:style>
  <w:style w:type="character" w:customStyle="1" w:styleId="Heading2-IPRChar">
    <w:name w:val="Heading2-IPR Char"/>
    <w:basedOn w:val="Heading2Char"/>
    <w:link w:val="Heading2-IPR"/>
    <w:rsid w:val="007B0088"/>
    <w:rPr>
      <w:rFonts w:ascii="Candara" w:eastAsiaTheme="majorEastAsia" w:hAnsi="Candara" w:cstheme="majorBidi"/>
      <w:b/>
      <w:bCs/>
      <w:iCs w:val="0"/>
      <w:color w:val="B12732"/>
      <w:sz w:val="28"/>
      <w:szCs w:val="26"/>
    </w:rPr>
  </w:style>
  <w:style w:type="paragraph" w:customStyle="1" w:styleId="BodyText-IPR">
    <w:name w:val="BodyText-IPR"/>
    <w:link w:val="BodyText-IPRChar"/>
    <w:qFormat/>
    <w:rsid w:val="007B0088"/>
    <w:pPr>
      <w:spacing w:after="240" w:line="240" w:lineRule="auto"/>
    </w:pPr>
    <w:rPr>
      <w:rFonts w:ascii="Calibri" w:hAnsi="Calibri"/>
    </w:rPr>
  </w:style>
  <w:style w:type="character" w:customStyle="1" w:styleId="BodyText-IPRChar">
    <w:name w:val="BodyText-IPR Char"/>
    <w:basedOn w:val="DefaultParagraphFont"/>
    <w:link w:val="BodyText-IPR"/>
    <w:rsid w:val="007B0088"/>
    <w:rPr>
      <w:rFonts w:ascii="Calibri" w:hAnsi="Calibri"/>
    </w:rPr>
  </w:style>
  <w:style w:type="paragraph" w:customStyle="1" w:styleId="FtnteBody-IPR">
    <w:name w:val="FtnteBody-IPR"/>
    <w:link w:val="FtnteBody-IPRChar"/>
    <w:qFormat/>
    <w:rsid w:val="00E97D18"/>
    <w:pPr>
      <w:spacing w:after="0" w:line="240" w:lineRule="auto"/>
    </w:pPr>
    <w:rPr>
      <w:rFonts w:ascii="Calibri" w:hAnsi="Calibri"/>
      <w:sz w:val="18"/>
      <w:szCs w:val="20"/>
    </w:rPr>
  </w:style>
  <w:style w:type="character" w:customStyle="1" w:styleId="FtnteBody-IPRChar">
    <w:name w:val="FtnteBody-IPR Char"/>
    <w:basedOn w:val="DefaultParagraphFont"/>
    <w:link w:val="FtnteBody-IPR"/>
    <w:rsid w:val="00E97D18"/>
    <w:rPr>
      <w:rFonts w:ascii="Calibri" w:hAnsi="Calibri"/>
      <w:sz w:val="18"/>
      <w:szCs w:val="20"/>
    </w:rPr>
  </w:style>
  <w:style w:type="paragraph" w:customStyle="1" w:styleId="Body11ptCalibrDBi-IPR">
    <w:name w:val="Body11ptCalibrDBi-IPR"/>
    <w:link w:val="Body11ptCalibrDBi-IPRChar"/>
    <w:qFormat/>
    <w:rsid w:val="00FB4ABD"/>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FB4ABD"/>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71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DEA70-8FE3-4827-8848-FAB6E404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Greenberg;Victoria Quiroz-Becerra</dc:creator>
  <cp:lastModifiedBy>Hill, Ronald M</cp:lastModifiedBy>
  <cp:revision>2</cp:revision>
  <dcterms:created xsi:type="dcterms:W3CDTF">2016-09-06T17:04:00Z</dcterms:created>
  <dcterms:modified xsi:type="dcterms:W3CDTF">2016-09-06T17:04:00Z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